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28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t>2025 ANNUAL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50"/>
          <w:szCs w:val="50"/>
          <w:color w:val="2C304F"/>
        </w:rPr>
        <w:t>LOOKING TOWARD THE</w:t>
      </w:r>
    </w:p>
    <w:p>
      <w:pPr>
        <w:spacing w:after="0" w:line="81" w:lineRule="exact"/>
        <w:rPr>
          <w:sz w:val="24"/>
          <w:szCs w:val="24"/>
          <w:color w:val="auto"/>
        </w:rPr>
      </w:pPr>
    </w:p>
    <w:p>
      <w:pPr>
        <w:spacing w:after="0"/>
        <w:rPr>
          <w:sz w:val="20"/>
          <w:szCs w:val="20"/>
          <w:color w:val="auto"/>
        </w:rPr>
      </w:pPr>
      <w:r>
        <w:rPr>
          <w:rFonts w:ascii="Arial" w:cs="Arial" w:eastAsia="Arial" w:hAnsi="Arial"/>
          <w:sz w:val="200"/>
          <w:szCs w:val="200"/>
          <w:b w:val="1"/>
          <w:bCs w:val="1"/>
          <w:color w:val="1C4578"/>
        </w:rPr>
        <w:t>HORIZON</w:t>
      </w:r>
    </w:p>
    <w:p>
      <w:pPr>
        <w:sectPr>
          <w:pgSz w:w="11880" w:h="15480" w:orient="portrait"/>
          <w:cols w:equalWidth="0" w:num="1">
            <w:col w:w="10080"/>
          </w:cols>
          <w:pgMar w:left="900" w:top="1042" w:right="900"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1C4578"/>
        </w:rPr>
        <w:t>To Our Fellow Stockholders,</w:t>
      </w:r>
    </w:p>
    <w:p>
      <w:pPr>
        <w:spacing w:after="0" w:line="135" w:lineRule="exact"/>
        <w:rPr>
          <w:sz w:val="20"/>
          <w:szCs w:val="20"/>
          <w:color w:val="auto"/>
        </w:rPr>
      </w:pPr>
    </w:p>
    <w:p>
      <w:pPr>
        <w:jc w:val="both"/>
        <w:ind w:firstLine="17"/>
        <w:spacing w:after="0" w:line="212" w:lineRule="exact"/>
        <w:rPr>
          <w:sz w:val="20"/>
          <w:szCs w:val="20"/>
          <w:color w:val="auto"/>
        </w:rPr>
      </w:pPr>
      <w:r>
        <w:rPr>
          <w:rFonts w:ascii="Arial" w:cs="Arial" w:eastAsia="Arial" w:hAnsi="Arial"/>
          <w:sz w:val="15"/>
          <w:szCs w:val="15"/>
          <w:color w:val="231F20"/>
        </w:rPr>
        <w:t>U</w:t>
      </w:r>
      <w:r>
        <w:rPr>
          <w:rFonts w:ascii="Arial" w:cs="Arial" w:eastAsia="Arial" w:hAnsi="Arial"/>
          <w:sz w:val="15"/>
          <w:szCs w:val="15"/>
          <w:color w:val="231F20"/>
        </w:rPr>
        <w:t>Ǿ ׀־׀׃</w:t>
      </w:r>
      <w:r>
        <w:rPr>
          <w:rFonts w:ascii="Arial" w:cs="Arial" w:eastAsia="Arial" w:hAnsi="Arial"/>
          <w:sz w:val="15"/>
          <w:szCs w:val="15"/>
          <w:color w:val="231F20"/>
        </w:rPr>
        <w:t xml:space="preserve">ؙ </w:t>
      </w:r>
      <w:r>
        <w:rPr>
          <w:rFonts w:ascii="Arial" w:cs="Arial" w:eastAsia="Arial" w:hAnsi="Arial"/>
          <w:sz w:val="15"/>
          <w:szCs w:val="15"/>
          <w:color w:val="231F20"/>
        </w:rPr>
        <w:t>Ǜ</w:t>
      </w:r>
      <w:r>
        <w:rPr>
          <w:rFonts w:ascii="Arial" w:cs="Arial" w:eastAsia="Arial" w:hAnsi="Arial"/>
          <w:sz w:val="15"/>
          <w:szCs w:val="15"/>
          <w:color w:val="231F20"/>
        </w:rPr>
        <w:t>Ʌ ƣƲ</w:t>
      </w:r>
      <w:r>
        <w:rPr>
          <w:rFonts w:ascii="Arial" w:cs="Arial" w:eastAsia="Arial" w:hAnsi="Arial"/>
          <w:sz w:val="15"/>
          <w:szCs w:val="15"/>
          <w:color w:val="231F20"/>
        </w:rPr>
        <w:t>ƤƇ</w:t>
      </w:r>
      <w:r>
        <w:rPr>
          <w:rFonts w:ascii="Arial" w:cs="Arial" w:eastAsia="Arial" w:hAnsi="Arial"/>
          <w:sz w:val="15"/>
          <w:szCs w:val="15"/>
          <w:color w:val="231F20"/>
        </w:rPr>
        <w:t>Ǽ</w:t>
      </w:r>
      <w:r>
        <w:rPr>
          <w:rFonts w:ascii="Arial" w:cs="Arial" w:eastAsia="Arial" w:hAnsi="Arial"/>
          <w:sz w:val="15"/>
          <w:szCs w:val="15"/>
          <w:color w:val="231F20"/>
        </w:rPr>
        <w:t>Ʋ Ƥ</w:t>
      </w:r>
      <w:r>
        <w:rPr>
          <w:rFonts w:ascii="Arial" w:cs="Arial" w:eastAsia="Arial" w:hAnsi="Arial"/>
          <w:sz w:val="15"/>
          <w:szCs w:val="15"/>
          <w:color w:val="231F20"/>
        </w:rPr>
        <w:t>ǳ</w:t>
      </w:r>
      <w:r>
        <w:rPr>
          <w:rFonts w:ascii="Arial" w:cs="Arial" w:eastAsia="Arial" w:hAnsi="Arial"/>
          <w:sz w:val="15"/>
          <w:szCs w:val="15"/>
          <w:color w:val="231F20"/>
        </w:rPr>
        <w:t>Ʋ</w:t>
      </w:r>
      <w:r>
        <w:rPr>
          <w:rFonts w:ascii="Arial" w:cs="Arial" w:eastAsia="Arial" w:hAnsi="Arial"/>
          <w:sz w:val="15"/>
          <w:szCs w:val="15"/>
          <w:color w:val="231F20"/>
        </w:rPr>
        <w:t>Ƈȯ</w:t>
      </w:r>
      <w:r>
        <w:rPr>
          <w:rFonts w:ascii="Arial" w:cs="Arial" w:eastAsia="Arial" w:hAnsi="Arial"/>
          <w:sz w:val="15"/>
          <w:szCs w:val="15"/>
          <w:color w:val="231F20"/>
        </w:rPr>
        <w:t xml:space="preserve"> </w:t>
      </w:r>
      <w:r>
        <w:rPr>
          <w:rFonts w:ascii="Arial" w:cs="Arial" w:eastAsia="Arial" w:hAnsi="Arial"/>
          <w:sz w:val="15"/>
          <w:szCs w:val="15"/>
          <w:color w:val="231F20"/>
        </w:rPr>
        <w:t>Ʌ</w:t>
      </w:r>
      <w:r>
        <w:rPr>
          <w:rFonts w:ascii="Arial" w:cs="Arial" w:eastAsia="Arial" w:hAnsi="Arial"/>
          <w:sz w:val="15"/>
          <w:szCs w:val="15"/>
          <w:color w:val="231F20"/>
        </w:rPr>
        <w:t>Ǖ</w:t>
      </w:r>
      <w:r>
        <w:rPr>
          <w:rFonts w:ascii="Arial" w:cs="Arial" w:eastAsia="Arial" w:hAnsi="Arial"/>
          <w:sz w:val="15"/>
          <w:szCs w:val="15"/>
          <w:color w:val="231F20"/>
        </w:rPr>
        <w:t xml:space="preserve">ƇɅ </w:t>
      </w:r>
      <w:r>
        <w:rPr>
          <w:rFonts w:ascii="Arial" w:cs="Arial" w:eastAsia="Arial" w:hAnsi="Arial"/>
          <w:sz w:val="15"/>
          <w:szCs w:val="15"/>
          <w:color w:val="231F20"/>
        </w:rPr>
        <w:t>t</w:t>
      </w:r>
      <w:r>
        <w:rPr>
          <w:rFonts w:ascii="Arial" w:cs="Arial" w:eastAsia="Arial" w:hAnsi="Arial"/>
          <w:sz w:val="15"/>
          <w:szCs w:val="15"/>
          <w:color w:val="231F20"/>
        </w:rPr>
        <w:t>Ƈ</w:t>
      </w:r>
      <w:r>
        <w:rPr>
          <w:rFonts w:ascii="Arial" w:cs="Arial" w:eastAsia="Arial" w:hAnsi="Arial"/>
          <w:sz w:val="15"/>
          <w:szCs w:val="15"/>
          <w:color w:val="231F20"/>
        </w:rPr>
        <w:t>ȯ</w:t>
      </w:r>
      <w:r>
        <w:rPr>
          <w:rFonts w:ascii="Arial" w:cs="Arial" w:eastAsia="Arial" w:hAnsi="Arial"/>
          <w:sz w:val="15"/>
          <w:szCs w:val="15"/>
          <w:color w:val="231F20"/>
        </w:rPr>
        <w:t>ȯ</w:t>
      </w:r>
      <w:r>
        <w:rPr>
          <w:rFonts w:ascii="Arial" w:cs="Arial" w:eastAsia="Arial" w:hAnsi="Arial"/>
          <w:sz w:val="15"/>
          <w:szCs w:val="15"/>
          <w:color w:val="231F20"/>
        </w:rPr>
        <w:t>Ǜ</w:t>
      </w:r>
      <w:r>
        <w:rPr>
          <w:rFonts w:ascii="Arial" w:cs="Arial" w:eastAsia="Arial" w:hAnsi="Arial"/>
          <w:sz w:val="15"/>
          <w:szCs w:val="15"/>
          <w:color w:val="231F20"/>
        </w:rPr>
        <w:t>ȉɅ</w:t>
      </w:r>
      <w:r>
        <w:rPr>
          <w:rFonts w:ascii="Arial" w:cs="Arial" w:eastAsia="Arial" w:hAnsi="Arial"/>
          <w:sz w:val="15"/>
          <w:szCs w:val="15"/>
          <w:color w:val="231F20"/>
        </w:rPr>
        <w:t>Ʌ Ü</w:t>
      </w:r>
      <w:r>
        <w:rPr>
          <w:rFonts w:ascii="Arial" w:cs="Arial" w:eastAsia="Arial" w:hAnsi="Arial"/>
          <w:sz w:val="15"/>
          <w:szCs w:val="15"/>
          <w:color w:val="231F20"/>
        </w:rPr>
        <w:t>ƇƤƇ</w:t>
      </w:r>
      <w:r>
        <w:rPr>
          <w:rFonts w:ascii="Arial" w:cs="Arial" w:eastAsia="Arial" w:hAnsi="Arial"/>
          <w:sz w:val="15"/>
          <w:szCs w:val="15"/>
          <w:color w:val="231F20"/>
        </w:rPr>
        <w:t>Ʌ</w:t>
      </w:r>
      <w:r>
        <w:rPr>
          <w:rFonts w:ascii="Arial" w:cs="Arial" w:eastAsia="Arial" w:hAnsi="Arial"/>
          <w:sz w:val="15"/>
          <w:szCs w:val="15"/>
          <w:color w:val="231F20"/>
        </w:rPr>
        <w:t>Ǜ</w:t>
      </w:r>
      <w:r>
        <w:rPr>
          <w:rFonts w:ascii="Arial" w:cs="Arial" w:eastAsia="Arial" w:hAnsi="Arial"/>
          <w:sz w:val="15"/>
          <w:szCs w:val="15"/>
          <w:color w:val="231F20"/>
        </w:rPr>
        <w:t>ȉǾ</w:t>
      </w:r>
      <w:r>
        <w:rPr>
          <w:rFonts w:ascii="Arial" w:cs="Arial" w:eastAsia="Arial" w:hAnsi="Arial"/>
          <w:sz w:val="15"/>
          <w:szCs w:val="15"/>
          <w:color w:val="231F20"/>
        </w:rPr>
        <w:t>ȷ Ý</w:t>
      </w:r>
      <w:r>
        <w:rPr>
          <w:rFonts w:ascii="Arial" w:cs="Arial" w:eastAsia="Arial" w:hAnsi="Arial"/>
          <w:sz w:val="15"/>
          <w:szCs w:val="15"/>
          <w:color w:val="231F20"/>
        </w:rPr>
        <w:t>ȉ</w:t>
      </w:r>
      <w:r>
        <w:rPr>
          <w:rFonts w:ascii="Arial" w:cs="Arial" w:eastAsia="Arial" w:hAnsi="Arial"/>
          <w:sz w:val="15"/>
          <w:szCs w:val="15"/>
          <w:color w:val="231F20"/>
        </w:rPr>
        <w:t>ȯǳ</w:t>
      </w:r>
      <w:r>
        <w:rPr>
          <w:rFonts w:ascii="Arial" w:cs="Arial" w:eastAsia="Arial" w:hAnsi="Arial"/>
          <w:sz w:val="15"/>
          <w:szCs w:val="15"/>
          <w:color w:val="231F20"/>
        </w:rPr>
        <w:t>ƫ</w:t>
      </w:r>
      <w:r>
        <w:rPr>
          <w:rFonts w:ascii="Arial" w:cs="Arial" w:eastAsia="Arial" w:hAnsi="Arial"/>
          <w:sz w:val="15"/>
          <w:szCs w:val="15"/>
          <w:color w:val="231F20"/>
        </w:rPr>
        <w:t>ɦǛ</w:t>
      </w:r>
      <w:r>
        <w:rPr>
          <w:rFonts w:ascii="Arial" w:cs="Arial" w:eastAsia="Arial" w:hAnsi="Arial"/>
          <w:sz w:val="15"/>
          <w:szCs w:val="15"/>
          <w:color w:val="231F20"/>
        </w:rPr>
        <w:t>ƫƲ</w:t>
      </w:r>
      <w:r>
        <w:rPr>
          <w:rFonts w:ascii="Arial" w:cs="Arial" w:eastAsia="Arial" w:hAnsi="Arial"/>
          <w:sz w:val="15"/>
          <w:szCs w:val="15"/>
          <w:color w:val="231F20"/>
        </w:rPr>
        <w:t xml:space="preserve"> </w:t>
      </w:r>
      <w:r>
        <w:rPr>
          <w:rFonts w:ascii="Arial" w:cs="Arial" w:eastAsia="Arial" w:hAnsi="Arial"/>
          <w:sz w:val="15"/>
          <w:szCs w:val="15"/>
          <w:color w:val="231F20"/>
        </w:rPr>
        <w:t>ɦ</w:t>
      </w:r>
      <w:r>
        <w:rPr>
          <w:rFonts w:ascii="Arial" w:cs="Arial" w:eastAsia="Arial" w:hAnsi="Arial"/>
          <w:sz w:val="15"/>
          <w:szCs w:val="15"/>
          <w:color w:val="231F20"/>
        </w:rPr>
        <w:t>Ƈȷ</w:t>
      </w:r>
      <w:r>
        <w:rPr>
          <w:rFonts w:ascii="Arial" w:cs="Arial" w:eastAsia="Arial" w:hAnsi="Arial"/>
          <w:sz w:val="15"/>
          <w:szCs w:val="15"/>
          <w:color w:val="231F20"/>
        </w:rPr>
        <w:t xml:space="preserve"> </w:t>
      </w:r>
      <w:r>
        <w:rPr>
          <w:rFonts w:ascii="Arial" w:cs="Arial" w:eastAsia="Arial" w:hAnsi="Arial"/>
          <w:sz w:val="15"/>
          <w:szCs w:val="15"/>
          <w:color w:val="231F20"/>
        </w:rPr>
        <w:t>Ǿ</w:t>
      </w:r>
      <w:r>
        <w:rPr>
          <w:rFonts w:ascii="Arial" w:cs="Arial" w:eastAsia="Arial" w:hAnsi="Arial"/>
          <w:sz w:val="15"/>
          <w:szCs w:val="15"/>
          <w:color w:val="231F20"/>
        </w:rPr>
        <w:t xml:space="preserve">ȉɅ </w:t>
      </w:r>
      <w:r>
        <w:rPr>
          <w:rFonts w:ascii="Arial" w:cs="Arial" w:eastAsia="Arial" w:hAnsi="Arial"/>
          <w:sz w:val="15"/>
          <w:szCs w:val="15"/>
          <w:color w:val="231F20"/>
        </w:rPr>
        <w:t>Ǽ</w:t>
      </w:r>
      <w:r>
        <w:rPr>
          <w:rFonts w:ascii="Arial" w:cs="Arial" w:eastAsia="Arial" w:hAnsi="Arial"/>
          <w:sz w:val="15"/>
          <w:szCs w:val="15"/>
          <w:color w:val="231F20"/>
        </w:rPr>
        <w:t>Ʋ</w:t>
      </w:r>
      <w:r>
        <w:rPr>
          <w:rFonts w:ascii="Arial" w:cs="Arial" w:eastAsia="Arial" w:hAnsi="Arial"/>
          <w:sz w:val="15"/>
          <w:szCs w:val="15"/>
          <w:color w:val="231F20"/>
        </w:rPr>
        <w:t>ƲɅ</w:t>
      </w:r>
      <w:r>
        <w:rPr>
          <w:rFonts w:ascii="Arial" w:cs="Arial" w:eastAsia="Arial" w:hAnsi="Arial"/>
          <w:sz w:val="15"/>
          <w:szCs w:val="15"/>
          <w:color w:val="231F20"/>
        </w:rPr>
        <w:t>Ǜ</w:t>
      </w:r>
      <w:r>
        <w:rPr>
          <w:rFonts w:ascii="Arial" w:cs="Arial" w:eastAsia="Arial" w:hAnsi="Arial"/>
          <w:sz w:val="15"/>
          <w:szCs w:val="15"/>
          <w:color w:val="231F20"/>
        </w:rPr>
        <w:t>Ǿ</w:t>
      </w:r>
      <w:r>
        <w:rPr>
          <w:rFonts w:ascii="Arial" w:cs="Arial" w:eastAsia="Arial" w:hAnsi="Arial"/>
          <w:sz w:val="15"/>
          <w:szCs w:val="15"/>
          <w:color w:val="231F20"/>
        </w:rPr>
        <w:t>Ǎ ȉɍ</w:t>
      </w:r>
      <w:r>
        <w:rPr>
          <w:rFonts w:ascii="Arial" w:cs="Arial" w:eastAsia="Arial" w:hAnsi="Arial"/>
          <w:sz w:val="15"/>
          <w:szCs w:val="15"/>
          <w:color w:val="231F20"/>
        </w:rPr>
        <w:t>ȯ</w:t>
      </w:r>
      <w:r>
        <w:rPr>
          <w:rFonts w:ascii="Arial" w:cs="Arial" w:eastAsia="Arial" w:hAnsi="Arial"/>
          <w:sz w:val="15"/>
          <w:szCs w:val="15"/>
          <w:color w:val="231F20"/>
        </w:rPr>
        <w:t xml:space="preserve"> </w:t>
      </w:r>
      <w:r>
        <w:rPr>
          <w:rFonts w:ascii="Arial" w:cs="Arial" w:eastAsia="Arial" w:hAnsi="Arial"/>
          <w:sz w:val="15"/>
          <w:szCs w:val="15"/>
          <w:color w:val="231F20"/>
        </w:rPr>
        <w:t>ƲɫȬ</w:t>
      </w:r>
      <w:r>
        <w:rPr>
          <w:rFonts w:ascii="Arial" w:cs="Arial" w:eastAsia="Arial" w:hAnsi="Arial"/>
          <w:sz w:val="15"/>
          <w:szCs w:val="15"/>
          <w:color w:val="231F20"/>
        </w:rPr>
        <w:t>Ʋ</w:t>
      </w:r>
      <w:r>
        <w:rPr>
          <w:rFonts w:ascii="Arial" w:cs="Arial" w:eastAsia="Arial" w:hAnsi="Arial"/>
          <w:sz w:val="15"/>
          <w:szCs w:val="15"/>
          <w:color w:val="231F20"/>
        </w:rPr>
        <w:t>ƤɅ</w:t>
      </w:r>
      <w:r>
        <w:rPr>
          <w:rFonts w:ascii="Arial" w:cs="Arial" w:eastAsia="Arial" w:hAnsi="Arial"/>
          <w:sz w:val="15"/>
          <w:szCs w:val="15"/>
          <w:color w:val="231F20"/>
        </w:rPr>
        <w:t>ƇɅǛ</w:t>
      </w:r>
      <w:r>
        <w:rPr>
          <w:rFonts w:ascii="Arial" w:cs="Arial" w:eastAsia="Arial" w:hAnsi="Arial"/>
          <w:sz w:val="15"/>
          <w:szCs w:val="15"/>
          <w:color w:val="231F20"/>
        </w:rPr>
        <w:t xml:space="preserve"> </w:t>
      </w:r>
      <w:r>
        <w:rPr>
          <w:rFonts w:ascii="Arial" w:cs="Arial" w:eastAsia="Arial" w:hAnsi="Arial"/>
          <w:sz w:val="15"/>
          <w:szCs w:val="15"/>
          <w:color w:val="231F20"/>
        </w:rPr>
        <w:t>ȉ</w:t>
      </w:r>
      <w:r>
        <w:rPr>
          <w:rFonts w:ascii="Arial" w:cs="Arial" w:eastAsia="Arial" w:hAnsi="Arial"/>
          <w:sz w:val="15"/>
          <w:szCs w:val="15"/>
          <w:color w:val="231F20"/>
        </w:rPr>
        <w:t>Ǿ</w:t>
      </w:r>
      <w:r>
        <w:rPr>
          <w:rFonts w:ascii="Arial" w:cs="Arial" w:eastAsia="Arial" w:hAnsi="Arial"/>
          <w:sz w:val="15"/>
          <w:szCs w:val="15"/>
          <w:color w:val="231F20"/>
        </w:rPr>
        <w:t>ȷ ȉȯ</w:t>
      </w:r>
      <w:r>
        <w:rPr>
          <w:rFonts w:ascii="Arial" w:cs="Arial" w:eastAsia="Arial" w:hAnsi="Arial"/>
          <w:sz w:val="15"/>
          <w:szCs w:val="15"/>
          <w:color w:val="231F20"/>
        </w:rPr>
        <w:t xml:space="preserve"> </w:t>
      </w:r>
      <w:r>
        <w:rPr>
          <w:rFonts w:ascii="Arial" w:cs="Arial" w:eastAsia="Arial" w:hAnsi="Arial"/>
          <w:sz w:val="15"/>
          <w:szCs w:val="15"/>
          <w:color w:val="231F20"/>
        </w:rPr>
        <w:t>Ʌ</w:t>
      </w:r>
      <w:r>
        <w:rPr>
          <w:rFonts w:ascii="Arial" w:cs="Arial" w:eastAsia="Arial" w:hAnsi="Arial"/>
          <w:sz w:val="15"/>
          <w:szCs w:val="15"/>
          <w:color w:val="231F20"/>
        </w:rPr>
        <w:t>Ǖ</w:t>
      </w:r>
      <w:r>
        <w:rPr>
          <w:rFonts w:ascii="Arial" w:cs="Arial" w:eastAsia="Arial" w:hAnsi="Arial"/>
          <w:sz w:val="15"/>
          <w:szCs w:val="15"/>
          <w:color w:val="231F20"/>
        </w:rPr>
        <w:t>ȉȷƲ ȉ</w:t>
      </w:r>
      <w:r>
        <w:rPr>
          <w:rFonts w:ascii="Arial" w:cs="Arial" w:eastAsia="Arial" w:hAnsi="Arial"/>
          <w:sz w:val="15"/>
          <w:szCs w:val="15"/>
          <w:color w:val="231F20"/>
        </w:rPr>
        <w:t>ǌ</w:t>
      </w:r>
      <w:r>
        <w:rPr>
          <w:rFonts w:ascii="Arial" w:cs="Arial" w:eastAsia="Arial" w:hAnsi="Arial"/>
          <w:sz w:val="15"/>
          <w:szCs w:val="15"/>
          <w:color w:val="231F20"/>
        </w:rPr>
        <w:t xml:space="preserve"> </w:t>
      </w:r>
      <w:r>
        <w:rPr>
          <w:rFonts w:ascii="Arial" w:cs="Arial" w:eastAsia="Arial" w:hAnsi="Arial"/>
          <w:sz w:val="15"/>
          <w:szCs w:val="15"/>
          <w:color w:val="231F20"/>
        </w:rPr>
        <w:t>ȉɍ</w:t>
      </w:r>
      <w:r>
        <w:rPr>
          <w:rFonts w:ascii="Arial" w:cs="Arial" w:eastAsia="Arial" w:hAnsi="Arial"/>
          <w:sz w:val="15"/>
          <w:szCs w:val="15"/>
          <w:color w:val="231F20"/>
        </w:rPr>
        <w:t>ȯ</w:t>
      </w:r>
      <w:r>
        <w:rPr>
          <w:rFonts w:ascii="Arial" w:cs="Arial" w:eastAsia="Arial" w:hAnsi="Arial"/>
          <w:sz w:val="15"/>
          <w:szCs w:val="15"/>
          <w:color w:val="231F20"/>
        </w:rPr>
        <w:t xml:space="preserve"> </w:t>
      </w:r>
      <w:r>
        <w:rPr>
          <w:rFonts w:ascii="Arial" w:cs="Arial" w:eastAsia="Arial" w:hAnsi="Arial"/>
          <w:sz w:val="15"/>
          <w:szCs w:val="15"/>
          <w:color w:val="231F20"/>
        </w:rPr>
        <w:t>ȷ</w:t>
      </w:r>
      <w:r>
        <w:rPr>
          <w:rFonts w:ascii="Arial" w:cs="Arial" w:eastAsia="Arial" w:hAnsi="Arial"/>
          <w:sz w:val="15"/>
          <w:szCs w:val="15"/>
          <w:color w:val="231F20"/>
        </w:rPr>
        <w:t>Ʌȉ</w:t>
      </w:r>
      <w:r>
        <w:rPr>
          <w:rFonts w:ascii="Arial" w:cs="Arial" w:eastAsia="Arial" w:hAnsi="Arial"/>
          <w:sz w:val="15"/>
          <w:szCs w:val="15"/>
          <w:color w:val="231F20"/>
        </w:rPr>
        <w:t>Ƥǯ</w:t>
      </w:r>
      <w:r>
        <w:rPr>
          <w:rFonts w:ascii="Arial" w:cs="Arial" w:eastAsia="Arial" w:hAnsi="Arial"/>
          <w:sz w:val="15"/>
          <w:szCs w:val="15"/>
          <w:color w:val="231F20"/>
        </w:rPr>
        <w:t>Ǖ</w:t>
      </w:r>
      <w:r>
        <w:rPr>
          <w:rFonts w:ascii="Arial" w:cs="Arial" w:eastAsia="Arial" w:hAnsi="Arial"/>
          <w:sz w:val="15"/>
          <w:szCs w:val="15"/>
          <w:color w:val="231F20"/>
        </w:rPr>
        <w:t>ȉǳƫƲ</w:t>
      </w:r>
      <w:r>
        <w:rPr>
          <w:rFonts w:ascii="Arial" w:cs="Arial" w:eastAsia="Arial" w:hAnsi="Arial"/>
          <w:sz w:val="15"/>
          <w:szCs w:val="15"/>
          <w:color w:val="231F20"/>
        </w:rPr>
        <w:t xml:space="preserve"> </w:t>
      </w:r>
      <w:r>
        <w:rPr>
          <w:rFonts w:ascii="Arial" w:cs="Arial" w:eastAsia="Arial" w:hAnsi="Arial"/>
          <w:sz w:val="15"/>
          <w:szCs w:val="15"/>
          <w:color w:val="231F20"/>
        </w:rPr>
        <w:t>ȯȷ</w:t>
      </w:r>
      <w:r>
        <w:rPr>
          <w:rFonts w:ascii="Arial" w:cs="Arial" w:eastAsia="Arial" w:hAnsi="Arial"/>
          <w:sz w:val="15"/>
          <w:szCs w:val="15"/>
          <w:color w:val="231F20"/>
        </w:rPr>
        <w:t xml:space="preserve">ؘ </w:t>
      </w:r>
      <w:r>
        <w:rPr>
          <w:rFonts w:ascii="PMingLiU" w:cs="PMingLiU" w:eastAsia="PMingLiU" w:hAnsi="PMingLiU"/>
          <w:sz w:val="15"/>
          <w:szCs w:val="15"/>
          <w:color w:val="231F20"/>
        </w:rPr>
        <w:t></w:t>
      </w:r>
      <w:r>
        <w:rPr>
          <w:rFonts w:ascii="Arial" w:cs="Arial" w:eastAsia="Arial" w:hAnsi="Arial"/>
          <w:sz w:val="15"/>
          <w:szCs w:val="15"/>
          <w:color w:val="231F20"/>
        </w:rPr>
        <w:t xml:space="preserve"> </w:t>
      </w:r>
      <w:r>
        <w:rPr>
          <w:rFonts w:ascii="Arial" w:cs="Arial" w:eastAsia="Arial" w:hAnsi="Arial"/>
          <w:sz w:val="15"/>
          <w:szCs w:val="15"/>
          <w:color w:val="231F20"/>
        </w:rPr>
        <w:t>ɍȯ</w:t>
      </w:r>
      <w:r>
        <w:rPr>
          <w:rFonts w:ascii="Arial" w:cs="Arial" w:eastAsia="Arial" w:hAnsi="Arial"/>
          <w:sz w:val="15"/>
          <w:szCs w:val="15"/>
          <w:color w:val="231F20"/>
        </w:rPr>
        <w:t xml:space="preserve"> </w:t>
      </w:r>
      <w:r>
        <w:rPr>
          <w:rFonts w:ascii="PMingLiU" w:cs="PMingLiU" w:eastAsia="PMingLiU" w:hAnsi="PMingLiU"/>
          <w:sz w:val="15"/>
          <w:szCs w:val="15"/>
          <w:color w:val="231F20"/>
        </w:rPr>
        <w:t/>
      </w:r>
      <w:r>
        <w:rPr>
          <w:rFonts w:ascii="Arial" w:cs="Arial" w:eastAsia="Arial" w:hAnsi="Arial"/>
          <w:sz w:val="15"/>
          <w:szCs w:val="15"/>
          <w:color w:val="231F20"/>
        </w:rPr>
        <w:t>ȉ</w:t>
      </w:r>
      <w:r>
        <w:rPr>
          <w:rFonts w:ascii="Arial" w:cs="Arial" w:eastAsia="Arial" w:hAnsi="Arial"/>
          <w:sz w:val="15"/>
          <w:szCs w:val="15"/>
          <w:color w:val="231F20"/>
        </w:rPr>
        <w:t>Ƈȯ</w:t>
      </w:r>
      <w:r>
        <w:rPr>
          <w:rFonts w:ascii="Arial" w:cs="Arial" w:eastAsia="Arial" w:hAnsi="Arial"/>
          <w:sz w:val="15"/>
          <w:szCs w:val="15"/>
          <w:color w:val="231F20"/>
        </w:rPr>
        <w:t>ƫ ȉǌ</w:t>
      </w:r>
      <w:r>
        <w:rPr>
          <w:rFonts w:ascii="Arial" w:cs="Arial" w:eastAsia="Arial" w:hAnsi="Arial"/>
          <w:sz w:val="15"/>
          <w:szCs w:val="15"/>
          <w:color w:val="231F20"/>
        </w:rPr>
        <w:t xml:space="preserve"> </w:t>
      </w:r>
      <w:r>
        <w:rPr>
          <w:rFonts w:ascii="Arial" w:cs="Arial" w:eastAsia="Arial" w:hAnsi="Arial"/>
          <w:sz w:val="15"/>
          <w:szCs w:val="15"/>
          <w:color w:val="231F20"/>
        </w:rPr>
        <w:t>%ǛȯƲƤɅȉȯȷ ȯƲƤȉǍǾǛɶƲƫ ɅǕƇɅ ȉɍȯ ȉȬƲȯƇɅǛǾǍ ȬƲȯ</w:t>
      </w:r>
      <w:r>
        <w:rPr>
          <w:rFonts w:ascii="Arial" w:cs="Arial" w:eastAsia="Arial" w:hAnsi="Arial"/>
          <w:sz w:val="15"/>
          <w:szCs w:val="15"/>
          <w:color w:val="231F20"/>
        </w:rPr>
        <w:t>ǌ</w:t>
      </w:r>
      <w:r>
        <w:rPr>
          <w:rFonts w:ascii="Arial" w:cs="Arial" w:eastAsia="Arial" w:hAnsi="Arial"/>
          <w:sz w:val="15"/>
          <w:szCs w:val="15"/>
          <w:color w:val="231F20"/>
        </w:rPr>
        <w:t>ȉȯǼƇǾƤƲ ǾƲƲƫƲƫ Ʌȉ ǛǼȬȯȉɥƲ ƇǾƫ ɅǕƇɅ ƤǕƇǾǍƲ ǛǾ ǼƇǾƇǍƲǼƲǾɅ ɦƇȷ ȯƲȮɍǛȯƲƫؘ ½ǕǛȷ ɦƇȷ ƫȉǾƲ ɦǛ</w:t>
      </w:r>
      <w:r>
        <w:rPr>
          <w:rFonts w:ascii="Arial" w:cs="Arial" w:eastAsia="Arial" w:hAnsi="Arial"/>
          <w:sz w:val="15"/>
          <w:szCs w:val="15"/>
          <w:color w:val="231F20"/>
        </w:rPr>
        <w:t>ɅǕ</w:t>
      </w:r>
      <w:r>
        <w:rPr>
          <w:rFonts w:ascii="Arial" w:cs="Arial" w:eastAsia="Arial" w:hAnsi="Arial"/>
          <w:sz w:val="15"/>
          <w:szCs w:val="15"/>
          <w:color w:val="231F20"/>
        </w:rPr>
        <w:t xml:space="preserve"> </w:t>
      </w:r>
      <w:r>
        <w:rPr>
          <w:rFonts w:ascii="Arial" w:cs="Arial" w:eastAsia="Arial" w:hAnsi="Arial"/>
          <w:sz w:val="15"/>
          <w:szCs w:val="15"/>
          <w:color w:val="231F20"/>
        </w:rPr>
        <w:t>ƇǾ</w:t>
      </w:r>
      <w:r>
        <w:rPr>
          <w:rFonts w:ascii="Arial" w:cs="Arial" w:eastAsia="Arial" w:hAnsi="Arial"/>
          <w:sz w:val="15"/>
          <w:szCs w:val="15"/>
          <w:color w:val="231F20"/>
        </w:rPr>
        <w:t xml:space="preserve"> ƲǼȬǕƇ</w:t>
      </w:r>
      <w:r>
        <w:rPr>
          <w:rFonts w:ascii="Arial" w:cs="Arial" w:eastAsia="Arial" w:hAnsi="Arial"/>
          <w:sz w:val="15"/>
          <w:szCs w:val="15"/>
          <w:color w:val="231F20"/>
        </w:rPr>
        <w:t>ȷ</w:t>
      </w:r>
      <w:r>
        <w:rPr>
          <w:rFonts w:ascii="Arial" w:cs="Arial" w:eastAsia="Arial" w:hAnsi="Arial"/>
          <w:sz w:val="15"/>
          <w:szCs w:val="15"/>
          <w:color w:val="231F20"/>
        </w:rPr>
        <w:t>Ǜ</w:t>
      </w:r>
      <w:r>
        <w:rPr>
          <w:rFonts w:ascii="Arial" w:cs="Arial" w:eastAsia="Arial" w:hAnsi="Arial"/>
          <w:sz w:val="15"/>
          <w:szCs w:val="15"/>
          <w:color w:val="231F20"/>
        </w:rPr>
        <w:t>ȷ</w:t>
      </w:r>
      <w:r>
        <w:rPr>
          <w:rFonts w:ascii="Arial" w:cs="Arial" w:eastAsia="Arial" w:hAnsi="Arial"/>
          <w:sz w:val="15"/>
          <w:szCs w:val="15"/>
          <w:color w:val="231F20"/>
        </w:rPr>
        <w:t xml:space="preserve"> </w:t>
      </w:r>
      <w:r>
        <w:rPr>
          <w:rFonts w:ascii="Arial" w:cs="Arial" w:eastAsia="Arial" w:hAnsi="Arial"/>
          <w:sz w:val="15"/>
          <w:szCs w:val="15"/>
          <w:color w:val="231F20"/>
        </w:rPr>
        <w:t>ȉǾ ȬƲȯ</w:t>
      </w:r>
      <w:r>
        <w:rPr>
          <w:rFonts w:ascii="Arial" w:cs="Arial" w:eastAsia="Arial" w:hAnsi="Arial"/>
          <w:sz w:val="15"/>
          <w:szCs w:val="15"/>
          <w:color w:val="231F20"/>
        </w:rPr>
        <w:t>ǌȉ</w:t>
      </w:r>
      <w:r>
        <w:rPr>
          <w:rFonts w:ascii="Arial" w:cs="Arial" w:eastAsia="Arial" w:hAnsi="Arial"/>
          <w:sz w:val="15"/>
          <w:szCs w:val="15"/>
          <w:color w:val="231F20"/>
        </w:rPr>
        <w:t xml:space="preserve"> </w:t>
      </w:r>
      <w:r>
        <w:rPr>
          <w:rFonts w:ascii="Arial" w:cs="Arial" w:eastAsia="Arial" w:hAnsi="Arial"/>
          <w:sz w:val="15"/>
          <w:szCs w:val="15"/>
          <w:color w:val="231F20"/>
        </w:rPr>
        <w:t>ȯǼƇǾƤƲ ƇǾ</w:t>
      </w:r>
      <w:r>
        <w:rPr>
          <w:rFonts w:ascii="Arial" w:cs="Arial" w:eastAsia="Arial" w:hAnsi="Arial"/>
          <w:sz w:val="15"/>
          <w:szCs w:val="15"/>
          <w:color w:val="231F20"/>
        </w:rPr>
        <w:t xml:space="preserve"> </w:t>
      </w:r>
      <w:r>
        <w:rPr>
          <w:rFonts w:ascii="Arial" w:cs="Arial" w:eastAsia="Arial" w:hAnsi="Arial"/>
          <w:sz w:val="15"/>
          <w:szCs w:val="15"/>
          <w:color w:val="231F20"/>
        </w:rPr>
        <w:t>ƫ Ƈ</w:t>
      </w:r>
      <w:r>
        <w:rPr>
          <w:rFonts w:ascii="Arial" w:cs="Arial" w:eastAsia="Arial" w:hAnsi="Arial"/>
          <w:sz w:val="15"/>
          <w:szCs w:val="15"/>
          <w:color w:val="231F20"/>
        </w:rPr>
        <w:t xml:space="preserve"> </w:t>
      </w:r>
      <w:r>
        <w:rPr>
          <w:rFonts w:ascii="Arial" w:cs="Arial" w:eastAsia="Arial" w:hAnsi="Arial"/>
          <w:sz w:val="15"/>
          <w:szCs w:val="15"/>
          <w:color w:val="231F20"/>
        </w:rPr>
        <w:t>ƤƤ</w:t>
      </w:r>
      <w:r>
        <w:rPr>
          <w:rFonts w:ascii="Arial" w:cs="Arial" w:eastAsia="Arial" w:hAnsi="Arial"/>
          <w:sz w:val="15"/>
          <w:szCs w:val="15"/>
          <w:color w:val="231F20"/>
        </w:rPr>
        <w:t>ȉɍ</w:t>
      </w:r>
      <w:r>
        <w:rPr>
          <w:rFonts w:ascii="Arial" w:cs="Arial" w:eastAsia="Arial" w:hAnsi="Arial"/>
          <w:sz w:val="15"/>
          <w:szCs w:val="15"/>
          <w:color w:val="231F20"/>
        </w:rPr>
        <w:t>Ǿ</w:t>
      </w:r>
      <w:r>
        <w:rPr>
          <w:rFonts w:ascii="Arial" w:cs="Arial" w:eastAsia="Arial" w:hAnsi="Arial"/>
          <w:sz w:val="15"/>
          <w:szCs w:val="15"/>
          <w:color w:val="231F20"/>
        </w:rPr>
        <w:t>Ʌ</w:t>
      </w:r>
      <w:r>
        <w:rPr>
          <w:rFonts w:ascii="Arial" w:cs="Arial" w:eastAsia="Arial" w:hAnsi="Arial"/>
          <w:sz w:val="15"/>
          <w:szCs w:val="15"/>
          <w:color w:val="231F20"/>
        </w:rPr>
        <w:t>ƇƣǛǳǛɅ</w:t>
      </w:r>
      <w:r>
        <w:rPr>
          <w:rFonts w:ascii="Arial" w:cs="Arial" w:eastAsia="Arial" w:hAnsi="Arial"/>
          <w:sz w:val="15"/>
          <w:szCs w:val="15"/>
          <w:color w:val="231F20"/>
        </w:rPr>
        <w:t>ɬ Ʌ</w:t>
      </w:r>
      <w:r>
        <w:rPr>
          <w:rFonts w:ascii="Arial" w:cs="Arial" w:eastAsia="Arial" w:hAnsi="Arial"/>
          <w:sz w:val="15"/>
          <w:szCs w:val="15"/>
          <w:color w:val="231F20"/>
        </w:rPr>
        <w:t>Ǖ</w:t>
      </w:r>
      <w:r>
        <w:rPr>
          <w:rFonts w:ascii="Arial" w:cs="Arial" w:eastAsia="Arial" w:hAnsi="Arial"/>
          <w:sz w:val="15"/>
          <w:szCs w:val="15"/>
          <w:color w:val="231F20"/>
        </w:rPr>
        <w:t>ȯ</w:t>
      </w:r>
      <w:r>
        <w:rPr>
          <w:rFonts w:ascii="Arial" w:cs="Arial" w:eastAsia="Arial" w:hAnsi="Arial"/>
          <w:sz w:val="15"/>
          <w:szCs w:val="15"/>
          <w:color w:val="231F20"/>
        </w:rPr>
        <w:t>ȉɍ</w:t>
      </w:r>
      <w:r>
        <w:rPr>
          <w:rFonts w:ascii="Arial" w:cs="Arial" w:eastAsia="Arial" w:hAnsi="Arial"/>
          <w:sz w:val="15"/>
          <w:szCs w:val="15"/>
          <w:color w:val="231F20"/>
        </w:rPr>
        <w:t xml:space="preserve"> </w:t>
      </w:r>
      <w:r>
        <w:rPr>
          <w:rFonts w:ascii="Arial" w:cs="Arial" w:eastAsia="Arial" w:hAnsi="Arial"/>
          <w:sz w:val="15"/>
          <w:szCs w:val="15"/>
          <w:color w:val="231F20"/>
        </w:rPr>
        <w:t>Ǎ</w:t>
      </w:r>
      <w:r>
        <w:rPr>
          <w:rFonts w:ascii="Arial" w:cs="Arial" w:eastAsia="Arial" w:hAnsi="Arial"/>
          <w:sz w:val="15"/>
          <w:szCs w:val="15"/>
          <w:color w:val="231F20"/>
        </w:rPr>
        <w:t>Ǖȉ</w:t>
      </w:r>
      <w:r>
        <w:rPr>
          <w:rFonts w:ascii="Arial" w:cs="Arial" w:eastAsia="Arial" w:hAnsi="Arial"/>
          <w:sz w:val="15"/>
          <w:szCs w:val="15"/>
          <w:color w:val="231F20"/>
        </w:rPr>
        <w:t>ɍɅ</w:t>
      </w:r>
      <w:r>
        <w:rPr>
          <w:rFonts w:ascii="Arial" w:cs="Arial" w:eastAsia="Arial" w:hAnsi="Arial"/>
          <w:sz w:val="15"/>
          <w:szCs w:val="15"/>
          <w:color w:val="231F20"/>
        </w:rPr>
        <w:t xml:space="preserve"> </w:t>
      </w:r>
      <w:r>
        <w:rPr>
          <w:rFonts w:ascii="Arial" w:cs="Arial" w:eastAsia="Arial" w:hAnsi="Arial"/>
          <w:sz w:val="15"/>
          <w:szCs w:val="15"/>
          <w:color w:val="231F20"/>
        </w:rPr>
        <w:t>Ʌ</w:t>
      </w:r>
      <w:r>
        <w:rPr>
          <w:rFonts w:ascii="Arial" w:cs="Arial" w:eastAsia="Arial" w:hAnsi="Arial"/>
          <w:sz w:val="15"/>
          <w:szCs w:val="15"/>
          <w:color w:val="231F20"/>
        </w:rPr>
        <w:t>Ǖ</w:t>
      </w:r>
      <w:r>
        <w:rPr>
          <w:rFonts w:ascii="Arial" w:cs="Arial" w:eastAsia="Arial" w:hAnsi="Arial"/>
          <w:sz w:val="15"/>
          <w:szCs w:val="15"/>
          <w:color w:val="231F20"/>
        </w:rPr>
        <w:t>Ʋ</w:t>
      </w:r>
      <w:r>
        <w:rPr>
          <w:rFonts w:ascii="Arial" w:cs="Arial" w:eastAsia="Arial" w:hAnsi="Arial"/>
          <w:sz w:val="15"/>
          <w:szCs w:val="15"/>
          <w:color w:val="231F20"/>
        </w:rPr>
        <w:t xml:space="preserve"> </w:t>
      </w:r>
      <w:r>
        <w:rPr>
          <w:rFonts w:ascii="Arial" w:cs="Arial" w:eastAsia="Arial" w:hAnsi="Arial"/>
          <w:sz w:val="15"/>
          <w:szCs w:val="15"/>
          <w:color w:val="231F20"/>
        </w:rPr>
        <w:t>ȉȯǍƇ</w:t>
      </w:r>
      <w:r>
        <w:rPr>
          <w:rFonts w:ascii="Arial" w:cs="Arial" w:eastAsia="Arial" w:hAnsi="Arial"/>
          <w:sz w:val="15"/>
          <w:szCs w:val="15"/>
          <w:color w:val="231F20"/>
        </w:rPr>
        <w:t xml:space="preserve"> </w:t>
      </w:r>
      <w:r>
        <w:rPr>
          <w:rFonts w:ascii="Arial" w:cs="Arial" w:eastAsia="Arial" w:hAnsi="Arial"/>
          <w:sz w:val="15"/>
          <w:szCs w:val="15"/>
          <w:color w:val="231F20"/>
        </w:rPr>
        <w:t>ǾǛ</w:t>
      </w:r>
      <w:r>
        <w:rPr>
          <w:rFonts w:ascii="Arial" w:cs="Arial" w:eastAsia="Arial" w:hAnsi="Arial"/>
          <w:sz w:val="15"/>
          <w:szCs w:val="15"/>
          <w:color w:val="231F20"/>
        </w:rPr>
        <w:t>ɶ</w:t>
      </w:r>
      <w:r>
        <w:rPr>
          <w:rFonts w:ascii="Arial" w:cs="Arial" w:eastAsia="Arial" w:hAnsi="Arial"/>
          <w:sz w:val="15"/>
          <w:szCs w:val="15"/>
          <w:color w:val="231F20"/>
        </w:rPr>
        <w:t>Ƈ</w:t>
      </w:r>
      <w:r>
        <w:rPr>
          <w:rFonts w:ascii="Arial" w:cs="Arial" w:eastAsia="Arial" w:hAnsi="Arial"/>
          <w:sz w:val="15"/>
          <w:szCs w:val="15"/>
          <w:color w:val="231F20"/>
        </w:rPr>
        <w:t>Ʌ</w:t>
      </w:r>
      <w:r>
        <w:rPr>
          <w:rFonts w:ascii="Arial" w:cs="Arial" w:eastAsia="Arial" w:hAnsi="Arial"/>
          <w:sz w:val="15"/>
          <w:szCs w:val="15"/>
          <w:color w:val="231F20"/>
        </w:rPr>
        <w:t>Ǜ</w:t>
      </w:r>
      <w:r>
        <w:rPr>
          <w:rFonts w:ascii="Arial" w:cs="Arial" w:eastAsia="Arial" w:hAnsi="Arial"/>
          <w:sz w:val="15"/>
          <w:szCs w:val="15"/>
          <w:color w:val="231F20"/>
        </w:rPr>
        <w:t>ȉǾؘ</w:t>
      </w:r>
    </w:p>
    <w:p>
      <w:pPr>
        <w:spacing w:after="0" w:line="116" w:lineRule="exact"/>
        <w:rPr>
          <w:sz w:val="20"/>
          <w:szCs w:val="20"/>
          <w:color w:val="auto"/>
        </w:rPr>
      </w:pPr>
    </w:p>
    <w:p>
      <w:pPr>
        <w:jc w:val="both"/>
        <w:ind w:hanging="6"/>
        <w:spacing w:after="0" w:line="208" w:lineRule="exact"/>
        <w:rPr>
          <w:sz w:val="20"/>
          <w:szCs w:val="20"/>
          <w:color w:val="auto"/>
        </w:rPr>
      </w:pPr>
      <w:r>
        <w:rPr>
          <w:rFonts w:ascii="Arial" w:cs="Arial" w:eastAsia="Arial" w:hAnsi="Arial"/>
          <w:sz w:val="14"/>
          <w:szCs w:val="14"/>
          <w:color w:val="231F20"/>
        </w:rPr>
        <w:t>U</w:t>
      </w:r>
      <w:r>
        <w:rPr>
          <w:rFonts w:ascii="Arial" w:cs="Arial" w:eastAsia="Arial" w:hAnsi="Arial"/>
          <w:sz w:val="14"/>
          <w:szCs w:val="14"/>
          <w:color w:val="231F20"/>
        </w:rPr>
        <w:t>Ǿ</w:t>
      </w:r>
      <w:r>
        <w:rPr>
          <w:rFonts w:ascii="Arial" w:cs="Arial" w:eastAsia="Arial" w:hAnsi="Arial"/>
          <w:sz w:val="14"/>
          <w:szCs w:val="14"/>
          <w:color w:val="231F20"/>
        </w:rPr>
        <w:t xml:space="preserve"> v</w:t>
      </w:r>
      <w:r>
        <w:rPr>
          <w:rFonts w:ascii="Arial" w:cs="Arial" w:eastAsia="Arial" w:hAnsi="Arial"/>
          <w:sz w:val="14"/>
          <w:szCs w:val="14"/>
          <w:color w:val="231F20"/>
        </w:rPr>
        <w:t>ȉ</w:t>
      </w:r>
      <w:r>
        <w:rPr>
          <w:rFonts w:ascii="Arial" w:cs="Arial" w:eastAsia="Arial" w:hAnsi="Arial"/>
          <w:sz w:val="14"/>
          <w:szCs w:val="14"/>
          <w:color w:val="231F20"/>
        </w:rPr>
        <w:t>ɥƲǼƣƲȯ ׀</w:t>
      </w:r>
      <w:r>
        <w:rPr>
          <w:rFonts w:ascii="Arial" w:cs="Arial" w:eastAsia="Arial" w:hAnsi="Arial"/>
          <w:sz w:val="14"/>
          <w:szCs w:val="14"/>
          <w:color w:val="231F20"/>
        </w:rPr>
        <w:t>־</w:t>
      </w:r>
      <w:r>
        <w:rPr>
          <w:rFonts w:ascii="Arial" w:cs="Arial" w:eastAsia="Arial" w:hAnsi="Arial"/>
          <w:sz w:val="14"/>
          <w:szCs w:val="14"/>
          <w:color w:val="231F20"/>
        </w:rPr>
        <w:t>׀׃</w:t>
      </w:r>
      <w:r>
        <w:rPr>
          <w:rFonts w:ascii="Arial" w:cs="Arial" w:eastAsia="Arial" w:hAnsi="Arial"/>
          <w:sz w:val="14"/>
          <w:szCs w:val="14"/>
          <w:color w:val="231F20"/>
        </w:rPr>
        <w:t>ؙ</w:t>
      </w:r>
      <w:r>
        <w:rPr>
          <w:rFonts w:ascii="Arial" w:cs="Arial" w:eastAsia="Arial" w:hAnsi="Arial"/>
          <w:sz w:val="14"/>
          <w:szCs w:val="14"/>
          <w:color w:val="231F20"/>
        </w:rPr>
        <w:t xml:space="preserve"> ɦƲ </w:t>
      </w:r>
      <w:r>
        <w:rPr>
          <w:rFonts w:ascii="Arial" w:cs="Arial" w:eastAsia="Arial" w:hAnsi="Arial"/>
          <w:sz w:val="14"/>
          <w:szCs w:val="14"/>
          <w:color w:val="231F20"/>
        </w:rPr>
        <w:t>Ǜ</w:t>
      </w:r>
      <w:r>
        <w:rPr>
          <w:rFonts w:ascii="Arial" w:cs="Arial" w:eastAsia="Arial" w:hAnsi="Arial"/>
          <w:sz w:val="14"/>
          <w:szCs w:val="14"/>
          <w:color w:val="231F20"/>
        </w:rPr>
        <w:t>Ǿ</w:t>
      </w:r>
      <w:r>
        <w:rPr>
          <w:rFonts w:ascii="Arial" w:cs="Arial" w:eastAsia="Arial" w:hAnsi="Arial"/>
          <w:sz w:val="14"/>
          <w:szCs w:val="14"/>
          <w:color w:val="231F20"/>
        </w:rPr>
        <w:t>Ǜ</w:t>
      </w:r>
      <w:r>
        <w:rPr>
          <w:rFonts w:ascii="Arial" w:cs="Arial" w:eastAsia="Arial" w:hAnsi="Arial"/>
          <w:sz w:val="14"/>
          <w:szCs w:val="14"/>
          <w:color w:val="231F20"/>
        </w:rPr>
        <w:t xml:space="preserve">ɅǛƇɅƲƫ </w:t>
      </w:r>
      <w:r>
        <w:rPr>
          <w:rFonts w:ascii="Arial" w:cs="Arial" w:eastAsia="Arial" w:hAnsi="Arial"/>
          <w:sz w:val="14"/>
          <w:szCs w:val="14"/>
          <w:color w:val="231F20"/>
        </w:rPr>
        <w:t>Ƈ</w:t>
      </w:r>
      <w:r>
        <w:rPr>
          <w:rFonts w:ascii="Arial" w:cs="Arial" w:eastAsia="Arial" w:hAnsi="Arial"/>
          <w:sz w:val="14"/>
          <w:szCs w:val="14"/>
          <w:color w:val="231F20"/>
        </w:rPr>
        <w:t xml:space="preserve"> ǳƲ</w:t>
      </w:r>
      <w:r>
        <w:rPr>
          <w:rFonts w:ascii="Arial" w:cs="Arial" w:eastAsia="Arial" w:hAnsi="Arial"/>
          <w:sz w:val="14"/>
          <w:szCs w:val="14"/>
          <w:color w:val="231F20"/>
        </w:rPr>
        <w:t>Ƈ</w:t>
      </w:r>
      <w:r>
        <w:rPr>
          <w:rFonts w:ascii="Arial" w:cs="Arial" w:eastAsia="Arial" w:hAnsi="Arial"/>
          <w:sz w:val="14"/>
          <w:szCs w:val="14"/>
          <w:color w:val="231F20"/>
        </w:rPr>
        <w:t>ƫƲȯ</w:t>
      </w:r>
      <w:r>
        <w:rPr>
          <w:rFonts w:ascii="Arial" w:cs="Arial" w:eastAsia="Arial" w:hAnsi="Arial"/>
          <w:sz w:val="14"/>
          <w:szCs w:val="14"/>
          <w:color w:val="231F20"/>
        </w:rPr>
        <w:t>ȷ</w:t>
      </w:r>
      <w:r>
        <w:rPr>
          <w:rFonts w:ascii="Arial" w:cs="Arial" w:eastAsia="Arial" w:hAnsi="Arial"/>
          <w:sz w:val="14"/>
          <w:szCs w:val="14"/>
          <w:color w:val="231F20"/>
        </w:rPr>
        <w:t>Ǖ</w:t>
      </w:r>
      <w:r>
        <w:rPr>
          <w:rFonts w:ascii="Arial" w:cs="Arial" w:eastAsia="Arial" w:hAnsi="Arial"/>
          <w:sz w:val="14"/>
          <w:szCs w:val="14"/>
          <w:color w:val="231F20"/>
        </w:rPr>
        <w:t>Ǜ</w:t>
      </w:r>
      <w:r>
        <w:rPr>
          <w:rFonts w:ascii="Arial" w:cs="Arial" w:eastAsia="Arial" w:hAnsi="Arial"/>
          <w:sz w:val="14"/>
          <w:szCs w:val="14"/>
          <w:color w:val="231F20"/>
        </w:rPr>
        <w:t xml:space="preserve"> </w:t>
      </w:r>
      <w:r>
        <w:rPr>
          <w:rFonts w:ascii="Arial" w:cs="Arial" w:eastAsia="Arial" w:hAnsi="Arial"/>
          <w:sz w:val="14"/>
          <w:szCs w:val="14"/>
          <w:color w:val="231F20"/>
        </w:rPr>
        <w:t>Ȭ Ƥ</w:t>
      </w:r>
      <w:r>
        <w:rPr>
          <w:rFonts w:ascii="Arial" w:cs="Arial" w:eastAsia="Arial" w:hAnsi="Arial"/>
          <w:sz w:val="14"/>
          <w:szCs w:val="14"/>
          <w:color w:val="231F20"/>
        </w:rPr>
        <w:t>Ǖ</w:t>
      </w:r>
      <w:r>
        <w:rPr>
          <w:rFonts w:ascii="Arial" w:cs="Arial" w:eastAsia="Arial" w:hAnsi="Arial"/>
          <w:sz w:val="14"/>
          <w:szCs w:val="14"/>
          <w:color w:val="231F20"/>
        </w:rPr>
        <w:t>Ƈ</w:t>
      </w:r>
      <w:r>
        <w:rPr>
          <w:rFonts w:ascii="Arial" w:cs="Arial" w:eastAsia="Arial" w:hAnsi="Arial"/>
          <w:sz w:val="14"/>
          <w:szCs w:val="14"/>
          <w:color w:val="231F20"/>
        </w:rPr>
        <w:t xml:space="preserve"> </w:t>
      </w:r>
      <w:r>
        <w:rPr>
          <w:rFonts w:ascii="Arial" w:cs="Arial" w:eastAsia="Arial" w:hAnsi="Arial"/>
          <w:sz w:val="14"/>
          <w:szCs w:val="14"/>
          <w:color w:val="231F20"/>
        </w:rPr>
        <w:t>Ǿ</w:t>
      </w:r>
      <w:r>
        <w:rPr>
          <w:rFonts w:ascii="Arial" w:cs="Arial" w:eastAsia="Arial" w:hAnsi="Arial"/>
          <w:sz w:val="14"/>
          <w:szCs w:val="14"/>
          <w:color w:val="231F20"/>
        </w:rPr>
        <w:t xml:space="preserve">ǍƲ </w:t>
      </w:r>
      <w:r>
        <w:rPr>
          <w:rFonts w:ascii="Arial" w:cs="Arial" w:eastAsia="Arial" w:hAnsi="Arial"/>
          <w:sz w:val="14"/>
          <w:szCs w:val="14"/>
          <w:color w:val="231F20"/>
        </w:rPr>
        <w:t>Ʌ</w:t>
      </w:r>
      <w:r>
        <w:rPr>
          <w:rFonts w:ascii="Arial" w:cs="Arial" w:eastAsia="Arial" w:hAnsi="Arial"/>
          <w:sz w:val="14"/>
          <w:szCs w:val="14"/>
          <w:color w:val="231F20"/>
        </w:rPr>
        <w:t xml:space="preserve">ȉ </w:t>
      </w:r>
      <w:r>
        <w:rPr>
          <w:rFonts w:ascii="Arial" w:cs="Arial" w:eastAsia="Arial" w:hAnsi="Arial"/>
          <w:sz w:val="14"/>
          <w:szCs w:val="14"/>
          <w:color w:val="231F20"/>
        </w:rPr>
        <w:t>Ƈ</w:t>
      </w:r>
      <w:r>
        <w:rPr>
          <w:rFonts w:ascii="Arial" w:cs="Arial" w:eastAsia="Arial" w:hAnsi="Arial"/>
          <w:sz w:val="14"/>
          <w:szCs w:val="14"/>
          <w:color w:val="231F20"/>
        </w:rPr>
        <w:t>ƫ</w:t>
      </w:r>
      <w:r>
        <w:rPr>
          <w:rFonts w:ascii="Arial" w:cs="Arial" w:eastAsia="Arial" w:hAnsi="Arial"/>
          <w:sz w:val="14"/>
          <w:szCs w:val="14"/>
          <w:color w:val="231F20"/>
        </w:rPr>
        <w:t>ƫ</w:t>
      </w:r>
      <w:r>
        <w:rPr>
          <w:rFonts w:ascii="Arial" w:cs="Arial" w:eastAsia="Arial" w:hAnsi="Arial"/>
          <w:sz w:val="14"/>
          <w:szCs w:val="14"/>
          <w:color w:val="231F20"/>
        </w:rPr>
        <w:t>ȯ</w:t>
      </w:r>
      <w:r>
        <w:rPr>
          <w:rFonts w:ascii="Arial" w:cs="Arial" w:eastAsia="Arial" w:hAnsi="Arial"/>
          <w:sz w:val="14"/>
          <w:szCs w:val="14"/>
          <w:color w:val="231F20"/>
        </w:rPr>
        <w:t>Ʋ</w:t>
      </w:r>
      <w:r>
        <w:rPr>
          <w:rFonts w:ascii="Arial" w:cs="Arial" w:eastAsia="Arial" w:hAnsi="Arial"/>
          <w:sz w:val="14"/>
          <w:szCs w:val="14"/>
          <w:color w:val="231F20"/>
        </w:rPr>
        <w:t>ȷ</w:t>
      </w:r>
      <w:r>
        <w:rPr>
          <w:rFonts w:ascii="Arial" w:cs="Arial" w:eastAsia="Arial" w:hAnsi="Arial"/>
          <w:sz w:val="14"/>
          <w:szCs w:val="14"/>
          <w:color w:val="231F20"/>
        </w:rPr>
        <w:t>ȷ</w:t>
      </w:r>
      <w:r>
        <w:rPr>
          <w:rFonts w:ascii="Arial" w:cs="Arial" w:eastAsia="Arial" w:hAnsi="Arial"/>
          <w:sz w:val="14"/>
          <w:szCs w:val="14"/>
          <w:color w:val="231F20"/>
        </w:rPr>
        <w:t xml:space="preserve"> </w:t>
      </w:r>
      <w:r>
        <w:rPr>
          <w:rFonts w:ascii="Arial" w:cs="Arial" w:eastAsia="Arial" w:hAnsi="Arial"/>
          <w:sz w:val="14"/>
          <w:szCs w:val="14"/>
          <w:color w:val="231F20"/>
        </w:rPr>
        <w:t>ɅǕ</w:t>
      </w:r>
      <w:r>
        <w:rPr>
          <w:rFonts w:ascii="Arial" w:cs="Arial" w:eastAsia="Arial" w:hAnsi="Arial"/>
          <w:sz w:val="14"/>
          <w:szCs w:val="14"/>
          <w:color w:val="231F20"/>
        </w:rPr>
        <w:t xml:space="preserve">Ʋ </w:t>
      </w:r>
      <w:r>
        <w:rPr>
          <w:rFonts w:ascii="Arial" w:cs="Arial" w:eastAsia="Arial" w:hAnsi="Arial"/>
          <w:sz w:val="14"/>
          <w:szCs w:val="14"/>
          <w:color w:val="231F20"/>
        </w:rPr>
        <w:t>Ƈ ȯƲ</w:t>
      </w:r>
      <w:r>
        <w:rPr>
          <w:rFonts w:ascii="Arial" w:cs="Arial" w:eastAsia="Arial" w:hAnsi="Arial"/>
          <w:sz w:val="14"/>
          <w:szCs w:val="14"/>
          <w:color w:val="231F20"/>
        </w:rPr>
        <w:t>Ƈ</w:t>
      </w:r>
      <w:r>
        <w:rPr>
          <w:rFonts w:ascii="Arial" w:cs="Arial" w:eastAsia="Arial" w:hAnsi="Arial"/>
          <w:sz w:val="14"/>
          <w:szCs w:val="14"/>
          <w:color w:val="231F20"/>
        </w:rPr>
        <w:t>ȷ</w:t>
      </w:r>
      <w:r>
        <w:rPr>
          <w:rFonts w:ascii="Arial" w:cs="Arial" w:eastAsia="Arial" w:hAnsi="Arial"/>
          <w:sz w:val="14"/>
          <w:szCs w:val="14"/>
          <w:color w:val="231F20"/>
        </w:rPr>
        <w:t xml:space="preserve"> ȉ</w:t>
      </w:r>
      <w:r>
        <w:rPr>
          <w:rFonts w:ascii="Arial" w:cs="Arial" w:eastAsia="Arial" w:hAnsi="Arial"/>
          <w:sz w:val="14"/>
          <w:szCs w:val="14"/>
          <w:color w:val="231F20"/>
        </w:rPr>
        <w:t>ǌ</w:t>
      </w:r>
      <w:r>
        <w:rPr>
          <w:rFonts w:ascii="Arial" w:cs="Arial" w:eastAsia="Arial" w:hAnsi="Arial"/>
          <w:sz w:val="14"/>
          <w:szCs w:val="14"/>
          <w:color w:val="231F20"/>
        </w:rPr>
        <w:t xml:space="preserve"> Ƥ</w:t>
      </w:r>
      <w:r>
        <w:rPr>
          <w:rFonts w:ascii="Arial" w:cs="Arial" w:eastAsia="Arial" w:hAnsi="Arial"/>
          <w:sz w:val="14"/>
          <w:szCs w:val="14"/>
          <w:color w:val="231F20"/>
        </w:rPr>
        <w:t>ȉǾƤƲ</w:t>
      </w:r>
      <w:r>
        <w:rPr>
          <w:rFonts w:ascii="Arial" w:cs="Arial" w:eastAsia="Arial" w:hAnsi="Arial"/>
          <w:sz w:val="14"/>
          <w:szCs w:val="14"/>
          <w:color w:val="231F20"/>
        </w:rPr>
        <w:t>ȯǾ</w:t>
      </w:r>
      <w:r>
        <w:rPr>
          <w:rFonts w:ascii="Arial" w:cs="Arial" w:eastAsia="Arial" w:hAnsi="Arial"/>
          <w:sz w:val="14"/>
          <w:szCs w:val="14"/>
          <w:color w:val="231F20"/>
        </w:rPr>
        <w:t>ؘ</w:t>
      </w:r>
      <w:r>
        <w:rPr>
          <w:rFonts w:ascii="Arial" w:cs="Arial" w:eastAsia="Arial" w:hAnsi="Arial"/>
          <w:sz w:val="14"/>
          <w:szCs w:val="14"/>
          <w:color w:val="231F20"/>
        </w:rPr>
        <w:t xml:space="preserve"> </w:t>
      </w:r>
      <w:r>
        <w:rPr>
          <w:rFonts w:ascii="PMingLiU" w:cs="PMingLiU" w:eastAsia="PMingLiU" w:hAnsi="PMingLiU"/>
          <w:sz w:val="14"/>
          <w:szCs w:val="14"/>
          <w:color w:val="231F20"/>
        </w:rPr>
        <w:t></w:t>
      </w:r>
      <w:r>
        <w:rPr>
          <w:rFonts w:ascii="Arial" w:cs="Arial" w:eastAsia="Arial" w:hAnsi="Arial"/>
          <w:sz w:val="14"/>
          <w:szCs w:val="14"/>
          <w:color w:val="231F20"/>
        </w:rPr>
        <w:t>ɍ</w:t>
      </w:r>
      <w:r>
        <w:rPr>
          <w:rFonts w:ascii="Arial" w:cs="Arial" w:eastAsia="Arial" w:hAnsi="Arial"/>
          <w:sz w:val="14"/>
          <w:szCs w:val="14"/>
          <w:color w:val="231F20"/>
        </w:rPr>
        <w:t xml:space="preserve">ȯ </w:t>
      </w:r>
      <w:r>
        <w:rPr>
          <w:rFonts w:ascii="Arial" w:cs="Arial" w:eastAsia="Arial" w:hAnsi="Arial"/>
          <w:sz w:val="14"/>
          <w:szCs w:val="14"/>
          <w:color w:val="231F20"/>
        </w:rPr>
        <w:t>Ǎ</w:t>
      </w:r>
      <w:r>
        <w:rPr>
          <w:rFonts w:ascii="Arial" w:cs="Arial" w:eastAsia="Arial" w:hAnsi="Arial"/>
          <w:sz w:val="14"/>
          <w:szCs w:val="14"/>
          <w:color w:val="231F20"/>
        </w:rPr>
        <w:t>ȉƇ</w:t>
      </w:r>
      <w:r>
        <w:rPr>
          <w:rFonts w:ascii="Arial" w:cs="Arial" w:eastAsia="Arial" w:hAnsi="Arial"/>
          <w:sz w:val="14"/>
          <w:szCs w:val="14"/>
          <w:color w:val="231F20"/>
        </w:rPr>
        <w:t>ǳ</w:t>
      </w:r>
      <w:r>
        <w:rPr>
          <w:rFonts w:ascii="Arial" w:cs="Arial" w:eastAsia="Arial" w:hAnsi="Arial"/>
          <w:sz w:val="14"/>
          <w:szCs w:val="14"/>
          <w:color w:val="231F20"/>
        </w:rPr>
        <w:t xml:space="preserve"> ɦ</w:t>
      </w:r>
      <w:r>
        <w:rPr>
          <w:rFonts w:ascii="Arial" w:cs="Arial" w:eastAsia="Arial" w:hAnsi="Arial"/>
          <w:sz w:val="14"/>
          <w:szCs w:val="14"/>
          <w:color w:val="231F20"/>
        </w:rPr>
        <w:t>Ƈ</w:t>
      </w:r>
      <w:r>
        <w:rPr>
          <w:rFonts w:ascii="Arial" w:cs="Arial" w:eastAsia="Arial" w:hAnsi="Arial"/>
          <w:sz w:val="14"/>
          <w:szCs w:val="14"/>
          <w:color w:val="231F20"/>
        </w:rPr>
        <w:t xml:space="preserve">ȷ </w:t>
      </w:r>
      <w:r>
        <w:rPr>
          <w:rFonts w:ascii="Arial" w:cs="Arial" w:eastAsia="Arial" w:hAnsi="Arial"/>
          <w:sz w:val="14"/>
          <w:szCs w:val="14"/>
          <w:color w:val="231F20"/>
        </w:rPr>
        <w:t>Ʌȉ</w:t>
      </w:r>
      <w:r>
        <w:rPr>
          <w:rFonts w:ascii="Arial" w:cs="Arial" w:eastAsia="Arial" w:hAnsi="Arial"/>
          <w:sz w:val="14"/>
          <w:szCs w:val="14"/>
          <w:color w:val="231F20"/>
        </w:rPr>
        <w:t xml:space="preserve"> </w:t>
      </w:r>
      <w:r>
        <w:rPr>
          <w:rFonts w:ascii="Arial" w:cs="Arial" w:eastAsia="Arial" w:hAnsi="Arial"/>
          <w:sz w:val="14"/>
          <w:szCs w:val="14"/>
          <w:color w:val="231F20"/>
        </w:rPr>
        <w:t>Ǽȉȯ</w:t>
      </w:r>
      <w:r>
        <w:rPr>
          <w:rFonts w:ascii="Arial" w:cs="Arial" w:eastAsia="Arial" w:hAnsi="Arial"/>
          <w:sz w:val="14"/>
          <w:szCs w:val="14"/>
          <w:color w:val="231F20"/>
        </w:rPr>
        <w:t xml:space="preserve">Ʋ </w:t>
      </w:r>
      <w:r>
        <w:rPr>
          <w:rFonts w:ascii="Arial" w:cs="Arial" w:eastAsia="Arial" w:hAnsi="Arial"/>
          <w:sz w:val="14"/>
          <w:szCs w:val="14"/>
          <w:color w:val="231F20"/>
        </w:rPr>
        <w:t>ǌɍ</w:t>
      </w:r>
      <w:r>
        <w:rPr>
          <w:rFonts w:ascii="Arial" w:cs="Arial" w:eastAsia="Arial" w:hAnsi="Arial"/>
          <w:sz w:val="14"/>
          <w:szCs w:val="14"/>
          <w:color w:val="231F20"/>
        </w:rPr>
        <w:t>ǳ</w:t>
      </w:r>
      <w:r>
        <w:rPr>
          <w:rFonts w:ascii="Arial" w:cs="Arial" w:eastAsia="Arial" w:hAnsi="Arial"/>
          <w:sz w:val="14"/>
          <w:szCs w:val="14"/>
          <w:color w:val="231F20"/>
        </w:rPr>
        <w:t>ǳ</w:t>
      </w:r>
      <w:r>
        <w:rPr>
          <w:rFonts w:ascii="Arial" w:cs="Arial" w:eastAsia="Arial" w:hAnsi="Arial"/>
          <w:sz w:val="14"/>
          <w:szCs w:val="14"/>
          <w:color w:val="231F20"/>
        </w:rPr>
        <w:t xml:space="preserve">ɬ </w:t>
      </w:r>
      <w:r>
        <w:rPr>
          <w:rFonts w:ascii="Arial" w:cs="Arial" w:eastAsia="Arial" w:hAnsi="Arial"/>
          <w:sz w:val="14"/>
          <w:szCs w:val="14"/>
          <w:color w:val="231F20"/>
        </w:rPr>
        <w:t>ȯ</w:t>
      </w:r>
      <w:r>
        <w:rPr>
          <w:rFonts w:ascii="Arial" w:cs="Arial" w:eastAsia="Arial" w:hAnsi="Arial"/>
          <w:sz w:val="14"/>
          <w:szCs w:val="14"/>
          <w:color w:val="231F20"/>
        </w:rPr>
        <w:t>Ʋ</w:t>
      </w:r>
      <w:r>
        <w:rPr>
          <w:rFonts w:ascii="Arial" w:cs="Arial" w:eastAsia="Arial" w:hAnsi="Arial"/>
          <w:sz w:val="14"/>
          <w:szCs w:val="14"/>
          <w:color w:val="231F20"/>
        </w:rPr>
        <w:t>Ƈ</w:t>
      </w:r>
      <w:r>
        <w:rPr>
          <w:rFonts w:ascii="Arial" w:cs="Arial" w:eastAsia="Arial" w:hAnsi="Arial"/>
          <w:sz w:val="14"/>
          <w:szCs w:val="14"/>
          <w:color w:val="231F20"/>
        </w:rPr>
        <w:t xml:space="preserve"> </w:t>
      </w:r>
      <w:r>
        <w:rPr>
          <w:rFonts w:ascii="Arial" w:cs="Arial" w:eastAsia="Arial" w:hAnsi="Arial"/>
          <w:sz w:val="14"/>
          <w:szCs w:val="14"/>
          <w:color w:val="231F20"/>
        </w:rPr>
        <w:t>ǳ</w:t>
      </w:r>
      <w:r>
        <w:rPr>
          <w:rFonts w:ascii="Arial" w:cs="Arial" w:eastAsia="Arial" w:hAnsi="Arial"/>
          <w:sz w:val="14"/>
          <w:szCs w:val="14"/>
          <w:color w:val="231F20"/>
        </w:rPr>
        <w:t xml:space="preserve">ǛɶƲ </w:t>
      </w:r>
      <w:r>
        <w:rPr>
          <w:rFonts w:ascii="Arial" w:cs="Arial" w:eastAsia="Arial" w:hAnsi="Arial"/>
          <w:sz w:val="14"/>
          <w:szCs w:val="14"/>
          <w:color w:val="231F20"/>
        </w:rPr>
        <w:t>Ʌ</w:t>
      </w:r>
      <w:r>
        <w:rPr>
          <w:rFonts w:ascii="Arial" w:cs="Arial" w:eastAsia="Arial" w:hAnsi="Arial"/>
          <w:sz w:val="14"/>
          <w:szCs w:val="14"/>
          <w:color w:val="231F20"/>
        </w:rPr>
        <w:t xml:space="preserve"> </w:t>
      </w:r>
      <w:r>
        <w:rPr>
          <w:rFonts w:ascii="Arial" w:cs="Arial" w:eastAsia="Arial" w:hAnsi="Arial"/>
          <w:sz w:val="14"/>
          <w:szCs w:val="14"/>
          <w:color w:val="231F20"/>
        </w:rPr>
        <w:t>Ǖ</w:t>
      </w:r>
      <w:r>
        <w:rPr>
          <w:rFonts w:ascii="Arial" w:cs="Arial" w:eastAsia="Arial" w:hAnsi="Arial"/>
          <w:sz w:val="14"/>
          <w:szCs w:val="14"/>
          <w:color w:val="231F20"/>
        </w:rPr>
        <w:t>Ʋ ȉ</w:t>
      </w:r>
      <w:r>
        <w:rPr>
          <w:rFonts w:ascii="Arial" w:cs="Arial" w:eastAsia="Arial" w:hAnsi="Arial"/>
          <w:sz w:val="14"/>
          <w:szCs w:val="14"/>
          <w:color w:val="231F20"/>
        </w:rPr>
        <w:t>ȬȬ</w:t>
      </w:r>
      <w:r>
        <w:rPr>
          <w:rFonts w:ascii="Arial" w:cs="Arial" w:eastAsia="Arial" w:hAnsi="Arial"/>
          <w:sz w:val="14"/>
          <w:szCs w:val="14"/>
          <w:color w:val="231F20"/>
        </w:rPr>
        <w:t>ȉ</w:t>
      </w:r>
      <w:r>
        <w:rPr>
          <w:rFonts w:ascii="Arial" w:cs="Arial" w:eastAsia="Arial" w:hAnsi="Arial"/>
          <w:sz w:val="14"/>
          <w:szCs w:val="14"/>
          <w:color w:val="231F20"/>
        </w:rPr>
        <w:t>ȯ</w:t>
      </w:r>
      <w:r>
        <w:rPr>
          <w:rFonts w:ascii="Arial" w:cs="Arial" w:eastAsia="Arial" w:hAnsi="Arial"/>
          <w:sz w:val="14"/>
          <w:szCs w:val="14"/>
          <w:color w:val="231F20"/>
        </w:rPr>
        <w:t>Ʌ</w:t>
      </w:r>
      <w:r>
        <w:rPr>
          <w:rFonts w:ascii="Arial" w:cs="Arial" w:eastAsia="Arial" w:hAnsi="Arial"/>
          <w:sz w:val="14"/>
          <w:szCs w:val="14"/>
          <w:color w:val="231F20"/>
        </w:rPr>
        <w:t>ɍ</w:t>
      </w:r>
      <w:r>
        <w:rPr>
          <w:rFonts w:ascii="Arial" w:cs="Arial" w:eastAsia="Arial" w:hAnsi="Arial"/>
          <w:sz w:val="14"/>
          <w:szCs w:val="14"/>
          <w:color w:val="231F20"/>
        </w:rPr>
        <w:t>Ǿ</w:t>
      </w:r>
      <w:r>
        <w:rPr>
          <w:rFonts w:ascii="Arial" w:cs="Arial" w:eastAsia="Arial" w:hAnsi="Arial"/>
          <w:sz w:val="14"/>
          <w:szCs w:val="14"/>
          <w:color w:val="231F20"/>
        </w:rPr>
        <w:t>ǛɅǛƲ</w:t>
      </w:r>
      <w:r>
        <w:rPr>
          <w:rFonts w:ascii="Arial" w:cs="Arial" w:eastAsia="Arial" w:hAnsi="Arial"/>
          <w:sz w:val="14"/>
          <w:szCs w:val="14"/>
          <w:color w:val="231F20"/>
        </w:rPr>
        <w:t>ȷ</w:t>
      </w:r>
      <w:r>
        <w:rPr>
          <w:rFonts w:ascii="Arial" w:cs="Arial" w:eastAsia="Arial" w:hAnsi="Arial"/>
          <w:sz w:val="14"/>
          <w:szCs w:val="14"/>
          <w:color w:val="231F20"/>
        </w:rPr>
        <w:t xml:space="preserve"> </w:t>
      </w:r>
      <w:r>
        <w:rPr>
          <w:rFonts w:ascii="Arial" w:cs="Arial" w:eastAsia="Arial" w:hAnsi="Arial"/>
          <w:sz w:val="14"/>
          <w:szCs w:val="14"/>
          <w:color w:val="231F20"/>
        </w:rPr>
        <w:t>ȉɍ</w:t>
      </w:r>
      <w:r>
        <w:rPr>
          <w:rFonts w:ascii="Arial" w:cs="Arial" w:eastAsia="Arial" w:hAnsi="Arial"/>
          <w:sz w:val="14"/>
          <w:szCs w:val="14"/>
          <w:color w:val="231F20"/>
        </w:rPr>
        <w:t>ȯ</w:t>
      </w:r>
      <w:r>
        <w:rPr>
          <w:rFonts w:ascii="Arial" w:cs="Arial" w:eastAsia="Arial" w:hAnsi="Arial"/>
          <w:sz w:val="14"/>
          <w:szCs w:val="14"/>
          <w:color w:val="231F20"/>
        </w:rPr>
        <w:t xml:space="preserve"> </w:t>
      </w:r>
      <w:r>
        <w:rPr>
          <w:rFonts w:ascii="PMingLiU" w:cs="PMingLiU" w:eastAsia="PMingLiU" w:hAnsi="PMingLiU"/>
          <w:sz w:val="14"/>
          <w:szCs w:val="14"/>
          <w:color w:val="231F20"/>
        </w:rPr>
        <w:t/>
      </w:r>
      <w:r>
        <w:rPr>
          <w:rFonts w:ascii="Arial" w:cs="Arial" w:eastAsia="Arial" w:hAnsi="Arial"/>
          <w:sz w:val="14"/>
          <w:szCs w:val="14"/>
          <w:color w:val="231F20"/>
        </w:rPr>
        <w:t>ȉǼ</w:t>
      </w:r>
      <w:r>
        <w:rPr>
          <w:rFonts w:ascii="Arial" w:cs="Arial" w:eastAsia="Arial" w:hAnsi="Arial"/>
          <w:sz w:val="14"/>
          <w:szCs w:val="14"/>
          <w:color w:val="231F20"/>
        </w:rPr>
        <w:t>ȬƇǾ</w:t>
      </w:r>
      <w:r>
        <w:rPr>
          <w:rFonts w:ascii="Arial" w:cs="Arial" w:eastAsia="Arial" w:hAnsi="Arial"/>
          <w:sz w:val="14"/>
          <w:szCs w:val="14"/>
          <w:color w:val="231F20"/>
        </w:rPr>
        <w:t>ɬ Ǖ</w:t>
      </w:r>
      <w:r>
        <w:rPr>
          <w:rFonts w:ascii="Arial" w:cs="Arial" w:eastAsia="Arial" w:hAnsi="Arial"/>
          <w:sz w:val="14"/>
          <w:szCs w:val="14"/>
          <w:color w:val="231F20"/>
        </w:rPr>
        <w:t xml:space="preserve"> Ƈȷ </w:t>
      </w:r>
      <w:r>
        <w:rPr>
          <w:rFonts w:ascii="Arial" w:cs="Arial" w:eastAsia="Arial" w:hAnsi="Arial"/>
          <w:sz w:val="14"/>
          <w:szCs w:val="14"/>
          <w:color w:val="231F20"/>
        </w:rPr>
        <w:t>ػ ǌ</w:t>
      </w:r>
      <w:r>
        <w:rPr>
          <w:rFonts w:ascii="Arial" w:cs="Arial" w:eastAsia="Arial" w:hAnsi="Arial"/>
          <w:sz w:val="14"/>
          <w:szCs w:val="14"/>
          <w:color w:val="231F20"/>
        </w:rPr>
        <w:t xml:space="preserve">ȉȯ </w:t>
      </w:r>
      <w:r>
        <w:rPr>
          <w:rFonts w:ascii="Arial" w:cs="Arial" w:eastAsia="Arial" w:hAnsi="Arial"/>
          <w:sz w:val="14"/>
          <w:szCs w:val="14"/>
          <w:color w:val="231F20"/>
        </w:rPr>
        <w:t>ɅǕƲ ƣ</w:t>
      </w:r>
      <w:r>
        <w:rPr>
          <w:rFonts w:ascii="Arial" w:cs="Arial" w:eastAsia="Arial" w:hAnsi="Arial"/>
          <w:sz w:val="14"/>
          <w:szCs w:val="14"/>
          <w:color w:val="231F20"/>
        </w:rPr>
        <w:t>ƲǾƲ</w:t>
      </w:r>
      <w:r>
        <w:rPr>
          <w:rFonts w:ascii="Arial" w:cs="Arial" w:eastAsia="Arial" w:hAnsi="Arial"/>
          <w:sz w:val="14"/>
          <w:szCs w:val="14"/>
          <w:color w:val="231F20"/>
        </w:rPr>
        <w:t>˚</w:t>
      </w:r>
      <w:r>
        <w:rPr>
          <w:rFonts w:ascii="Arial" w:cs="Arial" w:eastAsia="Arial" w:hAnsi="Arial"/>
          <w:sz w:val="14"/>
          <w:szCs w:val="14"/>
          <w:color w:val="231F20"/>
        </w:rPr>
        <w:t>Ʌ ȉ</w:t>
      </w:r>
      <w:r>
        <w:rPr>
          <w:rFonts w:ascii="Arial" w:cs="Arial" w:eastAsia="Arial" w:hAnsi="Arial"/>
          <w:sz w:val="14"/>
          <w:szCs w:val="14"/>
          <w:color w:val="231F20"/>
        </w:rPr>
        <w:t>ǌ</w:t>
      </w:r>
      <w:r>
        <w:rPr>
          <w:rFonts w:ascii="Arial" w:cs="Arial" w:eastAsia="Arial" w:hAnsi="Arial"/>
          <w:sz w:val="14"/>
          <w:szCs w:val="14"/>
          <w:color w:val="231F20"/>
        </w:rPr>
        <w:t xml:space="preserve"> </w:t>
      </w:r>
      <w:r>
        <w:rPr>
          <w:rFonts w:ascii="Arial" w:cs="Arial" w:eastAsia="Arial" w:hAnsi="Arial"/>
          <w:sz w:val="14"/>
          <w:szCs w:val="14"/>
          <w:color w:val="231F20"/>
        </w:rPr>
        <w:t>ȉ</w:t>
      </w:r>
      <w:r>
        <w:rPr>
          <w:rFonts w:ascii="Arial" w:cs="Arial" w:eastAsia="Arial" w:hAnsi="Arial"/>
          <w:sz w:val="14"/>
          <w:szCs w:val="14"/>
          <w:color w:val="231F20"/>
        </w:rPr>
        <w:t xml:space="preserve"> ɍȯ </w:t>
      </w:r>
      <w:r>
        <w:rPr>
          <w:rFonts w:ascii="Arial" w:cs="Arial" w:eastAsia="Arial" w:hAnsi="Arial"/>
          <w:sz w:val="14"/>
          <w:szCs w:val="14"/>
          <w:color w:val="231F20"/>
        </w:rPr>
        <w:t>ȷɅ</w:t>
      </w:r>
      <w:r>
        <w:rPr>
          <w:rFonts w:ascii="Arial" w:cs="Arial" w:eastAsia="Arial" w:hAnsi="Arial"/>
          <w:sz w:val="14"/>
          <w:szCs w:val="14"/>
          <w:color w:val="231F20"/>
        </w:rPr>
        <w:t>ȉƤ</w:t>
      </w:r>
      <w:r>
        <w:rPr>
          <w:rFonts w:ascii="Arial" w:cs="Arial" w:eastAsia="Arial" w:hAnsi="Arial"/>
          <w:sz w:val="14"/>
          <w:szCs w:val="14"/>
          <w:color w:val="231F20"/>
        </w:rPr>
        <w:t>ǯǕ</w:t>
      </w:r>
      <w:r>
        <w:rPr>
          <w:rFonts w:ascii="Arial" w:cs="Arial" w:eastAsia="Arial" w:hAnsi="Arial"/>
          <w:sz w:val="14"/>
          <w:szCs w:val="14"/>
          <w:color w:val="231F20"/>
        </w:rPr>
        <w:t>ȉǳƫƲȯ</w:t>
      </w:r>
      <w:r>
        <w:rPr>
          <w:rFonts w:ascii="Arial" w:cs="Arial" w:eastAsia="Arial" w:hAnsi="Arial"/>
          <w:sz w:val="14"/>
          <w:szCs w:val="14"/>
          <w:color w:val="231F20"/>
        </w:rPr>
        <w:t>ȷ</w:t>
      </w:r>
      <w:r>
        <w:rPr>
          <w:rFonts w:ascii="Arial" w:cs="Arial" w:eastAsia="Arial" w:hAnsi="Arial"/>
          <w:sz w:val="14"/>
          <w:szCs w:val="14"/>
          <w:color w:val="231F20"/>
        </w:rPr>
        <w:t>ؙ</w:t>
      </w:r>
      <w:r>
        <w:rPr>
          <w:rFonts w:ascii="Arial" w:cs="Arial" w:eastAsia="Arial" w:hAnsi="Arial"/>
          <w:sz w:val="14"/>
          <w:szCs w:val="14"/>
          <w:color w:val="231F20"/>
        </w:rPr>
        <w:t xml:space="preserve"> ȉɍȯ ƇȷȷȉƤ</w:t>
      </w:r>
      <w:r>
        <w:rPr>
          <w:rFonts w:ascii="Arial" w:cs="Arial" w:eastAsia="Arial" w:hAnsi="Arial"/>
          <w:sz w:val="14"/>
          <w:szCs w:val="14"/>
          <w:color w:val="231F20"/>
        </w:rPr>
        <w:t>Ǜ</w:t>
      </w:r>
      <w:r>
        <w:rPr>
          <w:rFonts w:ascii="Arial" w:cs="Arial" w:eastAsia="Arial" w:hAnsi="Arial"/>
          <w:sz w:val="14"/>
          <w:szCs w:val="14"/>
          <w:color w:val="231F20"/>
        </w:rPr>
        <w:t>Ƈ</w:t>
      </w:r>
      <w:r>
        <w:rPr>
          <w:rFonts w:ascii="Arial" w:cs="Arial" w:eastAsia="Arial" w:hAnsi="Arial"/>
          <w:sz w:val="14"/>
          <w:szCs w:val="14"/>
          <w:color w:val="231F20"/>
        </w:rPr>
        <w:t>ɅƲ</w:t>
      </w:r>
      <w:r>
        <w:rPr>
          <w:rFonts w:ascii="Arial" w:cs="Arial" w:eastAsia="Arial" w:hAnsi="Arial"/>
          <w:sz w:val="14"/>
          <w:szCs w:val="14"/>
          <w:color w:val="231F20"/>
        </w:rPr>
        <w:t>ȷ Ƈ</w:t>
      </w:r>
      <w:r>
        <w:rPr>
          <w:rFonts w:ascii="Arial" w:cs="Arial" w:eastAsia="Arial" w:hAnsi="Arial"/>
          <w:sz w:val="14"/>
          <w:szCs w:val="14"/>
          <w:color w:val="231F20"/>
        </w:rPr>
        <w:t>Ǿ</w:t>
      </w:r>
      <w:r>
        <w:rPr>
          <w:rFonts w:ascii="Arial" w:cs="Arial" w:eastAsia="Arial" w:hAnsi="Arial"/>
          <w:sz w:val="14"/>
          <w:szCs w:val="14"/>
          <w:color w:val="231F20"/>
        </w:rPr>
        <w:t>ƫ</w:t>
      </w:r>
      <w:r>
        <w:rPr>
          <w:rFonts w:ascii="Arial" w:cs="Arial" w:eastAsia="Arial" w:hAnsi="Arial"/>
          <w:sz w:val="14"/>
          <w:szCs w:val="14"/>
          <w:color w:val="231F20"/>
        </w:rPr>
        <w:t xml:space="preserve"> ȉɍ ȯ ȉ</w:t>
      </w:r>
      <w:r>
        <w:rPr>
          <w:rFonts w:ascii="Arial" w:cs="Arial" w:eastAsia="Arial" w:hAnsi="Arial"/>
          <w:sz w:val="14"/>
          <w:szCs w:val="14"/>
          <w:color w:val="231F20"/>
        </w:rPr>
        <w:t>ɦǾ</w:t>
      </w:r>
      <w:r>
        <w:rPr>
          <w:rFonts w:ascii="Arial" w:cs="Arial" w:eastAsia="Arial" w:hAnsi="Arial"/>
          <w:sz w:val="14"/>
          <w:szCs w:val="14"/>
          <w:color w:val="231F20"/>
        </w:rPr>
        <w:t>Ʋ</w:t>
      </w:r>
      <w:r>
        <w:rPr>
          <w:rFonts w:ascii="Arial" w:cs="Arial" w:eastAsia="Arial" w:hAnsi="Arial"/>
          <w:sz w:val="14"/>
          <w:szCs w:val="14"/>
          <w:color w:val="231F20"/>
        </w:rPr>
        <w:t>ȯ</w:t>
      </w:r>
      <w:r>
        <w:rPr>
          <w:rFonts w:ascii="Arial" w:cs="Arial" w:eastAsia="Arial" w:hAnsi="Arial"/>
          <w:sz w:val="14"/>
          <w:szCs w:val="14"/>
          <w:color w:val="231F20"/>
        </w:rPr>
        <w:t>ȷ Ƈ</w:t>
      </w:r>
      <w:r>
        <w:rPr>
          <w:rFonts w:ascii="Arial" w:cs="Arial" w:eastAsia="Arial" w:hAnsi="Arial"/>
          <w:sz w:val="14"/>
          <w:szCs w:val="14"/>
          <w:color w:val="231F20"/>
        </w:rPr>
        <w:t>Ǿ</w:t>
      </w:r>
      <w:r>
        <w:rPr>
          <w:rFonts w:ascii="Arial" w:cs="Arial" w:eastAsia="Arial" w:hAnsi="Arial"/>
          <w:sz w:val="14"/>
          <w:szCs w:val="14"/>
          <w:color w:val="231F20"/>
        </w:rPr>
        <w:t>ƫ</w:t>
      </w:r>
      <w:r>
        <w:rPr>
          <w:rFonts w:ascii="Arial" w:cs="Arial" w:eastAsia="Arial" w:hAnsi="Arial"/>
          <w:sz w:val="14"/>
          <w:szCs w:val="14"/>
          <w:color w:val="231F20"/>
        </w:rPr>
        <w:t xml:space="preserve"> </w:t>
      </w:r>
      <w:r>
        <w:rPr>
          <w:rFonts w:ascii="Arial" w:cs="Arial" w:eastAsia="Arial" w:hAnsi="Arial"/>
          <w:sz w:val="14"/>
          <w:szCs w:val="14"/>
          <w:color w:val="231F20"/>
        </w:rPr>
        <w:t>ƤɍȷɅ</w:t>
      </w:r>
      <w:r>
        <w:rPr>
          <w:rFonts w:ascii="Arial" w:cs="Arial" w:eastAsia="Arial" w:hAnsi="Arial"/>
          <w:sz w:val="14"/>
          <w:szCs w:val="14"/>
          <w:color w:val="231F20"/>
        </w:rPr>
        <w:t>ȉ</w:t>
      </w:r>
      <w:r>
        <w:rPr>
          <w:rFonts w:ascii="Arial" w:cs="Arial" w:eastAsia="Arial" w:hAnsi="Arial"/>
          <w:sz w:val="14"/>
          <w:szCs w:val="14"/>
          <w:color w:val="231F20"/>
        </w:rPr>
        <w:t>Ǽ</w:t>
      </w:r>
      <w:r>
        <w:rPr>
          <w:rFonts w:ascii="Arial" w:cs="Arial" w:eastAsia="Arial" w:hAnsi="Arial"/>
          <w:sz w:val="14"/>
          <w:szCs w:val="14"/>
          <w:color w:val="231F20"/>
        </w:rPr>
        <w:t xml:space="preserve">Ʋȯȷؘ </w:t>
      </w:r>
      <w:r>
        <w:rPr>
          <w:rFonts w:ascii="Arial" w:cs="Arial" w:eastAsia="Arial" w:hAnsi="Arial"/>
          <w:sz w:val="14"/>
          <w:szCs w:val="14"/>
          <w:color w:val="231F20"/>
        </w:rPr>
        <w:t>½Ǖ</w:t>
      </w:r>
      <w:r>
        <w:rPr>
          <w:rFonts w:ascii="Arial" w:cs="Arial" w:eastAsia="Arial" w:hAnsi="Arial"/>
          <w:sz w:val="14"/>
          <w:szCs w:val="14"/>
          <w:color w:val="231F20"/>
        </w:rPr>
        <w:t>Ʋ</w:t>
      </w:r>
      <w:r>
        <w:rPr>
          <w:rFonts w:ascii="Arial" w:cs="Arial" w:eastAsia="Arial" w:hAnsi="Arial"/>
          <w:sz w:val="14"/>
          <w:szCs w:val="14"/>
          <w:color w:val="231F20"/>
        </w:rPr>
        <w:t xml:space="preserve"> </w:t>
      </w:r>
      <w:r>
        <w:rPr>
          <w:rFonts w:ascii="PMingLiU" w:cs="PMingLiU" w:eastAsia="PMingLiU" w:hAnsi="PMingLiU"/>
          <w:sz w:val="14"/>
          <w:szCs w:val="14"/>
          <w:color w:val="231F20"/>
        </w:rPr>
        <w:t/>
      </w:r>
      <w:r>
        <w:rPr>
          <w:rFonts w:ascii="Arial" w:cs="Arial" w:eastAsia="Arial" w:hAnsi="Arial"/>
          <w:sz w:val="14"/>
          <w:szCs w:val="14"/>
          <w:color w:val="231F20"/>
        </w:rPr>
        <w:t xml:space="preserve">ȉƇ </w:t>
      </w:r>
      <w:r>
        <w:rPr>
          <w:rFonts w:ascii="Arial" w:cs="Arial" w:eastAsia="Arial" w:hAnsi="Arial"/>
          <w:sz w:val="14"/>
          <w:szCs w:val="14"/>
          <w:color w:val="231F20"/>
        </w:rPr>
        <w:t>ȯƫ</w:t>
      </w:r>
      <w:r>
        <w:rPr>
          <w:rFonts w:ascii="Arial" w:cs="Arial" w:eastAsia="Arial" w:hAnsi="Arial"/>
          <w:sz w:val="14"/>
          <w:szCs w:val="14"/>
          <w:color w:val="231F20"/>
        </w:rPr>
        <w:t xml:space="preserve"> Ƈ</w:t>
      </w:r>
      <w:r>
        <w:rPr>
          <w:rFonts w:ascii="Arial" w:cs="Arial" w:eastAsia="Arial" w:hAnsi="Arial"/>
          <w:sz w:val="14"/>
          <w:szCs w:val="14"/>
          <w:color w:val="231F20"/>
        </w:rPr>
        <w:t>Ȭ</w:t>
      </w:r>
      <w:r>
        <w:rPr>
          <w:rFonts w:ascii="Arial" w:cs="Arial" w:eastAsia="Arial" w:hAnsi="Arial"/>
          <w:sz w:val="14"/>
          <w:szCs w:val="14"/>
          <w:color w:val="231F20"/>
        </w:rPr>
        <w:t>Ȭȉ</w:t>
      </w:r>
      <w:r>
        <w:rPr>
          <w:rFonts w:ascii="Arial" w:cs="Arial" w:eastAsia="Arial" w:hAnsi="Arial"/>
          <w:sz w:val="14"/>
          <w:szCs w:val="14"/>
          <w:color w:val="231F20"/>
        </w:rPr>
        <w:t>Ǜ</w:t>
      </w:r>
      <w:r>
        <w:rPr>
          <w:rFonts w:ascii="Arial" w:cs="Arial" w:eastAsia="Arial" w:hAnsi="Arial"/>
          <w:sz w:val="14"/>
          <w:szCs w:val="14"/>
          <w:color w:val="231F20"/>
        </w:rPr>
        <w:t>Ǿ</w:t>
      </w:r>
      <w:r>
        <w:rPr>
          <w:rFonts w:ascii="Arial" w:cs="Arial" w:eastAsia="Arial" w:hAnsi="Arial"/>
          <w:sz w:val="14"/>
          <w:szCs w:val="14"/>
          <w:color w:val="231F20"/>
        </w:rPr>
        <w:t>ɅƲ</w:t>
      </w:r>
      <w:r>
        <w:rPr>
          <w:rFonts w:ascii="Arial" w:cs="Arial" w:eastAsia="Arial" w:hAnsi="Arial"/>
          <w:sz w:val="14"/>
          <w:szCs w:val="14"/>
          <w:color w:val="231F20"/>
        </w:rPr>
        <w:t>ƫ Ʋɫ</w:t>
      </w:r>
      <w:r>
        <w:rPr>
          <w:rFonts w:ascii="Arial" w:cs="Arial" w:eastAsia="Arial" w:hAnsi="Arial"/>
          <w:sz w:val="14"/>
          <w:szCs w:val="14"/>
          <w:color w:val="231F20"/>
        </w:rPr>
        <w:t>ǛȷɅǛǾ</w:t>
      </w:r>
      <w:r>
        <w:rPr>
          <w:rFonts w:ascii="Arial" w:cs="Arial" w:eastAsia="Arial" w:hAnsi="Arial"/>
          <w:sz w:val="14"/>
          <w:szCs w:val="14"/>
          <w:color w:val="231F20"/>
        </w:rPr>
        <w:t>Ǎ</w:t>
      </w:r>
      <w:r>
        <w:rPr>
          <w:rFonts w:ascii="Arial" w:cs="Arial" w:eastAsia="Arial" w:hAnsi="Arial"/>
          <w:sz w:val="14"/>
          <w:szCs w:val="14"/>
          <w:color w:val="231F20"/>
        </w:rPr>
        <w:t xml:space="preserve"> </w:t>
      </w:r>
      <w:r>
        <w:rPr>
          <w:rFonts w:ascii="PMingLiU" w:cs="PMingLiU" w:eastAsia="PMingLiU" w:hAnsi="PMingLiU"/>
          <w:sz w:val="14"/>
          <w:szCs w:val="14"/>
          <w:color w:val="231F20"/>
        </w:rPr>
        <w:t/>
      </w:r>
      <w:r>
        <w:rPr>
          <w:rFonts w:ascii="Arial" w:cs="Arial" w:eastAsia="Arial" w:hAnsi="Arial"/>
          <w:sz w:val="14"/>
          <w:szCs w:val="14"/>
          <w:color w:val="231F20"/>
        </w:rPr>
        <w:t>ȉ</w:t>
      </w:r>
      <w:r>
        <w:rPr>
          <w:rFonts w:ascii="Arial" w:cs="Arial" w:eastAsia="Arial" w:hAnsi="Arial"/>
          <w:sz w:val="14"/>
          <w:szCs w:val="14"/>
          <w:color w:val="231F20"/>
        </w:rPr>
        <w:t>Ƈȯ</w:t>
      </w:r>
      <w:r>
        <w:rPr>
          <w:rFonts w:ascii="Arial" w:cs="Arial" w:eastAsia="Arial" w:hAnsi="Arial"/>
          <w:sz w:val="14"/>
          <w:szCs w:val="14"/>
          <w:color w:val="231F20"/>
        </w:rPr>
        <w:t>ƫ</w:t>
      </w:r>
    </w:p>
    <w:p>
      <w:pPr>
        <w:spacing w:after="0" w:line="24" w:lineRule="exact"/>
        <w:rPr>
          <w:sz w:val="20"/>
          <w:szCs w:val="20"/>
          <w:color w:val="auto"/>
        </w:rPr>
      </w:pPr>
    </w:p>
    <w:p>
      <w:pPr>
        <w:ind w:left="160" w:hanging="147"/>
        <w:spacing w:after="0" w:line="170" w:lineRule="exact"/>
        <w:tabs>
          <w:tab w:leader="none" w:pos="160" w:val="left"/>
        </w:tabs>
        <w:numPr>
          <w:ilvl w:val="0"/>
          <w:numId w:val="1"/>
        </w:numPr>
        <w:rPr>
          <w:rFonts w:ascii="Arial" w:cs="Arial" w:eastAsia="Arial" w:hAnsi="Arial"/>
          <w:sz w:val="14"/>
          <w:szCs w:val="14"/>
          <w:color w:val="231F20"/>
        </w:rPr>
      </w:pPr>
      <w:r>
        <w:rPr>
          <w:rFonts w:ascii="Arial" w:cs="Arial" w:eastAsia="Arial" w:hAnsi="Arial"/>
          <w:sz w:val="14"/>
          <w:szCs w:val="14"/>
          <w:color w:val="231F20"/>
        </w:rPr>
        <w:t>Ʋ</w:t>
      </w:r>
      <w:r>
        <w:rPr>
          <w:rFonts w:ascii="Arial" w:cs="Arial" w:eastAsia="Arial" w:hAnsi="Arial"/>
          <w:sz w:val="14"/>
          <w:szCs w:val="14"/>
          <w:color w:val="231F20"/>
        </w:rPr>
        <w:t>Ǽ</w:t>
      </w:r>
      <w:r>
        <w:rPr>
          <w:rFonts w:ascii="Arial" w:cs="Arial" w:eastAsia="Arial" w:hAnsi="Arial"/>
          <w:sz w:val="14"/>
          <w:szCs w:val="14"/>
          <w:color w:val="231F20"/>
        </w:rPr>
        <w:t>ƣ</w:t>
      </w:r>
      <w:r>
        <w:rPr>
          <w:rFonts w:ascii="Arial" w:cs="Arial" w:eastAsia="Arial" w:hAnsi="Arial"/>
          <w:sz w:val="14"/>
          <w:szCs w:val="14"/>
          <w:color w:val="231F20"/>
        </w:rPr>
        <w:t>Ʋ</w:t>
      </w:r>
      <w:r>
        <w:rPr>
          <w:rFonts w:ascii="Arial" w:cs="Arial" w:eastAsia="Arial" w:hAnsi="Arial"/>
          <w:sz w:val="14"/>
          <w:szCs w:val="14"/>
          <w:color w:val="231F20"/>
        </w:rPr>
        <w:t xml:space="preserve">ȯ </w:t>
      </w:r>
      <w:r>
        <w:rPr>
          <w:rFonts w:ascii="Arial" w:cs="Arial" w:eastAsia="Arial" w:hAnsi="Arial"/>
          <w:sz w:val="14"/>
          <w:szCs w:val="14"/>
          <w:color w:val="231F20"/>
        </w:rPr>
        <w:t>t</w:t>
      </w:r>
      <w:r>
        <w:rPr>
          <w:rFonts w:ascii="Arial" w:cs="Arial" w:eastAsia="Arial" w:hAnsi="Arial"/>
          <w:sz w:val="14"/>
          <w:szCs w:val="14"/>
          <w:color w:val="231F20"/>
        </w:rPr>
        <w:t xml:space="preserve"> </w:t>
      </w:r>
      <w:r>
        <w:rPr>
          <w:rFonts w:ascii="Arial" w:cs="Arial" w:eastAsia="Arial" w:hAnsi="Arial"/>
          <w:sz w:val="14"/>
          <w:szCs w:val="14"/>
          <w:color w:val="231F20"/>
        </w:rPr>
        <w:t>ƇɅɅ</w:t>
      </w:r>
      <w:r>
        <w:rPr>
          <w:rFonts w:ascii="Arial" w:cs="Arial" w:eastAsia="Arial" w:hAnsi="Arial"/>
          <w:sz w:val="14"/>
          <w:szCs w:val="14"/>
          <w:color w:val="231F20"/>
        </w:rPr>
        <w:t xml:space="preserve"> </w:t>
      </w:r>
      <w:r>
        <w:rPr>
          <w:rFonts w:ascii="PMingLiU" w:cs="PMingLiU" w:eastAsia="PMingLiU" w:hAnsi="PMingLiU"/>
          <w:sz w:val="14"/>
          <w:szCs w:val="14"/>
          <w:color w:val="231F20"/>
        </w:rPr>
        <w:t/>
      </w:r>
      <w:r>
        <w:rPr>
          <w:rFonts w:ascii="Arial" w:cs="Arial" w:eastAsia="Arial" w:hAnsi="Arial"/>
          <w:sz w:val="14"/>
          <w:szCs w:val="14"/>
          <w:color w:val="231F20"/>
        </w:rPr>
        <w:t>ɥȯ</w:t>
      </w:r>
      <w:r>
        <w:rPr>
          <w:rFonts w:ascii="Arial" w:cs="Arial" w:eastAsia="Arial" w:hAnsi="Arial"/>
          <w:sz w:val="14"/>
          <w:szCs w:val="14"/>
          <w:color w:val="231F20"/>
        </w:rPr>
        <w:t>Ǜǳؙ Ƈ ȷ</w:t>
      </w:r>
      <w:r>
        <w:rPr>
          <w:rFonts w:ascii="Arial" w:cs="Arial" w:eastAsia="Arial" w:hAnsi="Arial"/>
          <w:sz w:val="14"/>
          <w:szCs w:val="14"/>
          <w:color w:val="231F20"/>
        </w:rPr>
        <w:t>Ʋ</w:t>
      </w:r>
      <w:r>
        <w:rPr>
          <w:rFonts w:ascii="Arial" w:cs="Arial" w:eastAsia="Arial" w:hAnsi="Arial"/>
          <w:sz w:val="14"/>
          <w:szCs w:val="14"/>
          <w:color w:val="231F20"/>
        </w:rPr>
        <w:t xml:space="preserve">ƇȷȉǾƲƫ </w:t>
      </w:r>
      <w:r>
        <w:rPr>
          <w:rFonts w:ascii="Arial" w:cs="Arial" w:eastAsia="Arial" w:hAnsi="Arial"/>
          <w:sz w:val="14"/>
          <w:szCs w:val="14"/>
          <w:color w:val="231F20"/>
        </w:rPr>
        <w:t>Ǜ</w:t>
      </w:r>
      <w:r>
        <w:rPr>
          <w:rFonts w:ascii="Arial" w:cs="Arial" w:eastAsia="Arial" w:hAnsi="Arial"/>
          <w:sz w:val="14"/>
          <w:szCs w:val="14"/>
          <w:color w:val="231F20"/>
        </w:rPr>
        <w:t>Ǿƫ</w:t>
      </w:r>
      <w:r>
        <w:rPr>
          <w:rFonts w:ascii="Arial" w:cs="Arial" w:eastAsia="Arial" w:hAnsi="Arial"/>
          <w:sz w:val="14"/>
          <w:szCs w:val="14"/>
          <w:color w:val="231F20"/>
        </w:rPr>
        <w:t>ɍ</w:t>
      </w:r>
      <w:r>
        <w:rPr>
          <w:rFonts w:ascii="Arial" w:cs="Arial" w:eastAsia="Arial" w:hAnsi="Arial"/>
          <w:sz w:val="14"/>
          <w:szCs w:val="14"/>
          <w:color w:val="231F20"/>
        </w:rPr>
        <w:t>ȷ</w:t>
      </w:r>
      <w:r>
        <w:rPr>
          <w:rFonts w:ascii="Arial" w:cs="Arial" w:eastAsia="Arial" w:hAnsi="Arial"/>
          <w:sz w:val="14"/>
          <w:szCs w:val="14"/>
          <w:color w:val="231F20"/>
        </w:rPr>
        <w:t>Ʌȯ</w:t>
      </w:r>
      <w:r>
        <w:rPr>
          <w:rFonts w:ascii="Arial" w:cs="Arial" w:eastAsia="Arial" w:hAnsi="Arial"/>
          <w:sz w:val="14"/>
          <w:szCs w:val="14"/>
          <w:color w:val="231F20"/>
        </w:rPr>
        <w:t>ɬ Ʋ</w:t>
      </w:r>
      <w:r>
        <w:rPr>
          <w:rFonts w:ascii="Arial" w:cs="Arial" w:eastAsia="Arial" w:hAnsi="Arial"/>
          <w:sz w:val="14"/>
          <w:szCs w:val="14"/>
          <w:color w:val="231F20"/>
        </w:rPr>
        <w:t>ɫ</w:t>
      </w:r>
      <w:r>
        <w:rPr>
          <w:rFonts w:ascii="Arial" w:cs="Arial" w:eastAsia="Arial" w:hAnsi="Arial"/>
          <w:sz w:val="14"/>
          <w:szCs w:val="14"/>
          <w:color w:val="231F20"/>
        </w:rPr>
        <w:t>ƲƤɍɅǛ</w:t>
      </w:r>
      <w:r>
        <w:rPr>
          <w:rFonts w:ascii="Arial" w:cs="Arial" w:eastAsia="Arial" w:hAnsi="Arial"/>
          <w:sz w:val="14"/>
          <w:szCs w:val="14"/>
          <w:color w:val="231F20"/>
        </w:rPr>
        <w:t>ɥ</w:t>
      </w:r>
      <w:r>
        <w:rPr>
          <w:rFonts w:ascii="Arial" w:cs="Arial" w:eastAsia="Arial" w:hAnsi="Arial"/>
          <w:sz w:val="14"/>
          <w:szCs w:val="14"/>
          <w:color w:val="231F20"/>
        </w:rPr>
        <w:t xml:space="preserve">Ʋؙ </w:t>
      </w:r>
      <w:r>
        <w:rPr>
          <w:rFonts w:ascii="Arial" w:cs="Arial" w:eastAsia="Arial" w:hAnsi="Arial"/>
          <w:sz w:val="14"/>
          <w:szCs w:val="14"/>
          <w:color w:val="231F20"/>
        </w:rPr>
        <w:t>Ƈ</w:t>
      </w:r>
      <w:r>
        <w:rPr>
          <w:rFonts w:ascii="Arial" w:cs="Arial" w:eastAsia="Arial" w:hAnsi="Arial"/>
          <w:sz w:val="14"/>
          <w:szCs w:val="14"/>
          <w:color w:val="231F20"/>
        </w:rPr>
        <w:t xml:space="preserve">ȷ </w:t>
      </w:r>
      <w:r>
        <w:rPr>
          <w:rFonts w:ascii="Arial" w:cs="Arial" w:eastAsia="Arial" w:hAnsi="Arial"/>
          <w:sz w:val="14"/>
          <w:szCs w:val="14"/>
          <w:color w:val="231F20"/>
        </w:rPr>
        <w:t>Ǜ</w:t>
      </w:r>
      <w:r>
        <w:rPr>
          <w:rFonts w:ascii="Arial" w:cs="Arial" w:eastAsia="Arial" w:hAnsi="Arial"/>
          <w:sz w:val="14"/>
          <w:szCs w:val="14"/>
          <w:color w:val="231F20"/>
        </w:rPr>
        <w:t>Ǿ</w:t>
      </w:r>
      <w:r>
        <w:rPr>
          <w:rFonts w:ascii="Arial" w:cs="Arial" w:eastAsia="Arial" w:hAnsi="Arial"/>
          <w:sz w:val="14"/>
          <w:szCs w:val="14"/>
          <w:color w:val="231F20"/>
        </w:rPr>
        <w:t>ɅƲ</w:t>
      </w:r>
      <w:r>
        <w:rPr>
          <w:rFonts w:ascii="Arial" w:cs="Arial" w:eastAsia="Arial" w:hAnsi="Arial"/>
          <w:sz w:val="14"/>
          <w:szCs w:val="14"/>
          <w:color w:val="231F20"/>
        </w:rPr>
        <w:t xml:space="preserve"> </w:t>
      </w:r>
      <w:r>
        <w:rPr>
          <w:rFonts w:ascii="Arial" w:cs="Arial" w:eastAsia="Arial" w:hAnsi="Arial"/>
          <w:sz w:val="14"/>
          <w:szCs w:val="14"/>
          <w:color w:val="231F20"/>
        </w:rPr>
        <w:t>ȯǛ</w:t>
      </w:r>
      <w:r>
        <w:rPr>
          <w:rFonts w:ascii="Arial" w:cs="Arial" w:eastAsia="Arial" w:hAnsi="Arial"/>
          <w:sz w:val="14"/>
          <w:szCs w:val="14"/>
          <w:color w:val="231F20"/>
        </w:rPr>
        <w:t xml:space="preserve"> </w:t>
      </w:r>
      <w:r>
        <w:rPr>
          <w:rFonts w:ascii="Arial" w:cs="Arial" w:eastAsia="Arial" w:hAnsi="Arial"/>
          <w:sz w:val="14"/>
          <w:szCs w:val="14"/>
          <w:color w:val="231F20"/>
        </w:rPr>
        <w:t>Ǽ</w:t>
      </w:r>
      <w:r>
        <w:rPr>
          <w:rFonts w:ascii="Arial" w:cs="Arial" w:eastAsia="Arial" w:hAnsi="Arial"/>
          <w:sz w:val="14"/>
          <w:szCs w:val="14"/>
          <w:color w:val="231F20"/>
        </w:rPr>
        <w:t xml:space="preserve"> ¤</w:t>
      </w:r>
      <w:r>
        <w:rPr>
          <w:rFonts w:ascii="Arial" w:cs="Arial" w:eastAsia="Arial" w:hAnsi="Arial"/>
          <w:sz w:val="14"/>
          <w:szCs w:val="14"/>
          <w:color w:val="231F20"/>
        </w:rPr>
        <w:t>ȯƲ</w:t>
      </w:r>
      <w:r>
        <w:rPr>
          <w:rFonts w:ascii="Arial" w:cs="Arial" w:eastAsia="Arial" w:hAnsi="Arial"/>
          <w:sz w:val="14"/>
          <w:szCs w:val="14"/>
          <w:color w:val="231F20"/>
        </w:rPr>
        <w:t>ȷǛƫƲ</w:t>
      </w:r>
      <w:r>
        <w:rPr>
          <w:rFonts w:ascii="Arial" w:cs="Arial" w:eastAsia="Arial" w:hAnsi="Arial"/>
          <w:sz w:val="14"/>
          <w:szCs w:val="14"/>
          <w:color w:val="231F20"/>
        </w:rPr>
        <w:t>Ǿ</w:t>
      </w:r>
      <w:r>
        <w:rPr>
          <w:rFonts w:ascii="Arial" w:cs="Arial" w:eastAsia="Arial" w:hAnsi="Arial"/>
          <w:sz w:val="14"/>
          <w:szCs w:val="14"/>
          <w:color w:val="231F20"/>
        </w:rPr>
        <w:t>Ʌ Ƈ</w:t>
      </w:r>
      <w:r>
        <w:rPr>
          <w:rFonts w:ascii="Arial" w:cs="Arial" w:eastAsia="Arial" w:hAnsi="Arial"/>
          <w:sz w:val="14"/>
          <w:szCs w:val="14"/>
          <w:color w:val="231F20"/>
        </w:rPr>
        <w:t>Ǿ</w:t>
      </w:r>
      <w:r>
        <w:rPr>
          <w:rFonts w:ascii="Arial" w:cs="Arial" w:eastAsia="Arial" w:hAnsi="Arial"/>
          <w:sz w:val="14"/>
          <w:szCs w:val="14"/>
          <w:color w:val="231F20"/>
        </w:rPr>
        <w:t>ƫ</w:t>
      </w:r>
      <w:r>
        <w:rPr>
          <w:rFonts w:ascii="Arial" w:cs="Arial" w:eastAsia="Arial" w:hAnsi="Arial"/>
          <w:sz w:val="14"/>
          <w:szCs w:val="14"/>
          <w:color w:val="231F20"/>
        </w:rPr>
        <w:t xml:space="preserve"> </w:t>
      </w:r>
      <w:r>
        <w:rPr>
          <w:rFonts w:ascii="PMingLiU" w:cs="PMingLiU" w:eastAsia="PMingLiU" w:hAnsi="PMingLiU"/>
          <w:sz w:val="14"/>
          <w:szCs w:val="14"/>
          <w:color w:val="231F20"/>
        </w:rPr>
        <w:t/>
      </w:r>
      <w:r>
        <w:rPr>
          <w:rFonts w:ascii="Arial" w:cs="Arial" w:eastAsia="Arial" w:hAnsi="Arial"/>
          <w:sz w:val="14"/>
          <w:szCs w:val="14"/>
          <w:color w:val="231F20"/>
        </w:rPr>
        <w:t>Ǖ</w:t>
      </w:r>
      <w:r>
        <w:rPr>
          <w:rFonts w:ascii="Arial" w:cs="Arial" w:eastAsia="Arial" w:hAnsi="Arial"/>
          <w:sz w:val="14"/>
          <w:szCs w:val="14"/>
          <w:color w:val="231F20"/>
        </w:rPr>
        <w:t>Ǜ</w:t>
      </w:r>
      <w:r>
        <w:rPr>
          <w:rFonts w:ascii="Arial" w:cs="Arial" w:eastAsia="Arial" w:hAnsi="Arial"/>
          <w:sz w:val="14"/>
          <w:szCs w:val="14"/>
          <w:color w:val="231F20"/>
        </w:rPr>
        <w:t>Ʋ</w:t>
      </w:r>
      <w:r>
        <w:rPr>
          <w:rFonts w:ascii="Arial" w:cs="Arial" w:eastAsia="Arial" w:hAnsi="Arial"/>
          <w:sz w:val="14"/>
          <w:szCs w:val="14"/>
          <w:color w:val="231F20"/>
        </w:rPr>
        <w:t>ǌ -</w:t>
      </w:r>
      <w:r>
        <w:rPr>
          <w:rFonts w:ascii="Arial" w:cs="Arial" w:eastAsia="Arial" w:hAnsi="Arial"/>
          <w:sz w:val="14"/>
          <w:szCs w:val="14"/>
          <w:color w:val="231F20"/>
        </w:rPr>
        <w:t>ɫ</w:t>
      </w:r>
      <w:r>
        <w:rPr>
          <w:rFonts w:ascii="Arial" w:cs="Arial" w:eastAsia="Arial" w:hAnsi="Arial"/>
          <w:sz w:val="14"/>
          <w:szCs w:val="14"/>
          <w:color w:val="231F20"/>
        </w:rPr>
        <w:t>ƲƤɍ</w:t>
      </w:r>
      <w:r>
        <w:rPr>
          <w:rFonts w:ascii="Arial" w:cs="Arial" w:eastAsia="Arial" w:hAnsi="Arial"/>
          <w:sz w:val="14"/>
          <w:szCs w:val="14"/>
          <w:color w:val="231F20"/>
        </w:rPr>
        <w:t>Ʌ</w:t>
      </w:r>
      <w:r>
        <w:rPr>
          <w:rFonts w:ascii="Arial" w:cs="Arial" w:eastAsia="Arial" w:hAnsi="Arial"/>
          <w:sz w:val="14"/>
          <w:szCs w:val="14"/>
          <w:color w:val="231F20"/>
        </w:rPr>
        <w:t>Ǜ</w:t>
      </w:r>
      <w:r>
        <w:rPr>
          <w:rFonts w:ascii="Arial" w:cs="Arial" w:eastAsia="Arial" w:hAnsi="Arial"/>
          <w:sz w:val="14"/>
          <w:szCs w:val="14"/>
          <w:color w:val="231F20"/>
        </w:rPr>
        <w:t xml:space="preserve">ɥƲ </w:t>
      </w:r>
      <w:r>
        <w:rPr>
          <w:rFonts w:ascii="PMingLiU" w:cs="PMingLiU" w:eastAsia="PMingLiU" w:hAnsi="PMingLiU"/>
          <w:sz w:val="14"/>
          <w:szCs w:val="14"/>
          <w:color w:val="231F20"/>
        </w:rPr>
        <w:t></w:t>
      </w:r>
      <w:r>
        <w:rPr>
          <w:rFonts w:ascii="Arial" w:cs="Arial" w:eastAsia="Arial" w:hAnsi="Arial"/>
          <w:sz w:val="14"/>
          <w:szCs w:val="14"/>
          <w:color w:val="231F20"/>
        </w:rPr>
        <w:t>ǌ˚</w:t>
      </w:r>
      <w:r>
        <w:rPr>
          <w:rFonts w:ascii="Arial" w:cs="Arial" w:eastAsia="Arial" w:hAnsi="Arial"/>
          <w:sz w:val="14"/>
          <w:szCs w:val="14"/>
          <w:color w:val="231F20"/>
        </w:rPr>
        <w:t xml:space="preserve">ƤƲȯ </w:t>
      </w:r>
      <w:r>
        <w:rPr>
          <w:rFonts w:ascii="Arial" w:cs="Arial" w:eastAsia="Arial" w:hAnsi="Arial"/>
          <w:sz w:val="14"/>
          <w:szCs w:val="14"/>
          <w:color w:val="231F20"/>
        </w:rPr>
        <w:t>ɦ</w:t>
      </w:r>
      <w:r>
        <w:rPr>
          <w:rFonts w:ascii="Arial" w:cs="Arial" w:eastAsia="Arial" w:hAnsi="Arial"/>
          <w:sz w:val="14"/>
          <w:szCs w:val="14"/>
          <w:color w:val="231F20"/>
        </w:rPr>
        <w:t>Ǜ</w:t>
      </w:r>
      <w:r>
        <w:rPr>
          <w:rFonts w:ascii="Arial" w:cs="Arial" w:eastAsia="Arial" w:hAnsi="Arial"/>
          <w:sz w:val="14"/>
          <w:szCs w:val="14"/>
          <w:color w:val="231F20"/>
        </w:rPr>
        <w:t>ɅǕ</w:t>
      </w:r>
      <w:r>
        <w:rPr>
          <w:rFonts w:ascii="Arial" w:cs="Arial" w:eastAsia="Arial" w:hAnsi="Arial"/>
          <w:sz w:val="14"/>
          <w:szCs w:val="14"/>
          <w:color w:val="231F20"/>
        </w:rPr>
        <w:t xml:space="preserve"> Ƈ ƤǳƲƇȯ ǼƇǾ</w:t>
      </w:r>
      <w:r>
        <w:rPr>
          <w:rFonts w:ascii="Arial" w:cs="Arial" w:eastAsia="Arial" w:hAnsi="Arial"/>
          <w:sz w:val="14"/>
          <w:szCs w:val="14"/>
          <w:color w:val="231F20"/>
        </w:rPr>
        <w:t>ƫ</w:t>
      </w:r>
      <w:r>
        <w:rPr>
          <w:rFonts w:ascii="Arial" w:cs="Arial" w:eastAsia="Arial" w:hAnsi="Arial"/>
          <w:sz w:val="14"/>
          <w:szCs w:val="14"/>
          <w:color w:val="231F20"/>
        </w:rPr>
        <w:t>Ƈ</w:t>
      </w:r>
      <w:r>
        <w:rPr>
          <w:rFonts w:ascii="Arial" w:cs="Arial" w:eastAsia="Arial" w:hAnsi="Arial"/>
          <w:sz w:val="14"/>
          <w:szCs w:val="14"/>
          <w:color w:val="231F20"/>
        </w:rPr>
        <w:t>Ʌ</w:t>
      </w:r>
      <w:r>
        <w:rPr>
          <w:rFonts w:ascii="Arial" w:cs="Arial" w:eastAsia="Arial" w:hAnsi="Arial"/>
          <w:sz w:val="14"/>
          <w:szCs w:val="14"/>
          <w:color w:val="231F20"/>
        </w:rPr>
        <w:t xml:space="preserve">Ʋ </w:t>
      </w:r>
      <w:r>
        <w:rPr>
          <w:rFonts w:ascii="Arial" w:cs="Arial" w:eastAsia="Arial" w:hAnsi="Arial"/>
          <w:sz w:val="14"/>
          <w:szCs w:val="14"/>
          <w:color w:val="231F20"/>
        </w:rPr>
        <w:t>Ʌ</w:t>
      </w:r>
      <w:r>
        <w:rPr>
          <w:rFonts w:ascii="Arial" w:cs="Arial" w:eastAsia="Arial" w:hAnsi="Arial"/>
          <w:sz w:val="14"/>
          <w:szCs w:val="14"/>
          <w:color w:val="231F20"/>
        </w:rPr>
        <w:t xml:space="preserve">ȉ </w:t>
      </w:r>
      <w:r>
        <w:rPr>
          <w:rFonts w:ascii="Arial" w:cs="Arial" w:eastAsia="Arial" w:hAnsi="Arial"/>
          <w:sz w:val="14"/>
          <w:szCs w:val="14"/>
          <w:color w:val="231F20"/>
        </w:rPr>
        <w:t>Ǜ</w:t>
      </w:r>
      <w:r>
        <w:rPr>
          <w:rFonts w:ascii="Arial" w:cs="Arial" w:eastAsia="Arial" w:hAnsi="Arial"/>
          <w:sz w:val="14"/>
          <w:szCs w:val="14"/>
          <w:color w:val="231F20"/>
        </w:rPr>
        <w:t>Ǽ</w:t>
      </w:r>
      <w:r>
        <w:rPr>
          <w:rFonts w:ascii="Arial" w:cs="Arial" w:eastAsia="Arial" w:hAnsi="Arial"/>
          <w:sz w:val="14"/>
          <w:szCs w:val="14"/>
          <w:color w:val="231F20"/>
        </w:rPr>
        <w:t>Ȭȯ</w:t>
      </w:r>
      <w:r>
        <w:rPr>
          <w:rFonts w:ascii="Arial" w:cs="Arial" w:eastAsia="Arial" w:hAnsi="Arial"/>
          <w:sz w:val="14"/>
          <w:szCs w:val="14"/>
          <w:color w:val="231F20"/>
        </w:rPr>
        <w:t>ȉ</w:t>
      </w:r>
      <w:r>
        <w:rPr>
          <w:rFonts w:ascii="Arial" w:cs="Arial" w:eastAsia="Arial" w:hAnsi="Arial"/>
          <w:sz w:val="14"/>
          <w:szCs w:val="14"/>
          <w:color w:val="231F20"/>
        </w:rPr>
        <w:t>ɥ</w:t>
      </w:r>
      <w:r>
        <w:rPr>
          <w:rFonts w:ascii="Arial" w:cs="Arial" w:eastAsia="Arial" w:hAnsi="Arial"/>
          <w:sz w:val="14"/>
          <w:szCs w:val="14"/>
          <w:color w:val="231F20"/>
        </w:rPr>
        <w:t>Ʋ</w:t>
      </w:r>
    </w:p>
    <w:p>
      <w:pPr>
        <w:spacing w:after="0" w:line="50" w:lineRule="exact"/>
        <w:rPr>
          <w:rFonts w:ascii="Arial" w:cs="Arial" w:eastAsia="Arial" w:hAnsi="Arial"/>
          <w:sz w:val="14"/>
          <w:szCs w:val="14"/>
          <w:color w:val="231F20"/>
        </w:rPr>
      </w:pPr>
    </w:p>
    <w:p>
      <w:pPr>
        <w:spacing w:after="0"/>
        <w:rPr>
          <w:rFonts w:ascii="Arial" w:cs="Arial" w:eastAsia="Arial" w:hAnsi="Arial"/>
          <w:sz w:val="14"/>
          <w:szCs w:val="14"/>
          <w:color w:val="231F20"/>
        </w:rPr>
      </w:pPr>
      <w:r>
        <w:rPr>
          <w:rFonts w:ascii="Arial" w:cs="Arial" w:eastAsia="Arial" w:hAnsi="Arial"/>
          <w:sz w:val="15"/>
          <w:szCs w:val="15"/>
          <w:color w:val="231F20"/>
        </w:rPr>
        <w:t>ȬƲȯ</w:t>
      </w:r>
      <w:r>
        <w:rPr>
          <w:rFonts w:ascii="Arial" w:cs="Arial" w:eastAsia="Arial" w:hAnsi="Arial"/>
          <w:sz w:val="15"/>
          <w:szCs w:val="15"/>
          <w:color w:val="231F20"/>
        </w:rPr>
        <w:t>ǌ</w:t>
      </w:r>
      <w:r>
        <w:rPr>
          <w:rFonts w:ascii="Arial" w:cs="Arial" w:eastAsia="Arial" w:hAnsi="Arial"/>
          <w:sz w:val="15"/>
          <w:szCs w:val="15"/>
          <w:color w:val="231F20"/>
        </w:rPr>
        <w:t>ȉȯ</w:t>
      </w:r>
      <w:r>
        <w:rPr>
          <w:rFonts w:ascii="Arial" w:cs="Arial" w:eastAsia="Arial" w:hAnsi="Arial"/>
          <w:sz w:val="15"/>
          <w:szCs w:val="15"/>
          <w:color w:val="231F20"/>
        </w:rPr>
        <w:t>Ǽ</w:t>
      </w:r>
      <w:r>
        <w:rPr>
          <w:rFonts w:ascii="Arial" w:cs="Arial" w:eastAsia="Arial" w:hAnsi="Arial"/>
          <w:sz w:val="15"/>
          <w:szCs w:val="15"/>
          <w:color w:val="231F20"/>
        </w:rPr>
        <w:t>Ƈ</w:t>
      </w:r>
      <w:r>
        <w:rPr>
          <w:rFonts w:ascii="Arial" w:cs="Arial" w:eastAsia="Arial" w:hAnsi="Arial"/>
          <w:sz w:val="15"/>
          <w:szCs w:val="15"/>
          <w:color w:val="231F20"/>
        </w:rPr>
        <w:t>Ǿ</w:t>
      </w:r>
      <w:r>
        <w:rPr>
          <w:rFonts w:ascii="Arial" w:cs="Arial" w:eastAsia="Arial" w:hAnsi="Arial"/>
          <w:sz w:val="15"/>
          <w:szCs w:val="15"/>
          <w:color w:val="231F20"/>
        </w:rPr>
        <w:t>Ƥ</w:t>
      </w:r>
      <w:r>
        <w:rPr>
          <w:rFonts w:ascii="Arial" w:cs="Arial" w:eastAsia="Arial" w:hAnsi="Arial"/>
          <w:sz w:val="15"/>
          <w:szCs w:val="15"/>
          <w:color w:val="231F20"/>
        </w:rPr>
        <w:t xml:space="preserve">Ʋؙ </w:t>
      </w:r>
      <w:r>
        <w:rPr>
          <w:rFonts w:ascii="Arial" w:cs="Arial" w:eastAsia="Arial" w:hAnsi="Arial"/>
          <w:sz w:val="15"/>
          <w:szCs w:val="15"/>
          <w:color w:val="231F20"/>
        </w:rPr>
        <w:t>ȷ</w:t>
      </w:r>
      <w:r>
        <w:rPr>
          <w:rFonts w:ascii="Arial" w:cs="Arial" w:eastAsia="Arial" w:hAnsi="Arial"/>
          <w:sz w:val="15"/>
          <w:szCs w:val="15"/>
          <w:color w:val="231F20"/>
        </w:rPr>
        <w:t>Ǖ</w:t>
      </w:r>
      <w:r>
        <w:rPr>
          <w:rFonts w:ascii="Arial" w:cs="Arial" w:eastAsia="Arial" w:hAnsi="Arial"/>
          <w:sz w:val="15"/>
          <w:szCs w:val="15"/>
          <w:color w:val="231F20"/>
        </w:rPr>
        <w:t>Ƈȯ</w:t>
      </w:r>
      <w:r>
        <w:rPr>
          <w:rFonts w:ascii="Arial" w:cs="Arial" w:eastAsia="Arial" w:hAnsi="Arial"/>
          <w:sz w:val="15"/>
          <w:szCs w:val="15"/>
          <w:color w:val="231F20"/>
        </w:rPr>
        <w:t>ȬƲ</w:t>
      </w:r>
      <w:r>
        <w:rPr>
          <w:rFonts w:ascii="Arial" w:cs="Arial" w:eastAsia="Arial" w:hAnsi="Arial"/>
          <w:sz w:val="15"/>
          <w:szCs w:val="15"/>
          <w:color w:val="231F20"/>
        </w:rPr>
        <w:t>Ǿ ƇƤƤȉɍ</w:t>
      </w:r>
      <w:r>
        <w:rPr>
          <w:rFonts w:ascii="Arial" w:cs="Arial" w:eastAsia="Arial" w:hAnsi="Arial"/>
          <w:sz w:val="15"/>
          <w:szCs w:val="15"/>
          <w:color w:val="231F20"/>
        </w:rPr>
        <w:t>Ǿ</w:t>
      </w:r>
      <w:r>
        <w:rPr>
          <w:rFonts w:ascii="Arial" w:cs="Arial" w:eastAsia="Arial" w:hAnsi="Arial"/>
          <w:sz w:val="15"/>
          <w:szCs w:val="15"/>
          <w:color w:val="231F20"/>
        </w:rPr>
        <w:t>ɅƇƣǛǳǛɅ</w:t>
      </w:r>
      <w:r>
        <w:rPr>
          <w:rFonts w:ascii="Arial" w:cs="Arial" w:eastAsia="Arial" w:hAnsi="Arial"/>
          <w:sz w:val="15"/>
          <w:szCs w:val="15"/>
          <w:color w:val="231F20"/>
        </w:rPr>
        <w:t>ɬؙ ƇǾ</w:t>
      </w:r>
      <w:r>
        <w:rPr>
          <w:rFonts w:ascii="Arial" w:cs="Arial" w:eastAsia="Arial" w:hAnsi="Arial"/>
          <w:sz w:val="15"/>
          <w:szCs w:val="15"/>
          <w:color w:val="231F20"/>
        </w:rPr>
        <w:t xml:space="preserve"> </w:t>
      </w:r>
      <w:r>
        <w:rPr>
          <w:rFonts w:ascii="Arial" w:cs="Arial" w:eastAsia="Arial" w:hAnsi="Arial"/>
          <w:sz w:val="15"/>
          <w:szCs w:val="15"/>
          <w:color w:val="231F20"/>
        </w:rPr>
        <w:t>ƫ ȯ</w:t>
      </w:r>
      <w:r>
        <w:rPr>
          <w:rFonts w:ascii="Arial" w:cs="Arial" w:eastAsia="Arial" w:hAnsi="Arial"/>
          <w:sz w:val="15"/>
          <w:szCs w:val="15"/>
          <w:color w:val="231F20"/>
        </w:rPr>
        <w:t>ƲȷɅ</w:t>
      </w:r>
      <w:r>
        <w:rPr>
          <w:rFonts w:ascii="Arial" w:cs="Arial" w:eastAsia="Arial" w:hAnsi="Arial"/>
          <w:sz w:val="15"/>
          <w:szCs w:val="15"/>
          <w:color w:val="231F20"/>
        </w:rPr>
        <w:t>ȉ</w:t>
      </w:r>
      <w:r>
        <w:rPr>
          <w:rFonts w:ascii="Arial" w:cs="Arial" w:eastAsia="Arial" w:hAnsi="Arial"/>
          <w:sz w:val="15"/>
          <w:szCs w:val="15"/>
          <w:color w:val="231F20"/>
        </w:rPr>
        <w:t>ȯ</w:t>
      </w:r>
      <w:r>
        <w:rPr>
          <w:rFonts w:ascii="Arial" w:cs="Arial" w:eastAsia="Arial" w:hAnsi="Arial"/>
          <w:sz w:val="15"/>
          <w:szCs w:val="15"/>
          <w:color w:val="231F20"/>
        </w:rPr>
        <w:t>Ʋ ȷ</w:t>
      </w:r>
      <w:r>
        <w:rPr>
          <w:rFonts w:ascii="Arial" w:cs="Arial" w:eastAsia="Arial" w:hAnsi="Arial"/>
          <w:sz w:val="15"/>
          <w:szCs w:val="15"/>
          <w:color w:val="231F20"/>
        </w:rPr>
        <w:t>Ʌȉ</w:t>
      </w:r>
      <w:r>
        <w:rPr>
          <w:rFonts w:ascii="Arial" w:cs="Arial" w:eastAsia="Arial" w:hAnsi="Arial"/>
          <w:sz w:val="15"/>
          <w:szCs w:val="15"/>
          <w:color w:val="231F20"/>
        </w:rPr>
        <w:t>Ƥǯ</w:t>
      </w:r>
      <w:r>
        <w:rPr>
          <w:rFonts w:ascii="Arial" w:cs="Arial" w:eastAsia="Arial" w:hAnsi="Arial"/>
          <w:sz w:val="15"/>
          <w:szCs w:val="15"/>
          <w:color w:val="231F20"/>
        </w:rPr>
        <w:t>Ǖ</w:t>
      </w:r>
      <w:r>
        <w:rPr>
          <w:rFonts w:ascii="Arial" w:cs="Arial" w:eastAsia="Arial" w:hAnsi="Arial"/>
          <w:sz w:val="15"/>
          <w:szCs w:val="15"/>
          <w:color w:val="231F20"/>
        </w:rPr>
        <w:t>ȉǳƫ</w:t>
      </w:r>
      <w:r>
        <w:rPr>
          <w:rFonts w:ascii="Arial" w:cs="Arial" w:eastAsia="Arial" w:hAnsi="Arial"/>
          <w:sz w:val="15"/>
          <w:szCs w:val="15"/>
          <w:color w:val="231F20"/>
        </w:rPr>
        <w:t xml:space="preserve"> </w:t>
      </w:r>
      <w:r>
        <w:rPr>
          <w:rFonts w:ascii="Arial" w:cs="Arial" w:eastAsia="Arial" w:hAnsi="Arial"/>
          <w:sz w:val="15"/>
          <w:szCs w:val="15"/>
          <w:color w:val="231F20"/>
        </w:rPr>
        <w:t>Ʋȯ Ƥȉ Ǿ</w:t>
      </w:r>
      <w:r>
        <w:rPr>
          <w:rFonts w:ascii="Arial" w:cs="Arial" w:eastAsia="Arial" w:hAnsi="Arial"/>
          <w:sz w:val="15"/>
          <w:szCs w:val="15"/>
          <w:color w:val="231F20"/>
        </w:rPr>
        <w:t>˚</w:t>
      </w:r>
      <w:r>
        <w:rPr>
          <w:rFonts w:ascii="Arial" w:cs="Arial" w:eastAsia="Arial" w:hAnsi="Arial"/>
          <w:sz w:val="15"/>
          <w:szCs w:val="15"/>
          <w:color w:val="231F20"/>
        </w:rPr>
        <w:t>ƫƲ</w:t>
      </w:r>
      <w:r>
        <w:rPr>
          <w:rFonts w:ascii="Arial" w:cs="Arial" w:eastAsia="Arial" w:hAnsi="Arial"/>
          <w:sz w:val="15"/>
          <w:szCs w:val="15"/>
          <w:color w:val="231F20"/>
        </w:rPr>
        <w:t xml:space="preserve"> </w:t>
      </w:r>
      <w:r>
        <w:rPr>
          <w:rFonts w:ascii="Arial" w:cs="Arial" w:eastAsia="Arial" w:hAnsi="Arial"/>
          <w:sz w:val="15"/>
          <w:szCs w:val="15"/>
          <w:color w:val="231F20"/>
        </w:rPr>
        <w:t>ǾƤƲؘ</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4726940</wp:posOffset>
                </wp:positionH>
                <wp:positionV relativeFrom="paragraph">
                  <wp:posOffset>-203200</wp:posOffset>
                </wp:positionV>
                <wp:extent cx="13335" cy="12065"/>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065"/>
                        </a:xfrm>
                        <a:prstGeom prst="rect">
                          <a:avLst/>
                        </a:prstGeom>
                        <a:solidFill>
                          <a:srgbClr val="231F20"/>
                        </a:solidFill>
                      </wps:spPr>
                      <wps:bodyPr/>
                    </wps:wsp>
                  </a:graphicData>
                </a:graphic>
              </wp:anchor>
            </w:drawing>
          </mc:Choice>
          <mc:Fallback>
            <w:pict>
              <v:rect id="Shape 2" o:spid="_x0000_s1027" style="position:absolute;margin-left:372.2pt;margin-top:-16pt;width:1.0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w:r>
    </w:p>
    <w:p>
      <w:pPr>
        <w:spacing w:after="0" w:line="118" w:lineRule="exact"/>
        <w:rPr>
          <w:sz w:val="20"/>
          <w:szCs w:val="20"/>
          <w:color w:val="auto"/>
        </w:rPr>
      </w:pPr>
    </w:p>
    <w:p>
      <w:pPr>
        <w:jc w:val="both"/>
        <w:ind w:firstLine="1"/>
        <w:spacing w:after="0" w:line="216" w:lineRule="exact"/>
        <w:rPr>
          <w:sz w:val="20"/>
          <w:szCs w:val="20"/>
          <w:color w:val="auto"/>
        </w:rPr>
      </w:pPr>
      <w:r>
        <w:rPr>
          <w:rFonts w:ascii="Arial" w:cs="Arial" w:eastAsia="Arial" w:hAnsi="Arial"/>
          <w:sz w:val="15"/>
          <w:szCs w:val="15"/>
          <w:color w:val="231F20"/>
        </w:rPr>
        <w:t xml:space="preserve">tƇɅɅ </w:t>
      </w:r>
      <w:r>
        <w:rPr>
          <w:rFonts w:ascii="Arial" w:cs="Arial" w:eastAsia="Arial" w:hAnsi="Arial"/>
          <w:sz w:val="15"/>
          <w:szCs w:val="15"/>
          <w:color w:val="231F20"/>
        </w:rPr>
        <w:t>ƫ</w:t>
      </w:r>
      <w:r>
        <w:rPr>
          <w:rFonts w:ascii="Arial" w:cs="Arial" w:eastAsia="Arial" w:hAnsi="Arial"/>
          <w:sz w:val="15"/>
          <w:szCs w:val="15"/>
          <w:color w:val="231F20"/>
        </w:rPr>
        <w:t>ȉɥ</w:t>
      </w:r>
      <w:r>
        <w:rPr>
          <w:rFonts w:ascii="Arial" w:cs="Arial" w:eastAsia="Arial" w:hAnsi="Arial"/>
          <w:sz w:val="15"/>
          <w:szCs w:val="15"/>
          <w:color w:val="231F20"/>
        </w:rPr>
        <w:t>Ʋ</w:t>
      </w:r>
      <w:r>
        <w:rPr>
          <w:rFonts w:ascii="Arial" w:cs="Arial" w:eastAsia="Arial" w:hAnsi="Arial"/>
          <w:sz w:val="15"/>
          <w:szCs w:val="15"/>
          <w:color w:val="231F20"/>
        </w:rPr>
        <w:t xml:space="preserve"> Ǜ</w:t>
      </w:r>
      <w:r>
        <w:rPr>
          <w:rFonts w:ascii="Arial" w:cs="Arial" w:eastAsia="Arial" w:hAnsi="Arial"/>
          <w:sz w:val="15"/>
          <w:szCs w:val="15"/>
          <w:color w:val="231F20"/>
        </w:rPr>
        <w:t>Ǿ Ȯ</w:t>
      </w:r>
      <w:r>
        <w:rPr>
          <w:rFonts w:ascii="Arial" w:cs="Arial" w:eastAsia="Arial" w:hAnsi="Arial"/>
          <w:sz w:val="15"/>
          <w:szCs w:val="15"/>
          <w:color w:val="231F20"/>
        </w:rPr>
        <w:t>ɍǛƤǯǳ</w:t>
      </w:r>
      <w:r>
        <w:rPr>
          <w:rFonts w:ascii="Arial" w:cs="Arial" w:eastAsia="Arial" w:hAnsi="Arial"/>
          <w:sz w:val="15"/>
          <w:szCs w:val="15"/>
          <w:color w:val="231F20"/>
        </w:rPr>
        <w:t>ɬ</w:t>
      </w:r>
      <w:r>
        <w:rPr>
          <w:rFonts w:ascii="Arial" w:cs="Arial" w:eastAsia="Arial" w:hAnsi="Arial"/>
          <w:sz w:val="15"/>
          <w:szCs w:val="15"/>
          <w:color w:val="231F20"/>
        </w:rPr>
        <w:t xml:space="preserve"> </w:t>
      </w:r>
      <w:r>
        <w:rPr>
          <w:rFonts w:ascii="Arial" w:cs="Arial" w:eastAsia="Arial" w:hAnsi="Arial"/>
          <w:sz w:val="15"/>
          <w:szCs w:val="15"/>
          <w:color w:val="231F20"/>
        </w:rPr>
        <w:t>Ʌȉ</w:t>
      </w:r>
      <w:r>
        <w:rPr>
          <w:rFonts w:ascii="Arial" w:cs="Arial" w:eastAsia="Arial" w:hAnsi="Arial"/>
          <w:sz w:val="15"/>
          <w:szCs w:val="15"/>
          <w:color w:val="231F20"/>
        </w:rPr>
        <w:t xml:space="preserve"> Ƈȷ</w:t>
      </w:r>
      <w:r>
        <w:rPr>
          <w:rFonts w:ascii="Arial" w:cs="Arial" w:eastAsia="Arial" w:hAnsi="Arial"/>
          <w:sz w:val="15"/>
          <w:szCs w:val="15"/>
          <w:color w:val="231F20"/>
        </w:rPr>
        <w:t>ȷ</w:t>
      </w:r>
      <w:r>
        <w:rPr>
          <w:rFonts w:ascii="Arial" w:cs="Arial" w:eastAsia="Arial" w:hAnsi="Arial"/>
          <w:sz w:val="15"/>
          <w:szCs w:val="15"/>
          <w:color w:val="231F20"/>
        </w:rPr>
        <w:t>Ʋȷ</w:t>
      </w:r>
      <w:r>
        <w:rPr>
          <w:rFonts w:ascii="Arial" w:cs="Arial" w:eastAsia="Arial" w:hAnsi="Arial"/>
          <w:sz w:val="15"/>
          <w:szCs w:val="15"/>
          <w:color w:val="231F20"/>
        </w:rPr>
        <w:t>ȷ</w:t>
      </w:r>
      <w:r>
        <w:rPr>
          <w:rFonts w:ascii="Arial" w:cs="Arial" w:eastAsia="Arial" w:hAnsi="Arial"/>
          <w:sz w:val="15"/>
          <w:szCs w:val="15"/>
          <w:color w:val="231F20"/>
        </w:rPr>
        <w:t xml:space="preserve"> ȉɍȯ ƣɍȷ</w:t>
      </w:r>
      <w:r>
        <w:rPr>
          <w:rFonts w:ascii="Arial" w:cs="Arial" w:eastAsia="Arial" w:hAnsi="Arial"/>
          <w:sz w:val="15"/>
          <w:szCs w:val="15"/>
          <w:color w:val="231F20"/>
        </w:rPr>
        <w:t>Ǜ</w:t>
      </w:r>
      <w:r>
        <w:rPr>
          <w:rFonts w:ascii="Arial" w:cs="Arial" w:eastAsia="Arial" w:hAnsi="Arial"/>
          <w:sz w:val="15"/>
          <w:szCs w:val="15"/>
          <w:color w:val="231F20"/>
        </w:rPr>
        <w:t xml:space="preserve"> </w:t>
      </w:r>
      <w:r>
        <w:rPr>
          <w:rFonts w:ascii="Arial" w:cs="Arial" w:eastAsia="Arial" w:hAnsi="Arial"/>
          <w:sz w:val="15"/>
          <w:szCs w:val="15"/>
          <w:color w:val="231F20"/>
        </w:rPr>
        <w:t>Ǿ</w:t>
      </w:r>
      <w:r>
        <w:rPr>
          <w:rFonts w:ascii="Arial" w:cs="Arial" w:eastAsia="Arial" w:hAnsi="Arial"/>
          <w:sz w:val="15"/>
          <w:szCs w:val="15"/>
          <w:color w:val="231F20"/>
        </w:rPr>
        <w:t>Ʋ</w:t>
      </w:r>
      <w:r>
        <w:rPr>
          <w:rFonts w:ascii="Arial" w:cs="Arial" w:eastAsia="Arial" w:hAnsi="Arial"/>
          <w:sz w:val="15"/>
          <w:szCs w:val="15"/>
          <w:color w:val="231F20"/>
        </w:rPr>
        <w:t>ȷ</w:t>
      </w:r>
      <w:r>
        <w:rPr>
          <w:rFonts w:ascii="Arial" w:cs="Arial" w:eastAsia="Arial" w:hAnsi="Arial"/>
          <w:sz w:val="15"/>
          <w:szCs w:val="15"/>
          <w:color w:val="231F20"/>
        </w:rPr>
        <w:t xml:space="preserve">ȷؙ </w:t>
      </w:r>
      <w:r>
        <w:rPr>
          <w:rFonts w:ascii="Arial" w:cs="Arial" w:eastAsia="Arial" w:hAnsi="Arial"/>
          <w:sz w:val="15"/>
          <w:szCs w:val="15"/>
          <w:color w:val="231F20"/>
        </w:rPr>
        <w:t>Ȭ</w:t>
      </w:r>
      <w:r>
        <w:rPr>
          <w:rFonts w:ascii="Arial" w:cs="Arial" w:eastAsia="Arial" w:hAnsi="Arial"/>
          <w:sz w:val="15"/>
          <w:szCs w:val="15"/>
          <w:color w:val="231F20"/>
        </w:rPr>
        <w:t>ȯȉƤƲȷȷƲ</w:t>
      </w:r>
      <w:r>
        <w:rPr>
          <w:rFonts w:ascii="Arial" w:cs="Arial" w:eastAsia="Arial" w:hAnsi="Arial"/>
          <w:sz w:val="15"/>
          <w:szCs w:val="15"/>
          <w:color w:val="231F20"/>
        </w:rPr>
        <w:t>ȷ</w:t>
      </w:r>
      <w:r>
        <w:rPr>
          <w:rFonts w:ascii="Arial" w:cs="Arial" w:eastAsia="Arial" w:hAnsi="Arial"/>
          <w:sz w:val="15"/>
          <w:szCs w:val="15"/>
          <w:color w:val="231F20"/>
        </w:rPr>
        <w:t>ؙ ƇǾ</w:t>
      </w:r>
      <w:r>
        <w:rPr>
          <w:rFonts w:ascii="Arial" w:cs="Arial" w:eastAsia="Arial" w:hAnsi="Arial"/>
          <w:sz w:val="15"/>
          <w:szCs w:val="15"/>
          <w:color w:val="231F20"/>
        </w:rPr>
        <w:t>ƫ</w:t>
      </w:r>
      <w:r>
        <w:rPr>
          <w:rFonts w:ascii="Arial" w:cs="Arial" w:eastAsia="Arial" w:hAnsi="Arial"/>
          <w:sz w:val="15"/>
          <w:szCs w:val="15"/>
          <w:color w:val="231F20"/>
        </w:rPr>
        <w:t xml:space="preserve"> ȷ</w:t>
      </w:r>
      <w:r>
        <w:rPr>
          <w:rFonts w:ascii="Arial" w:cs="Arial" w:eastAsia="Arial" w:hAnsi="Arial"/>
          <w:sz w:val="15"/>
          <w:szCs w:val="15"/>
          <w:color w:val="231F20"/>
        </w:rPr>
        <w:t>Ʌ</w:t>
      </w:r>
      <w:r>
        <w:rPr>
          <w:rFonts w:ascii="Arial" w:cs="Arial" w:eastAsia="Arial" w:hAnsi="Arial"/>
          <w:sz w:val="15"/>
          <w:szCs w:val="15"/>
          <w:color w:val="231F20"/>
        </w:rPr>
        <w:t>ȯɍƤ</w:t>
      </w:r>
      <w:r>
        <w:rPr>
          <w:rFonts w:ascii="Arial" w:cs="Arial" w:eastAsia="Arial" w:hAnsi="Arial"/>
          <w:sz w:val="15"/>
          <w:szCs w:val="15"/>
          <w:color w:val="231F20"/>
        </w:rPr>
        <w:t>Ʌɍ</w:t>
      </w:r>
      <w:r>
        <w:rPr>
          <w:rFonts w:ascii="Arial" w:cs="Arial" w:eastAsia="Arial" w:hAnsi="Arial"/>
          <w:sz w:val="15"/>
          <w:szCs w:val="15"/>
          <w:color w:val="231F20"/>
        </w:rPr>
        <w:t>ȯ</w:t>
      </w:r>
      <w:r>
        <w:rPr>
          <w:rFonts w:ascii="Arial" w:cs="Arial" w:eastAsia="Arial" w:hAnsi="Arial"/>
          <w:sz w:val="15"/>
          <w:szCs w:val="15"/>
          <w:color w:val="231F20"/>
        </w:rPr>
        <w:t>Ʋ</w:t>
      </w:r>
      <w:r>
        <w:rPr>
          <w:rFonts w:ascii="Arial" w:cs="Arial" w:eastAsia="Arial" w:hAnsi="Arial"/>
          <w:sz w:val="15"/>
          <w:szCs w:val="15"/>
          <w:color w:val="231F20"/>
        </w:rPr>
        <w:t xml:space="preserve">ؘ ½ǕƲ </w:t>
      </w:r>
      <w:r>
        <w:rPr>
          <w:rFonts w:ascii="PMingLiU" w:cs="PMingLiU" w:eastAsia="PMingLiU" w:hAnsi="PMingLiU"/>
          <w:sz w:val="15"/>
          <w:szCs w:val="15"/>
          <w:color w:val="231F20"/>
        </w:rPr>
        <w:t/>
      </w:r>
      <w:r>
        <w:rPr>
          <w:rFonts w:ascii="Arial" w:cs="Arial" w:eastAsia="Arial" w:hAnsi="Arial"/>
          <w:sz w:val="15"/>
          <w:szCs w:val="15"/>
          <w:color w:val="231F20"/>
        </w:rPr>
        <w:t>ȉ</w:t>
      </w:r>
      <w:r>
        <w:rPr>
          <w:rFonts w:ascii="Arial" w:cs="Arial" w:eastAsia="Arial" w:hAnsi="Arial"/>
          <w:sz w:val="15"/>
          <w:szCs w:val="15"/>
          <w:color w:val="231F20"/>
        </w:rPr>
        <w:t>Ƈ</w:t>
      </w:r>
      <w:r>
        <w:rPr>
          <w:rFonts w:ascii="Arial" w:cs="Arial" w:eastAsia="Arial" w:hAnsi="Arial"/>
          <w:sz w:val="15"/>
          <w:szCs w:val="15"/>
          <w:color w:val="231F20"/>
        </w:rPr>
        <w:t>ȯ</w:t>
      </w:r>
      <w:r>
        <w:rPr>
          <w:rFonts w:ascii="Arial" w:cs="Arial" w:eastAsia="Arial" w:hAnsi="Arial"/>
          <w:sz w:val="15"/>
          <w:szCs w:val="15"/>
          <w:color w:val="231F20"/>
        </w:rPr>
        <w:t xml:space="preserve">ƫ </w:t>
      </w:r>
      <w:r>
        <w:rPr>
          <w:rFonts w:ascii="Arial" w:cs="Arial" w:eastAsia="Arial" w:hAnsi="Arial"/>
          <w:sz w:val="15"/>
          <w:szCs w:val="15"/>
          <w:color w:val="231F20"/>
        </w:rPr>
        <w:t>ɦ</w:t>
      </w:r>
      <w:r>
        <w:rPr>
          <w:rFonts w:ascii="Arial" w:cs="Arial" w:eastAsia="Arial" w:hAnsi="Arial"/>
          <w:sz w:val="15"/>
          <w:szCs w:val="15"/>
          <w:color w:val="231F20"/>
        </w:rPr>
        <w:t>Ƈȷ</w:t>
      </w:r>
      <w:r>
        <w:rPr>
          <w:rFonts w:ascii="Arial" w:cs="Arial" w:eastAsia="Arial" w:hAnsi="Arial"/>
          <w:sz w:val="15"/>
          <w:szCs w:val="15"/>
          <w:color w:val="231F20"/>
        </w:rPr>
        <w:t xml:space="preserve"> </w:t>
      </w:r>
      <w:r>
        <w:rPr>
          <w:rFonts w:ascii="Arial" w:cs="Arial" w:eastAsia="Arial" w:hAnsi="Arial"/>
          <w:sz w:val="15"/>
          <w:szCs w:val="15"/>
          <w:color w:val="231F20"/>
        </w:rPr>
        <w:t>Ȭ</w:t>
      </w:r>
      <w:r>
        <w:rPr>
          <w:rFonts w:ascii="Arial" w:cs="Arial" w:eastAsia="Arial" w:hAnsi="Arial"/>
          <w:sz w:val="15"/>
          <w:szCs w:val="15"/>
          <w:color w:val="231F20"/>
        </w:rPr>
        <w:t>ǳƲ</w:t>
      </w:r>
      <w:r>
        <w:rPr>
          <w:rFonts w:ascii="Arial" w:cs="Arial" w:eastAsia="Arial" w:hAnsi="Arial"/>
          <w:sz w:val="15"/>
          <w:szCs w:val="15"/>
          <w:color w:val="231F20"/>
        </w:rPr>
        <w:t>Ƈ</w:t>
      </w:r>
      <w:r>
        <w:rPr>
          <w:rFonts w:ascii="Arial" w:cs="Arial" w:eastAsia="Arial" w:hAnsi="Arial"/>
          <w:sz w:val="15"/>
          <w:szCs w:val="15"/>
          <w:color w:val="231F20"/>
        </w:rPr>
        <w:t>ȷƲƫ ɦǛ</w:t>
      </w:r>
      <w:r>
        <w:rPr>
          <w:rFonts w:ascii="Arial" w:cs="Arial" w:eastAsia="Arial" w:hAnsi="Arial"/>
          <w:sz w:val="15"/>
          <w:szCs w:val="15"/>
          <w:color w:val="231F20"/>
        </w:rPr>
        <w:t>ɅǕ Ǖ</w:t>
      </w:r>
      <w:r>
        <w:rPr>
          <w:rFonts w:ascii="Arial" w:cs="Arial" w:eastAsia="Arial" w:hAnsi="Arial"/>
          <w:sz w:val="15"/>
          <w:szCs w:val="15"/>
          <w:color w:val="231F20"/>
        </w:rPr>
        <w:t xml:space="preserve">Ǜȷ </w:t>
      </w:r>
      <w:r>
        <w:rPr>
          <w:rFonts w:ascii="Arial" w:cs="Arial" w:eastAsia="Arial" w:hAnsi="Arial"/>
          <w:sz w:val="15"/>
          <w:szCs w:val="15"/>
          <w:color w:val="231F20"/>
        </w:rPr>
        <w:t>Ǜ Ǿ</w:t>
      </w:r>
      <w:r>
        <w:rPr>
          <w:rFonts w:ascii="Arial" w:cs="Arial" w:eastAsia="Arial" w:hAnsi="Arial"/>
          <w:sz w:val="15"/>
          <w:szCs w:val="15"/>
          <w:color w:val="231F20"/>
        </w:rPr>
        <w:t>ǛɅ</w:t>
      </w:r>
      <w:r>
        <w:rPr>
          <w:rFonts w:ascii="Arial" w:cs="Arial" w:eastAsia="Arial" w:hAnsi="Arial"/>
          <w:sz w:val="15"/>
          <w:szCs w:val="15"/>
          <w:color w:val="231F20"/>
        </w:rPr>
        <w:t>ǛƇ</w:t>
      </w:r>
      <w:r>
        <w:rPr>
          <w:rFonts w:ascii="Arial" w:cs="Arial" w:eastAsia="Arial" w:hAnsi="Arial"/>
          <w:sz w:val="15"/>
          <w:szCs w:val="15"/>
          <w:color w:val="231F20"/>
        </w:rPr>
        <w:t>ɅǛɥ</w:t>
      </w:r>
      <w:r>
        <w:rPr>
          <w:rFonts w:ascii="Arial" w:cs="Arial" w:eastAsia="Arial" w:hAnsi="Arial"/>
          <w:sz w:val="15"/>
          <w:szCs w:val="15"/>
          <w:color w:val="231F20"/>
        </w:rPr>
        <w:t>Ʋ</w:t>
      </w:r>
      <w:r>
        <w:rPr>
          <w:rFonts w:ascii="Arial" w:cs="Arial" w:eastAsia="Arial" w:hAnsi="Arial"/>
          <w:sz w:val="15"/>
          <w:szCs w:val="15"/>
          <w:color w:val="231F20"/>
        </w:rPr>
        <w:t xml:space="preserve"> </w:t>
      </w:r>
      <w:r>
        <w:rPr>
          <w:rFonts w:ascii="Arial" w:cs="Arial" w:eastAsia="Arial" w:hAnsi="Arial"/>
          <w:sz w:val="15"/>
          <w:szCs w:val="15"/>
          <w:color w:val="231F20"/>
        </w:rPr>
        <w:t>Ƈ</w:t>
      </w:r>
      <w:r>
        <w:rPr>
          <w:rFonts w:ascii="Arial" w:cs="Arial" w:eastAsia="Arial" w:hAnsi="Arial"/>
          <w:sz w:val="15"/>
          <w:szCs w:val="15"/>
          <w:color w:val="231F20"/>
        </w:rPr>
        <w:t>Ǿ</w:t>
      </w:r>
      <w:r>
        <w:rPr>
          <w:rFonts w:ascii="Arial" w:cs="Arial" w:eastAsia="Arial" w:hAnsi="Arial"/>
          <w:sz w:val="15"/>
          <w:szCs w:val="15"/>
          <w:color w:val="231F20"/>
        </w:rPr>
        <w:t>ƫ</w:t>
      </w:r>
      <w:r>
        <w:rPr>
          <w:rFonts w:ascii="Arial" w:cs="Arial" w:eastAsia="Arial" w:hAnsi="Arial"/>
          <w:sz w:val="15"/>
          <w:szCs w:val="15"/>
          <w:color w:val="231F20"/>
        </w:rPr>
        <w:t xml:space="preserve"> ɦ</w:t>
      </w:r>
      <w:r>
        <w:rPr>
          <w:rFonts w:ascii="Arial" w:cs="Arial" w:eastAsia="Arial" w:hAnsi="Arial"/>
          <w:sz w:val="15"/>
          <w:szCs w:val="15"/>
          <w:color w:val="231F20"/>
        </w:rPr>
        <w:t>ȉ</w:t>
      </w:r>
      <w:r>
        <w:rPr>
          <w:rFonts w:ascii="Arial" w:cs="Arial" w:eastAsia="Arial" w:hAnsi="Arial"/>
          <w:sz w:val="15"/>
          <w:szCs w:val="15"/>
          <w:color w:val="231F20"/>
        </w:rPr>
        <w:t>ȯ</w:t>
      </w:r>
      <w:r>
        <w:rPr>
          <w:rFonts w:ascii="Arial" w:cs="Arial" w:eastAsia="Arial" w:hAnsi="Arial"/>
          <w:sz w:val="15"/>
          <w:szCs w:val="15"/>
          <w:color w:val="231F20"/>
        </w:rPr>
        <w:t>ǯ</w:t>
      </w:r>
      <w:r>
        <w:rPr>
          <w:rFonts w:ascii="Arial" w:cs="Arial" w:eastAsia="Arial" w:hAnsi="Arial"/>
          <w:sz w:val="15"/>
          <w:szCs w:val="15"/>
          <w:color w:val="231F20"/>
        </w:rPr>
        <w:t xml:space="preserve"> ƇǾ</w:t>
      </w:r>
      <w:r>
        <w:rPr>
          <w:rFonts w:ascii="Arial" w:cs="Arial" w:eastAsia="Arial" w:hAnsi="Arial"/>
          <w:sz w:val="15"/>
          <w:szCs w:val="15"/>
          <w:color w:val="231F20"/>
        </w:rPr>
        <w:t>ƫ ȉǌǌƲ</w:t>
      </w:r>
      <w:r>
        <w:rPr>
          <w:rFonts w:ascii="Arial" w:cs="Arial" w:eastAsia="Arial" w:hAnsi="Arial"/>
          <w:sz w:val="15"/>
          <w:szCs w:val="15"/>
          <w:color w:val="231F20"/>
        </w:rPr>
        <w:t>ȯ</w:t>
      </w:r>
      <w:r>
        <w:rPr>
          <w:rFonts w:ascii="Arial" w:cs="Arial" w:eastAsia="Arial" w:hAnsi="Arial"/>
          <w:sz w:val="15"/>
          <w:szCs w:val="15"/>
          <w:color w:val="231F20"/>
        </w:rPr>
        <w:t>Ʋ</w:t>
      </w:r>
      <w:r>
        <w:rPr>
          <w:rFonts w:ascii="Arial" w:cs="Arial" w:eastAsia="Arial" w:hAnsi="Arial"/>
          <w:sz w:val="15"/>
          <w:szCs w:val="15"/>
          <w:color w:val="231F20"/>
        </w:rPr>
        <w:t xml:space="preserve">ƫ </w:t>
      </w:r>
      <w:r>
        <w:rPr>
          <w:rFonts w:ascii="Arial" w:cs="Arial" w:eastAsia="Arial" w:hAnsi="Arial"/>
          <w:sz w:val="15"/>
          <w:szCs w:val="15"/>
          <w:color w:val="231F20"/>
        </w:rPr>
        <w:t>Ǖ</w:t>
      </w:r>
      <w:r>
        <w:rPr>
          <w:rFonts w:ascii="Arial" w:cs="Arial" w:eastAsia="Arial" w:hAnsi="Arial"/>
          <w:sz w:val="15"/>
          <w:szCs w:val="15"/>
          <w:color w:val="231F20"/>
        </w:rPr>
        <w:t xml:space="preserve">ǛǼ </w:t>
      </w:r>
      <w:r>
        <w:rPr>
          <w:rFonts w:ascii="Arial" w:cs="Arial" w:eastAsia="Arial" w:hAnsi="Arial"/>
          <w:sz w:val="15"/>
          <w:szCs w:val="15"/>
          <w:color w:val="231F20"/>
        </w:rPr>
        <w:t>Ʌ</w:t>
      </w:r>
      <w:r>
        <w:rPr>
          <w:rFonts w:ascii="Arial" w:cs="Arial" w:eastAsia="Arial" w:hAnsi="Arial"/>
          <w:sz w:val="15"/>
          <w:szCs w:val="15"/>
          <w:color w:val="231F20"/>
        </w:rPr>
        <w:t>Ǖ</w:t>
      </w:r>
      <w:r>
        <w:rPr>
          <w:rFonts w:ascii="Arial" w:cs="Arial" w:eastAsia="Arial" w:hAnsi="Arial"/>
          <w:sz w:val="15"/>
          <w:szCs w:val="15"/>
          <w:color w:val="231F20"/>
        </w:rPr>
        <w:t xml:space="preserve">Ʋ </w:t>
      </w:r>
      <w:r>
        <w:rPr>
          <w:rFonts w:ascii="Arial" w:cs="Arial" w:eastAsia="Arial" w:hAnsi="Arial"/>
          <w:sz w:val="15"/>
          <w:szCs w:val="15"/>
          <w:color w:val="231F20"/>
        </w:rPr>
        <w:t>ȬȉȷǛɅǛȉǾ</w:t>
      </w:r>
      <w:r>
        <w:rPr>
          <w:rFonts w:ascii="Arial" w:cs="Arial" w:eastAsia="Arial" w:hAnsi="Arial"/>
          <w:sz w:val="15"/>
          <w:szCs w:val="15"/>
          <w:color w:val="231F20"/>
        </w:rPr>
        <w:t xml:space="preserve"> ȉ</w:t>
      </w:r>
      <w:r>
        <w:rPr>
          <w:rFonts w:ascii="Arial" w:cs="Arial" w:eastAsia="Arial" w:hAnsi="Arial"/>
          <w:sz w:val="15"/>
          <w:szCs w:val="15"/>
          <w:color w:val="231F20"/>
        </w:rPr>
        <w:t>ǌ</w:t>
      </w:r>
      <w:r>
        <w:rPr>
          <w:rFonts w:ascii="Arial" w:cs="Arial" w:eastAsia="Arial" w:hAnsi="Arial"/>
          <w:sz w:val="15"/>
          <w:szCs w:val="15"/>
          <w:color w:val="231F20"/>
        </w:rPr>
        <w:t xml:space="preserve"> </w:t>
      </w:r>
      <w:r>
        <w:rPr>
          <w:rFonts w:ascii="PMingLiU" w:cs="PMingLiU" w:eastAsia="PMingLiU" w:hAnsi="PMingLiU"/>
          <w:sz w:val="15"/>
          <w:szCs w:val="15"/>
          <w:color w:val="231F20"/>
        </w:rPr>
        <w:t/>
      </w:r>
      <w:r>
        <w:rPr>
          <w:rFonts w:ascii="Arial" w:cs="Arial" w:eastAsia="Arial" w:hAnsi="Arial"/>
          <w:sz w:val="15"/>
          <w:szCs w:val="15"/>
          <w:color w:val="231F20"/>
        </w:rPr>
        <w:t>ǕǛƲǌ -</w:t>
      </w:r>
      <w:r>
        <w:rPr>
          <w:rFonts w:ascii="Arial" w:cs="Arial" w:eastAsia="Arial" w:hAnsi="Arial"/>
          <w:sz w:val="15"/>
          <w:szCs w:val="15"/>
          <w:color w:val="231F20"/>
        </w:rPr>
        <w:t>ɫ</w:t>
      </w:r>
      <w:r>
        <w:rPr>
          <w:rFonts w:ascii="Arial" w:cs="Arial" w:eastAsia="Arial" w:hAnsi="Arial"/>
          <w:sz w:val="15"/>
          <w:szCs w:val="15"/>
          <w:color w:val="231F20"/>
        </w:rPr>
        <w:t>ƲƤɍɅ</w:t>
      </w:r>
      <w:r>
        <w:rPr>
          <w:rFonts w:ascii="Arial" w:cs="Arial" w:eastAsia="Arial" w:hAnsi="Arial"/>
          <w:sz w:val="15"/>
          <w:szCs w:val="15"/>
          <w:color w:val="231F20"/>
        </w:rPr>
        <w:t>ǛɥƲ</w:t>
      </w:r>
      <w:r>
        <w:rPr>
          <w:rFonts w:ascii="Arial" w:cs="Arial" w:eastAsia="Arial" w:hAnsi="Arial"/>
          <w:sz w:val="15"/>
          <w:szCs w:val="15"/>
          <w:color w:val="231F20"/>
        </w:rPr>
        <w:t xml:space="preserve"> </w:t>
      </w:r>
      <w:r>
        <w:rPr>
          <w:rFonts w:ascii="PMingLiU" w:cs="PMingLiU" w:eastAsia="PMingLiU" w:hAnsi="PMingLiU"/>
          <w:sz w:val="15"/>
          <w:szCs w:val="15"/>
          <w:color w:val="231F20"/>
        </w:rPr>
        <w:t></w:t>
      </w:r>
      <w:r>
        <w:rPr>
          <w:rFonts w:ascii="Arial" w:cs="Arial" w:eastAsia="Arial" w:hAnsi="Arial"/>
          <w:sz w:val="15"/>
          <w:szCs w:val="15"/>
          <w:color w:val="231F20"/>
        </w:rPr>
        <w:t xml:space="preserve">ǌ˚ </w:t>
      </w:r>
      <w:r>
        <w:rPr>
          <w:rFonts w:ascii="Arial" w:cs="Arial" w:eastAsia="Arial" w:hAnsi="Arial"/>
          <w:sz w:val="15"/>
          <w:szCs w:val="15"/>
          <w:color w:val="231F20"/>
        </w:rPr>
        <w:t>ƤƲȯؙ</w:t>
      </w:r>
      <w:r>
        <w:rPr>
          <w:rFonts w:ascii="Arial" w:cs="Arial" w:eastAsia="Arial" w:hAnsi="Arial"/>
          <w:sz w:val="15"/>
          <w:szCs w:val="15"/>
          <w:color w:val="231F20"/>
        </w:rPr>
        <w:t xml:space="preserve"> </w:t>
      </w:r>
      <w:r>
        <w:rPr>
          <w:rFonts w:ascii="Arial" w:cs="Arial" w:eastAsia="Arial" w:hAnsi="Arial"/>
          <w:sz w:val="15"/>
          <w:szCs w:val="15"/>
          <w:color w:val="231F20"/>
        </w:rPr>
        <w:t>ɦǕǛ</w:t>
      </w:r>
      <w:r>
        <w:rPr>
          <w:rFonts w:ascii="Arial" w:cs="Arial" w:eastAsia="Arial" w:hAnsi="Arial"/>
          <w:sz w:val="15"/>
          <w:szCs w:val="15"/>
          <w:color w:val="231F20"/>
        </w:rPr>
        <w:t xml:space="preserve">ƤǕ </w:t>
      </w:r>
      <w:r>
        <w:rPr>
          <w:rFonts w:ascii="Arial" w:cs="Arial" w:eastAsia="Arial" w:hAnsi="Arial"/>
          <w:sz w:val="15"/>
          <w:szCs w:val="15"/>
          <w:color w:val="231F20"/>
        </w:rPr>
        <w:t>Ǖ</w:t>
      </w:r>
      <w:r>
        <w:rPr>
          <w:rFonts w:ascii="Arial" w:cs="Arial" w:eastAsia="Arial" w:hAnsi="Arial"/>
          <w:sz w:val="15"/>
          <w:szCs w:val="15"/>
          <w:color w:val="231F20"/>
        </w:rPr>
        <w:t xml:space="preserve">Ʋ </w:t>
      </w:r>
      <w:r>
        <w:rPr>
          <w:rFonts w:ascii="Arial" w:cs="Arial" w:eastAsia="Arial" w:hAnsi="Arial"/>
          <w:sz w:val="15"/>
          <w:szCs w:val="15"/>
          <w:color w:val="231F20"/>
        </w:rPr>
        <w:t>ƇƤƤƲ</w:t>
      </w:r>
      <w:r>
        <w:rPr>
          <w:rFonts w:ascii="Arial" w:cs="Arial" w:eastAsia="Arial" w:hAnsi="Arial"/>
          <w:sz w:val="15"/>
          <w:szCs w:val="15"/>
          <w:color w:val="231F20"/>
        </w:rPr>
        <w:t xml:space="preserve"> </w:t>
      </w:r>
      <w:r>
        <w:rPr>
          <w:rFonts w:ascii="Arial" w:cs="Arial" w:eastAsia="Arial" w:hAnsi="Arial"/>
          <w:sz w:val="15"/>
          <w:szCs w:val="15"/>
          <w:color w:val="231F20"/>
        </w:rPr>
        <w:t>Ȭ</w:t>
      </w:r>
      <w:r>
        <w:rPr>
          <w:rFonts w:ascii="Arial" w:cs="Arial" w:eastAsia="Arial" w:hAnsi="Arial"/>
          <w:sz w:val="15"/>
          <w:szCs w:val="15"/>
          <w:color w:val="231F20"/>
        </w:rPr>
        <w:t>Ʌ</w:t>
      </w:r>
      <w:r>
        <w:rPr>
          <w:rFonts w:ascii="Arial" w:cs="Arial" w:eastAsia="Arial" w:hAnsi="Arial"/>
          <w:sz w:val="15"/>
          <w:szCs w:val="15"/>
          <w:color w:val="231F20"/>
        </w:rPr>
        <w:t>Ʋ</w:t>
      </w:r>
      <w:r>
        <w:rPr>
          <w:rFonts w:ascii="Arial" w:cs="Arial" w:eastAsia="Arial" w:hAnsi="Arial"/>
          <w:sz w:val="15"/>
          <w:szCs w:val="15"/>
          <w:color w:val="231F20"/>
        </w:rPr>
        <w:t>ƫ Ǜ</w:t>
      </w:r>
      <w:r>
        <w:rPr>
          <w:rFonts w:ascii="Arial" w:cs="Arial" w:eastAsia="Arial" w:hAnsi="Arial"/>
          <w:sz w:val="15"/>
          <w:szCs w:val="15"/>
          <w:color w:val="231F20"/>
        </w:rPr>
        <w:t>Ǿ F</w:t>
      </w:r>
      <w:r>
        <w:rPr>
          <w:rFonts w:ascii="Arial" w:cs="Arial" w:eastAsia="Arial" w:hAnsi="Arial"/>
          <w:sz w:val="15"/>
          <w:szCs w:val="15"/>
          <w:color w:val="231F20"/>
        </w:rPr>
        <w:t xml:space="preserve">Ʋƣ </w:t>
      </w:r>
      <w:r>
        <w:rPr>
          <w:rFonts w:ascii="Arial" w:cs="Arial" w:eastAsia="Arial" w:hAnsi="Arial"/>
          <w:sz w:val="15"/>
          <w:szCs w:val="15"/>
          <w:color w:val="231F20"/>
        </w:rPr>
        <w:t>ȯɍ Ƈȯ</w:t>
      </w:r>
      <w:r>
        <w:rPr>
          <w:rFonts w:ascii="Arial" w:cs="Arial" w:eastAsia="Arial" w:hAnsi="Arial"/>
          <w:sz w:val="15"/>
          <w:szCs w:val="15"/>
          <w:color w:val="231F20"/>
        </w:rPr>
        <w:t>ɬ ׀־׀ׄ</w:t>
      </w:r>
      <w:r>
        <w:rPr>
          <w:rFonts w:ascii="Arial" w:cs="Arial" w:eastAsia="Arial" w:hAnsi="Arial"/>
          <w:sz w:val="15"/>
          <w:szCs w:val="15"/>
          <w:color w:val="231F20"/>
        </w:rPr>
        <w:t>ؘ</w:t>
      </w:r>
      <w:r>
        <w:rPr>
          <w:rFonts w:ascii="Arial" w:cs="Arial" w:eastAsia="Arial" w:hAnsi="Arial"/>
          <w:sz w:val="15"/>
          <w:szCs w:val="15"/>
          <w:color w:val="231F20"/>
        </w:rPr>
        <w:t xml:space="preserve"> </w:t>
      </w:r>
      <w:r>
        <w:rPr>
          <w:rFonts w:ascii="Arial" w:cs="Arial" w:eastAsia="Arial" w:hAnsi="Arial"/>
          <w:sz w:val="15"/>
          <w:szCs w:val="15"/>
          <w:color w:val="231F20"/>
        </w:rPr>
        <w:t>UǾ</w:t>
      </w:r>
      <w:r>
        <w:rPr>
          <w:rFonts w:ascii="Arial" w:cs="Arial" w:eastAsia="Arial" w:hAnsi="Arial"/>
          <w:sz w:val="15"/>
          <w:szCs w:val="15"/>
          <w:color w:val="231F20"/>
        </w:rPr>
        <w:t xml:space="preserve"> Ƈƫƫ</w:t>
      </w:r>
      <w:r>
        <w:rPr>
          <w:rFonts w:ascii="Arial" w:cs="Arial" w:eastAsia="Arial" w:hAnsi="Arial"/>
          <w:sz w:val="15"/>
          <w:szCs w:val="15"/>
          <w:color w:val="231F20"/>
        </w:rPr>
        <w:t>Ǜ</w:t>
      </w:r>
      <w:r>
        <w:rPr>
          <w:rFonts w:ascii="Arial" w:cs="Arial" w:eastAsia="Arial" w:hAnsi="Arial"/>
          <w:sz w:val="15"/>
          <w:szCs w:val="15"/>
          <w:color w:val="231F20"/>
        </w:rPr>
        <w:t>Ʌ</w:t>
      </w:r>
      <w:r>
        <w:rPr>
          <w:rFonts w:ascii="Arial" w:cs="Arial" w:eastAsia="Arial" w:hAnsi="Arial"/>
          <w:sz w:val="15"/>
          <w:szCs w:val="15"/>
          <w:color w:val="231F20"/>
        </w:rPr>
        <w:t>Ǜ</w:t>
      </w:r>
      <w:r>
        <w:rPr>
          <w:rFonts w:ascii="Arial" w:cs="Arial" w:eastAsia="Arial" w:hAnsi="Arial"/>
          <w:sz w:val="15"/>
          <w:szCs w:val="15"/>
          <w:color w:val="231F20"/>
        </w:rPr>
        <w:t xml:space="preserve">ȉ </w:t>
      </w:r>
      <w:r>
        <w:rPr>
          <w:rFonts w:ascii="Arial" w:cs="Arial" w:eastAsia="Arial" w:hAnsi="Arial"/>
          <w:sz w:val="15"/>
          <w:szCs w:val="15"/>
          <w:color w:val="231F20"/>
        </w:rPr>
        <w:t>Ǿؙ ƤȉǾƤɍȯȯƲ</w:t>
      </w:r>
      <w:r>
        <w:rPr>
          <w:rFonts w:ascii="Arial" w:cs="Arial" w:eastAsia="Arial" w:hAnsi="Arial"/>
          <w:sz w:val="15"/>
          <w:szCs w:val="15"/>
          <w:color w:val="231F20"/>
        </w:rPr>
        <w:t>Ǿ</w:t>
      </w:r>
      <w:r>
        <w:rPr>
          <w:rFonts w:ascii="Arial" w:cs="Arial" w:eastAsia="Arial" w:hAnsi="Arial"/>
          <w:sz w:val="15"/>
          <w:szCs w:val="15"/>
          <w:color w:val="231F20"/>
        </w:rPr>
        <w:t>Ʌ</w:t>
      </w:r>
      <w:r>
        <w:rPr>
          <w:rFonts w:ascii="Arial" w:cs="Arial" w:eastAsia="Arial" w:hAnsi="Arial"/>
          <w:sz w:val="15"/>
          <w:szCs w:val="15"/>
          <w:color w:val="231F20"/>
        </w:rPr>
        <w:t xml:space="preserve"> </w:t>
      </w:r>
      <w:r>
        <w:rPr>
          <w:rFonts w:ascii="Arial" w:cs="Arial" w:eastAsia="Arial" w:hAnsi="Arial"/>
          <w:sz w:val="15"/>
          <w:szCs w:val="15"/>
          <w:color w:val="231F20"/>
        </w:rPr>
        <w:t>ɦǛ</w:t>
      </w:r>
      <w:r>
        <w:rPr>
          <w:rFonts w:ascii="Arial" w:cs="Arial" w:eastAsia="Arial" w:hAnsi="Arial"/>
          <w:sz w:val="15"/>
          <w:szCs w:val="15"/>
          <w:color w:val="231F20"/>
        </w:rPr>
        <w:t xml:space="preserve">ɅǕ </w:t>
      </w:r>
      <w:r>
        <w:rPr>
          <w:rFonts w:ascii="Arial" w:cs="Arial" w:eastAsia="Arial" w:hAnsi="Arial"/>
          <w:sz w:val="15"/>
          <w:szCs w:val="15"/>
          <w:color w:val="231F20"/>
        </w:rPr>
        <w:t>t</w:t>
      </w:r>
      <w:r>
        <w:rPr>
          <w:rFonts w:ascii="Arial" w:cs="Arial" w:eastAsia="Arial" w:hAnsi="Arial"/>
          <w:sz w:val="15"/>
          <w:szCs w:val="15"/>
          <w:color w:val="231F20"/>
        </w:rPr>
        <w:t>ƇɅɅ</w:t>
      </w:r>
      <w:r>
        <w:rPr>
          <w:rFonts w:ascii="Arial" w:cs="Arial" w:eastAsia="Arial" w:hAnsi="Arial"/>
          <w:sz w:val="15"/>
          <w:szCs w:val="15"/>
          <w:color w:val="231F20"/>
        </w:rPr>
        <w:t>ى</w:t>
      </w:r>
      <w:r>
        <w:rPr>
          <w:rFonts w:ascii="Arial" w:cs="Arial" w:eastAsia="Arial" w:hAnsi="Arial"/>
          <w:sz w:val="15"/>
          <w:szCs w:val="15"/>
          <w:color w:val="231F20"/>
        </w:rPr>
        <w:t xml:space="preserve">ȷ </w:t>
      </w:r>
      <w:r>
        <w:rPr>
          <w:rFonts w:ascii="Arial" w:cs="Arial" w:eastAsia="Arial" w:hAnsi="Arial"/>
          <w:sz w:val="15"/>
          <w:szCs w:val="15"/>
          <w:color w:val="231F20"/>
        </w:rPr>
        <w:t>ƇȬȬȉ</w:t>
      </w:r>
      <w:r>
        <w:rPr>
          <w:rFonts w:ascii="Arial" w:cs="Arial" w:eastAsia="Arial" w:hAnsi="Arial"/>
          <w:sz w:val="15"/>
          <w:szCs w:val="15"/>
          <w:color w:val="231F20"/>
        </w:rPr>
        <w:t xml:space="preserve"> Ǜ</w:t>
      </w:r>
      <w:r>
        <w:rPr>
          <w:rFonts w:ascii="Arial" w:cs="Arial" w:eastAsia="Arial" w:hAnsi="Arial"/>
          <w:sz w:val="15"/>
          <w:szCs w:val="15"/>
          <w:color w:val="231F20"/>
        </w:rPr>
        <w:t>Ǿ</w:t>
      </w:r>
      <w:r>
        <w:rPr>
          <w:rFonts w:ascii="Arial" w:cs="Arial" w:eastAsia="Arial" w:hAnsi="Arial"/>
          <w:sz w:val="15"/>
          <w:szCs w:val="15"/>
          <w:color w:val="231F20"/>
        </w:rPr>
        <w:t>ɅǼ</w:t>
      </w:r>
      <w:r>
        <w:rPr>
          <w:rFonts w:ascii="Arial" w:cs="Arial" w:eastAsia="Arial" w:hAnsi="Arial"/>
          <w:sz w:val="15"/>
          <w:szCs w:val="15"/>
          <w:color w:val="231F20"/>
        </w:rPr>
        <w:t xml:space="preserve"> </w:t>
      </w:r>
      <w:r>
        <w:rPr>
          <w:rFonts w:ascii="Arial" w:cs="Arial" w:eastAsia="Arial" w:hAnsi="Arial"/>
          <w:sz w:val="15"/>
          <w:szCs w:val="15"/>
          <w:color w:val="231F20"/>
        </w:rPr>
        <w:t>ƲǾ</w:t>
      </w:r>
      <w:r>
        <w:rPr>
          <w:rFonts w:ascii="Arial" w:cs="Arial" w:eastAsia="Arial" w:hAnsi="Arial"/>
          <w:sz w:val="15"/>
          <w:szCs w:val="15"/>
          <w:color w:val="231F20"/>
        </w:rPr>
        <w:t>Ʌ</w:t>
      </w:r>
      <w:r>
        <w:rPr>
          <w:rFonts w:ascii="Arial" w:cs="Arial" w:eastAsia="Arial" w:hAnsi="Arial"/>
          <w:sz w:val="15"/>
          <w:szCs w:val="15"/>
          <w:color w:val="231F20"/>
        </w:rPr>
        <w:t>ؙ ɦ</w:t>
      </w:r>
      <w:r>
        <w:rPr>
          <w:rFonts w:ascii="Arial" w:cs="Arial" w:eastAsia="Arial" w:hAnsi="Arial"/>
          <w:sz w:val="15"/>
          <w:szCs w:val="15"/>
          <w:color w:val="231F20"/>
        </w:rPr>
        <w:t>Ʋ</w:t>
      </w:r>
      <w:r>
        <w:rPr>
          <w:rFonts w:ascii="Arial" w:cs="Arial" w:eastAsia="Arial" w:hAnsi="Arial"/>
          <w:sz w:val="15"/>
          <w:szCs w:val="15"/>
          <w:color w:val="231F20"/>
        </w:rPr>
        <w:t xml:space="preserve"> </w:t>
      </w:r>
      <w:r>
        <w:rPr>
          <w:rFonts w:ascii="Arial" w:cs="Arial" w:eastAsia="Arial" w:hAnsi="Arial"/>
          <w:sz w:val="15"/>
          <w:szCs w:val="15"/>
          <w:color w:val="231F20"/>
        </w:rPr>
        <w:t>Ǖ</w:t>
      </w:r>
      <w:r>
        <w:rPr>
          <w:rFonts w:ascii="Arial" w:cs="Arial" w:eastAsia="Arial" w:hAnsi="Arial"/>
          <w:sz w:val="15"/>
          <w:szCs w:val="15"/>
          <w:color w:val="231F20"/>
        </w:rPr>
        <w:t xml:space="preserve">Ǜ </w:t>
      </w:r>
      <w:r>
        <w:rPr>
          <w:rFonts w:ascii="Arial" w:cs="Arial" w:eastAsia="Arial" w:hAnsi="Arial"/>
          <w:sz w:val="15"/>
          <w:szCs w:val="15"/>
          <w:color w:val="231F20"/>
        </w:rPr>
        <w:t>ȯƲ</w:t>
      </w:r>
      <w:r>
        <w:rPr>
          <w:rFonts w:ascii="Arial" w:cs="Arial" w:eastAsia="Arial" w:hAnsi="Arial"/>
          <w:sz w:val="15"/>
          <w:szCs w:val="15"/>
          <w:color w:val="231F20"/>
        </w:rPr>
        <w:t>ƫ t</w:t>
      </w:r>
      <w:r>
        <w:rPr>
          <w:rFonts w:ascii="Arial" w:cs="Arial" w:eastAsia="Arial" w:hAnsi="Arial"/>
          <w:sz w:val="15"/>
          <w:szCs w:val="15"/>
          <w:color w:val="231F20"/>
        </w:rPr>
        <w:t>Ǜ</w:t>
      </w:r>
      <w:r>
        <w:rPr>
          <w:rFonts w:ascii="Arial" w:cs="Arial" w:eastAsia="Arial" w:hAnsi="Arial"/>
          <w:sz w:val="15"/>
          <w:szCs w:val="15"/>
          <w:color w:val="231F20"/>
        </w:rPr>
        <w:t>ǯ</w:t>
      </w:r>
      <w:r>
        <w:rPr>
          <w:rFonts w:ascii="Arial" w:cs="Arial" w:eastAsia="Arial" w:hAnsi="Arial"/>
          <w:sz w:val="15"/>
          <w:szCs w:val="15"/>
          <w:color w:val="231F20"/>
        </w:rPr>
        <w:t>Ʋ</w:t>
      </w:r>
      <w:r>
        <w:rPr>
          <w:rFonts w:ascii="Arial" w:cs="Arial" w:eastAsia="Arial" w:hAnsi="Arial"/>
          <w:sz w:val="15"/>
          <w:szCs w:val="15"/>
          <w:color w:val="231F20"/>
        </w:rPr>
        <w:t xml:space="preserve"> </w:t>
      </w:r>
      <w:r>
        <w:rPr>
          <w:rFonts w:ascii="Arial" w:cs="Arial" w:eastAsia="Arial" w:hAnsi="Arial"/>
          <w:sz w:val="15"/>
          <w:szCs w:val="15"/>
          <w:color w:val="231F20"/>
        </w:rPr>
        <w:t>FǳƇȷǯ</w:t>
      </w:r>
      <w:r>
        <w:rPr>
          <w:rFonts w:ascii="Arial" w:cs="Arial" w:eastAsia="Arial" w:hAnsi="Arial"/>
          <w:sz w:val="15"/>
          <w:szCs w:val="15"/>
          <w:color w:val="231F20"/>
        </w:rPr>
        <w:t>Ʋ</w:t>
      </w:r>
      <w:r>
        <w:rPr>
          <w:rFonts w:ascii="Arial" w:cs="Arial" w:eastAsia="Arial" w:hAnsi="Arial"/>
          <w:sz w:val="15"/>
          <w:szCs w:val="15"/>
          <w:color w:val="231F20"/>
        </w:rPr>
        <w:t xml:space="preserve">ɬ </w:t>
      </w:r>
      <w:r>
        <w:rPr>
          <w:rFonts w:ascii="Arial" w:cs="Arial" w:eastAsia="Arial" w:hAnsi="Arial"/>
          <w:sz w:val="15"/>
          <w:szCs w:val="15"/>
          <w:color w:val="231F20"/>
        </w:rPr>
        <w:t>Ʌȉ</w:t>
      </w:r>
      <w:r>
        <w:rPr>
          <w:rFonts w:ascii="Arial" w:cs="Arial" w:eastAsia="Arial" w:hAnsi="Arial"/>
          <w:sz w:val="15"/>
          <w:szCs w:val="15"/>
          <w:color w:val="231F20"/>
        </w:rPr>
        <w:t xml:space="preserve"> </w:t>
      </w:r>
      <w:r>
        <w:rPr>
          <w:rFonts w:ascii="Arial" w:cs="Arial" w:eastAsia="Arial" w:hAnsi="Arial"/>
          <w:sz w:val="15"/>
          <w:szCs w:val="15"/>
          <w:color w:val="231F20"/>
        </w:rPr>
        <w:t>ȷƲȯ</w:t>
      </w:r>
      <w:r>
        <w:rPr>
          <w:rFonts w:ascii="Arial" w:cs="Arial" w:eastAsia="Arial" w:hAnsi="Arial"/>
          <w:sz w:val="15"/>
          <w:szCs w:val="15"/>
          <w:color w:val="231F20"/>
        </w:rPr>
        <w:t>ɥ</w:t>
      </w:r>
      <w:r>
        <w:rPr>
          <w:rFonts w:ascii="Arial" w:cs="Arial" w:eastAsia="Arial" w:hAnsi="Arial"/>
          <w:sz w:val="15"/>
          <w:szCs w:val="15"/>
          <w:color w:val="231F20"/>
        </w:rPr>
        <w:t>Ʋ Ƈȷ ȉ</w:t>
      </w:r>
      <w:r>
        <w:rPr>
          <w:rFonts w:ascii="Arial" w:cs="Arial" w:eastAsia="Arial" w:hAnsi="Arial"/>
          <w:sz w:val="15"/>
          <w:szCs w:val="15"/>
          <w:color w:val="231F20"/>
        </w:rPr>
        <w:t>ɍ</w:t>
      </w:r>
      <w:r>
        <w:rPr>
          <w:rFonts w:ascii="Arial" w:cs="Arial" w:eastAsia="Arial" w:hAnsi="Arial"/>
          <w:sz w:val="15"/>
          <w:szCs w:val="15"/>
          <w:color w:val="231F20"/>
        </w:rPr>
        <w:t>ȯ</w:t>
      </w:r>
      <w:r>
        <w:rPr>
          <w:rFonts w:ascii="Arial" w:cs="Arial" w:eastAsia="Arial" w:hAnsi="Arial"/>
          <w:sz w:val="15"/>
          <w:szCs w:val="15"/>
          <w:color w:val="231F20"/>
        </w:rPr>
        <w:t xml:space="preserve"> ¤ȯƲȷǛƫƲǾ</w:t>
      </w:r>
      <w:r>
        <w:rPr>
          <w:rFonts w:ascii="Arial" w:cs="Arial" w:eastAsia="Arial" w:hAnsi="Arial"/>
          <w:sz w:val="15"/>
          <w:szCs w:val="15"/>
          <w:color w:val="231F20"/>
        </w:rPr>
        <w:t>Ʌ Ƈ</w:t>
      </w:r>
      <w:r>
        <w:rPr>
          <w:rFonts w:ascii="Arial" w:cs="Arial" w:eastAsia="Arial" w:hAnsi="Arial"/>
          <w:sz w:val="15"/>
          <w:szCs w:val="15"/>
          <w:color w:val="231F20"/>
        </w:rPr>
        <w:t>Ǿ</w:t>
      </w:r>
      <w:r>
        <w:rPr>
          <w:rFonts w:ascii="Arial" w:cs="Arial" w:eastAsia="Arial" w:hAnsi="Arial"/>
          <w:sz w:val="15"/>
          <w:szCs w:val="15"/>
          <w:color w:val="231F20"/>
        </w:rPr>
        <w:t>ƫ</w:t>
      </w:r>
      <w:r>
        <w:rPr>
          <w:rFonts w:ascii="Arial" w:cs="Arial" w:eastAsia="Arial" w:hAnsi="Arial"/>
          <w:sz w:val="15"/>
          <w:szCs w:val="15"/>
          <w:color w:val="231F20"/>
        </w:rPr>
        <w:t xml:space="preserve"> </w:t>
      </w:r>
      <w:r>
        <w:rPr>
          <w:rFonts w:ascii="PMingLiU" w:cs="PMingLiU" w:eastAsia="PMingLiU" w:hAnsi="PMingLiU"/>
          <w:sz w:val="15"/>
          <w:szCs w:val="15"/>
          <w:color w:val="231F20"/>
        </w:rPr>
        <w:t/>
      </w:r>
      <w:r>
        <w:rPr>
          <w:rFonts w:ascii="Arial" w:cs="Arial" w:eastAsia="Arial" w:hAnsi="Arial"/>
          <w:sz w:val="15"/>
          <w:szCs w:val="15"/>
          <w:color w:val="231F20"/>
        </w:rPr>
        <w:t>Ǖ</w:t>
      </w:r>
      <w:r>
        <w:rPr>
          <w:rFonts w:ascii="Arial" w:cs="Arial" w:eastAsia="Arial" w:hAnsi="Arial"/>
          <w:sz w:val="15"/>
          <w:szCs w:val="15"/>
          <w:color w:val="231F20"/>
        </w:rPr>
        <w:t>ǛƲ</w:t>
      </w:r>
      <w:r>
        <w:rPr>
          <w:rFonts w:ascii="Arial" w:cs="Arial" w:eastAsia="Arial" w:hAnsi="Arial"/>
          <w:sz w:val="15"/>
          <w:szCs w:val="15"/>
          <w:color w:val="231F20"/>
        </w:rPr>
        <w:t>ǌ</w:t>
      </w:r>
      <w:r>
        <w:rPr>
          <w:rFonts w:ascii="Arial" w:cs="Arial" w:eastAsia="Arial" w:hAnsi="Arial"/>
          <w:sz w:val="15"/>
          <w:szCs w:val="15"/>
          <w:color w:val="231F20"/>
        </w:rPr>
        <w:t xml:space="preserve"> </w:t>
      </w:r>
      <w:r>
        <w:rPr>
          <w:rFonts w:ascii="PMingLiU" w:cs="PMingLiU" w:eastAsia="PMingLiU" w:hAnsi="PMingLiU"/>
          <w:sz w:val="15"/>
          <w:szCs w:val="15"/>
          <w:color w:val="231F20"/>
        </w:rPr>
        <w:t></w:t>
      </w:r>
      <w:r>
        <w:rPr>
          <w:rFonts w:ascii="Arial" w:cs="Arial" w:eastAsia="Arial" w:hAnsi="Arial"/>
          <w:sz w:val="15"/>
          <w:szCs w:val="15"/>
          <w:color w:val="231F20"/>
        </w:rPr>
        <w:t>ȬƲ</w:t>
      </w:r>
      <w:r>
        <w:rPr>
          <w:rFonts w:ascii="Arial" w:cs="Arial" w:eastAsia="Arial" w:hAnsi="Arial"/>
          <w:sz w:val="15"/>
          <w:szCs w:val="15"/>
          <w:color w:val="231F20"/>
        </w:rPr>
        <w:t>ȯ</w:t>
      </w:r>
      <w:r>
        <w:rPr>
          <w:rFonts w:ascii="Arial" w:cs="Arial" w:eastAsia="Arial" w:hAnsi="Arial"/>
          <w:sz w:val="15"/>
          <w:szCs w:val="15"/>
          <w:color w:val="231F20"/>
        </w:rPr>
        <w:t>Ƈ</w:t>
      </w:r>
      <w:r>
        <w:rPr>
          <w:rFonts w:ascii="Arial" w:cs="Arial" w:eastAsia="Arial" w:hAnsi="Arial"/>
          <w:sz w:val="15"/>
          <w:szCs w:val="15"/>
          <w:color w:val="231F20"/>
        </w:rPr>
        <w:t>ɅǛ</w:t>
      </w:r>
      <w:r>
        <w:rPr>
          <w:rFonts w:ascii="Arial" w:cs="Arial" w:eastAsia="Arial" w:hAnsi="Arial"/>
          <w:sz w:val="15"/>
          <w:szCs w:val="15"/>
          <w:color w:val="231F20"/>
        </w:rPr>
        <w:t>ǾǍ</w:t>
      </w:r>
      <w:r>
        <w:rPr>
          <w:rFonts w:ascii="Arial" w:cs="Arial" w:eastAsia="Arial" w:hAnsi="Arial"/>
          <w:sz w:val="15"/>
          <w:szCs w:val="15"/>
          <w:color w:val="231F20"/>
        </w:rPr>
        <w:t xml:space="preserve"> </w:t>
      </w:r>
      <w:r>
        <w:rPr>
          <w:rFonts w:ascii="PMingLiU" w:cs="PMingLiU" w:eastAsia="PMingLiU" w:hAnsi="PMingLiU"/>
          <w:sz w:val="15"/>
          <w:szCs w:val="15"/>
          <w:color w:val="231F20"/>
        </w:rPr>
        <w:t></w:t>
      </w:r>
      <w:r>
        <w:rPr>
          <w:rFonts w:ascii="Arial" w:cs="Arial" w:eastAsia="Arial" w:hAnsi="Arial"/>
          <w:sz w:val="15"/>
          <w:szCs w:val="15"/>
          <w:color w:val="231F20"/>
        </w:rPr>
        <w:t>ǌ˚</w:t>
      </w:r>
      <w:r>
        <w:rPr>
          <w:rFonts w:ascii="Arial" w:cs="Arial" w:eastAsia="Arial" w:hAnsi="Arial"/>
          <w:sz w:val="15"/>
          <w:szCs w:val="15"/>
          <w:color w:val="231F20"/>
        </w:rPr>
        <w:t xml:space="preserve"> </w:t>
      </w:r>
      <w:r>
        <w:rPr>
          <w:rFonts w:ascii="Arial" w:cs="Arial" w:eastAsia="Arial" w:hAnsi="Arial"/>
          <w:sz w:val="15"/>
          <w:szCs w:val="15"/>
          <w:color w:val="231F20"/>
        </w:rPr>
        <w:t>ƤƲȯؘ</w:t>
      </w:r>
      <w:r>
        <w:rPr>
          <w:rFonts w:ascii="Arial" w:cs="Arial" w:eastAsia="Arial" w:hAnsi="Arial"/>
          <w:sz w:val="15"/>
          <w:szCs w:val="15"/>
          <w:color w:val="231F20"/>
        </w:rPr>
        <w:t xml:space="preserve"> tǛ</w:t>
      </w:r>
      <w:r>
        <w:rPr>
          <w:rFonts w:ascii="Arial" w:cs="Arial" w:eastAsia="Arial" w:hAnsi="Arial"/>
          <w:sz w:val="15"/>
          <w:szCs w:val="15"/>
          <w:color w:val="231F20"/>
        </w:rPr>
        <w:t>ǯ</w:t>
      </w:r>
      <w:r>
        <w:rPr>
          <w:rFonts w:ascii="Arial" w:cs="Arial" w:eastAsia="Arial" w:hAnsi="Arial"/>
          <w:sz w:val="15"/>
          <w:szCs w:val="15"/>
          <w:color w:val="231F20"/>
        </w:rPr>
        <w:t>Ʋ</w:t>
      </w:r>
      <w:r>
        <w:rPr>
          <w:rFonts w:ascii="Arial" w:cs="Arial" w:eastAsia="Arial" w:hAnsi="Arial"/>
          <w:sz w:val="15"/>
          <w:szCs w:val="15"/>
          <w:color w:val="231F20"/>
        </w:rPr>
        <w:t>ى</w:t>
      </w:r>
      <w:r>
        <w:rPr>
          <w:rFonts w:ascii="Arial" w:cs="Arial" w:eastAsia="Arial" w:hAnsi="Arial"/>
          <w:sz w:val="15"/>
          <w:szCs w:val="15"/>
          <w:color w:val="231F20"/>
        </w:rPr>
        <w:t>ȷ ȯ</w:t>
      </w:r>
      <w:r>
        <w:rPr>
          <w:rFonts w:ascii="Arial" w:cs="Arial" w:eastAsia="Arial" w:hAnsi="Arial"/>
          <w:sz w:val="15"/>
          <w:szCs w:val="15"/>
          <w:color w:val="231F20"/>
        </w:rPr>
        <w:t>ȉ</w:t>
      </w:r>
      <w:r>
        <w:rPr>
          <w:rFonts w:ascii="Arial" w:cs="Arial" w:eastAsia="Arial" w:hAnsi="Arial"/>
          <w:sz w:val="15"/>
          <w:szCs w:val="15"/>
          <w:color w:val="231F20"/>
        </w:rPr>
        <w:t>ǳ</w:t>
      </w:r>
      <w:r>
        <w:rPr>
          <w:rFonts w:ascii="Arial" w:cs="Arial" w:eastAsia="Arial" w:hAnsi="Arial"/>
          <w:sz w:val="15"/>
          <w:szCs w:val="15"/>
          <w:color w:val="231F20"/>
        </w:rPr>
        <w:t xml:space="preserve"> </w:t>
      </w:r>
      <w:r>
        <w:rPr>
          <w:rFonts w:ascii="Arial" w:cs="Arial" w:eastAsia="Arial" w:hAnsi="Arial"/>
          <w:sz w:val="15"/>
          <w:szCs w:val="15"/>
          <w:color w:val="231F20"/>
        </w:rPr>
        <w:t>Ʋ ɦ</w:t>
      </w:r>
      <w:r>
        <w:rPr>
          <w:rFonts w:ascii="Arial" w:cs="Arial" w:eastAsia="Arial" w:hAnsi="Arial"/>
          <w:sz w:val="15"/>
          <w:szCs w:val="15"/>
          <w:color w:val="231F20"/>
        </w:rPr>
        <w:t>Ǜǳǳ</w:t>
      </w:r>
      <w:r>
        <w:rPr>
          <w:rFonts w:ascii="Arial" w:cs="Arial" w:eastAsia="Arial" w:hAnsi="Arial"/>
          <w:sz w:val="15"/>
          <w:szCs w:val="15"/>
          <w:color w:val="231F20"/>
        </w:rPr>
        <w:t xml:space="preserve"> ǌ</w:t>
      </w:r>
      <w:r>
        <w:rPr>
          <w:rFonts w:ascii="Arial" w:cs="Arial" w:eastAsia="Arial" w:hAnsi="Arial"/>
          <w:sz w:val="15"/>
          <w:szCs w:val="15"/>
          <w:color w:val="231F20"/>
        </w:rPr>
        <w:t>ȉ</w:t>
      </w:r>
      <w:r>
        <w:rPr>
          <w:rFonts w:ascii="Arial" w:cs="Arial" w:eastAsia="Arial" w:hAnsi="Arial"/>
          <w:sz w:val="15"/>
          <w:szCs w:val="15"/>
          <w:color w:val="231F20"/>
        </w:rPr>
        <w:t>Ƥɍȷ ȉǾ</w:t>
      </w:r>
      <w:r>
        <w:rPr>
          <w:rFonts w:ascii="Arial" w:cs="Arial" w:eastAsia="Arial" w:hAnsi="Arial"/>
          <w:sz w:val="15"/>
          <w:szCs w:val="15"/>
          <w:color w:val="231F20"/>
        </w:rPr>
        <w:t xml:space="preserve"> </w:t>
      </w:r>
      <w:r>
        <w:rPr>
          <w:rFonts w:ascii="Arial" w:cs="Arial" w:eastAsia="Arial" w:hAnsi="Arial"/>
          <w:sz w:val="15"/>
          <w:szCs w:val="15"/>
          <w:color w:val="231F20"/>
        </w:rPr>
        <w:t>ƫȯǛ</w:t>
      </w:r>
      <w:r>
        <w:rPr>
          <w:rFonts w:ascii="Arial" w:cs="Arial" w:eastAsia="Arial" w:hAnsi="Arial"/>
          <w:sz w:val="15"/>
          <w:szCs w:val="15"/>
          <w:color w:val="231F20"/>
        </w:rPr>
        <w:t>ɥ</w:t>
      </w:r>
      <w:r>
        <w:rPr>
          <w:rFonts w:ascii="Arial" w:cs="Arial" w:eastAsia="Arial" w:hAnsi="Arial"/>
          <w:sz w:val="15"/>
          <w:szCs w:val="15"/>
          <w:color w:val="231F20"/>
        </w:rPr>
        <w:t>Ǜ</w:t>
      </w:r>
      <w:r>
        <w:rPr>
          <w:rFonts w:ascii="Arial" w:cs="Arial" w:eastAsia="Arial" w:hAnsi="Arial"/>
          <w:sz w:val="15"/>
          <w:szCs w:val="15"/>
          <w:color w:val="231F20"/>
        </w:rPr>
        <w:t>Ǿ</w:t>
      </w:r>
      <w:r>
        <w:rPr>
          <w:rFonts w:ascii="Arial" w:cs="Arial" w:eastAsia="Arial" w:hAnsi="Arial"/>
          <w:sz w:val="15"/>
          <w:szCs w:val="15"/>
          <w:color w:val="231F20"/>
        </w:rPr>
        <w:t>Ǎ ƫ</w:t>
      </w:r>
      <w:r>
        <w:rPr>
          <w:rFonts w:ascii="Arial" w:cs="Arial" w:eastAsia="Arial" w:hAnsi="Arial"/>
          <w:sz w:val="15"/>
          <w:szCs w:val="15"/>
          <w:color w:val="231F20"/>
        </w:rPr>
        <w:t xml:space="preserve"> </w:t>
      </w:r>
      <w:r>
        <w:rPr>
          <w:rFonts w:ascii="Arial" w:cs="Arial" w:eastAsia="Arial" w:hAnsi="Arial"/>
          <w:sz w:val="15"/>
          <w:szCs w:val="15"/>
          <w:color w:val="231F20"/>
        </w:rPr>
        <w:t>Ƈɬ</w:t>
      </w:r>
      <w:r>
        <w:rPr>
          <w:rFonts w:ascii="Arial" w:cs="Arial" w:eastAsia="Arial" w:hAnsi="Arial"/>
          <w:sz w:val="15"/>
          <w:szCs w:val="15"/>
          <w:color w:val="231F20"/>
        </w:rPr>
        <w:t>ع</w:t>
      </w:r>
      <w:r>
        <w:rPr>
          <w:rFonts w:ascii="Arial" w:cs="Arial" w:eastAsia="Arial" w:hAnsi="Arial"/>
          <w:sz w:val="15"/>
          <w:szCs w:val="15"/>
          <w:color w:val="231F20"/>
        </w:rPr>
        <w:t>Ʌ</w:t>
      </w:r>
      <w:r>
        <w:rPr>
          <w:rFonts w:ascii="Arial" w:cs="Arial" w:eastAsia="Arial" w:hAnsi="Arial"/>
          <w:sz w:val="15"/>
          <w:szCs w:val="15"/>
          <w:color w:val="231F20"/>
        </w:rPr>
        <w:t>ȉع</w:t>
      </w:r>
      <w:r>
        <w:rPr>
          <w:rFonts w:ascii="Arial" w:cs="Arial" w:eastAsia="Arial" w:hAnsi="Arial"/>
          <w:sz w:val="15"/>
          <w:szCs w:val="15"/>
          <w:color w:val="231F20"/>
        </w:rPr>
        <w:t>ƫƇ</w:t>
      </w:r>
      <w:r>
        <w:rPr>
          <w:rFonts w:ascii="Arial" w:cs="Arial" w:eastAsia="Arial" w:hAnsi="Arial"/>
          <w:sz w:val="15"/>
          <w:szCs w:val="15"/>
          <w:color w:val="231F20"/>
        </w:rPr>
        <w:t>ɬ Ȭ</w:t>
      </w:r>
      <w:r>
        <w:rPr>
          <w:rFonts w:ascii="Arial" w:cs="Arial" w:eastAsia="Arial" w:hAnsi="Arial"/>
          <w:sz w:val="15"/>
          <w:szCs w:val="15"/>
          <w:color w:val="231F20"/>
        </w:rPr>
        <w:t>Ʋ</w:t>
      </w:r>
      <w:r>
        <w:rPr>
          <w:rFonts w:ascii="Arial" w:cs="Arial" w:eastAsia="Arial" w:hAnsi="Arial"/>
          <w:sz w:val="15"/>
          <w:szCs w:val="15"/>
          <w:color w:val="231F20"/>
        </w:rPr>
        <w:t>ȯǌ</w:t>
      </w:r>
      <w:r>
        <w:rPr>
          <w:rFonts w:ascii="Arial" w:cs="Arial" w:eastAsia="Arial" w:hAnsi="Arial"/>
          <w:sz w:val="15"/>
          <w:szCs w:val="15"/>
          <w:color w:val="231F20"/>
        </w:rPr>
        <w:t>ȉȯǼƇ ǾƤƲؙ</w:t>
      </w:r>
      <w:r>
        <w:rPr>
          <w:rFonts w:ascii="Arial" w:cs="Arial" w:eastAsia="Arial" w:hAnsi="Arial"/>
          <w:sz w:val="15"/>
          <w:szCs w:val="15"/>
          <w:color w:val="231F20"/>
        </w:rPr>
        <w:t xml:space="preserve"> </w:t>
      </w:r>
      <w:r>
        <w:rPr>
          <w:rFonts w:ascii="Arial" w:cs="Arial" w:eastAsia="Arial" w:hAnsi="Arial"/>
          <w:sz w:val="15"/>
          <w:szCs w:val="15"/>
          <w:color w:val="231F20"/>
        </w:rPr>
        <w:t>Ǜ</w:t>
      </w:r>
      <w:r>
        <w:rPr>
          <w:rFonts w:ascii="Arial" w:cs="Arial" w:eastAsia="Arial" w:hAnsi="Arial"/>
          <w:sz w:val="15"/>
          <w:szCs w:val="15"/>
          <w:color w:val="231F20"/>
        </w:rPr>
        <w:t>ǼȬȯ</w:t>
      </w:r>
      <w:r>
        <w:rPr>
          <w:rFonts w:ascii="Arial" w:cs="Arial" w:eastAsia="Arial" w:hAnsi="Arial"/>
          <w:sz w:val="15"/>
          <w:szCs w:val="15"/>
          <w:color w:val="231F20"/>
        </w:rPr>
        <w:t>ȉ</w:t>
      </w:r>
      <w:r>
        <w:rPr>
          <w:rFonts w:ascii="Arial" w:cs="Arial" w:eastAsia="Arial" w:hAnsi="Arial"/>
          <w:sz w:val="15"/>
          <w:szCs w:val="15"/>
          <w:color w:val="231F20"/>
        </w:rPr>
        <w:t>ɥ</w:t>
      </w:r>
      <w:r>
        <w:rPr>
          <w:rFonts w:ascii="Arial" w:cs="Arial" w:eastAsia="Arial" w:hAnsi="Arial"/>
          <w:sz w:val="15"/>
          <w:szCs w:val="15"/>
          <w:color w:val="231F20"/>
        </w:rPr>
        <w:t>ƲǼƲǾ</w:t>
      </w:r>
      <w:r>
        <w:rPr>
          <w:rFonts w:ascii="Arial" w:cs="Arial" w:eastAsia="Arial" w:hAnsi="Arial"/>
          <w:sz w:val="15"/>
          <w:szCs w:val="15"/>
          <w:color w:val="231F20"/>
        </w:rPr>
        <w:t>Ʌȷ</w:t>
      </w:r>
      <w:r>
        <w:rPr>
          <w:rFonts w:ascii="Arial" w:cs="Arial" w:eastAsia="Arial" w:hAnsi="Arial"/>
          <w:sz w:val="15"/>
          <w:szCs w:val="15"/>
          <w:color w:val="231F20"/>
        </w:rPr>
        <w:t xml:space="preserve"> </w:t>
      </w:r>
      <w:r>
        <w:rPr>
          <w:rFonts w:ascii="Arial" w:cs="Arial" w:eastAsia="Arial" w:hAnsi="Arial"/>
          <w:sz w:val="15"/>
          <w:szCs w:val="15"/>
          <w:color w:val="231F20"/>
        </w:rPr>
        <w:t>Ƈ</w:t>
      </w:r>
      <w:r>
        <w:rPr>
          <w:rFonts w:ascii="Arial" w:cs="Arial" w:eastAsia="Arial" w:hAnsi="Arial"/>
          <w:sz w:val="15"/>
          <w:szCs w:val="15"/>
          <w:color w:val="231F20"/>
        </w:rPr>
        <w:t>Ǿ</w:t>
      </w:r>
      <w:r>
        <w:rPr>
          <w:rFonts w:ascii="Arial" w:cs="Arial" w:eastAsia="Arial" w:hAnsi="Arial"/>
          <w:sz w:val="15"/>
          <w:szCs w:val="15"/>
          <w:color w:val="231F20"/>
        </w:rPr>
        <w:t>ƫ</w:t>
      </w:r>
      <w:r>
        <w:rPr>
          <w:rFonts w:ascii="Arial" w:cs="Arial" w:eastAsia="Arial" w:hAnsi="Arial"/>
          <w:sz w:val="15"/>
          <w:szCs w:val="15"/>
          <w:color w:val="231F20"/>
        </w:rPr>
        <w:t xml:space="preserve"> ƲɫƲƤɍɅǛȉǾ Ǜ</w:t>
      </w:r>
      <w:r>
        <w:rPr>
          <w:rFonts w:ascii="Arial" w:cs="Arial" w:eastAsia="Arial" w:hAnsi="Arial"/>
          <w:sz w:val="15"/>
          <w:szCs w:val="15"/>
          <w:color w:val="231F20"/>
        </w:rPr>
        <w:t>Ǿ</w:t>
      </w:r>
      <w:r>
        <w:rPr>
          <w:rFonts w:ascii="Arial" w:cs="Arial" w:eastAsia="Arial" w:hAnsi="Arial"/>
          <w:sz w:val="15"/>
          <w:szCs w:val="15"/>
          <w:color w:val="231F20"/>
        </w:rPr>
        <w:t xml:space="preserve"> ȉɍȯ Ƥ</w:t>
      </w:r>
      <w:r>
        <w:rPr>
          <w:rFonts w:ascii="Arial" w:cs="Arial" w:eastAsia="Arial" w:hAnsi="Arial"/>
          <w:sz w:val="15"/>
          <w:szCs w:val="15"/>
          <w:color w:val="231F20"/>
        </w:rPr>
        <w:t>ȉǼ</w:t>
      </w:r>
      <w:r>
        <w:rPr>
          <w:rFonts w:ascii="Arial" w:cs="Arial" w:eastAsia="Arial" w:hAnsi="Arial"/>
          <w:sz w:val="15"/>
          <w:szCs w:val="15"/>
          <w:color w:val="231F20"/>
        </w:rPr>
        <w:t>ǼƲȯƤ</w:t>
      </w:r>
      <w:r>
        <w:rPr>
          <w:rFonts w:ascii="Arial" w:cs="Arial" w:eastAsia="Arial" w:hAnsi="Arial"/>
          <w:sz w:val="15"/>
          <w:szCs w:val="15"/>
          <w:color w:val="231F20"/>
        </w:rPr>
        <w:t>ǛƇ</w:t>
      </w:r>
      <w:r>
        <w:rPr>
          <w:rFonts w:ascii="Arial" w:cs="Arial" w:eastAsia="Arial" w:hAnsi="Arial"/>
          <w:sz w:val="15"/>
          <w:szCs w:val="15"/>
          <w:color w:val="231F20"/>
        </w:rPr>
        <w:t>ǳ ȉ</w:t>
      </w:r>
      <w:r>
        <w:rPr>
          <w:rFonts w:ascii="Arial" w:cs="Arial" w:eastAsia="Arial" w:hAnsi="Arial"/>
          <w:sz w:val="15"/>
          <w:szCs w:val="15"/>
          <w:color w:val="231F20"/>
        </w:rPr>
        <w:t>Ȭ</w:t>
      </w:r>
      <w:r>
        <w:rPr>
          <w:rFonts w:ascii="Arial" w:cs="Arial" w:eastAsia="Arial" w:hAnsi="Arial"/>
          <w:sz w:val="15"/>
          <w:szCs w:val="15"/>
          <w:color w:val="231F20"/>
        </w:rPr>
        <w:t>ƲȯƇɅ</w:t>
      </w:r>
      <w:r>
        <w:rPr>
          <w:rFonts w:ascii="Arial" w:cs="Arial" w:eastAsia="Arial" w:hAnsi="Arial"/>
          <w:sz w:val="15"/>
          <w:szCs w:val="15"/>
          <w:color w:val="231F20"/>
        </w:rPr>
        <w:t>Ǜ</w:t>
      </w:r>
      <w:r>
        <w:rPr>
          <w:rFonts w:ascii="Arial" w:cs="Arial" w:eastAsia="Arial" w:hAnsi="Arial"/>
          <w:sz w:val="15"/>
          <w:szCs w:val="15"/>
          <w:color w:val="231F20"/>
        </w:rPr>
        <w:t>ȉǾ</w:t>
      </w:r>
      <w:r>
        <w:rPr>
          <w:rFonts w:ascii="Arial" w:cs="Arial" w:eastAsia="Arial" w:hAnsi="Arial"/>
          <w:sz w:val="15"/>
          <w:szCs w:val="15"/>
          <w:color w:val="231F20"/>
        </w:rPr>
        <w:t>ȷ</w:t>
      </w:r>
      <w:r>
        <w:rPr>
          <w:rFonts w:ascii="Arial" w:cs="Arial" w:eastAsia="Arial" w:hAnsi="Arial"/>
          <w:sz w:val="15"/>
          <w:szCs w:val="15"/>
          <w:color w:val="231F20"/>
        </w:rPr>
        <w:t xml:space="preserve">ؘ </w:t>
      </w:r>
      <w:r>
        <w:rPr>
          <w:rFonts w:ascii="Arial" w:cs="Arial" w:eastAsia="Arial" w:hAnsi="Arial"/>
          <w:sz w:val="15"/>
          <w:szCs w:val="15"/>
          <w:color w:val="231F20"/>
        </w:rPr>
        <w:t>Ä</w:t>
      </w:r>
      <w:r>
        <w:rPr>
          <w:rFonts w:ascii="Arial" w:cs="Arial" w:eastAsia="Arial" w:hAnsi="Arial"/>
          <w:sz w:val="15"/>
          <w:szCs w:val="15"/>
          <w:color w:val="231F20"/>
        </w:rPr>
        <w:t xml:space="preserve"> </w:t>
      </w:r>
      <w:r>
        <w:rPr>
          <w:rFonts w:ascii="Arial" w:cs="Arial" w:eastAsia="Arial" w:hAnsi="Arial"/>
          <w:sz w:val="15"/>
          <w:szCs w:val="15"/>
          <w:color w:val="231F20"/>
        </w:rPr>
        <w:t>Ǿ</w:t>
      </w:r>
      <w:r>
        <w:rPr>
          <w:rFonts w:ascii="Arial" w:cs="Arial" w:eastAsia="Arial" w:hAnsi="Arial"/>
          <w:sz w:val="15"/>
          <w:szCs w:val="15"/>
          <w:color w:val="231F20"/>
        </w:rPr>
        <w:t>ƫƲȯ tƇ</w:t>
      </w:r>
      <w:r>
        <w:rPr>
          <w:rFonts w:ascii="Arial" w:cs="Arial" w:eastAsia="Arial" w:hAnsi="Arial"/>
          <w:sz w:val="15"/>
          <w:szCs w:val="15"/>
          <w:color w:val="231F20"/>
        </w:rPr>
        <w:t>ɅɅ</w:t>
      </w:r>
      <w:r>
        <w:rPr>
          <w:rFonts w:ascii="Arial" w:cs="Arial" w:eastAsia="Arial" w:hAnsi="Arial"/>
          <w:sz w:val="15"/>
          <w:szCs w:val="15"/>
          <w:color w:val="231F20"/>
        </w:rPr>
        <w:t>ىȷ ǳ</w:t>
      </w:r>
      <w:r>
        <w:rPr>
          <w:rFonts w:ascii="Arial" w:cs="Arial" w:eastAsia="Arial" w:hAnsi="Arial"/>
          <w:sz w:val="15"/>
          <w:szCs w:val="15"/>
          <w:color w:val="231F20"/>
        </w:rPr>
        <w:t>Ʋ</w:t>
      </w:r>
      <w:r>
        <w:rPr>
          <w:rFonts w:ascii="Arial" w:cs="Arial" w:eastAsia="Arial" w:hAnsi="Arial"/>
          <w:sz w:val="15"/>
          <w:szCs w:val="15"/>
          <w:color w:val="231F20"/>
        </w:rPr>
        <w:t>Ƈƫ</w:t>
      </w:r>
      <w:r>
        <w:rPr>
          <w:rFonts w:ascii="Arial" w:cs="Arial" w:eastAsia="Arial" w:hAnsi="Arial"/>
          <w:sz w:val="15"/>
          <w:szCs w:val="15"/>
          <w:color w:val="231F20"/>
        </w:rPr>
        <w:t>Ʋ</w:t>
      </w:r>
      <w:r>
        <w:rPr>
          <w:rFonts w:ascii="Arial" w:cs="Arial" w:eastAsia="Arial" w:hAnsi="Arial"/>
          <w:sz w:val="15"/>
          <w:szCs w:val="15"/>
          <w:color w:val="231F20"/>
        </w:rPr>
        <w:t>ȯ</w:t>
      </w:r>
      <w:r>
        <w:rPr>
          <w:rFonts w:ascii="Arial" w:cs="Arial" w:eastAsia="Arial" w:hAnsi="Arial"/>
          <w:sz w:val="15"/>
          <w:szCs w:val="15"/>
          <w:color w:val="231F20"/>
        </w:rPr>
        <w:t>ȷ</w:t>
      </w:r>
      <w:r>
        <w:rPr>
          <w:rFonts w:ascii="Arial" w:cs="Arial" w:eastAsia="Arial" w:hAnsi="Arial"/>
          <w:sz w:val="15"/>
          <w:szCs w:val="15"/>
          <w:color w:val="231F20"/>
        </w:rPr>
        <w:t>Ǖ</w:t>
      </w:r>
      <w:r>
        <w:rPr>
          <w:rFonts w:ascii="Arial" w:cs="Arial" w:eastAsia="Arial" w:hAnsi="Arial"/>
          <w:sz w:val="15"/>
          <w:szCs w:val="15"/>
          <w:color w:val="231F20"/>
        </w:rPr>
        <w:t>Ǜ</w:t>
      </w:r>
      <w:r>
        <w:rPr>
          <w:rFonts w:ascii="Arial" w:cs="Arial" w:eastAsia="Arial" w:hAnsi="Arial"/>
          <w:sz w:val="15"/>
          <w:szCs w:val="15"/>
          <w:color w:val="231F20"/>
        </w:rPr>
        <w:t>Ȭ</w:t>
      </w:r>
      <w:r>
        <w:rPr>
          <w:rFonts w:ascii="Arial" w:cs="Arial" w:eastAsia="Arial" w:hAnsi="Arial"/>
          <w:sz w:val="15"/>
          <w:szCs w:val="15"/>
          <w:color w:val="231F20"/>
        </w:rPr>
        <w:t xml:space="preserve"> </w:t>
      </w:r>
      <w:r>
        <w:rPr>
          <w:rFonts w:ascii="Arial" w:cs="Arial" w:eastAsia="Arial" w:hAnsi="Arial"/>
          <w:sz w:val="15"/>
          <w:szCs w:val="15"/>
          <w:color w:val="231F20"/>
        </w:rPr>
        <w:t>Ʌȉ</w:t>
      </w:r>
      <w:r>
        <w:rPr>
          <w:rFonts w:ascii="Arial" w:cs="Arial" w:eastAsia="Arial" w:hAnsi="Arial"/>
          <w:sz w:val="15"/>
          <w:szCs w:val="15"/>
          <w:color w:val="231F20"/>
        </w:rPr>
        <w:t>ع</w:t>
      </w:r>
      <w:r>
        <w:rPr>
          <w:rFonts w:ascii="Arial" w:cs="Arial" w:eastAsia="Arial" w:hAnsi="Arial"/>
          <w:sz w:val="15"/>
          <w:szCs w:val="15"/>
          <w:color w:val="231F20"/>
        </w:rPr>
        <w:t>ƫ</w:t>
      </w:r>
      <w:r>
        <w:rPr>
          <w:rFonts w:ascii="Arial" w:cs="Arial" w:eastAsia="Arial" w:hAnsi="Arial"/>
          <w:sz w:val="15"/>
          <w:szCs w:val="15"/>
          <w:color w:val="231F20"/>
        </w:rPr>
        <w:t>Ƈ</w:t>
      </w:r>
      <w:r>
        <w:rPr>
          <w:rFonts w:ascii="Arial" w:cs="Arial" w:eastAsia="Arial" w:hAnsi="Arial"/>
          <w:sz w:val="15"/>
          <w:szCs w:val="15"/>
          <w:color w:val="231F20"/>
        </w:rPr>
        <w:t>Ʌ</w:t>
      </w:r>
      <w:r>
        <w:rPr>
          <w:rFonts w:ascii="Arial" w:cs="Arial" w:eastAsia="Arial" w:hAnsi="Arial"/>
          <w:sz w:val="15"/>
          <w:szCs w:val="15"/>
          <w:color w:val="231F20"/>
        </w:rPr>
        <w:t xml:space="preserve">Ʋؙ ɦƲ </w:t>
      </w:r>
      <w:r>
        <w:rPr>
          <w:rFonts w:ascii="Arial" w:cs="Arial" w:eastAsia="Arial" w:hAnsi="Arial"/>
          <w:sz w:val="15"/>
          <w:szCs w:val="15"/>
          <w:color w:val="231F20"/>
        </w:rPr>
        <w:t>Ǖ</w:t>
      </w:r>
      <w:r>
        <w:rPr>
          <w:rFonts w:ascii="Arial" w:cs="Arial" w:eastAsia="Arial" w:hAnsi="Arial"/>
          <w:sz w:val="15"/>
          <w:szCs w:val="15"/>
          <w:color w:val="231F20"/>
        </w:rPr>
        <w:t>Ƈ</w:t>
      </w:r>
      <w:r>
        <w:rPr>
          <w:rFonts w:ascii="Arial" w:cs="Arial" w:eastAsia="Arial" w:hAnsi="Arial"/>
          <w:sz w:val="15"/>
          <w:szCs w:val="15"/>
          <w:color w:val="231F20"/>
        </w:rPr>
        <w:t>ɥ</w:t>
      </w:r>
      <w:r>
        <w:rPr>
          <w:rFonts w:ascii="Arial" w:cs="Arial" w:eastAsia="Arial" w:hAnsi="Arial"/>
          <w:sz w:val="15"/>
          <w:szCs w:val="15"/>
          <w:color w:val="231F20"/>
        </w:rPr>
        <w:t xml:space="preserve">Ʋ </w:t>
      </w:r>
      <w:r>
        <w:rPr>
          <w:rFonts w:ascii="Arial" w:cs="Arial" w:eastAsia="Arial" w:hAnsi="Arial"/>
          <w:sz w:val="15"/>
          <w:szCs w:val="15"/>
          <w:color w:val="231F20"/>
        </w:rPr>
        <w:t>Ʌ</w:t>
      </w:r>
      <w:r>
        <w:rPr>
          <w:rFonts w:ascii="Arial" w:cs="Arial" w:eastAsia="Arial" w:hAnsi="Arial"/>
          <w:sz w:val="15"/>
          <w:szCs w:val="15"/>
          <w:color w:val="231F20"/>
        </w:rPr>
        <w:t>ǛǍ</w:t>
      </w:r>
      <w:r>
        <w:rPr>
          <w:rFonts w:ascii="Arial" w:cs="Arial" w:eastAsia="Arial" w:hAnsi="Arial"/>
          <w:sz w:val="15"/>
          <w:szCs w:val="15"/>
          <w:color w:val="231F20"/>
        </w:rPr>
        <w:t>ǕɅǳ</w:t>
      </w:r>
      <w:r>
        <w:rPr>
          <w:rFonts w:ascii="Arial" w:cs="Arial" w:eastAsia="Arial" w:hAnsi="Arial"/>
          <w:sz w:val="15"/>
          <w:szCs w:val="15"/>
          <w:color w:val="231F20"/>
        </w:rPr>
        <w:t xml:space="preserve">ɬ </w:t>
      </w:r>
      <w:r>
        <w:rPr>
          <w:rFonts w:ascii="Arial" w:cs="Arial" w:eastAsia="Arial" w:hAnsi="Arial"/>
          <w:sz w:val="15"/>
          <w:szCs w:val="15"/>
          <w:color w:val="231F20"/>
        </w:rPr>
        <w:t>ǌ</w:t>
      </w:r>
      <w:r>
        <w:rPr>
          <w:rFonts w:ascii="Arial" w:cs="Arial" w:eastAsia="Arial" w:hAnsi="Arial"/>
          <w:sz w:val="15"/>
          <w:szCs w:val="15"/>
          <w:color w:val="231F20"/>
        </w:rPr>
        <w:t>ȉ</w:t>
      </w:r>
      <w:r>
        <w:rPr>
          <w:rFonts w:ascii="Arial" w:cs="Arial" w:eastAsia="Arial" w:hAnsi="Arial"/>
          <w:sz w:val="15"/>
          <w:szCs w:val="15"/>
          <w:color w:val="231F20"/>
        </w:rPr>
        <w:t>Ƥɍ</w:t>
      </w:r>
      <w:r>
        <w:rPr>
          <w:rFonts w:ascii="Arial" w:cs="Arial" w:eastAsia="Arial" w:hAnsi="Arial"/>
          <w:sz w:val="15"/>
          <w:szCs w:val="15"/>
          <w:color w:val="231F20"/>
        </w:rPr>
        <w:t>ȷ</w:t>
      </w:r>
      <w:r>
        <w:rPr>
          <w:rFonts w:ascii="Arial" w:cs="Arial" w:eastAsia="Arial" w:hAnsi="Arial"/>
          <w:sz w:val="15"/>
          <w:szCs w:val="15"/>
          <w:color w:val="231F20"/>
        </w:rPr>
        <w:t>Ʋƫ ȉɍ</w:t>
      </w:r>
      <w:r>
        <w:rPr>
          <w:rFonts w:ascii="Arial" w:cs="Arial" w:eastAsia="Arial" w:hAnsi="Arial"/>
          <w:sz w:val="15"/>
          <w:szCs w:val="15"/>
          <w:color w:val="231F20"/>
        </w:rPr>
        <w:t>ȯ Ȭ</w:t>
      </w:r>
      <w:r>
        <w:rPr>
          <w:rFonts w:ascii="Arial" w:cs="Arial" w:eastAsia="Arial" w:hAnsi="Arial"/>
          <w:sz w:val="15"/>
          <w:szCs w:val="15"/>
          <w:color w:val="231F20"/>
        </w:rPr>
        <w:t xml:space="preserve"> </w:t>
      </w:r>
      <w:r>
        <w:rPr>
          <w:rFonts w:ascii="Arial" w:cs="Arial" w:eastAsia="Arial" w:hAnsi="Arial"/>
          <w:sz w:val="15"/>
          <w:szCs w:val="15"/>
          <w:color w:val="231F20"/>
        </w:rPr>
        <w:t>ȯǛ</w:t>
      </w:r>
      <w:r>
        <w:rPr>
          <w:rFonts w:ascii="Arial" w:cs="Arial" w:eastAsia="Arial" w:hAnsi="Arial"/>
          <w:sz w:val="15"/>
          <w:szCs w:val="15"/>
          <w:color w:val="231F20"/>
        </w:rPr>
        <w:t>ȉȯ</w:t>
      </w:r>
      <w:r>
        <w:rPr>
          <w:rFonts w:ascii="Arial" w:cs="Arial" w:eastAsia="Arial" w:hAnsi="Arial"/>
          <w:sz w:val="15"/>
          <w:szCs w:val="15"/>
          <w:color w:val="231F20"/>
        </w:rPr>
        <w:t>ǛɅ</w:t>
      </w:r>
      <w:r>
        <w:rPr>
          <w:rFonts w:ascii="Arial" w:cs="Arial" w:eastAsia="Arial" w:hAnsi="Arial"/>
          <w:sz w:val="15"/>
          <w:szCs w:val="15"/>
          <w:color w:val="231F20"/>
        </w:rPr>
        <w:t>Ǜ</w:t>
      </w:r>
      <w:r>
        <w:rPr>
          <w:rFonts w:ascii="Arial" w:cs="Arial" w:eastAsia="Arial" w:hAnsi="Arial"/>
          <w:sz w:val="15"/>
          <w:szCs w:val="15"/>
          <w:color w:val="231F20"/>
        </w:rPr>
        <w:t>Ʋ</w:t>
      </w:r>
      <w:r>
        <w:rPr>
          <w:rFonts w:ascii="Arial" w:cs="Arial" w:eastAsia="Arial" w:hAnsi="Arial"/>
          <w:sz w:val="15"/>
          <w:szCs w:val="15"/>
          <w:color w:val="231F20"/>
        </w:rPr>
        <w:t>ȷ ƇǾ</w:t>
      </w:r>
      <w:r>
        <w:rPr>
          <w:rFonts w:ascii="Arial" w:cs="Arial" w:eastAsia="Arial" w:hAnsi="Arial"/>
          <w:sz w:val="15"/>
          <w:szCs w:val="15"/>
          <w:color w:val="231F20"/>
        </w:rPr>
        <w:t>ƫ ƣ</w:t>
      </w:r>
      <w:r>
        <w:rPr>
          <w:rFonts w:ascii="Arial" w:cs="Arial" w:eastAsia="Arial" w:hAnsi="Arial"/>
          <w:sz w:val="15"/>
          <w:szCs w:val="15"/>
          <w:color w:val="231F20"/>
        </w:rPr>
        <w:t>ȯȉɍǍǕ</w:t>
      </w:r>
      <w:r>
        <w:rPr>
          <w:rFonts w:ascii="Arial" w:cs="Arial" w:eastAsia="Arial" w:hAnsi="Arial"/>
          <w:sz w:val="15"/>
          <w:szCs w:val="15"/>
          <w:color w:val="231F20"/>
        </w:rPr>
        <w:t>Ʌ</w:t>
      </w:r>
      <w:r>
        <w:rPr>
          <w:rFonts w:ascii="Arial" w:cs="Arial" w:eastAsia="Arial" w:hAnsi="Arial"/>
          <w:sz w:val="15"/>
          <w:szCs w:val="15"/>
          <w:color w:val="231F20"/>
        </w:rPr>
        <w:t xml:space="preserve"> Ʋ</w:t>
      </w:r>
      <w:r>
        <w:rPr>
          <w:rFonts w:ascii="Arial" w:cs="Arial" w:eastAsia="Arial" w:hAnsi="Arial"/>
          <w:sz w:val="15"/>
          <w:szCs w:val="15"/>
          <w:color w:val="231F20"/>
        </w:rPr>
        <w:t>Ǿ</w:t>
      </w:r>
      <w:r>
        <w:rPr>
          <w:rFonts w:ascii="Arial" w:cs="Arial" w:eastAsia="Arial" w:hAnsi="Arial"/>
          <w:sz w:val="15"/>
          <w:szCs w:val="15"/>
          <w:color w:val="231F20"/>
        </w:rPr>
        <w:t>Ʋ</w:t>
      </w:r>
      <w:r>
        <w:rPr>
          <w:rFonts w:ascii="Arial" w:cs="Arial" w:eastAsia="Arial" w:hAnsi="Arial"/>
          <w:sz w:val="15"/>
          <w:szCs w:val="15"/>
          <w:color w:val="231F20"/>
        </w:rPr>
        <w:t>ȯ</w:t>
      </w:r>
      <w:r>
        <w:rPr>
          <w:rFonts w:ascii="Arial" w:cs="Arial" w:eastAsia="Arial" w:hAnsi="Arial"/>
          <w:sz w:val="15"/>
          <w:szCs w:val="15"/>
          <w:color w:val="231F20"/>
        </w:rPr>
        <w:t>Ǎ</w:t>
      </w:r>
      <w:r>
        <w:rPr>
          <w:rFonts w:ascii="Arial" w:cs="Arial" w:eastAsia="Arial" w:hAnsi="Arial"/>
          <w:sz w:val="15"/>
          <w:szCs w:val="15"/>
          <w:color w:val="231F20"/>
        </w:rPr>
        <w:t>ɬ</w:t>
      </w:r>
      <w:r>
        <w:rPr>
          <w:rFonts w:ascii="Arial" w:cs="Arial" w:eastAsia="Arial" w:hAnsi="Arial"/>
          <w:sz w:val="15"/>
          <w:szCs w:val="15"/>
          <w:color w:val="231F20"/>
        </w:rPr>
        <w:t xml:space="preserve"> ƇǾ</w:t>
      </w:r>
      <w:r>
        <w:rPr>
          <w:rFonts w:ascii="Arial" w:cs="Arial" w:eastAsia="Arial" w:hAnsi="Arial"/>
          <w:sz w:val="15"/>
          <w:szCs w:val="15"/>
          <w:color w:val="231F20"/>
        </w:rPr>
        <w:t>ƫ</w:t>
      </w:r>
      <w:r>
        <w:rPr>
          <w:rFonts w:ascii="Arial" w:cs="Arial" w:eastAsia="Arial" w:hAnsi="Arial"/>
          <w:sz w:val="15"/>
          <w:szCs w:val="15"/>
          <w:color w:val="231F20"/>
        </w:rPr>
        <w:t xml:space="preserve"> </w:t>
      </w:r>
      <w:r>
        <w:rPr>
          <w:rFonts w:ascii="Arial" w:cs="Arial" w:eastAsia="Arial" w:hAnsi="Arial"/>
          <w:sz w:val="15"/>
          <w:szCs w:val="15"/>
          <w:color w:val="231F20"/>
        </w:rPr>
        <w:t>Ʋ</w:t>
      </w:r>
      <w:r>
        <w:rPr>
          <w:rFonts w:ascii="Arial" w:cs="Arial" w:eastAsia="Arial" w:hAnsi="Arial"/>
          <w:sz w:val="15"/>
          <w:szCs w:val="15"/>
          <w:color w:val="231F20"/>
        </w:rPr>
        <w:t>ǾǕ</w:t>
      </w:r>
      <w:r>
        <w:rPr>
          <w:rFonts w:ascii="Arial" w:cs="Arial" w:eastAsia="Arial" w:hAnsi="Arial"/>
          <w:sz w:val="15"/>
          <w:szCs w:val="15"/>
          <w:color w:val="231F20"/>
        </w:rPr>
        <w:t>Ƈ</w:t>
      </w:r>
      <w:r>
        <w:rPr>
          <w:rFonts w:ascii="Arial" w:cs="Arial" w:eastAsia="Arial" w:hAnsi="Arial"/>
          <w:sz w:val="15"/>
          <w:szCs w:val="15"/>
          <w:color w:val="231F20"/>
        </w:rPr>
        <w:t>Ǿ</w:t>
      </w:r>
      <w:r>
        <w:rPr>
          <w:rFonts w:ascii="Arial" w:cs="Arial" w:eastAsia="Arial" w:hAnsi="Arial"/>
          <w:sz w:val="15"/>
          <w:szCs w:val="15"/>
          <w:color w:val="231F20"/>
        </w:rPr>
        <w:t>ƤƲƫ ƤƇƫƲ</w:t>
      </w:r>
      <w:r>
        <w:rPr>
          <w:rFonts w:ascii="Arial" w:cs="Arial" w:eastAsia="Arial" w:hAnsi="Arial"/>
          <w:sz w:val="15"/>
          <w:szCs w:val="15"/>
          <w:color w:val="231F20"/>
        </w:rPr>
        <w:t>Ǿ</w:t>
      </w:r>
      <w:r>
        <w:rPr>
          <w:rFonts w:ascii="Arial" w:cs="Arial" w:eastAsia="Arial" w:hAnsi="Arial"/>
          <w:sz w:val="15"/>
          <w:szCs w:val="15"/>
          <w:color w:val="231F20"/>
        </w:rPr>
        <w:t>Ƥ</w:t>
      </w:r>
      <w:r>
        <w:rPr>
          <w:rFonts w:ascii="Arial" w:cs="Arial" w:eastAsia="Arial" w:hAnsi="Arial"/>
          <w:sz w:val="15"/>
          <w:szCs w:val="15"/>
          <w:color w:val="231F20"/>
        </w:rPr>
        <w:t>Ʋ Ʌ</w:t>
      </w:r>
      <w:r>
        <w:rPr>
          <w:rFonts w:ascii="Arial" w:cs="Arial" w:eastAsia="Arial" w:hAnsi="Arial"/>
          <w:sz w:val="15"/>
          <w:szCs w:val="15"/>
          <w:color w:val="231F20"/>
        </w:rPr>
        <w:t>ȉ ȉɍȯ</w:t>
      </w:r>
      <w:r>
        <w:rPr>
          <w:rFonts w:ascii="Arial" w:cs="Arial" w:eastAsia="Arial" w:hAnsi="Arial"/>
          <w:sz w:val="15"/>
          <w:szCs w:val="15"/>
          <w:color w:val="231F20"/>
        </w:rPr>
        <w:t xml:space="preserve"> ƫƲƤǛȷ</w:t>
      </w:r>
      <w:r>
        <w:rPr>
          <w:rFonts w:ascii="Arial" w:cs="Arial" w:eastAsia="Arial" w:hAnsi="Arial"/>
          <w:sz w:val="15"/>
          <w:szCs w:val="15"/>
          <w:color w:val="231F20"/>
        </w:rPr>
        <w:t>Ǜ</w:t>
      </w:r>
      <w:r>
        <w:rPr>
          <w:rFonts w:ascii="Arial" w:cs="Arial" w:eastAsia="Arial" w:hAnsi="Arial"/>
          <w:sz w:val="15"/>
          <w:szCs w:val="15"/>
          <w:color w:val="231F20"/>
        </w:rPr>
        <w:t>ȉ Ǿ Ǽ</w:t>
      </w:r>
      <w:r>
        <w:rPr>
          <w:rFonts w:ascii="Arial" w:cs="Arial" w:eastAsia="Arial" w:hAnsi="Arial"/>
          <w:sz w:val="15"/>
          <w:szCs w:val="15"/>
          <w:color w:val="231F20"/>
        </w:rPr>
        <w:t xml:space="preserve"> Ƈ</w:t>
      </w:r>
      <w:r>
        <w:rPr>
          <w:rFonts w:ascii="Arial" w:cs="Arial" w:eastAsia="Arial" w:hAnsi="Arial"/>
          <w:sz w:val="15"/>
          <w:szCs w:val="15"/>
          <w:color w:val="231F20"/>
        </w:rPr>
        <w:t>ǯ</w:t>
      </w:r>
      <w:r>
        <w:rPr>
          <w:rFonts w:ascii="Arial" w:cs="Arial" w:eastAsia="Arial" w:hAnsi="Arial"/>
          <w:sz w:val="15"/>
          <w:szCs w:val="15"/>
          <w:color w:val="231F20"/>
        </w:rPr>
        <w:t xml:space="preserve"> </w:t>
      </w:r>
      <w:r>
        <w:rPr>
          <w:rFonts w:ascii="Arial" w:cs="Arial" w:eastAsia="Arial" w:hAnsi="Arial"/>
          <w:sz w:val="15"/>
          <w:szCs w:val="15"/>
          <w:color w:val="231F20"/>
        </w:rPr>
        <w:t>ǾǍ</w:t>
      </w:r>
      <w:r>
        <w:rPr>
          <w:rFonts w:ascii="Arial" w:cs="Arial" w:eastAsia="Arial" w:hAnsi="Arial"/>
          <w:sz w:val="15"/>
          <w:szCs w:val="15"/>
          <w:color w:val="231F20"/>
        </w:rPr>
        <w:t>ؘ</w:t>
      </w:r>
      <w:r>
        <w:rPr>
          <w:rFonts w:ascii="Arial" w:cs="Arial" w:eastAsia="Arial" w:hAnsi="Arial"/>
          <w:sz w:val="15"/>
          <w:szCs w:val="15"/>
          <w:color w:val="231F20"/>
        </w:rPr>
        <w:t xml:space="preserve"> </w:t>
      </w:r>
      <w:r>
        <w:rPr>
          <w:rFonts w:ascii="Arial" w:cs="Arial" w:eastAsia="Arial" w:hAnsi="Arial"/>
          <w:sz w:val="15"/>
          <w:szCs w:val="15"/>
          <w:color w:val="231F20"/>
        </w:rPr>
        <w:t>ÝƲ</w:t>
      </w:r>
      <w:r>
        <w:rPr>
          <w:rFonts w:ascii="Arial" w:cs="Arial" w:eastAsia="Arial" w:hAnsi="Arial"/>
          <w:sz w:val="15"/>
          <w:szCs w:val="15"/>
          <w:color w:val="231F20"/>
        </w:rPr>
        <w:t xml:space="preserve"> </w:t>
      </w:r>
      <w:r>
        <w:rPr>
          <w:rFonts w:ascii="Arial" w:cs="Arial" w:eastAsia="Arial" w:hAnsi="Arial"/>
          <w:sz w:val="15"/>
          <w:szCs w:val="15"/>
          <w:color w:val="231F20"/>
        </w:rPr>
        <w:t>Ƈȯ</w:t>
      </w:r>
      <w:r>
        <w:rPr>
          <w:rFonts w:ascii="Arial" w:cs="Arial" w:eastAsia="Arial" w:hAnsi="Arial"/>
          <w:sz w:val="15"/>
          <w:szCs w:val="15"/>
          <w:color w:val="231F20"/>
        </w:rPr>
        <w:t>Ʋ ƣɍ</w:t>
      </w:r>
      <w:r>
        <w:rPr>
          <w:rFonts w:ascii="Arial" w:cs="Arial" w:eastAsia="Arial" w:hAnsi="Arial"/>
          <w:sz w:val="15"/>
          <w:szCs w:val="15"/>
          <w:color w:val="231F20"/>
        </w:rPr>
        <w:t>ǛǳƫǛǾ</w:t>
      </w:r>
      <w:r>
        <w:rPr>
          <w:rFonts w:ascii="Arial" w:cs="Arial" w:eastAsia="Arial" w:hAnsi="Arial"/>
          <w:sz w:val="15"/>
          <w:szCs w:val="15"/>
          <w:color w:val="231F20"/>
        </w:rPr>
        <w:t xml:space="preserve">Ǎ </w:t>
      </w:r>
      <w:r>
        <w:rPr>
          <w:rFonts w:ascii="Arial" w:cs="Arial" w:eastAsia="Arial" w:hAnsi="Arial"/>
          <w:sz w:val="15"/>
          <w:szCs w:val="15"/>
          <w:color w:val="231F20"/>
        </w:rPr>
        <w:t>ȉǾ</w:t>
      </w:r>
      <w:r>
        <w:rPr>
          <w:rFonts w:ascii="Arial" w:cs="Arial" w:eastAsia="Arial" w:hAnsi="Arial"/>
          <w:sz w:val="15"/>
          <w:szCs w:val="15"/>
          <w:color w:val="231F20"/>
        </w:rPr>
        <w:t xml:space="preserve"> ɅǕ </w:t>
      </w:r>
      <w:r>
        <w:rPr>
          <w:rFonts w:ascii="Arial" w:cs="Arial" w:eastAsia="Arial" w:hAnsi="Arial"/>
          <w:sz w:val="15"/>
          <w:szCs w:val="15"/>
          <w:color w:val="231F20"/>
        </w:rPr>
        <w:t>Ʋ ȷ</w:t>
      </w:r>
      <w:r>
        <w:rPr>
          <w:rFonts w:ascii="Arial" w:cs="Arial" w:eastAsia="Arial" w:hAnsi="Arial"/>
          <w:sz w:val="15"/>
          <w:szCs w:val="15"/>
          <w:color w:val="231F20"/>
        </w:rPr>
        <w:t>Ʌ</w:t>
      </w:r>
      <w:r>
        <w:rPr>
          <w:rFonts w:ascii="Arial" w:cs="Arial" w:eastAsia="Arial" w:hAnsi="Arial"/>
          <w:sz w:val="15"/>
          <w:szCs w:val="15"/>
          <w:color w:val="231F20"/>
        </w:rPr>
        <w:t>ȯ</w:t>
      </w:r>
      <w:r>
        <w:rPr>
          <w:rFonts w:ascii="Arial" w:cs="Arial" w:eastAsia="Arial" w:hAnsi="Arial"/>
          <w:sz w:val="15"/>
          <w:szCs w:val="15"/>
          <w:color w:val="231F20"/>
        </w:rPr>
        <w:t>ƲǾ</w:t>
      </w:r>
      <w:r>
        <w:rPr>
          <w:rFonts w:ascii="Arial" w:cs="Arial" w:eastAsia="Arial" w:hAnsi="Arial"/>
          <w:sz w:val="15"/>
          <w:szCs w:val="15"/>
          <w:color w:val="231F20"/>
        </w:rPr>
        <w:t xml:space="preserve"> </w:t>
      </w:r>
      <w:r>
        <w:rPr>
          <w:rFonts w:ascii="Arial" w:cs="Arial" w:eastAsia="Arial" w:hAnsi="Arial"/>
          <w:sz w:val="15"/>
          <w:szCs w:val="15"/>
          <w:color w:val="231F20"/>
        </w:rPr>
        <w:t>Ǎ</w:t>
      </w:r>
      <w:r>
        <w:rPr>
          <w:rFonts w:ascii="Arial" w:cs="Arial" w:eastAsia="Arial" w:hAnsi="Arial"/>
          <w:sz w:val="15"/>
          <w:szCs w:val="15"/>
          <w:color w:val="231F20"/>
        </w:rPr>
        <w:t>ɅǕ</w:t>
      </w:r>
      <w:r>
        <w:rPr>
          <w:rFonts w:ascii="Arial" w:cs="Arial" w:eastAsia="Arial" w:hAnsi="Arial"/>
          <w:sz w:val="15"/>
          <w:szCs w:val="15"/>
          <w:color w:val="231F20"/>
        </w:rPr>
        <w:t>ȷ ȉ</w:t>
      </w:r>
      <w:r>
        <w:rPr>
          <w:rFonts w:ascii="Arial" w:cs="Arial" w:eastAsia="Arial" w:hAnsi="Arial"/>
          <w:sz w:val="15"/>
          <w:szCs w:val="15"/>
          <w:color w:val="231F20"/>
        </w:rPr>
        <w:t>ǌ t</w:t>
      </w:r>
      <w:r>
        <w:rPr>
          <w:rFonts w:ascii="Arial" w:cs="Arial" w:eastAsia="Arial" w:hAnsi="Arial"/>
          <w:sz w:val="15"/>
          <w:szCs w:val="15"/>
          <w:color w:val="231F20"/>
        </w:rPr>
        <w:t>Ƈ</w:t>
      </w:r>
      <w:r>
        <w:rPr>
          <w:rFonts w:ascii="Arial" w:cs="Arial" w:eastAsia="Arial" w:hAnsi="Arial"/>
          <w:sz w:val="15"/>
          <w:szCs w:val="15"/>
          <w:color w:val="231F20"/>
        </w:rPr>
        <w:t xml:space="preserve"> ȯ</w:t>
      </w:r>
      <w:r>
        <w:rPr>
          <w:rFonts w:ascii="Arial" w:cs="Arial" w:eastAsia="Arial" w:hAnsi="Arial"/>
          <w:sz w:val="15"/>
          <w:szCs w:val="15"/>
          <w:color w:val="231F20"/>
        </w:rPr>
        <w:t>ȯǛ</w:t>
      </w:r>
      <w:r>
        <w:rPr>
          <w:rFonts w:ascii="Arial" w:cs="Arial" w:eastAsia="Arial" w:hAnsi="Arial"/>
          <w:sz w:val="15"/>
          <w:szCs w:val="15"/>
          <w:color w:val="231F20"/>
        </w:rPr>
        <w:t>ȉɅɅ</w:t>
      </w:r>
      <w:r>
        <w:rPr>
          <w:rFonts w:ascii="Arial" w:cs="Arial" w:eastAsia="Arial" w:hAnsi="Arial"/>
          <w:sz w:val="15"/>
          <w:szCs w:val="15"/>
          <w:color w:val="231F20"/>
        </w:rPr>
        <w:t xml:space="preserve"> </w:t>
      </w:r>
      <w:r>
        <w:rPr>
          <w:rFonts w:ascii="Arial" w:cs="Arial" w:eastAsia="Arial" w:hAnsi="Arial"/>
          <w:sz w:val="15"/>
          <w:szCs w:val="15"/>
          <w:color w:val="231F20"/>
        </w:rPr>
        <w:t>Ü</w:t>
      </w:r>
      <w:r>
        <w:rPr>
          <w:rFonts w:ascii="Arial" w:cs="Arial" w:eastAsia="Arial" w:hAnsi="Arial"/>
          <w:sz w:val="15"/>
          <w:szCs w:val="15"/>
          <w:color w:val="231F20"/>
        </w:rPr>
        <w:t>ƇƤƇ</w:t>
      </w:r>
      <w:r>
        <w:rPr>
          <w:rFonts w:ascii="Arial" w:cs="Arial" w:eastAsia="Arial" w:hAnsi="Arial"/>
          <w:sz w:val="15"/>
          <w:szCs w:val="15"/>
          <w:color w:val="231F20"/>
        </w:rPr>
        <w:t xml:space="preserve">ɅǛ </w:t>
      </w:r>
      <w:r>
        <w:rPr>
          <w:rFonts w:ascii="Arial" w:cs="Arial" w:eastAsia="Arial" w:hAnsi="Arial"/>
          <w:sz w:val="15"/>
          <w:szCs w:val="15"/>
          <w:color w:val="231F20"/>
        </w:rPr>
        <w:t>ȉǾ</w:t>
      </w:r>
      <w:r>
        <w:rPr>
          <w:rFonts w:ascii="Arial" w:cs="Arial" w:eastAsia="Arial" w:hAnsi="Arial"/>
          <w:sz w:val="15"/>
          <w:szCs w:val="15"/>
          <w:color w:val="231F20"/>
        </w:rPr>
        <w:t>ȷ Ý</w:t>
      </w:r>
      <w:r>
        <w:rPr>
          <w:rFonts w:ascii="Arial" w:cs="Arial" w:eastAsia="Arial" w:hAnsi="Arial"/>
          <w:sz w:val="15"/>
          <w:szCs w:val="15"/>
          <w:color w:val="231F20"/>
        </w:rPr>
        <w:t>ȉȯ</w:t>
      </w:r>
      <w:r>
        <w:rPr>
          <w:rFonts w:ascii="Arial" w:cs="Arial" w:eastAsia="Arial" w:hAnsi="Arial"/>
          <w:sz w:val="15"/>
          <w:szCs w:val="15"/>
          <w:color w:val="231F20"/>
        </w:rPr>
        <w:t xml:space="preserve"> ǳƫ</w:t>
      </w:r>
      <w:r>
        <w:rPr>
          <w:rFonts w:ascii="Arial" w:cs="Arial" w:eastAsia="Arial" w:hAnsi="Arial"/>
          <w:sz w:val="15"/>
          <w:szCs w:val="15"/>
          <w:color w:val="231F20"/>
        </w:rPr>
        <w:t>ɦ</w:t>
      </w:r>
      <w:r>
        <w:rPr>
          <w:rFonts w:ascii="Arial" w:cs="Arial" w:eastAsia="Arial" w:hAnsi="Arial"/>
          <w:sz w:val="15"/>
          <w:szCs w:val="15"/>
          <w:color w:val="231F20"/>
        </w:rPr>
        <w:t xml:space="preserve">ǛƫƲ </w:t>
      </w:r>
      <w:r>
        <w:rPr>
          <w:rFonts w:ascii="Arial" w:cs="Arial" w:eastAsia="Arial" w:hAnsi="Arial"/>
          <w:sz w:val="15"/>
          <w:szCs w:val="15"/>
          <w:color w:val="231F20"/>
        </w:rPr>
        <w:t>ɦǕǛǳ</w:t>
      </w:r>
      <w:r>
        <w:rPr>
          <w:rFonts w:ascii="Arial" w:cs="Arial" w:eastAsia="Arial" w:hAnsi="Arial"/>
          <w:sz w:val="15"/>
          <w:szCs w:val="15"/>
          <w:color w:val="231F20"/>
        </w:rPr>
        <w:t>Ʋ ƫƲƤǛȷ</w:t>
      </w:r>
      <w:r>
        <w:rPr>
          <w:rFonts w:ascii="Arial" w:cs="Arial" w:eastAsia="Arial" w:hAnsi="Arial"/>
          <w:sz w:val="15"/>
          <w:szCs w:val="15"/>
          <w:color w:val="231F20"/>
        </w:rPr>
        <w:t>ǛɥƲǳ</w:t>
      </w:r>
      <w:r>
        <w:rPr>
          <w:rFonts w:ascii="Arial" w:cs="Arial" w:eastAsia="Arial" w:hAnsi="Arial"/>
          <w:sz w:val="15"/>
          <w:szCs w:val="15"/>
          <w:color w:val="231F20"/>
        </w:rPr>
        <w:t xml:space="preserve">ɬ ƤǕ </w:t>
      </w:r>
      <w:r>
        <w:rPr>
          <w:rFonts w:ascii="Arial" w:cs="Arial" w:eastAsia="Arial" w:hAnsi="Arial"/>
          <w:sz w:val="15"/>
          <w:szCs w:val="15"/>
          <w:color w:val="231F20"/>
        </w:rPr>
        <w:t>ƇǾǍ</w:t>
      </w:r>
      <w:r>
        <w:rPr>
          <w:rFonts w:ascii="Arial" w:cs="Arial" w:eastAsia="Arial" w:hAnsi="Arial"/>
          <w:sz w:val="15"/>
          <w:szCs w:val="15"/>
          <w:color w:val="231F20"/>
        </w:rPr>
        <w:t xml:space="preserve"> Ǜ</w:t>
      </w:r>
      <w:r>
        <w:rPr>
          <w:rFonts w:ascii="Arial" w:cs="Arial" w:eastAsia="Arial" w:hAnsi="Arial"/>
          <w:sz w:val="15"/>
          <w:szCs w:val="15"/>
          <w:color w:val="231F20"/>
        </w:rPr>
        <w:t>Ǿ</w:t>
      </w:r>
      <w:r>
        <w:rPr>
          <w:rFonts w:ascii="Arial" w:cs="Arial" w:eastAsia="Arial" w:hAnsi="Arial"/>
          <w:sz w:val="15"/>
          <w:szCs w:val="15"/>
          <w:color w:val="231F20"/>
        </w:rPr>
        <w:t xml:space="preserve">Ǎ </w:t>
      </w:r>
      <w:r>
        <w:rPr>
          <w:rFonts w:ascii="Arial" w:cs="Arial" w:eastAsia="Arial" w:hAnsi="Arial"/>
          <w:sz w:val="15"/>
          <w:szCs w:val="15"/>
          <w:color w:val="231F20"/>
        </w:rPr>
        <w:t>Ǖ</w:t>
      </w:r>
      <w:r>
        <w:rPr>
          <w:rFonts w:ascii="Arial" w:cs="Arial" w:eastAsia="Arial" w:hAnsi="Arial"/>
          <w:sz w:val="15"/>
          <w:szCs w:val="15"/>
          <w:color w:val="231F20"/>
        </w:rPr>
        <w:t>ȉɦ</w:t>
      </w:r>
      <w:r>
        <w:rPr>
          <w:rFonts w:ascii="Arial" w:cs="Arial" w:eastAsia="Arial" w:hAnsi="Arial"/>
          <w:sz w:val="15"/>
          <w:szCs w:val="15"/>
          <w:color w:val="231F20"/>
        </w:rPr>
        <w:t xml:space="preserve"> </w:t>
      </w:r>
      <w:r>
        <w:rPr>
          <w:rFonts w:ascii="Arial" w:cs="Arial" w:eastAsia="Arial" w:hAnsi="Arial"/>
          <w:sz w:val="15"/>
          <w:szCs w:val="15"/>
          <w:color w:val="231F20"/>
        </w:rPr>
        <w:t>ɦ</w:t>
      </w:r>
      <w:r>
        <w:rPr>
          <w:rFonts w:ascii="Arial" w:cs="Arial" w:eastAsia="Arial" w:hAnsi="Arial"/>
          <w:sz w:val="15"/>
          <w:szCs w:val="15"/>
          <w:color w:val="231F20"/>
        </w:rPr>
        <w:t>Ʋ ȉȬƲȯ</w:t>
      </w:r>
      <w:r>
        <w:rPr>
          <w:rFonts w:ascii="Arial" w:cs="Arial" w:eastAsia="Arial" w:hAnsi="Arial"/>
          <w:sz w:val="15"/>
          <w:szCs w:val="15"/>
          <w:color w:val="231F20"/>
        </w:rPr>
        <w:t>Ƈ</w:t>
      </w:r>
      <w:r>
        <w:rPr>
          <w:rFonts w:ascii="Arial" w:cs="Arial" w:eastAsia="Arial" w:hAnsi="Arial"/>
          <w:sz w:val="15"/>
          <w:szCs w:val="15"/>
          <w:color w:val="231F20"/>
        </w:rPr>
        <w:t>Ʌ</w:t>
      </w:r>
      <w:r>
        <w:rPr>
          <w:rFonts w:ascii="Arial" w:cs="Arial" w:eastAsia="Arial" w:hAnsi="Arial"/>
          <w:sz w:val="15"/>
          <w:szCs w:val="15"/>
          <w:color w:val="231F20"/>
        </w:rPr>
        <w:t>Ʋؘ</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6152515</wp:posOffset>
                </wp:positionH>
                <wp:positionV relativeFrom="paragraph">
                  <wp:posOffset>-774700</wp:posOffset>
                </wp:positionV>
                <wp:extent cx="12700" cy="12065"/>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231F20"/>
                        </a:solidFill>
                      </wps:spPr>
                      <wps:bodyPr/>
                    </wps:wsp>
                  </a:graphicData>
                </a:graphic>
              </wp:anchor>
            </w:drawing>
          </mc:Choice>
          <mc:Fallback>
            <w:pict>
              <v:rect id="Shape 3" o:spid="_x0000_s1028" style="position:absolute;margin-left:484.45pt;margin-top:-61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w:r>
    </w:p>
    <w:p>
      <w:pPr>
        <w:spacing w:after="0" w:line="97" w:lineRule="exact"/>
        <w:rPr>
          <w:sz w:val="20"/>
          <w:szCs w:val="20"/>
          <w:color w:val="auto"/>
        </w:rPr>
      </w:pPr>
    </w:p>
    <w:p>
      <w:pPr>
        <w:ind w:right="80"/>
        <w:spacing w:after="0" w:line="208" w:lineRule="exact"/>
        <w:rPr>
          <w:sz w:val="20"/>
          <w:szCs w:val="20"/>
          <w:color w:val="auto"/>
        </w:rPr>
      </w:pPr>
      <w:r>
        <w:rPr>
          <w:rFonts w:ascii="Arial" w:cs="Arial" w:eastAsia="Arial" w:hAnsi="Arial"/>
          <w:sz w:val="15"/>
          <w:szCs w:val="15"/>
          <w:color w:val="231F20"/>
        </w:rPr>
        <w:t>Ý</w:t>
      </w:r>
      <w:r>
        <w:rPr>
          <w:rFonts w:ascii="Arial" w:cs="Arial" w:eastAsia="Arial" w:hAnsi="Arial"/>
          <w:sz w:val="15"/>
          <w:szCs w:val="15"/>
          <w:color w:val="231F20"/>
        </w:rPr>
        <w:t>Ʋ</w:t>
      </w:r>
      <w:r>
        <w:rPr>
          <w:rFonts w:ascii="Arial" w:cs="Arial" w:eastAsia="Arial" w:hAnsi="Arial"/>
          <w:sz w:val="15"/>
          <w:szCs w:val="15"/>
          <w:color w:val="231F20"/>
        </w:rPr>
        <w:t xml:space="preserve"> </w:t>
      </w:r>
      <w:r>
        <w:rPr>
          <w:rFonts w:ascii="Arial" w:cs="Arial" w:eastAsia="Arial" w:hAnsi="Arial"/>
          <w:sz w:val="15"/>
          <w:szCs w:val="15"/>
          <w:color w:val="231F20"/>
        </w:rPr>
        <w:t>ƣƲ</w:t>
      </w:r>
      <w:r>
        <w:rPr>
          <w:rFonts w:ascii="Arial" w:cs="Arial" w:eastAsia="Arial" w:hAnsi="Arial"/>
          <w:sz w:val="15"/>
          <w:szCs w:val="15"/>
          <w:color w:val="231F20"/>
        </w:rPr>
        <w:t>ǳǛ</w:t>
      </w:r>
      <w:r>
        <w:rPr>
          <w:rFonts w:ascii="Arial" w:cs="Arial" w:eastAsia="Arial" w:hAnsi="Arial"/>
          <w:sz w:val="15"/>
          <w:szCs w:val="15"/>
          <w:color w:val="231F20"/>
        </w:rPr>
        <w:t>Ʋ</w:t>
      </w:r>
      <w:r>
        <w:rPr>
          <w:rFonts w:ascii="Arial" w:cs="Arial" w:eastAsia="Arial" w:hAnsi="Arial"/>
          <w:sz w:val="15"/>
          <w:szCs w:val="15"/>
          <w:color w:val="231F20"/>
        </w:rPr>
        <w:t>ɥ</w:t>
      </w:r>
      <w:r>
        <w:rPr>
          <w:rFonts w:ascii="Arial" w:cs="Arial" w:eastAsia="Arial" w:hAnsi="Arial"/>
          <w:sz w:val="15"/>
          <w:szCs w:val="15"/>
          <w:color w:val="231F20"/>
        </w:rPr>
        <w:t>Ʋ</w:t>
      </w:r>
      <w:r>
        <w:rPr>
          <w:rFonts w:ascii="Arial" w:cs="Arial" w:eastAsia="Arial" w:hAnsi="Arial"/>
          <w:sz w:val="15"/>
          <w:szCs w:val="15"/>
          <w:color w:val="231F20"/>
        </w:rPr>
        <w:t xml:space="preserve"> </w:t>
      </w:r>
      <w:r>
        <w:rPr>
          <w:rFonts w:ascii="Arial" w:cs="Arial" w:eastAsia="Arial" w:hAnsi="Arial"/>
          <w:sz w:val="15"/>
          <w:szCs w:val="15"/>
          <w:color w:val="231F20"/>
        </w:rPr>
        <w:t>Ʌ</w:t>
      </w:r>
      <w:r>
        <w:rPr>
          <w:rFonts w:ascii="Arial" w:cs="Arial" w:eastAsia="Arial" w:hAnsi="Arial"/>
          <w:sz w:val="15"/>
          <w:szCs w:val="15"/>
          <w:color w:val="231F20"/>
        </w:rPr>
        <w:t>Ǖ</w:t>
      </w:r>
      <w:r>
        <w:rPr>
          <w:rFonts w:ascii="Arial" w:cs="Arial" w:eastAsia="Arial" w:hAnsi="Arial"/>
          <w:sz w:val="15"/>
          <w:szCs w:val="15"/>
          <w:color w:val="231F20"/>
        </w:rPr>
        <w:t>Ʋ</w:t>
      </w:r>
      <w:r>
        <w:rPr>
          <w:rFonts w:ascii="Arial" w:cs="Arial" w:eastAsia="Arial" w:hAnsi="Arial"/>
          <w:sz w:val="15"/>
          <w:szCs w:val="15"/>
          <w:color w:val="231F20"/>
        </w:rPr>
        <w:t>ȷƲ ƇƤ</w:t>
      </w:r>
      <w:r>
        <w:rPr>
          <w:rFonts w:ascii="Arial" w:cs="Arial" w:eastAsia="Arial" w:hAnsi="Arial"/>
          <w:sz w:val="15"/>
          <w:szCs w:val="15"/>
          <w:color w:val="231F20"/>
        </w:rPr>
        <w:t>ɅǛ</w:t>
      </w:r>
      <w:r>
        <w:rPr>
          <w:rFonts w:ascii="Arial" w:cs="Arial" w:eastAsia="Arial" w:hAnsi="Arial"/>
          <w:sz w:val="15"/>
          <w:szCs w:val="15"/>
          <w:color w:val="231F20"/>
        </w:rPr>
        <w:t xml:space="preserve"> </w:t>
      </w:r>
      <w:r>
        <w:rPr>
          <w:rFonts w:ascii="Arial" w:cs="Arial" w:eastAsia="Arial" w:hAnsi="Arial"/>
          <w:sz w:val="15"/>
          <w:szCs w:val="15"/>
          <w:color w:val="231F20"/>
        </w:rPr>
        <w:t>ȉ</w:t>
      </w:r>
      <w:r>
        <w:rPr>
          <w:rFonts w:ascii="Arial" w:cs="Arial" w:eastAsia="Arial" w:hAnsi="Arial"/>
          <w:sz w:val="15"/>
          <w:szCs w:val="15"/>
          <w:color w:val="231F20"/>
        </w:rPr>
        <w:t>Ǿ</w:t>
      </w:r>
      <w:r>
        <w:rPr>
          <w:rFonts w:ascii="Arial" w:cs="Arial" w:eastAsia="Arial" w:hAnsi="Arial"/>
          <w:sz w:val="15"/>
          <w:szCs w:val="15"/>
          <w:color w:val="231F20"/>
        </w:rPr>
        <w:t>ȷ ɦ</w:t>
      </w:r>
      <w:r>
        <w:rPr>
          <w:rFonts w:ascii="Arial" w:cs="Arial" w:eastAsia="Arial" w:hAnsi="Arial"/>
          <w:sz w:val="15"/>
          <w:szCs w:val="15"/>
          <w:color w:val="231F20"/>
        </w:rPr>
        <w:t>Ǜǳǳ Ȭȉ</w:t>
      </w:r>
      <w:r>
        <w:rPr>
          <w:rFonts w:ascii="Arial" w:cs="Arial" w:eastAsia="Arial" w:hAnsi="Arial"/>
          <w:sz w:val="15"/>
          <w:szCs w:val="15"/>
          <w:color w:val="231F20"/>
        </w:rPr>
        <w:t>ȷ</w:t>
      </w:r>
      <w:r>
        <w:rPr>
          <w:rFonts w:ascii="Arial" w:cs="Arial" w:eastAsia="Arial" w:hAnsi="Arial"/>
          <w:sz w:val="15"/>
          <w:szCs w:val="15"/>
          <w:color w:val="231F20"/>
        </w:rPr>
        <w:t>Ǜ</w:t>
      </w:r>
      <w:r>
        <w:rPr>
          <w:rFonts w:ascii="Arial" w:cs="Arial" w:eastAsia="Arial" w:hAnsi="Arial"/>
          <w:sz w:val="15"/>
          <w:szCs w:val="15"/>
          <w:color w:val="231F20"/>
        </w:rPr>
        <w:t>Ʌ</w:t>
      </w:r>
      <w:r>
        <w:rPr>
          <w:rFonts w:ascii="Arial" w:cs="Arial" w:eastAsia="Arial" w:hAnsi="Arial"/>
          <w:sz w:val="15"/>
          <w:szCs w:val="15"/>
          <w:color w:val="231F20"/>
        </w:rPr>
        <w:t>Ǜ</w:t>
      </w:r>
      <w:r>
        <w:rPr>
          <w:rFonts w:ascii="Arial" w:cs="Arial" w:eastAsia="Arial" w:hAnsi="Arial"/>
          <w:sz w:val="15"/>
          <w:szCs w:val="15"/>
          <w:color w:val="231F20"/>
        </w:rPr>
        <w:t>ȉ</w:t>
      </w:r>
      <w:r>
        <w:rPr>
          <w:rFonts w:ascii="Arial" w:cs="Arial" w:eastAsia="Arial" w:hAnsi="Arial"/>
          <w:sz w:val="15"/>
          <w:szCs w:val="15"/>
          <w:color w:val="231F20"/>
        </w:rPr>
        <w:t>Ǿ t</w:t>
      </w:r>
      <w:r>
        <w:rPr>
          <w:rFonts w:ascii="Arial" w:cs="Arial" w:eastAsia="Arial" w:hAnsi="Arial"/>
          <w:sz w:val="15"/>
          <w:szCs w:val="15"/>
          <w:color w:val="231F20"/>
        </w:rPr>
        <w:t>Ƈ</w:t>
      </w:r>
      <w:r>
        <w:rPr>
          <w:rFonts w:ascii="Arial" w:cs="Arial" w:eastAsia="Arial" w:hAnsi="Arial"/>
          <w:sz w:val="15"/>
          <w:szCs w:val="15"/>
          <w:color w:val="231F20"/>
        </w:rPr>
        <w:t xml:space="preserve"> </w:t>
      </w:r>
      <w:r>
        <w:rPr>
          <w:rFonts w:ascii="Arial" w:cs="Arial" w:eastAsia="Arial" w:hAnsi="Arial"/>
          <w:sz w:val="15"/>
          <w:szCs w:val="15"/>
          <w:color w:val="231F20"/>
        </w:rPr>
        <w:t>ȯȯ</w:t>
      </w:r>
      <w:r>
        <w:rPr>
          <w:rFonts w:ascii="Arial" w:cs="Arial" w:eastAsia="Arial" w:hAnsi="Arial"/>
          <w:sz w:val="15"/>
          <w:szCs w:val="15"/>
          <w:color w:val="231F20"/>
        </w:rPr>
        <w:t>Ǜȉ</w:t>
      </w:r>
      <w:r>
        <w:rPr>
          <w:rFonts w:ascii="Arial" w:cs="Arial" w:eastAsia="Arial" w:hAnsi="Arial"/>
          <w:sz w:val="15"/>
          <w:szCs w:val="15"/>
          <w:color w:val="231F20"/>
        </w:rPr>
        <w:t>ɅɅ</w:t>
      </w:r>
      <w:r>
        <w:rPr>
          <w:rFonts w:ascii="Arial" w:cs="Arial" w:eastAsia="Arial" w:hAnsi="Arial"/>
          <w:sz w:val="15"/>
          <w:szCs w:val="15"/>
          <w:color w:val="231F20"/>
        </w:rPr>
        <w:t xml:space="preserve"> </w:t>
      </w:r>
      <w:r>
        <w:rPr>
          <w:rFonts w:ascii="Arial" w:cs="Arial" w:eastAsia="Arial" w:hAnsi="Arial"/>
          <w:sz w:val="15"/>
          <w:szCs w:val="15"/>
          <w:color w:val="231F20"/>
        </w:rPr>
        <w:t>ÜƇ</w:t>
      </w:r>
      <w:r>
        <w:rPr>
          <w:rFonts w:ascii="Arial" w:cs="Arial" w:eastAsia="Arial" w:hAnsi="Arial"/>
          <w:sz w:val="15"/>
          <w:szCs w:val="15"/>
          <w:color w:val="231F20"/>
        </w:rPr>
        <w:t xml:space="preserve"> </w:t>
      </w:r>
      <w:r>
        <w:rPr>
          <w:rFonts w:ascii="Arial" w:cs="Arial" w:eastAsia="Arial" w:hAnsi="Arial"/>
          <w:sz w:val="15"/>
          <w:szCs w:val="15"/>
          <w:color w:val="231F20"/>
        </w:rPr>
        <w:t>ƤƇ</w:t>
      </w:r>
      <w:r>
        <w:rPr>
          <w:rFonts w:ascii="Arial" w:cs="Arial" w:eastAsia="Arial" w:hAnsi="Arial"/>
          <w:sz w:val="15"/>
          <w:szCs w:val="15"/>
          <w:color w:val="231F20"/>
        </w:rPr>
        <w:t>Ʌ</w:t>
      </w:r>
      <w:r>
        <w:rPr>
          <w:rFonts w:ascii="Arial" w:cs="Arial" w:eastAsia="Arial" w:hAnsi="Arial"/>
          <w:sz w:val="15"/>
          <w:szCs w:val="15"/>
          <w:color w:val="231F20"/>
        </w:rPr>
        <w:t>Ǜȉ</w:t>
      </w:r>
      <w:r>
        <w:rPr>
          <w:rFonts w:ascii="Arial" w:cs="Arial" w:eastAsia="Arial" w:hAnsi="Arial"/>
          <w:sz w:val="15"/>
          <w:szCs w:val="15"/>
          <w:color w:val="231F20"/>
        </w:rPr>
        <w:t>Ǿ</w:t>
      </w:r>
      <w:r>
        <w:rPr>
          <w:rFonts w:ascii="Arial" w:cs="Arial" w:eastAsia="Arial" w:hAnsi="Arial"/>
          <w:sz w:val="15"/>
          <w:szCs w:val="15"/>
          <w:color w:val="231F20"/>
        </w:rPr>
        <w:t>ȷ</w:t>
      </w:r>
      <w:r>
        <w:rPr>
          <w:rFonts w:ascii="Arial" w:cs="Arial" w:eastAsia="Arial" w:hAnsi="Arial"/>
          <w:sz w:val="15"/>
          <w:szCs w:val="15"/>
          <w:color w:val="231F20"/>
        </w:rPr>
        <w:t xml:space="preserve"> Ý</w:t>
      </w:r>
      <w:r>
        <w:rPr>
          <w:rFonts w:ascii="Arial" w:cs="Arial" w:eastAsia="Arial" w:hAnsi="Arial"/>
          <w:sz w:val="15"/>
          <w:szCs w:val="15"/>
          <w:color w:val="231F20"/>
        </w:rPr>
        <w:t>ȉ</w:t>
      </w:r>
      <w:r>
        <w:rPr>
          <w:rFonts w:ascii="Arial" w:cs="Arial" w:eastAsia="Arial" w:hAnsi="Arial"/>
          <w:sz w:val="15"/>
          <w:szCs w:val="15"/>
          <w:color w:val="231F20"/>
        </w:rPr>
        <w:t>ȯ</w:t>
      </w:r>
      <w:r>
        <w:rPr>
          <w:rFonts w:ascii="Arial" w:cs="Arial" w:eastAsia="Arial" w:hAnsi="Arial"/>
          <w:sz w:val="15"/>
          <w:szCs w:val="15"/>
          <w:color w:val="231F20"/>
        </w:rPr>
        <w:t>ǳ ƫɦ</w:t>
      </w:r>
      <w:r>
        <w:rPr>
          <w:rFonts w:ascii="Arial" w:cs="Arial" w:eastAsia="Arial" w:hAnsi="Arial"/>
          <w:sz w:val="15"/>
          <w:szCs w:val="15"/>
          <w:color w:val="231F20"/>
        </w:rPr>
        <w:t>Ǜ</w:t>
      </w:r>
      <w:r>
        <w:rPr>
          <w:rFonts w:ascii="Arial" w:cs="Arial" w:eastAsia="Arial" w:hAnsi="Arial"/>
          <w:sz w:val="15"/>
          <w:szCs w:val="15"/>
          <w:color w:val="231F20"/>
        </w:rPr>
        <w:t>ƫ</w:t>
      </w:r>
      <w:r>
        <w:rPr>
          <w:rFonts w:ascii="Arial" w:cs="Arial" w:eastAsia="Arial" w:hAnsi="Arial"/>
          <w:sz w:val="15"/>
          <w:szCs w:val="15"/>
          <w:color w:val="231F20"/>
        </w:rPr>
        <w:t xml:space="preserve"> </w:t>
      </w:r>
      <w:r>
        <w:rPr>
          <w:rFonts w:ascii="Arial" w:cs="Arial" w:eastAsia="Arial" w:hAnsi="Arial"/>
          <w:sz w:val="15"/>
          <w:szCs w:val="15"/>
          <w:color w:val="231F20"/>
        </w:rPr>
        <w:t>Ʋ Ʌ</w:t>
      </w:r>
      <w:r>
        <w:rPr>
          <w:rFonts w:ascii="Arial" w:cs="Arial" w:eastAsia="Arial" w:hAnsi="Arial"/>
          <w:sz w:val="15"/>
          <w:szCs w:val="15"/>
          <w:color w:val="231F20"/>
        </w:rPr>
        <w:t>ȉ</w:t>
      </w:r>
      <w:r>
        <w:rPr>
          <w:rFonts w:ascii="Arial" w:cs="Arial" w:eastAsia="Arial" w:hAnsi="Arial"/>
          <w:sz w:val="15"/>
          <w:szCs w:val="15"/>
          <w:color w:val="231F20"/>
        </w:rPr>
        <w:t xml:space="preserve"> ȯ</w:t>
      </w:r>
      <w:r>
        <w:rPr>
          <w:rFonts w:ascii="Arial" w:cs="Arial" w:eastAsia="Arial" w:hAnsi="Arial"/>
          <w:sz w:val="15"/>
          <w:szCs w:val="15"/>
          <w:color w:val="231F20"/>
        </w:rPr>
        <w:t>ƲɅ</w:t>
      </w:r>
      <w:r>
        <w:rPr>
          <w:rFonts w:ascii="Arial" w:cs="Arial" w:eastAsia="Arial" w:hAnsi="Arial"/>
          <w:sz w:val="15"/>
          <w:szCs w:val="15"/>
          <w:color w:val="231F20"/>
        </w:rPr>
        <w:t xml:space="preserve"> </w:t>
      </w:r>
      <w:r>
        <w:rPr>
          <w:rFonts w:ascii="Arial" w:cs="Arial" w:eastAsia="Arial" w:hAnsi="Arial"/>
          <w:sz w:val="15"/>
          <w:szCs w:val="15"/>
          <w:color w:val="231F20"/>
        </w:rPr>
        <w:t>ɍȯ</w:t>
      </w:r>
      <w:r>
        <w:rPr>
          <w:rFonts w:ascii="Arial" w:cs="Arial" w:eastAsia="Arial" w:hAnsi="Arial"/>
          <w:sz w:val="15"/>
          <w:szCs w:val="15"/>
          <w:color w:val="231F20"/>
        </w:rPr>
        <w:t xml:space="preserve">Ǿ </w:t>
      </w:r>
      <w:r>
        <w:rPr>
          <w:rFonts w:ascii="Arial" w:cs="Arial" w:eastAsia="Arial" w:hAnsi="Arial"/>
          <w:sz w:val="15"/>
          <w:szCs w:val="15"/>
          <w:color w:val="231F20"/>
        </w:rPr>
        <w:t>Ʌȉ Ƈ Ʌ</w:t>
      </w:r>
      <w:r>
        <w:rPr>
          <w:rFonts w:ascii="Arial" w:cs="Arial" w:eastAsia="Arial" w:hAnsi="Arial"/>
          <w:sz w:val="15"/>
          <w:szCs w:val="15"/>
          <w:color w:val="231F20"/>
        </w:rPr>
        <w:t xml:space="preserve"> </w:t>
      </w:r>
      <w:r>
        <w:rPr>
          <w:rFonts w:ascii="Arial" w:cs="Arial" w:eastAsia="Arial" w:hAnsi="Arial"/>
          <w:sz w:val="15"/>
          <w:szCs w:val="15"/>
          <w:color w:val="231F20"/>
        </w:rPr>
        <w:t>ȯƇ</w:t>
      </w:r>
      <w:r>
        <w:rPr>
          <w:rFonts w:ascii="Arial" w:cs="Arial" w:eastAsia="Arial" w:hAnsi="Arial"/>
          <w:sz w:val="15"/>
          <w:szCs w:val="15"/>
          <w:color w:val="231F20"/>
        </w:rPr>
        <w:t>ǬƲ</w:t>
      </w:r>
      <w:r>
        <w:rPr>
          <w:rFonts w:ascii="Arial" w:cs="Arial" w:eastAsia="Arial" w:hAnsi="Arial"/>
          <w:sz w:val="15"/>
          <w:szCs w:val="15"/>
          <w:color w:val="231F20"/>
        </w:rPr>
        <w:t>ƤɅ</w:t>
      </w:r>
      <w:r>
        <w:rPr>
          <w:rFonts w:ascii="Arial" w:cs="Arial" w:eastAsia="Arial" w:hAnsi="Arial"/>
          <w:sz w:val="15"/>
          <w:szCs w:val="15"/>
          <w:color w:val="231F20"/>
        </w:rPr>
        <w:t>ȉ</w:t>
      </w:r>
      <w:r>
        <w:rPr>
          <w:rFonts w:ascii="Arial" w:cs="Arial" w:eastAsia="Arial" w:hAnsi="Arial"/>
          <w:sz w:val="15"/>
          <w:szCs w:val="15"/>
          <w:color w:val="231F20"/>
        </w:rPr>
        <w:t>ȯ</w:t>
      </w:r>
      <w:r>
        <w:rPr>
          <w:rFonts w:ascii="Arial" w:cs="Arial" w:eastAsia="Arial" w:hAnsi="Arial"/>
          <w:sz w:val="15"/>
          <w:szCs w:val="15"/>
          <w:color w:val="231F20"/>
        </w:rPr>
        <w:t>ɬ ȉ</w:t>
      </w:r>
      <w:r>
        <w:rPr>
          <w:rFonts w:ascii="Arial" w:cs="Arial" w:eastAsia="Arial" w:hAnsi="Arial"/>
          <w:sz w:val="15"/>
          <w:szCs w:val="15"/>
          <w:color w:val="231F20"/>
        </w:rPr>
        <w:t xml:space="preserve">ǌ </w:t>
      </w:r>
      <w:r>
        <w:rPr>
          <w:rFonts w:ascii="Arial" w:cs="Arial" w:eastAsia="Arial" w:hAnsi="Arial"/>
          <w:sz w:val="15"/>
          <w:szCs w:val="15"/>
          <w:color w:val="231F20"/>
        </w:rPr>
        <w:t>ȷ</w:t>
      </w:r>
      <w:r>
        <w:rPr>
          <w:rFonts w:ascii="Arial" w:cs="Arial" w:eastAsia="Arial" w:hAnsi="Arial"/>
          <w:sz w:val="15"/>
          <w:szCs w:val="15"/>
          <w:color w:val="231F20"/>
        </w:rPr>
        <w:t xml:space="preserve"> </w:t>
      </w:r>
      <w:r>
        <w:rPr>
          <w:rFonts w:ascii="Arial" w:cs="Arial" w:eastAsia="Arial" w:hAnsi="Arial"/>
          <w:sz w:val="15"/>
          <w:szCs w:val="15"/>
          <w:color w:val="231F20"/>
        </w:rPr>
        <w:t>ɍȷ</w:t>
      </w:r>
      <w:r>
        <w:rPr>
          <w:rFonts w:ascii="Arial" w:cs="Arial" w:eastAsia="Arial" w:hAnsi="Arial"/>
          <w:sz w:val="15"/>
          <w:szCs w:val="15"/>
          <w:color w:val="231F20"/>
        </w:rPr>
        <w:t>ɅƇ</w:t>
      </w:r>
      <w:r>
        <w:rPr>
          <w:rFonts w:ascii="Arial" w:cs="Arial" w:eastAsia="Arial" w:hAnsi="Arial"/>
          <w:sz w:val="15"/>
          <w:szCs w:val="15"/>
          <w:color w:val="231F20"/>
        </w:rPr>
        <w:t>Ǜ</w:t>
      </w:r>
      <w:r>
        <w:rPr>
          <w:rFonts w:ascii="Arial" w:cs="Arial" w:eastAsia="Arial" w:hAnsi="Arial"/>
          <w:sz w:val="15"/>
          <w:szCs w:val="15"/>
          <w:color w:val="231F20"/>
        </w:rPr>
        <w:t>Ǿ Ƈƣ</w:t>
      </w:r>
      <w:r>
        <w:rPr>
          <w:rFonts w:ascii="Arial" w:cs="Arial" w:eastAsia="Arial" w:hAnsi="Arial"/>
          <w:sz w:val="15"/>
          <w:szCs w:val="15"/>
          <w:color w:val="231F20"/>
        </w:rPr>
        <w:t>ǳ</w:t>
      </w:r>
      <w:r>
        <w:rPr>
          <w:rFonts w:ascii="Arial" w:cs="Arial" w:eastAsia="Arial" w:hAnsi="Arial"/>
          <w:sz w:val="15"/>
          <w:szCs w:val="15"/>
          <w:color w:val="231F20"/>
        </w:rPr>
        <w:t>Ʋ</w:t>
      </w:r>
      <w:r>
        <w:rPr>
          <w:rFonts w:ascii="Arial" w:cs="Arial" w:eastAsia="Arial" w:hAnsi="Arial"/>
          <w:sz w:val="15"/>
          <w:szCs w:val="15"/>
          <w:color w:val="231F20"/>
        </w:rPr>
        <w:t xml:space="preserve"> </w:t>
      </w:r>
      <w:r>
        <w:rPr>
          <w:rFonts w:ascii="Arial" w:cs="Arial" w:eastAsia="Arial" w:hAnsi="Arial"/>
          <w:sz w:val="15"/>
          <w:szCs w:val="15"/>
          <w:color w:val="231F20"/>
        </w:rPr>
        <w:t>Ǎ</w:t>
      </w:r>
      <w:r>
        <w:rPr>
          <w:rFonts w:ascii="Arial" w:cs="Arial" w:eastAsia="Arial" w:hAnsi="Arial"/>
          <w:sz w:val="15"/>
          <w:szCs w:val="15"/>
          <w:color w:val="231F20"/>
        </w:rPr>
        <w:t>ȯ</w:t>
      </w:r>
      <w:r>
        <w:rPr>
          <w:rFonts w:ascii="Arial" w:cs="Arial" w:eastAsia="Arial" w:hAnsi="Arial"/>
          <w:sz w:val="15"/>
          <w:szCs w:val="15"/>
          <w:color w:val="231F20"/>
        </w:rPr>
        <w:t>ȉɦ</w:t>
      </w:r>
      <w:r>
        <w:rPr>
          <w:rFonts w:ascii="Arial" w:cs="Arial" w:eastAsia="Arial" w:hAnsi="Arial"/>
          <w:sz w:val="15"/>
          <w:szCs w:val="15"/>
          <w:color w:val="231F20"/>
        </w:rPr>
        <w:t>Ʌ</w:t>
      </w:r>
      <w:r>
        <w:rPr>
          <w:rFonts w:ascii="Arial" w:cs="Arial" w:eastAsia="Arial" w:hAnsi="Arial"/>
          <w:sz w:val="15"/>
          <w:szCs w:val="15"/>
          <w:color w:val="231F20"/>
        </w:rPr>
        <w:t xml:space="preserve">Ǖؙ </w:t>
      </w:r>
      <w:r>
        <w:rPr>
          <w:rFonts w:ascii="Arial" w:cs="Arial" w:eastAsia="Arial" w:hAnsi="Arial"/>
          <w:sz w:val="15"/>
          <w:szCs w:val="15"/>
          <w:color w:val="231F20"/>
        </w:rPr>
        <w:t>Ƈ</w:t>
      </w:r>
      <w:r>
        <w:rPr>
          <w:rFonts w:ascii="Arial" w:cs="Arial" w:eastAsia="Arial" w:hAnsi="Arial"/>
          <w:sz w:val="15"/>
          <w:szCs w:val="15"/>
          <w:color w:val="231F20"/>
        </w:rPr>
        <w:t>Ǿ</w:t>
      </w:r>
      <w:r>
        <w:rPr>
          <w:rFonts w:ascii="Arial" w:cs="Arial" w:eastAsia="Arial" w:hAnsi="Arial"/>
          <w:sz w:val="15"/>
          <w:szCs w:val="15"/>
          <w:color w:val="231F20"/>
        </w:rPr>
        <w:t>ƫ</w:t>
      </w:r>
      <w:r>
        <w:rPr>
          <w:rFonts w:ascii="Arial" w:cs="Arial" w:eastAsia="Arial" w:hAnsi="Arial"/>
          <w:sz w:val="15"/>
          <w:szCs w:val="15"/>
          <w:color w:val="231F20"/>
        </w:rPr>
        <w:t xml:space="preserve"> ɦ</w:t>
      </w:r>
      <w:r>
        <w:rPr>
          <w:rFonts w:ascii="Arial" w:cs="Arial" w:eastAsia="Arial" w:hAnsi="Arial"/>
          <w:sz w:val="15"/>
          <w:szCs w:val="15"/>
          <w:color w:val="231F20"/>
        </w:rPr>
        <w:t>Ʋ</w:t>
      </w:r>
      <w:r>
        <w:rPr>
          <w:rFonts w:ascii="Arial" w:cs="Arial" w:eastAsia="Arial" w:hAnsi="Arial"/>
          <w:sz w:val="15"/>
          <w:szCs w:val="15"/>
          <w:color w:val="231F20"/>
        </w:rPr>
        <w:t xml:space="preserve"> </w:t>
      </w:r>
      <w:r>
        <w:rPr>
          <w:rFonts w:ascii="Arial" w:cs="Arial" w:eastAsia="Arial" w:hAnsi="Arial"/>
          <w:sz w:val="15"/>
          <w:szCs w:val="15"/>
          <w:color w:val="231F20"/>
        </w:rPr>
        <w:t>Ʌ</w:t>
      </w:r>
      <w:r>
        <w:rPr>
          <w:rFonts w:ascii="Arial" w:cs="Arial" w:eastAsia="Arial" w:hAnsi="Arial"/>
          <w:sz w:val="15"/>
          <w:szCs w:val="15"/>
          <w:color w:val="231F20"/>
        </w:rPr>
        <w:t>Ǖ</w:t>
      </w:r>
      <w:r>
        <w:rPr>
          <w:rFonts w:ascii="Arial" w:cs="Arial" w:eastAsia="Arial" w:hAnsi="Arial"/>
          <w:sz w:val="15"/>
          <w:szCs w:val="15"/>
          <w:color w:val="231F20"/>
        </w:rPr>
        <w:t>ƇǾ</w:t>
      </w:r>
      <w:r>
        <w:rPr>
          <w:rFonts w:ascii="Arial" w:cs="Arial" w:eastAsia="Arial" w:hAnsi="Arial"/>
          <w:sz w:val="15"/>
          <w:szCs w:val="15"/>
          <w:color w:val="231F20"/>
        </w:rPr>
        <w:t xml:space="preserve">ǯ </w:t>
      </w:r>
      <w:r>
        <w:rPr>
          <w:rFonts w:ascii="Arial" w:cs="Arial" w:eastAsia="Arial" w:hAnsi="Arial"/>
          <w:sz w:val="15"/>
          <w:szCs w:val="15"/>
          <w:color w:val="231F20"/>
        </w:rPr>
        <w:t>ɬ</w:t>
      </w:r>
      <w:r>
        <w:rPr>
          <w:rFonts w:ascii="Arial" w:cs="Arial" w:eastAsia="Arial" w:hAnsi="Arial"/>
          <w:sz w:val="15"/>
          <w:szCs w:val="15"/>
          <w:color w:val="231F20"/>
        </w:rPr>
        <w:t>ȉɍ</w:t>
      </w:r>
      <w:r>
        <w:rPr>
          <w:rFonts w:ascii="Arial" w:cs="Arial" w:eastAsia="Arial" w:hAnsi="Arial"/>
          <w:sz w:val="15"/>
          <w:szCs w:val="15"/>
          <w:color w:val="231F20"/>
        </w:rPr>
        <w:t xml:space="preserve"> ǌ</w:t>
      </w:r>
      <w:r>
        <w:rPr>
          <w:rFonts w:ascii="Arial" w:cs="Arial" w:eastAsia="Arial" w:hAnsi="Arial"/>
          <w:sz w:val="15"/>
          <w:szCs w:val="15"/>
          <w:color w:val="231F20"/>
        </w:rPr>
        <w:t>ȉ</w:t>
      </w:r>
      <w:r>
        <w:rPr>
          <w:rFonts w:ascii="Arial" w:cs="Arial" w:eastAsia="Arial" w:hAnsi="Arial"/>
          <w:sz w:val="15"/>
          <w:szCs w:val="15"/>
          <w:color w:val="231F20"/>
        </w:rPr>
        <w:t xml:space="preserve"> </w:t>
      </w:r>
      <w:r>
        <w:rPr>
          <w:rFonts w:ascii="Arial" w:cs="Arial" w:eastAsia="Arial" w:hAnsi="Arial"/>
          <w:sz w:val="15"/>
          <w:szCs w:val="15"/>
          <w:color w:val="231F20"/>
        </w:rPr>
        <w:t>ȯ ɬȉɍ</w:t>
      </w:r>
      <w:r>
        <w:rPr>
          <w:rFonts w:ascii="Arial" w:cs="Arial" w:eastAsia="Arial" w:hAnsi="Arial"/>
          <w:sz w:val="15"/>
          <w:szCs w:val="15"/>
          <w:color w:val="231F20"/>
        </w:rPr>
        <w:t xml:space="preserve"> ƤȉǾɅǛǾɍƲ</w:t>
      </w:r>
      <w:r>
        <w:rPr>
          <w:rFonts w:ascii="Arial" w:cs="Arial" w:eastAsia="Arial" w:hAnsi="Arial"/>
          <w:sz w:val="15"/>
          <w:szCs w:val="15"/>
          <w:color w:val="231F20"/>
        </w:rPr>
        <w:t>ƫ ǛǾ</w:t>
      </w:r>
      <w:r>
        <w:rPr>
          <w:rFonts w:ascii="Arial" w:cs="Arial" w:eastAsia="Arial" w:hAnsi="Arial"/>
          <w:sz w:val="15"/>
          <w:szCs w:val="15"/>
          <w:color w:val="231F20"/>
        </w:rPr>
        <w:t>ɥƲȷ</w:t>
      </w:r>
      <w:r>
        <w:rPr>
          <w:rFonts w:ascii="Arial" w:cs="Arial" w:eastAsia="Arial" w:hAnsi="Arial"/>
          <w:sz w:val="15"/>
          <w:szCs w:val="15"/>
          <w:color w:val="231F20"/>
        </w:rPr>
        <w:t>Ʌ</w:t>
      </w:r>
      <w:r>
        <w:rPr>
          <w:rFonts w:ascii="Arial" w:cs="Arial" w:eastAsia="Arial" w:hAnsi="Arial"/>
          <w:sz w:val="15"/>
          <w:szCs w:val="15"/>
          <w:color w:val="231F20"/>
        </w:rPr>
        <w:t>ǼƲǾ</w:t>
      </w:r>
      <w:r>
        <w:rPr>
          <w:rFonts w:ascii="Arial" w:cs="Arial" w:eastAsia="Arial" w:hAnsi="Arial"/>
          <w:sz w:val="15"/>
          <w:szCs w:val="15"/>
          <w:color w:val="231F20"/>
        </w:rPr>
        <w:t>Ʌ</w:t>
      </w:r>
      <w:r>
        <w:rPr>
          <w:rFonts w:ascii="Arial" w:cs="Arial" w:eastAsia="Arial" w:hAnsi="Arial"/>
          <w:sz w:val="15"/>
          <w:szCs w:val="15"/>
          <w:color w:val="231F20"/>
        </w:rPr>
        <w:t xml:space="preserve"> </w:t>
      </w:r>
      <w:r>
        <w:rPr>
          <w:rFonts w:ascii="Arial" w:cs="Arial" w:eastAsia="Arial" w:hAnsi="Arial"/>
          <w:sz w:val="15"/>
          <w:szCs w:val="15"/>
          <w:color w:val="231F20"/>
        </w:rPr>
        <w:t>Ǜ</w:t>
      </w:r>
      <w:r>
        <w:rPr>
          <w:rFonts w:ascii="Arial" w:cs="Arial" w:eastAsia="Arial" w:hAnsi="Arial"/>
          <w:sz w:val="15"/>
          <w:szCs w:val="15"/>
          <w:color w:val="231F20"/>
        </w:rPr>
        <w:t>Ǿ ȉɍ</w:t>
      </w:r>
      <w:r>
        <w:rPr>
          <w:rFonts w:ascii="Arial" w:cs="Arial" w:eastAsia="Arial" w:hAnsi="Arial"/>
          <w:sz w:val="15"/>
          <w:szCs w:val="15"/>
          <w:color w:val="231F20"/>
        </w:rPr>
        <w:t>ȯ</w:t>
      </w:r>
      <w:r>
        <w:rPr>
          <w:rFonts w:ascii="Arial" w:cs="Arial" w:eastAsia="Arial" w:hAnsi="Arial"/>
          <w:sz w:val="15"/>
          <w:szCs w:val="15"/>
          <w:color w:val="231F20"/>
        </w:rPr>
        <w:t xml:space="preserve"> </w:t>
      </w:r>
      <w:r>
        <w:rPr>
          <w:rFonts w:ascii="PMingLiU" w:cs="PMingLiU" w:eastAsia="PMingLiU" w:hAnsi="PMingLiU"/>
          <w:sz w:val="15"/>
          <w:szCs w:val="15"/>
          <w:color w:val="231F20"/>
        </w:rPr>
        <w:t/>
      </w:r>
      <w:r>
        <w:rPr>
          <w:rFonts w:ascii="Arial" w:cs="Arial" w:eastAsia="Arial" w:hAnsi="Arial"/>
          <w:sz w:val="15"/>
          <w:szCs w:val="15"/>
          <w:color w:val="231F20"/>
        </w:rPr>
        <w:t>ȉ</w:t>
      </w:r>
      <w:r>
        <w:rPr>
          <w:rFonts w:ascii="Arial" w:cs="Arial" w:eastAsia="Arial" w:hAnsi="Arial"/>
          <w:sz w:val="15"/>
          <w:szCs w:val="15"/>
          <w:color w:val="231F20"/>
        </w:rPr>
        <w:t>Ǽ</w:t>
      </w:r>
      <w:r>
        <w:rPr>
          <w:rFonts w:ascii="Arial" w:cs="Arial" w:eastAsia="Arial" w:hAnsi="Arial"/>
          <w:sz w:val="15"/>
          <w:szCs w:val="15"/>
          <w:color w:val="231F20"/>
        </w:rPr>
        <w:t>Ȭ</w:t>
      </w:r>
      <w:r>
        <w:rPr>
          <w:rFonts w:ascii="Arial" w:cs="Arial" w:eastAsia="Arial" w:hAnsi="Arial"/>
          <w:sz w:val="15"/>
          <w:szCs w:val="15"/>
          <w:color w:val="231F20"/>
        </w:rPr>
        <w:t>Ƈ</w:t>
      </w:r>
      <w:r>
        <w:rPr>
          <w:rFonts w:ascii="Arial" w:cs="Arial" w:eastAsia="Arial" w:hAnsi="Arial"/>
          <w:sz w:val="15"/>
          <w:szCs w:val="15"/>
          <w:color w:val="231F20"/>
        </w:rPr>
        <w:t>Ǿɬ Ƈ</w:t>
      </w:r>
      <w:r>
        <w:rPr>
          <w:rFonts w:ascii="Arial" w:cs="Arial" w:eastAsia="Arial" w:hAnsi="Arial"/>
          <w:sz w:val="15"/>
          <w:szCs w:val="15"/>
          <w:color w:val="231F20"/>
        </w:rPr>
        <w:t xml:space="preserve"> </w:t>
      </w:r>
      <w:r>
        <w:rPr>
          <w:rFonts w:ascii="Arial" w:cs="Arial" w:eastAsia="Arial" w:hAnsi="Arial"/>
          <w:sz w:val="15"/>
          <w:szCs w:val="15"/>
          <w:color w:val="231F20"/>
        </w:rPr>
        <w:t>Ǿ</w:t>
      </w:r>
      <w:r>
        <w:rPr>
          <w:rFonts w:ascii="Arial" w:cs="Arial" w:eastAsia="Arial" w:hAnsi="Arial"/>
          <w:sz w:val="15"/>
          <w:szCs w:val="15"/>
          <w:color w:val="231F20"/>
        </w:rPr>
        <w:t>ƫ ȉɍ</w:t>
      </w:r>
      <w:r>
        <w:rPr>
          <w:rFonts w:ascii="Arial" w:cs="Arial" w:eastAsia="Arial" w:hAnsi="Arial"/>
          <w:sz w:val="15"/>
          <w:szCs w:val="15"/>
          <w:color w:val="231F20"/>
        </w:rPr>
        <w:t>ȯ</w:t>
      </w:r>
      <w:r>
        <w:rPr>
          <w:rFonts w:ascii="Arial" w:cs="Arial" w:eastAsia="Arial" w:hAnsi="Arial"/>
          <w:sz w:val="15"/>
          <w:szCs w:val="15"/>
          <w:color w:val="231F20"/>
        </w:rPr>
        <w:t xml:space="preserve"> ȬƲȉȬ Ʋ</w:t>
      </w:r>
      <w:r>
        <w:rPr>
          <w:rFonts w:ascii="Arial" w:cs="Arial" w:eastAsia="Arial" w:hAnsi="Arial"/>
          <w:sz w:val="15"/>
          <w:szCs w:val="15"/>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99060</wp:posOffset>
            </wp:positionV>
            <wp:extent cx="2340610" cy="807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2340610" cy="807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20"/>
        <w:spacing w:after="0"/>
        <w:rPr>
          <w:sz w:val="20"/>
          <w:szCs w:val="20"/>
          <w:color w:val="auto"/>
        </w:rPr>
      </w:pPr>
      <w:r>
        <w:rPr>
          <w:rFonts w:ascii="Arial" w:cs="Arial" w:eastAsia="Arial" w:hAnsi="Arial"/>
          <w:sz w:val="15"/>
          <w:szCs w:val="15"/>
          <w:b w:val="1"/>
          <w:bCs w:val="1"/>
          <w:color w:val="231F20"/>
        </w:rPr>
        <w:t>William J. Shaw</w:t>
      </w:r>
    </w:p>
    <w:p>
      <w:pPr>
        <w:spacing w:after="0" w:line="53" w:lineRule="exact"/>
        <w:rPr>
          <w:sz w:val="20"/>
          <w:szCs w:val="20"/>
          <w:color w:val="auto"/>
        </w:rPr>
      </w:pPr>
    </w:p>
    <w:p>
      <w:pPr>
        <w:ind w:left="1620"/>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 xml:space="preserve">ǕƇǛȯǼƇǾ </w:t>
      </w:r>
      <w:r>
        <w:rPr>
          <w:rFonts w:ascii="Arial" w:cs="Arial" w:eastAsia="Arial" w:hAnsi="Arial"/>
          <w:sz w:val="15"/>
          <w:szCs w:val="15"/>
          <w:color w:val="231F20"/>
        </w:rPr>
        <w:t>ȉ</w:t>
      </w:r>
      <w:r>
        <w:rPr>
          <w:rFonts w:ascii="Arial" w:cs="Arial" w:eastAsia="Arial" w:hAnsi="Arial"/>
          <w:sz w:val="15"/>
          <w:szCs w:val="15"/>
          <w:color w:val="231F20"/>
        </w:rPr>
        <w:t>ǌ Ʌ</w:t>
      </w:r>
      <w:r>
        <w:rPr>
          <w:rFonts w:ascii="Arial" w:cs="Arial" w:eastAsia="Arial" w:hAnsi="Arial"/>
          <w:sz w:val="15"/>
          <w:szCs w:val="15"/>
          <w:color w:val="231F20"/>
        </w:rPr>
        <w:t>Ǖ</w:t>
      </w:r>
      <w:r>
        <w:rPr>
          <w:rFonts w:ascii="Arial" w:cs="Arial" w:eastAsia="Arial" w:hAnsi="Arial"/>
          <w:sz w:val="15"/>
          <w:szCs w:val="15"/>
          <w:color w:val="231F20"/>
        </w:rPr>
        <w:t>Ʋ</w:t>
      </w:r>
      <w:r>
        <w:rPr>
          <w:rFonts w:ascii="Arial" w:cs="Arial" w:eastAsia="Arial" w:hAnsi="Arial"/>
          <w:sz w:val="15"/>
          <w:szCs w:val="15"/>
          <w:color w:val="231F20"/>
        </w:rPr>
        <w:t xml:space="preserve"> </w:t>
      </w:r>
      <w:r>
        <w:rPr>
          <w:rFonts w:ascii="PMingLiU" w:cs="PMingLiU" w:eastAsia="PMingLiU" w:hAnsi="PMingLiU"/>
          <w:sz w:val="15"/>
          <w:szCs w:val="15"/>
          <w:color w:val="231F20"/>
        </w:rPr>
        <w:t/>
      </w:r>
      <w:r>
        <w:rPr>
          <w:rFonts w:ascii="Arial" w:cs="Arial" w:eastAsia="Arial" w:hAnsi="Arial"/>
          <w:sz w:val="15"/>
          <w:szCs w:val="15"/>
          <w:color w:val="231F20"/>
        </w:rPr>
        <w:t>ȉ</w:t>
      </w:r>
      <w:r>
        <w:rPr>
          <w:rFonts w:ascii="Arial" w:cs="Arial" w:eastAsia="Arial" w:hAnsi="Arial"/>
          <w:sz w:val="15"/>
          <w:szCs w:val="15"/>
          <w:color w:val="231F20"/>
        </w:rPr>
        <w:t>Ƈ</w:t>
      </w:r>
      <w:r>
        <w:rPr>
          <w:rFonts w:ascii="Arial" w:cs="Arial" w:eastAsia="Arial" w:hAnsi="Arial"/>
          <w:sz w:val="15"/>
          <w:szCs w:val="15"/>
          <w:color w:val="231F20"/>
        </w:rPr>
        <w:t>ȯ</w:t>
      </w:r>
      <w:r>
        <w:rPr>
          <w:rFonts w:ascii="Arial" w:cs="Arial" w:eastAsia="Arial" w:hAnsi="Arial"/>
          <w:sz w:val="15"/>
          <w:szCs w:val="15"/>
          <w:color w:val="231F20"/>
        </w:rPr>
        <w:t>ƫ</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1C4578"/>
        </w:rPr>
        <w:t>To Our Fellow Stockholders,</w:t>
      </w:r>
    </w:p>
    <w:p>
      <w:pPr>
        <w:spacing w:after="0" w:line="135" w:lineRule="exact"/>
        <w:rPr>
          <w:sz w:val="20"/>
          <w:szCs w:val="20"/>
          <w:color w:val="auto"/>
        </w:rPr>
      </w:pPr>
    </w:p>
    <w:p>
      <w:pPr>
        <w:jc w:val="both"/>
        <w:ind w:hanging="2"/>
        <w:spacing w:after="0" w:line="212" w:lineRule="exact"/>
        <w:rPr>
          <w:sz w:val="20"/>
          <w:szCs w:val="20"/>
          <w:color w:val="auto"/>
        </w:rPr>
      </w:pPr>
      <w:r>
        <w:rPr>
          <w:rFonts w:ascii="Arial" w:cs="Arial" w:eastAsia="Arial" w:hAnsi="Arial"/>
          <w:sz w:val="15"/>
          <w:szCs w:val="15"/>
          <w:color w:val="231F20"/>
        </w:rPr>
        <w:t>ÝǕ</w:t>
      </w:r>
      <w:r>
        <w:rPr>
          <w:rFonts w:ascii="Arial" w:cs="Arial" w:eastAsia="Arial" w:hAnsi="Arial"/>
          <w:sz w:val="15"/>
          <w:szCs w:val="15"/>
          <w:color w:val="231F20"/>
        </w:rPr>
        <w:t>ƲǾ</w:t>
      </w:r>
      <w:r>
        <w:rPr>
          <w:rFonts w:ascii="Arial" w:cs="Arial" w:eastAsia="Arial" w:hAnsi="Arial"/>
          <w:sz w:val="15"/>
          <w:szCs w:val="15"/>
          <w:color w:val="231F20"/>
        </w:rPr>
        <w:t xml:space="preserve"> U </w:t>
      </w:r>
      <w:r>
        <w:rPr>
          <w:rFonts w:ascii="Arial" w:cs="Arial" w:eastAsia="Arial" w:hAnsi="Arial"/>
          <w:sz w:val="15"/>
          <w:szCs w:val="15"/>
          <w:color w:val="231F20"/>
        </w:rPr>
        <w:t>ɦ</w:t>
      </w:r>
      <w:r>
        <w:rPr>
          <w:rFonts w:ascii="Arial" w:cs="Arial" w:eastAsia="Arial" w:hAnsi="Arial"/>
          <w:sz w:val="15"/>
          <w:szCs w:val="15"/>
          <w:color w:val="231F20"/>
        </w:rPr>
        <w:t>Ƈȷ</w:t>
      </w:r>
      <w:r>
        <w:rPr>
          <w:rFonts w:ascii="Arial" w:cs="Arial" w:eastAsia="Arial" w:hAnsi="Arial"/>
          <w:sz w:val="15"/>
          <w:szCs w:val="15"/>
          <w:color w:val="231F20"/>
        </w:rPr>
        <w:t xml:space="preserve"> </w:t>
      </w:r>
      <w:r>
        <w:rPr>
          <w:rFonts w:ascii="Arial" w:cs="Arial" w:eastAsia="Arial" w:hAnsi="Arial"/>
          <w:sz w:val="15"/>
          <w:szCs w:val="15"/>
          <w:color w:val="231F20"/>
        </w:rPr>
        <w:t>Ƈȷ</w:t>
      </w:r>
      <w:r>
        <w:rPr>
          <w:rFonts w:ascii="Arial" w:cs="Arial" w:eastAsia="Arial" w:hAnsi="Arial"/>
          <w:sz w:val="15"/>
          <w:szCs w:val="15"/>
          <w:color w:val="231F20"/>
        </w:rPr>
        <w:t>ǯ</w:t>
      </w:r>
      <w:r>
        <w:rPr>
          <w:rFonts w:ascii="Arial" w:cs="Arial" w:eastAsia="Arial" w:hAnsi="Arial"/>
          <w:sz w:val="15"/>
          <w:szCs w:val="15"/>
          <w:color w:val="231F20"/>
        </w:rPr>
        <w:t>Ʋƫ</w:t>
      </w:r>
      <w:r>
        <w:rPr>
          <w:rFonts w:ascii="Arial" w:cs="Arial" w:eastAsia="Arial" w:hAnsi="Arial"/>
          <w:sz w:val="15"/>
          <w:szCs w:val="15"/>
          <w:color w:val="231F20"/>
        </w:rPr>
        <w:t xml:space="preserve"> </w:t>
      </w:r>
      <w:r>
        <w:rPr>
          <w:rFonts w:ascii="Arial" w:cs="Arial" w:eastAsia="Arial" w:hAnsi="Arial"/>
          <w:sz w:val="15"/>
          <w:szCs w:val="15"/>
          <w:color w:val="231F20"/>
        </w:rPr>
        <w:t>Ʌȉ ȷɅ</w:t>
      </w:r>
      <w:r>
        <w:rPr>
          <w:rFonts w:ascii="Arial" w:cs="Arial" w:eastAsia="Arial" w:hAnsi="Arial"/>
          <w:sz w:val="15"/>
          <w:szCs w:val="15"/>
          <w:color w:val="231F20"/>
        </w:rPr>
        <w:t>Ʋ</w:t>
      </w:r>
      <w:r>
        <w:rPr>
          <w:rFonts w:ascii="Arial" w:cs="Arial" w:eastAsia="Arial" w:hAnsi="Arial"/>
          <w:sz w:val="15"/>
          <w:szCs w:val="15"/>
          <w:color w:val="231F20"/>
        </w:rPr>
        <w:t>Ȭ</w:t>
      </w:r>
      <w:r>
        <w:rPr>
          <w:rFonts w:ascii="Arial" w:cs="Arial" w:eastAsia="Arial" w:hAnsi="Arial"/>
          <w:sz w:val="15"/>
          <w:szCs w:val="15"/>
          <w:color w:val="231F20"/>
        </w:rPr>
        <w:t xml:space="preserve"> Ǜ</w:t>
      </w:r>
      <w:r>
        <w:rPr>
          <w:rFonts w:ascii="Arial" w:cs="Arial" w:eastAsia="Arial" w:hAnsi="Arial"/>
          <w:sz w:val="15"/>
          <w:szCs w:val="15"/>
          <w:color w:val="231F20"/>
        </w:rPr>
        <w:t>Ǿ</w:t>
      </w:r>
      <w:r>
        <w:rPr>
          <w:rFonts w:ascii="Arial" w:cs="Arial" w:eastAsia="Arial" w:hAnsi="Arial"/>
          <w:sz w:val="15"/>
          <w:szCs w:val="15"/>
          <w:color w:val="231F20"/>
        </w:rPr>
        <w:t>Ʌȉ</w:t>
      </w:r>
      <w:r>
        <w:rPr>
          <w:rFonts w:ascii="Arial" w:cs="Arial" w:eastAsia="Arial" w:hAnsi="Arial"/>
          <w:sz w:val="15"/>
          <w:szCs w:val="15"/>
          <w:color w:val="231F20"/>
        </w:rPr>
        <w:t xml:space="preserve"> </w:t>
      </w:r>
      <w:r>
        <w:rPr>
          <w:rFonts w:ascii="Arial" w:cs="Arial" w:eastAsia="Arial" w:hAnsi="Arial"/>
          <w:sz w:val="15"/>
          <w:szCs w:val="15"/>
          <w:color w:val="231F20"/>
        </w:rPr>
        <w:t>Ʌ</w:t>
      </w:r>
      <w:r>
        <w:rPr>
          <w:rFonts w:ascii="Arial" w:cs="Arial" w:eastAsia="Arial" w:hAnsi="Arial"/>
          <w:sz w:val="15"/>
          <w:szCs w:val="15"/>
          <w:color w:val="231F20"/>
        </w:rPr>
        <w:t>Ǖ</w:t>
      </w:r>
      <w:r>
        <w:rPr>
          <w:rFonts w:ascii="Arial" w:cs="Arial" w:eastAsia="Arial" w:hAnsi="Arial"/>
          <w:sz w:val="15"/>
          <w:szCs w:val="15"/>
          <w:color w:val="231F20"/>
        </w:rPr>
        <w:t>Ʋ</w:t>
      </w:r>
      <w:r>
        <w:rPr>
          <w:rFonts w:ascii="Arial" w:cs="Arial" w:eastAsia="Arial" w:hAnsi="Arial"/>
          <w:sz w:val="15"/>
          <w:szCs w:val="15"/>
          <w:color w:val="231F20"/>
        </w:rPr>
        <w:t xml:space="preserve"> ǛǾ</w:t>
      </w:r>
      <w:r>
        <w:rPr>
          <w:rFonts w:ascii="Arial" w:cs="Arial" w:eastAsia="Arial" w:hAnsi="Arial"/>
          <w:sz w:val="15"/>
          <w:szCs w:val="15"/>
          <w:color w:val="231F20"/>
        </w:rPr>
        <w:t>ɅƲ</w:t>
      </w:r>
      <w:r>
        <w:rPr>
          <w:rFonts w:ascii="Arial" w:cs="Arial" w:eastAsia="Arial" w:hAnsi="Arial"/>
          <w:sz w:val="15"/>
          <w:szCs w:val="15"/>
          <w:color w:val="231F20"/>
        </w:rPr>
        <w:t>ȯ</w:t>
      </w:r>
      <w:r>
        <w:rPr>
          <w:rFonts w:ascii="Arial" w:cs="Arial" w:eastAsia="Arial" w:hAnsi="Arial"/>
          <w:sz w:val="15"/>
          <w:szCs w:val="15"/>
          <w:color w:val="231F20"/>
        </w:rPr>
        <w:t>Ǜ</w:t>
      </w:r>
      <w:r>
        <w:rPr>
          <w:rFonts w:ascii="Arial" w:cs="Arial" w:eastAsia="Arial" w:hAnsi="Arial"/>
          <w:sz w:val="15"/>
          <w:szCs w:val="15"/>
          <w:color w:val="231F20"/>
        </w:rPr>
        <w:t xml:space="preserve">Ǽ </w:t>
      </w:r>
      <w:r>
        <w:rPr>
          <w:rFonts w:ascii="PMingLiU" w:cs="PMingLiU" w:eastAsia="PMingLiU" w:hAnsi="PMingLiU"/>
          <w:sz w:val="15"/>
          <w:szCs w:val="15"/>
          <w:color w:val="231F20"/>
        </w:rPr>
        <w:t/>
      </w:r>
      <w:r>
        <w:rPr>
          <w:rFonts w:ascii="Arial" w:cs="Arial" w:eastAsia="Arial" w:hAnsi="Arial"/>
          <w:sz w:val="15"/>
          <w:szCs w:val="15"/>
          <w:color w:val="231F20"/>
        </w:rPr>
        <w:t xml:space="preserve"> </w:t>
      </w:r>
      <w:r>
        <w:rPr>
          <w:rFonts w:ascii="Arial" w:cs="Arial" w:eastAsia="Arial" w:hAnsi="Arial"/>
          <w:sz w:val="15"/>
          <w:szCs w:val="15"/>
          <w:color w:val="231F20"/>
        </w:rPr>
        <w:t>Ǖ</w:t>
      </w:r>
      <w:r>
        <w:rPr>
          <w:rFonts w:ascii="Arial" w:cs="Arial" w:eastAsia="Arial" w:hAnsi="Arial"/>
          <w:sz w:val="15"/>
          <w:szCs w:val="15"/>
          <w:color w:val="231F20"/>
        </w:rPr>
        <w:t>Ǜ</w:t>
      </w:r>
      <w:r>
        <w:rPr>
          <w:rFonts w:ascii="Arial" w:cs="Arial" w:eastAsia="Arial" w:hAnsi="Arial"/>
          <w:sz w:val="15"/>
          <w:szCs w:val="15"/>
          <w:color w:val="231F20"/>
        </w:rPr>
        <w:t>Ʋǌ</w:t>
      </w:r>
      <w:r>
        <w:rPr>
          <w:rFonts w:ascii="Arial" w:cs="Arial" w:eastAsia="Arial" w:hAnsi="Arial"/>
          <w:sz w:val="15"/>
          <w:szCs w:val="15"/>
          <w:color w:val="231F20"/>
        </w:rPr>
        <w:t xml:space="preserve"> -ɫ</w:t>
      </w:r>
      <w:r>
        <w:rPr>
          <w:rFonts w:ascii="Arial" w:cs="Arial" w:eastAsia="Arial" w:hAnsi="Arial"/>
          <w:sz w:val="15"/>
          <w:szCs w:val="15"/>
          <w:color w:val="231F20"/>
        </w:rPr>
        <w:t>ƲƤɍɅ</w:t>
      </w:r>
      <w:r>
        <w:rPr>
          <w:rFonts w:ascii="Arial" w:cs="Arial" w:eastAsia="Arial" w:hAnsi="Arial"/>
          <w:sz w:val="15"/>
          <w:szCs w:val="15"/>
          <w:color w:val="231F20"/>
        </w:rPr>
        <w:t>Ǜ</w:t>
      </w:r>
      <w:r>
        <w:rPr>
          <w:rFonts w:ascii="Arial" w:cs="Arial" w:eastAsia="Arial" w:hAnsi="Arial"/>
          <w:sz w:val="15"/>
          <w:szCs w:val="15"/>
          <w:color w:val="231F20"/>
        </w:rPr>
        <w:t>ɥ</w:t>
      </w:r>
      <w:r>
        <w:rPr>
          <w:rFonts w:ascii="Arial" w:cs="Arial" w:eastAsia="Arial" w:hAnsi="Arial"/>
          <w:sz w:val="15"/>
          <w:szCs w:val="15"/>
          <w:color w:val="231F20"/>
        </w:rPr>
        <w:t xml:space="preserve">Ʋ </w:t>
      </w:r>
      <w:r>
        <w:rPr>
          <w:rFonts w:ascii="PMingLiU" w:cs="PMingLiU" w:eastAsia="PMingLiU" w:hAnsi="PMingLiU"/>
          <w:sz w:val="15"/>
          <w:szCs w:val="15"/>
          <w:color w:val="231F20"/>
        </w:rPr>
        <w:t></w:t>
      </w:r>
      <w:r>
        <w:rPr>
          <w:rFonts w:ascii="Arial" w:cs="Arial" w:eastAsia="Arial" w:hAnsi="Arial"/>
          <w:sz w:val="15"/>
          <w:szCs w:val="15"/>
          <w:color w:val="231F20"/>
        </w:rPr>
        <w:t>ǌ˚</w:t>
      </w:r>
      <w:r>
        <w:rPr>
          <w:rFonts w:ascii="Arial" w:cs="Arial" w:eastAsia="Arial" w:hAnsi="Arial"/>
          <w:sz w:val="15"/>
          <w:szCs w:val="15"/>
          <w:color w:val="231F20"/>
        </w:rPr>
        <w:t xml:space="preserve"> </w:t>
      </w:r>
      <w:r>
        <w:rPr>
          <w:rFonts w:ascii="Arial" w:cs="Arial" w:eastAsia="Arial" w:hAnsi="Arial"/>
          <w:sz w:val="15"/>
          <w:szCs w:val="15"/>
          <w:color w:val="231F20"/>
        </w:rPr>
        <w:t>ƤƲȯ ȯ</w:t>
      </w:r>
      <w:r>
        <w:rPr>
          <w:rFonts w:ascii="Arial" w:cs="Arial" w:eastAsia="Arial" w:hAnsi="Arial"/>
          <w:sz w:val="15"/>
          <w:szCs w:val="15"/>
          <w:color w:val="231F20"/>
        </w:rPr>
        <w:t>ȉǳ</w:t>
      </w:r>
      <w:r>
        <w:rPr>
          <w:rFonts w:ascii="Arial" w:cs="Arial" w:eastAsia="Arial" w:hAnsi="Arial"/>
          <w:sz w:val="15"/>
          <w:szCs w:val="15"/>
          <w:color w:val="231F20"/>
        </w:rPr>
        <w:t xml:space="preserve">Ʋؙ </w:t>
      </w:r>
      <w:r>
        <w:rPr>
          <w:rFonts w:ascii="Arial" w:cs="Arial" w:eastAsia="Arial" w:hAnsi="Arial"/>
          <w:sz w:val="15"/>
          <w:szCs w:val="15"/>
          <w:color w:val="231F20"/>
        </w:rPr>
        <w:t>Ʌ</w:t>
      </w:r>
      <w:r>
        <w:rPr>
          <w:rFonts w:ascii="Arial" w:cs="Arial" w:eastAsia="Arial" w:hAnsi="Arial"/>
          <w:sz w:val="15"/>
          <w:szCs w:val="15"/>
          <w:color w:val="231F20"/>
        </w:rPr>
        <w:t>Ǖ</w:t>
      </w:r>
      <w:r>
        <w:rPr>
          <w:rFonts w:ascii="Arial" w:cs="Arial" w:eastAsia="Arial" w:hAnsi="Arial"/>
          <w:sz w:val="15"/>
          <w:szCs w:val="15"/>
          <w:color w:val="231F20"/>
        </w:rPr>
        <w:t>Ʋ</w:t>
      </w:r>
      <w:r>
        <w:rPr>
          <w:rFonts w:ascii="Arial" w:cs="Arial" w:eastAsia="Arial" w:hAnsi="Arial"/>
          <w:sz w:val="15"/>
          <w:szCs w:val="15"/>
          <w:color w:val="231F20"/>
        </w:rPr>
        <w:t xml:space="preserve"> </w:t>
      </w:r>
      <w:r>
        <w:rPr>
          <w:rFonts w:ascii="PMingLiU" w:cs="PMingLiU" w:eastAsia="PMingLiU" w:hAnsi="PMingLiU"/>
          <w:sz w:val="15"/>
          <w:szCs w:val="15"/>
          <w:color w:val="231F20"/>
        </w:rPr>
        <w:t/>
      </w:r>
      <w:r>
        <w:rPr>
          <w:rFonts w:ascii="Arial" w:cs="Arial" w:eastAsia="Arial" w:hAnsi="Arial"/>
          <w:sz w:val="15"/>
          <w:szCs w:val="15"/>
          <w:color w:val="231F20"/>
        </w:rPr>
        <w:t>ȉ</w:t>
      </w:r>
      <w:r>
        <w:rPr>
          <w:rFonts w:ascii="Arial" w:cs="Arial" w:eastAsia="Arial" w:hAnsi="Arial"/>
          <w:sz w:val="15"/>
          <w:szCs w:val="15"/>
          <w:color w:val="231F20"/>
        </w:rPr>
        <w:t>Ǽ</w:t>
      </w:r>
      <w:r>
        <w:rPr>
          <w:rFonts w:ascii="Arial" w:cs="Arial" w:eastAsia="Arial" w:hAnsi="Arial"/>
          <w:sz w:val="15"/>
          <w:szCs w:val="15"/>
          <w:color w:val="231F20"/>
        </w:rPr>
        <w:t>ȬƇǾ</w:t>
      </w:r>
      <w:r>
        <w:rPr>
          <w:rFonts w:ascii="Arial" w:cs="Arial" w:eastAsia="Arial" w:hAnsi="Arial"/>
          <w:sz w:val="15"/>
          <w:szCs w:val="15"/>
          <w:color w:val="231F20"/>
        </w:rPr>
        <w:t>ɬى</w:t>
      </w:r>
      <w:r>
        <w:rPr>
          <w:rFonts w:ascii="Arial" w:cs="Arial" w:eastAsia="Arial" w:hAnsi="Arial"/>
          <w:sz w:val="15"/>
          <w:szCs w:val="15"/>
          <w:color w:val="231F20"/>
        </w:rPr>
        <w:t xml:space="preserve">ȷ </w:t>
      </w:r>
      <w:r>
        <w:rPr>
          <w:rFonts w:ascii="Arial" w:cs="Arial" w:eastAsia="Arial" w:hAnsi="Arial"/>
          <w:sz w:val="15"/>
          <w:szCs w:val="15"/>
          <w:color w:val="231F20"/>
        </w:rPr>
        <w:t>Ȭ</w:t>
      </w:r>
      <w:r>
        <w:rPr>
          <w:rFonts w:ascii="Arial" w:cs="Arial" w:eastAsia="Arial" w:hAnsi="Arial"/>
          <w:sz w:val="15"/>
          <w:szCs w:val="15"/>
          <w:color w:val="231F20"/>
        </w:rPr>
        <w:t>ȉɅ</w:t>
      </w:r>
      <w:r>
        <w:rPr>
          <w:rFonts w:ascii="Arial" w:cs="Arial" w:eastAsia="Arial" w:hAnsi="Arial"/>
          <w:sz w:val="15"/>
          <w:szCs w:val="15"/>
          <w:color w:val="231F20"/>
        </w:rPr>
        <w:t>Ʋ</w:t>
      </w:r>
      <w:r>
        <w:rPr>
          <w:rFonts w:ascii="Arial" w:cs="Arial" w:eastAsia="Arial" w:hAnsi="Arial"/>
          <w:sz w:val="15"/>
          <w:szCs w:val="15"/>
          <w:color w:val="231F20"/>
        </w:rPr>
        <w:t>Ǿ</w:t>
      </w:r>
      <w:r>
        <w:rPr>
          <w:rFonts w:ascii="Arial" w:cs="Arial" w:eastAsia="Arial" w:hAnsi="Arial"/>
          <w:sz w:val="15"/>
          <w:szCs w:val="15"/>
          <w:color w:val="231F20"/>
        </w:rPr>
        <w:t>Ʌ</w:t>
      </w:r>
      <w:r>
        <w:rPr>
          <w:rFonts w:ascii="Arial" w:cs="Arial" w:eastAsia="Arial" w:hAnsi="Arial"/>
          <w:sz w:val="15"/>
          <w:szCs w:val="15"/>
          <w:color w:val="231F20"/>
        </w:rPr>
        <w:t>Ǜ</w:t>
      </w:r>
      <w:r>
        <w:rPr>
          <w:rFonts w:ascii="Arial" w:cs="Arial" w:eastAsia="Arial" w:hAnsi="Arial"/>
          <w:sz w:val="15"/>
          <w:szCs w:val="15"/>
          <w:color w:val="231F20"/>
        </w:rPr>
        <w:t>Ƈ</w:t>
      </w:r>
      <w:r>
        <w:rPr>
          <w:rFonts w:ascii="Arial" w:cs="Arial" w:eastAsia="Arial" w:hAnsi="Arial"/>
          <w:sz w:val="15"/>
          <w:szCs w:val="15"/>
          <w:color w:val="231F20"/>
        </w:rPr>
        <w:t>ǳ ɦ</w:t>
      </w:r>
      <w:r>
        <w:rPr>
          <w:rFonts w:ascii="Arial" w:cs="Arial" w:eastAsia="Arial" w:hAnsi="Arial"/>
          <w:sz w:val="15"/>
          <w:szCs w:val="15"/>
          <w:color w:val="231F20"/>
        </w:rPr>
        <w:t>Ƈ</w:t>
      </w:r>
      <w:r>
        <w:rPr>
          <w:rFonts w:ascii="Arial" w:cs="Arial" w:eastAsia="Arial" w:hAnsi="Arial"/>
          <w:sz w:val="15"/>
          <w:szCs w:val="15"/>
          <w:color w:val="231F20"/>
        </w:rPr>
        <w:t>ȷ</w:t>
      </w:r>
      <w:r>
        <w:rPr>
          <w:rFonts w:ascii="Arial" w:cs="Arial" w:eastAsia="Arial" w:hAnsi="Arial"/>
          <w:sz w:val="15"/>
          <w:szCs w:val="15"/>
          <w:color w:val="231F20"/>
        </w:rPr>
        <w:t xml:space="preserve"> Ǜ</w:t>
      </w:r>
      <w:r>
        <w:rPr>
          <w:rFonts w:ascii="Arial" w:cs="Arial" w:eastAsia="Arial" w:hAnsi="Arial"/>
          <w:sz w:val="15"/>
          <w:szCs w:val="15"/>
          <w:color w:val="231F20"/>
        </w:rPr>
        <w:t>Ǽ</w:t>
      </w:r>
      <w:r>
        <w:rPr>
          <w:rFonts w:ascii="Arial" w:cs="Arial" w:eastAsia="Arial" w:hAnsi="Arial"/>
          <w:sz w:val="15"/>
          <w:szCs w:val="15"/>
          <w:color w:val="231F20"/>
        </w:rPr>
        <w:t>Ǽ</w:t>
      </w:r>
      <w:r>
        <w:rPr>
          <w:rFonts w:ascii="Arial" w:cs="Arial" w:eastAsia="Arial" w:hAnsi="Arial"/>
          <w:sz w:val="15"/>
          <w:szCs w:val="15"/>
          <w:color w:val="231F20"/>
        </w:rPr>
        <w:t>Ʋ</w:t>
      </w:r>
      <w:r>
        <w:rPr>
          <w:rFonts w:ascii="Arial" w:cs="Arial" w:eastAsia="Arial" w:hAnsi="Arial"/>
          <w:sz w:val="15"/>
          <w:szCs w:val="15"/>
          <w:color w:val="231F20"/>
        </w:rPr>
        <w:t>ƫ</w:t>
      </w:r>
      <w:r>
        <w:rPr>
          <w:rFonts w:ascii="Arial" w:cs="Arial" w:eastAsia="Arial" w:hAnsi="Arial"/>
          <w:sz w:val="15"/>
          <w:szCs w:val="15"/>
          <w:color w:val="231F20"/>
        </w:rPr>
        <w:t>Ǜ</w:t>
      </w:r>
      <w:r>
        <w:rPr>
          <w:rFonts w:ascii="Arial" w:cs="Arial" w:eastAsia="Arial" w:hAnsi="Arial"/>
          <w:sz w:val="15"/>
          <w:szCs w:val="15"/>
          <w:color w:val="231F20"/>
        </w:rPr>
        <w:t>Ƈ</w:t>
      </w:r>
      <w:r>
        <w:rPr>
          <w:rFonts w:ascii="Arial" w:cs="Arial" w:eastAsia="Arial" w:hAnsi="Arial"/>
          <w:sz w:val="15"/>
          <w:szCs w:val="15"/>
          <w:color w:val="231F20"/>
        </w:rPr>
        <w:t>ɅƲ</w:t>
      </w:r>
      <w:r>
        <w:rPr>
          <w:rFonts w:ascii="Arial" w:cs="Arial" w:eastAsia="Arial" w:hAnsi="Arial"/>
          <w:sz w:val="15"/>
          <w:szCs w:val="15"/>
          <w:color w:val="231F20"/>
        </w:rPr>
        <w:t xml:space="preserve"> </w:t>
      </w:r>
      <w:r>
        <w:rPr>
          <w:rFonts w:ascii="Arial" w:cs="Arial" w:eastAsia="Arial" w:hAnsi="Arial"/>
          <w:sz w:val="15"/>
          <w:szCs w:val="15"/>
          <w:color w:val="231F20"/>
        </w:rPr>
        <w:t>ǳɬ</w:t>
      </w:r>
      <w:r>
        <w:rPr>
          <w:rFonts w:ascii="Arial" w:cs="Arial" w:eastAsia="Arial" w:hAnsi="Arial"/>
          <w:sz w:val="15"/>
          <w:szCs w:val="15"/>
          <w:color w:val="231F20"/>
        </w:rPr>
        <w:t xml:space="preserve"> </w:t>
      </w:r>
      <w:r>
        <w:rPr>
          <w:rFonts w:ascii="Arial" w:cs="Arial" w:eastAsia="Arial" w:hAnsi="Arial"/>
          <w:sz w:val="15"/>
          <w:szCs w:val="15"/>
          <w:color w:val="231F20"/>
        </w:rPr>
        <w:t>ȯƲƤȉǍǾ</w:t>
      </w:r>
      <w:r>
        <w:rPr>
          <w:rFonts w:ascii="Arial" w:cs="Arial" w:eastAsia="Arial" w:hAnsi="Arial"/>
          <w:sz w:val="15"/>
          <w:szCs w:val="15"/>
          <w:color w:val="231F20"/>
        </w:rPr>
        <w:t>Ǜɶ</w:t>
      </w:r>
      <w:r>
        <w:rPr>
          <w:rFonts w:ascii="Arial" w:cs="Arial" w:eastAsia="Arial" w:hAnsi="Arial"/>
          <w:sz w:val="15"/>
          <w:szCs w:val="15"/>
          <w:color w:val="231F20"/>
        </w:rPr>
        <w:t>Ƈ ƣ</w:t>
      </w:r>
      <w:r>
        <w:rPr>
          <w:rFonts w:ascii="Arial" w:cs="Arial" w:eastAsia="Arial" w:hAnsi="Arial"/>
          <w:sz w:val="15"/>
          <w:szCs w:val="15"/>
          <w:color w:val="231F20"/>
        </w:rPr>
        <w:t>ǳ</w:t>
      </w:r>
      <w:r>
        <w:rPr>
          <w:rFonts w:ascii="Arial" w:cs="Arial" w:eastAsia="Arial" w:hAnsi="Arial"/>
          <w:sz w:val="15"/>
          <w:szCs w:val="15"/>
          <w:color w:val="231F20"/>
        </w:rPr>
        <w:t>Ʋ</w:t>
      </w:r>
      <w:r>
        <w:rPr>
          <w:rFonts w:ascii="Arial" w:cs="Arial" w:eastAsia="Arial" w:hAnsi="Arial"/>
          <w:sz w:val="15"/>
          <w:szCs w:val="15"/>
          <w:color w:val="231F20"/>
        </w:rPr>
        <w:t>ؘ</w:t>
      </w:r>
      <w:r>
        <w:rPr>
          <w:rFonts w:ascii="Arial" w:cs="Arial" w:eastAsia="Arial" w:hAnsi="Arial"/>
          <w:sz w:val="15"/>
          <w:szCs w:val="15"/>
          <w:color w:val="231F20"/>
        </w:rPr>
        <w:t xml:space="preserve"> U </w:t>
      </w:r>
      <w:r>
        <w:rPr>
          <w:rFonts w:ascii="Arial" w:cs="Arial" w:eastAsia="Arial" w:hAnsi="Arial"/>
          <w:sz w:val="15"/>
          <w:szCs w:val="15"/>
          <w:color w:val="231F20"/>
        </w:rPr>
        <w:t>˚</w:t>
      </w:r>
      <w:r>
        <w:rPr>
          <w:rFonts w:ascii="Arial" w:cs="Arial" w:eastAsia="Arial" w:hAnsi="Arial"/>
          <w:sz w:val="15"/>
          <w:szCs w:val="15"/>
          <w:color w:val="231F20"/>
        </w:rPr>
        <w:t>ȯ</w:t>
      </w:r>
      <w:r>
        <w:rPr>
          <w:rFonts w:ascii="Arial" w:cs="Arial" w:eastAsia="Arial" w:hAnsi="Arial"/>
          <w:sz w:val="15"/>
          <w:szCs w:val="15"/>
          <w:color w:val="231F20"/>
        </w:rPr>
        <w:t>Ǽ</w:t>
      </w:r>
      <w:r>
        <w:rPr>
          <w:rFonts w:ascii="Arial" w:cs="Arial" w:eastAsia="Arial" w:hAnsi="Arial"/>
          <w:sz w:val="15"/>
          <w:szCs w:val="15"/>
          <w:color w:val="231F20"/>
        </w:rPr>
        <w:t>ǳ</w:t>
      </w:r>
      <w:r>
        <w:rPr>
          <w:rFonts w:ascii="Arial" w:cs="Arial" w:eastAsia="Arial" w:hAnsi="Arial"/>
          <w:sz w:val="15"/>
          <w:szCs w:val="15"/>
          <w:color w:val="231F20"/>
        </w:rPr>
        <w:t>ɬ ƣƲ</w:t>
      </w:r>
      <w:r>
        <w:rPr>
          <w:rFonts w:ascii="Arial" w:cs="Arial" w:eastAsia="Arial" w:hAnsi="Arial"/>
          <w:sz w:val="15"/>
          <w:szCs w:val="15"/>
          <w:color w:val="231F20"/>
        </w:rPr>
        <w:t>ǳǛ</w:t>
      </w:r>
      <w:r>
        <w:rPr>
          <w:rFonts w:ascii="Arial" w:cs="Arial" w:eastAsia="Arial" w:hAnsi="Arial"/>
          <w:sz w:val="15"/>
          <w:szCs w:val="15"/>
          <w:color w:val="231F20"/>
        </w:rPr>
        <w:t>Ʋ</w:t>
      </w:r>
      <w:r>
        <w:rPr>
          <w:rFonts w:ascii="Arial" w:cs="Arial" w:eastAsia="Arial" w:hAnsi="Arial"/>
          <w:sz w:val="15"/>
          <w:szCs w:val="15"/>
          <w:color w:val="231F20"/>
        </w:rPr>
        <w:t>ɥ</w:t>
      </w:r>
      <w:r>
        <w:rPr>
          <w:rFonts w:ascii="Arial" w:cs="Arial" w:eastAsia="Arial" w:hAnsi="Arial"/>
          <w:sz w:val="15"/>
          <w:szCs w:val="15"/>
          <w:color w:val="231F20"/>
        </w:rPr>
        <w:t>Ʋ</w:t>
      </w:r>
      <w:r>
        <w:rPr>
          <w:rFonts w:ascii="Arial" w:cs="Arial" w:eastAsia="Arial" w:hAnsi="Arial"/>
          <w:sz w:val="15"/>
          <w:szCs w:val="15"/>
          <w:color w:val="231F20"/>
        </w:rPr>
        <w:t xml:space="preserve"> </w:t>
      </w:r>
      <w:r>
        <w:rPr>
          <w:rFonts w:ascii="Arial" w:cs="Arial" w:eastAsia="Arial" w:hAnsi="Arial"/>
          <w:sz w:val="15"/>
          <w:szCs w:val="15"/>
          <w:color w:val="231F20"/>
        </w:rPr>
        <w:t>Ʌ</w:t>
      </w:r>
      <w:r>
        <w:rPr>
          <w:rFonts w:ascii="Arial" w:cs="Arial" w:eastAsia="Arial" w:hAnsi="Arial"/>
          <w:sz w:val="15"/>
          <w:szCs w:val="15"/>
          <w:color w:val="231F20"/>
        </w:rPr>
        <w:t>ǕƇɅ tƇȯȯǛȉ</w:t>
      </w:r>
      <w:r>
        <w:rPr>
          <w:rFonts w:ascii="Arial" w:cs="Arial" w:eastAsia="Arial" w:hAnsi="Arial"/>
          <w:sz w:val="15"/>
          <w:szCs w:val="15"/>
          <w:color w:val="231F20"/>
        </w:rPr>
        <w:t>Ʌ</w:t>
      </w:r>
      <w:r>
        <w:rPr>
          <w:rFonts w:ascii="Arial" w:cs="Arial" w:eastAsia="Arial" w:hAnsi="Arial"/>
          <w:sz w:val="15"/>
          <w:szCs w:val="15"/>
          <w:color w:val="231F20"/>
        </w:rPr>
        <w:t>Ʌ ÜƇƤƇɅǛȉǾȷ</w:t>
      </w:r>
      <w:r>
        <w:rPr>
          <w:rFonts w:ascii="Arial" w:cs="Arial" w:eastAsia="Arial" w:hAnsi="Arial"/>
          <w:sz w:val="15"/>
          <w:szCs w:val="15"/>
          <w:color w:val="231F20"/>
        </w:rPr>
        <w:t xml:space="preserve"> </w:t>
      </w:r>
      <w:r>
        <w:rPr>
          <w:rFonts w:ascii="Arial" w:cs="Arial" w:eastAsia="Arial" w:hAnsi="Arial"/>
          <w:sz w:val="15"/>
          <w:szCs w:val="15"/>
          <w:color w:val="231F20"/>
        </w:rPr>
        <w:t>Ýȉ</w:t>
      </w:r>
      <w:r>
        <w:rPr>
          <w:rFonts w:ascii="Arial" w:cs="Arial" w:eastAsia="Arial" w:hAnsi="Arial"/>
          <w:sz w:val="15"/>
          <w:szCs w:val="15"/>
          <w:color w:val="231F20"/>
        </w:rPr>
        <w:t>ȯǳƫɦ</w:t>
      </w:r>
      <w:r>
        <w:rPr>
          <w:rFonts w:ascii="Arial" w:cs="Arial" w:eastAsia="Arial" w:hAnsi="Arial"/>
          <w:sz w:val="15"/>
          <w:szCs w:val="15"/>
          <w:color w:val="231F20"/>
        </w:rPr>
        <w:t>Ǜ</w:t>
      </w:r>
      <w:r>
        <w:rPr>
          <w:rFonts w:ascii="Arial" w:cs="Arial" w:eastAsia="Arial" w:hAnsi="Arial"/>
          <w:sz w:val="15"/>
          <w:szCs w:val="15"/>
          <w:color w:val="231F20"/>
        </w:rPr>
        <w:t>ƫƲ</w:t>
      </w:r>
      <w:r>
        <w:rPr>
          <w:rFonts w:ascii="Arial" w:cs="Arial" w:eastAsia="Arial" w:hAnsi="Arial"/>
          <w:sz w:val="15"/>
          <w:szCs w:val="15"/>
          <w:color w:val="231F20"/>
        </w:rPr>
        <w:t xml:space="preserve"> </w:t>
      </w:r>
      <w:r>
        <w:rPr>
          <w:rFonts w:ascii="Arial" w:cs="Arial" w:eastAsia="Arial" w:hAnsi="Arial"/>
          <w:sz w:val="15"/>
          <w:szCs w:val="15"/>
          <w:color w:val="231F20"/>
        </w:rPr>
        <w:t>Ȭȉ</w:t>
      </w:r>
      <w:r>
        <w:rPr>
          <w:rFonts w:ascii="Arial" w:cs="Arial" w:eastAsia="Arial" w:hAnsi="Arial"/>
          <w:sz w:val="15"/>
          <w:szCs w:val="15"/>
          <w:color w:val="231F20"/>
        </w:rPr>
        <w:t>ȷȷƲ</w:t>
      </w:r>
      <w:r>
        <w:rPr>
          <w:rFonts w:ascii="Arial" w:cs="Arial" w:eastAsia="Arial" w:hAnsi="Arial"/>
          <w:sz w:val="15"/>
          <w:szCs w:val="15"/>
          <w:color w:val="231F20"/>
        </w:rPr>
        <w:t>ȷȷ</w:t>
      </w:r>
      <w:r>
        <w:rPr>
          <w:rFonts w:ascii="Arial" w:cs="Arial" w:eastAsia="Arial" w:hAnsi="Arial"/>
          <w:sz w:val="15"/>
          <w:szCs w:val="15"/>
          <w:color w:val="231F20"/>
        </w:rPr>
        <w:t>Ʋȷ</w:t>
      </w:r>
      <w:r>
        <w:rPr>
          <w:rFonts w:ascii="Arial" w:cs="Arial" w:eastAsia="Arial" w:hAnsi="Arial"/>
          <w:sz w:val="15"/>
          <w:szCs w:val="15"/>
          <w:color w:val="231F20"/>
        </w:rPr>
        <w:t xml:space="preserve"> </w:t>
      </w:r>
      <w:r>
        <w:rPr>
          <w:rFonts w:ascii="Arial" w:cs="Arial" w:eastAsia="Arial" w:hAnsi="Arial"/>
          <w:sz w:val="15"/>
          <w:szCs w:val="15"/>
          <w:color w:val="231F20"/>
        </w:rPr>
        <w:t>Ƈ</w:t>
      </w:r>
      <w:r>
        <w:rPr>
          <w:rFonts w:ascii="Arial" w:cs="Arial" w:eastAsia="Arial" w:hAnsi="Arial"/>
          <w:sz w:val="15"/>
          <w:szCs w:val="15"/>
          <w:color w:val="231F20"/>
        </w:rPr>
        <w:t xml:space="preserve"> </w:t>
      </w:r>
      <w:r>
        <w:rPr>
          <w:rFonts w:ascii="Arial" w:cs="Arial" w:eastAsia="Arial" w:hAnsi="Arial"/>
          <w:sz w:val="15"/>
          <w:szCs w:val="15"/>
          <w:color w:val="231F20"/>
        </w:rPr>
        <w:t>Ȭǳ</w:t>
      </w:r>
      <w:r>
        <w:rPr>
          <w:rFonts w:ascii="Arial" w:cs="Arial" w:eastAsia="Arial" w:hAnsi="Arial"/>
          <w:sz w:val="15"/>
          <w:szCs w:val="15"/>
          <w:color w:val="231F20"/>
        </w:rPr>
        <w:t>ƇɅ</w:t>
      </w:r>
      <w:r>
        <w:rPr>
          <w:rFonts w:ascii="Arial" w:cs="Arial" w:eastAsia="Arial" w:hAnsi="Arial"/>
          <w:sz w:val="15"/>
          <w:szCs w:val="15"/>
          <w:color w:val="231F20"/>
        </w:rPr>
        <w:t>ǌ</w:t>
      </w:r>
      <w:r>
        <w:rPr>
          <w:rFonts w:ascii="Arial" w:cs="Arial" w:eastAsia="Arial" w:hAnsi="Arial"/>
          <w:sz w:val="15"/>
          <w:szCs w:val="15"/>
          <w:color w:val="231F20"/>
        </w:rPr>
        <w:t>ȉ</w:t>
      </w:r>
      <w:r>
        <w:rPr>
          <w:rFonts w:ascii="Arial" w:cs="Arial" w:eastAsia="Arial" w:hAnsi="Arial"/>
          <w:sz w:val="15"/>
          <w:szCs w:val="15"/>
          <w:color w:val="231F20"/>
        </w:rPr>
        <w:t>ȯǼ</w:t>
      </w:r>
      <w:r>
        <w:rPr>
          <w:rFonts w:ascii="Arial" w:cs="Arial" w:eastAsia="Arial" w:hAnsi="Arial"/>
          <w:sz w:val="15"/>
          <w:szCs w:val="15"/>
          <w:color w:val="231F20"/>
        </w:rPr>
        <w:t xml:space="preserve"> </w:t>
      </w:r>
      <w:r>
        <w:rPr>
          <w:rFonts w:ascii="Arial" w:cs="Arial" w:eastAsia="Arial" w:hAnsi="Arial"/>
          <w:sz w:val="15"/>
          <w:szCs w:val="15"/>
          <w:color w:val="231F20"/>
        </w:rPr>
        <w:t>Ʌ</w:t>
      </w:r>
      <w:r>
        <w:rPr>
          <w:rFonts w:ascii="Arial" w:cs="Arial" w:eastAsia="Arial" w:hAnsi="Arial"/>
          <w:sz w:val="15"/>
          <w:szCs w:val="15"/>
          <w:color w:val="231F20"/>
        </w:rPr>
        <w:t>Ǖ</w:t>
      </w:r>
      <w:r>
        <w:rPr>
          <w:rFonts w:ascii="Arial" w:cs="Arial" w:eastAsia="Arial" w:hAnsi="Arial"/>
          <w:sz w:val="15"/>
          <w:szCs w:val="15"/>
          <w:color w:val="231F20"/>
        </w:rPr>
        <w:t>Ƈ</w:t>
      </w:r>
      <w:r>
        <w:rPr>
          <w:rFonts w:ascii="Arial" w:cs="Arial" w:eastAsia="Arial" w:hAnsi="Arial"/>
          <w:sz w:val="15"/>
          <w:szCs w:val="15"/>
          <w:color w:val="231F20"/>
        </w:rPr>
        <w:t>Ʌ</w:t>
      </w:r>
      <w:r>
        <w:rPr>
          <w:rFonts w:ascii="Arial" w:cs="Arial" w:eastAsia="Arial" w:hAnsi="Arial"/>
          <w:sz w:val="15"/>
          <w:szCs w:val="15"/>
          <w:color w:val="231F20"/>
        </w:rPr>
        <w:t xml:space="preserve"> </w:t>
      </w:r>
      <w:r>
        <w:rPr>
          <w:rFonts w:ascii="Arial" w:cs="Arial" w:eastAsia="Arial" w:hAnsi="Arial"/>
          <w:sz w:val="15"/>
          <w:szCs w:val="15"/>
          <w:color w:val="231F20"/>
        </w:rPr>
        <w:t>Ǜȷ ȷƲƤȉǾƫ</w:t>
      </w:r>
      <w:r>
        <w:rPr>
          <w:rFonts w:ascii="Arial" w:cs="Arial" w:eastAsia="Arial" w:hAnsi="Arial"/>
          <w:sz w:val="15"/>
          <w:szCs w:val="15"/>
          <w:color w:val="231F20"/>
        </w:rPr>
        <w:t xml:space="preserve"> </w:t>
      </w:r>
      <w:r>
        <w:rPr>
          <w:rFonts w:ascii="Arial" w:cs="Arial" w:eastAsia="Arial" w:hAnsi="Arial"/>
          <w:sz w:val="15"/>
          <w:szCs w:val="15"/>
          <w:color w:val="231F20"/>
        </w:rPr>
        <w:t>Ʌȉ</w:t>
      </w:r>
      <w:r>
        <w:rPr>
          <w:rFonts w:ascii="Arial" w:cs="Arial" w:eastAsia="Arial" w:hAnsi="Arial"/>
          <w:sz w:val="15"/>
          <w:szCs w:val="15"/>
          <w:color w:val="231F20"/>
        </w:rPr>
        <w:t xml:space="preserve"> </w:t>
      </w:r>
      <w:r>
        <w:rPr>
          <w:rFonts w:ascii="Arial" w:cs="Arial" w:eastAsia="Arial" w:hAnsi="Arial"/>
          <w:sz w:val="15"/>
          <w:szCs w:val="15"/>
          <w:color w:val="231F20"/>
        </w:rPr>
        <w:t>Ǿ</w:t>
      </w:r>
      <w:r>
        <w:rPr>
          <w:rFonts w:ascii="Arial" w:cs="Arial" w:eastAsia="Arial" w:hAnsi="Arial"/>
          <w:sz w:val="15"/>
          <w:szCs w:val="15"/>
          <w:color w:val="231F20"/>
        </w:rPr>
        <w:t>ȉǾ</w:t>
      </w:r>
      <w:r>
        <w:rPr>
          <w:rFonts w:ascii="Arial" w:cs="Arial" w:eastAsia="Arial" w:hAnsi="Arial"/>
          <w:sz w:val="15"/>
          <w:szCs w:val="15"/>
          <w:color w:val="231F20"/>
        </w:rPr>
        <w:t>Ʋ</w:t>
      </w:r>
      <w:r>
        <w:rPr>
          <w:rFonts w:ascii="Arial" w:cs="Arial" w:eastAsia="Arial" w:hAnsi="Arial"/>
          <w:sz w:val="15"/>
          <w:szCs w:val="15"/>
          <w:color w:val="231F20"/>
        </w:rPr>
        <w:t xml:space="preserve"> Ǜ</w:t>
      </w:r>
      <w:r>
        <w:rPr>
          <w:rFonts w:ascii="Arial" w:cs="Arial" w:eastAsia="Arial" w:hAnsi="Arial"/>
          <w:sz w:val="15"/>
          <w:szCs w:val="15"/>
          <w:color w:val="231F20"/>
        </w:rPr>
        <w:t>Ǿ ȉɍȯ</w:t>
      </w:r>
      <w:r>
        <w:rPr>
          <w:rFonts w:ascii="Arial" w:cs="Arial" w:eastAsia="Arial" w:hAnsi="Arial"/>
          <w:sz w:val="15"/>
          <w:szCs w:val="15"/>
          <w:color w:val="231F20"/>
        </w:rPr>
        <w:t xml:space="preserve"> Ǜ</w:t>
      </w:r>
      <w:r>
        <w:rPr>
          <w:rFonts w:ascii="Arial" w:cs="Arial" w:eastAsia="Arial" w:hAnsi="Arial"/>
          <w:sz w:val="15"/>
          <w:szCs w:val="15"/>
          <w:color w:val="231F20"/>
        </w:rPr>
        <w:t>Ǿ</w:t>
      </w:r>
      <w:r>
        <w:rPr>
          <w:rFonts w:ascii="Arial" w:cs="Arial" w:eastAsia="Arial" w:hAnsi="Arial"/>
          <w:sz w:val="15"/>
          <w:szCs w:val="15"/>
          <w:color w:val="231F20"/>
        </w:rPr>
        <w:t>ƫ</w:t>
      </w:r>
      <w:r>
        <w:rPr>
          <w:rFonts w:ascii="Arial" w:cs="Arial" w:eastAsia="Arial" w:hAnsi="Arial"/>
          <w:sz w:val="15"/>
          <w:szCs w:val="15"/>
          <w:color w:val="231F20"/>
        </w:rPr>
        <w:t>ɍȷ</w:t>
      </w:r>
      <w:r>
        <w:rPr>
          <w:rFonts w:ascii="Arial" w:cs="Arial" w:eastAsia="Arial" w:hAnsi="Arial"/>
          <w:sz w:val="15"/>
          <w:szCs w:val="15"/>
          <w:color w:val="231F20"/>
        </w:rPr>
        <w:t>Ʌ</w:t>
      </w:r>
      <w:r>
        <w:rPr>
          <w:rFonts w:ascii="Arial" w:cs="Arial" w:eastAsia="Arial" w:hAnsi="Arial"/>
          <w:sz w:val="15"/>
          <w:szCs w:val="15"/>
          <w:color w:val="231F20"/>
        </w:rPr>
        <w:t xml:space="preserve"> </w:t>
      </w:r>
      <w:r>
        <w:rPr>
          <w:rFonts w:ascii="Arial" w:cs="Arial" w:eastAsia="Arial" w:hAnsi="Arial"/>
          <w:sz w:val="15"/>
          <w:szCs w:val="15"/>
          <w:color w:val="231F20"/>
        </w:rPr>
        <w:t>ȯ</w:t>
      </w:r>
      <w:r>
        <w:rPr>
          <w:rFonts w:ascii="Arial" w:cs="Arial" w:eastAsia="Arial" w:hAnsi="Arial"/>
          <w:sz w:val="15"/>
          <w:szCs w:val="15"/>
          <w:color w:val="231F20"/>
        </w:rPr>
        <w:t>ɬؙ</w:t>
      </w:r>
      <w:r>
        <w:rPr>
          <w:rFonts w:ascii="Arial" w:cs="Arial" w:eastAsia="Arial" w:hAnsi="Arial"/>
          <w:sz w:val="15"/>
          <w:szCs w:val="15"/>
          <w:color w:val="231F20"/>
        </w:rPr>
        <w:t xml:space="preserve"> </w:t>
      </w:r>
      <w:r>
        <w:rPr>
          <w:rFonts w:ascii="Arial" w:cs="Arial" w:eastAsia="Arial" w:hAnsi="Arial"/>
          <w:sz w:val="15"/>
          <w:szCs w:val="15"/>
          <w:color w:val="231F20"/>
        </w:rPr>
        <w:t>Ƈ</w:t>
      </w:r>
      <w:r>
        <w:rPr>
          <w:rFonts w:ascii="Arial" w:cs="Arial" w:eastAsia="Arial" w:hAnsi="Arial"/>
          <w:sz w:val="15"/>
          <w:szCs w:val="15"/>
          <w:color w:val="231F20"/>
        </w:rPr>
        <w:t>ȷ ȯ</w:t>
      </w:r>
      <w:r>
        <w:rPr>
          <w:rFonts w:ascii="Arial" w:cs="Arial" w:eastAsia="Arial" w:hAnsi="Arial"/>
          <w:sz w:val="15"/>
          <w:szCs w:val="15"/>
          <w:color w:val="231F20"/>
        </w:rPr>
        <w:t>Ʋ</w:t>
      </w:r>
      <w:r>
        <w:rPr>
          <w:rFonts w:ascii="Arial" w:cs="Arial" w:eastAsia="Arial" w:hAnsi="Arial"/>
          <w:sz w:val="15"/>
          <w:szCs w:val="15"/>
          <w:color w:val="231F20"/>
        </w:rPr>
        <w:t xml:space="preserve">˛ </w:t>
      </w:r>
      <w:r>
        <w:rPr>
          <w:rFonts w:ascii="Arial" w:cs="Arial" w:eastAsia="Arial" w:hAnsi="Arial"/>
          <w:sz w:val="15"/>
          <w:szCs w:val="15"/>
          <w:color w:val="231F20"/>
        </w:rPr>
        <w:t>Ʋ</w:t>
      </w:r>
      <w:r>
        <w:rPr>
          <w:rFonts w:ascii="Arial" w:cs="Arial" w:eastAsia="Arial" w:hAnsi="Arial"/>
          <w:sz w:val="15"/>
          <w:szCs w:val="15"/>
          <w:color w:val="231F20"/>
        </w:rPr>
        <w:t>Ƥ</w:t>
      </w:r>
      <w:r>
        <w:rPr>
          <w:rFonts w:ascii="Arial" w:cs="Arial" w:eastAsia="Arial" w:hAnsi="Arial"/>
          <w:sz w:val="15"/>
          <w:szCs w:val="15"/>
          <w:color w:val="231F20"/>
        </w:rPr>
        <w:t>Ʌ</w:t>
      </w:r>
      <w:r>
        <w:rPr>
          <w:rFonts w:ascii="Arial" w:cs="Arial" w:eastAsia="Arial" w:hAnsi="Arial"/>
          <w:sz w:val="15"/>
          <w:szCs w:val="15"/>
          <w:color w:val="231F20"/>
        </w:rPr>
        <w:t>Ʋƫ Ǜ</w:t>
      </w:r>
      <w:r>
        <w:rPr>
          <w:rFonts w:ascii="Arial" w:cs="Arial" w:eastAsia="Arial" w:hAnsi="Arial"/>
          <w:sz w:val="15"/>
          <w:szCs w:val="15"/>
          <w:color w:val="231F20"/>
        </w:rPr>
        <w:t>Ǿ</w:t>
      </w:r>
      <w:r>
        <w:rPr>
          <w:rFonts w:ascii="Arial" w:cs="Arial" w:eastAsia="Arial" w:hAnsi="Arial"/>
          <w:sz w:val="15"/>
          <w:szCs w:val="15"/>
          <w:color w:val="231F20"/>
        </w:rPr>
        <w:t xml:space="preserve"> </w:t>
      </w:r>
      <w:r>
        <w:rPr>
          <w:rFonts w:ascii="Arial" w:cs="Arial" w:eastAsia="Arial" w:hAnsi="Arial"/>
          <w:sz w:val="15"/>
          <w:szCs w:val="15"/>
          <w:color w:val="231F20"/>
        </w:rPr>
        <w:t>ȉɍ</w:t>
      </w:r>
      <w:r>
        <w:rPr>
          <w:rFonts w:ascii="Arial" w:cs="Arial" w:eastAsia="Arial" w:hAnsi="Arial"/>
          <w:sz w:val="15"/>
          <w:szCs w:val="15"/>
          <w:color w:val="231F20"/>
        </w:rPr>
        <w:t>ȯ</w:t>
      </w:r>
      <w:r>
        <w:rPr>
          <w:rFonts w:ascii="Arial" w:cs="Arial" w:eastAsia="Arial" w:hAnsi="Arial"/>
          <w:sz w:val="15"/>
          <w:szCs w:val="15"/>
          <w:color w:val="231F20"/>
        </w:rPr>
        <w:t xml:space="preserve"> ƣȯ</w:t>
      </w:r>
      <w:r>
        <w:rPr>
          <w:rFonts w:ascii="Arial" w:cs="Arial" w:eastAsia="Arial" w:hAnsi="Arial"/>
          <w:sz w:val="15"/>
          <w:szCs w:val="15"/>
          <w:color w:val="231F20"/>
        </w:rPr>
        <w:t>ƇǾ</w:t>
      </w:r>
      <w:r>
        <w:rPr>
          <w:rFonts w:ascii="Arial" w:cs="Arial" w:eastAsia="Arial" w:hAnsi="Arial"/>
          <w:sz w:val="15"/>
          <w:szCs w:val="15"/>
          <w:color w:val="231F20"/>
        </w:rPr>
        <w:t>ƫ</w:t>
      </w:r>
      <w:r>
        <w:rPr>
          <w:rFonts w:ascii="Arial" w:cs="Arial" w:eastAsia="Arial" w:hAnsi="Arial"/>
          <w:sz w:val="15"/>
          <w:szCs w:val="15"/>
          <w:color w:val="231F20"/>
        </w:rPr>
        <w:t>ȷ</w:t>
      </w:r>
      <w:r>
        <w:rPr>
          <w:rFonts w:ascii="Arial" w:cs="Arial" w:eastAsia="Arial" w:hAnsi="Arial"/>
          <w:sz w:val="15"/>
          <w:szCs w:val="15"/>
          <w:color w:val="231F20"/>
        </w:rPr>
        <w:t>ؙ Ȭ</w:t>
      </w:r>
      <w:r>
        <w:rPr>
          <w:rFonts w:ascii="Arial" w:cs="Arial" w:eastAsia="Arial" w:hAnsi="Arial"/>
          <w:sz w:val="15"/>
          <w:szCs w:val="15"/>
          <w:color w:val="231F20"/>
        </w:rPr>
        <w:t>ƲȉȬǳƲؙ ȉ</w:t>
      </w:r>
      <w:r>
        <w:rPr>
          <w:rFonts w:ascii="Arial" w:cs="Arial" w:eastAsia="Arial" w:hAnsi="Arial"/>
          <w:sz w:val="15"/>
          <w:szCs w:val="15"/>
          <w:color w:val="231F20"/>
        </w:rPr>
        <w:t>ɦǾ</w:t>
      </w:r>
      <w:r>
        <w:rPr>
          <w:rFonts w:ascii="Arial" w:cs="Arial" w:eastAsia="Arial" w:hAnsi="Arial"/>
          <w:sz w:val="15"/>
          <w:szCs w:val="15"/>
          <w:color w:val="231F20"/>
        </w:rPr>
        <w:t>Ʋ</w:t>
      </w:r>
      <w:r>
        <w:rPr>
          <w:rFonts w:ascii="Arial" w:cs="Arial" w:eastAsia="Arial" w:hAnsi="Arial"/>
          <w:sz w:val="15"/>
          <w:szCs w:val="15"/>
          <w:color w:val="231F20"/>
        </w:rPr>
        <w:t xml:space="preserve">ȯ </w:t>
      </w:r>
      <w:r>
        <w:rPr>
          <w:rFonts w:ascii="Arial" w:cs="Arial" w:eastAsia="Arial" w:hAnsi="Arial"/>
          <w:sz w:val="15"/>
          <w:szCs w:val="15"/>
          <w:color w:val="231F20"/>
        </w:rPr>
        <w:t>ƣ</w:t>
      </w:r>
      <w:r>
        <w:rPr>
          <w:rFonts w:ascii="Arial" w:cs="Arial" w:eastAsia="Arial" w:hAnsi="Arial"/>
          <w:sz w:val="15"/>
          <w:szCs w:val="15"/>
          <w:color w:val="231F20"/>
        </w:rPr>
        <w:t>Ƈȷ</w:t>
      </w:r>
      <w:r>
        <w:rPr>
          <w:rFonts w:ascii="Arial" w:cs="Arial" w:eastAsia="Arial" w:hAnsi="Arial"/>
          <w:sz w:val="15"/>
          <w:szCs w:val="15"/>
          <w:color w:val="231F20"/>
        </w:rPr>
        <w:t>Ʋ</w:t>
      </w:r>
      <w:r>
        <w:rPr>
          <w:rFonts w:ascii="Arial" w:cs="Arial" w:eastAsia="Arial" w:hAnsi="Arial"/>
          <w:sz w:val="15"/>
          <w:szCs w:val="15"/>
          <w:color w:val="231F20"/>
        </w:rPr>
        <w:t xml:space="preserve"> Ƈ</w:t>
      </w:r>
      <w:r>
        <w:rPr>
          <w:rFonts w:ascii="Arial" w:cs="Arial" w:eastAsia="Arial" w:hAnsi="Arial"/>
          <w:sz w:val="15"/>
          <w:szCs w:val="15"/>
          <w:color w:val="231F20"/>
        </w:rPr>
        <w:t>Ǿ</w:t>
      </w:r>
      <w:r>
        <w:rPr>
          <w:rFonts w:ascii="Arial" w:cs="Arial" w:eastAsia="Arial" w:hAnsi="Arial"/>
          <w:sz w:val="15"/>
          <w:szCs w:val="15"/>
          <w:color w:val="231F20"/>
        </w:rPr>
        <w:t xml:space="preserve">ƫ </w:t>
      </w:r>
      <w:r>
        <w:rPr>
          <w:rFonts w:ascii="Arial" w:cs="Arial" w:eastAsia="Arial" w:hAnsi="Arial"/>
          <w:sz w:val="15"/>
          <w:szCs w:val="15"/>
          <w:color w:val="231F20"/>
        </w:rPr>
        <w:t>ȮɍƇ</w:t>
      </w:r>
      <w:r>
        <w:rPr>
          <w:rFonts w:ascii="Arial" w:cs="Arial" w:eastAsia="Arial" w:hAnsi="Arial"/>
          <w:sz w:val="15"/>
          <w:szCs w:val="15"/>
          <w:color w:val="231F20"/>
        </w:rPr>
        <w:t>ǳ ǛɅ</w:t>
      </w:r>
      <w:r>
        <w:rPr>
          <w:rFonts w:ascii="Arial" w:cs="Arial" w:eastAsia="Arial" w:hAnsi="Arial"/>
          <w:sz w:val="15"/>
          <w:szCs w:val="15"/>
          <w:color w:val="231F20"/>
        </w:rPr>
        <w:t>ɬ ȉ</w:t>
      </w:r>
      <w:r>
        <w:rPr>
          <w:rFonts w:ascii="Arial" w:cs="Arial" w:eastAsia="Arial" w:hAnsi="Arial"/>
          <w:sz w:val="15"/>
          <w:szCs w:val="15"/>
          <w:color w:val="231F20"/>
        </w:rPr>
        <w:t>ǌ</w:t>
      </w:r>
      <w:r>
        <w:rPr>
          <w:rFonts w:ascii="Arial" w:cs="Arial" w:eastAsia="Arial" w:hAnsi="Arial"/>
          <w:sz w:val="15"/>
          <w:szCs w:val="15"/>
          <w:color w:val="231F20"/>
        </w:rPr>
        <w:t xml:space="preserve"> ȉ </w:t>
      </w:r>
      <w:r>
        <w:rPr>
          <w:rFonts w:ascii="Arial" w:cs="Arial" w:eastAsia="Arial" w:hAnsi="Arial"/>
          <w:sz w:val="15"/>
          <w:szCs w:val="15"/>
          <w:color w:val="231F20"/>
        </w:rPr>
        <w:t>ɍȯ</w:t>
      </w:r>
      <w:r>
        <w:rPr>
          <w:rFonts w:ascii="Arial" w:cs="Arial" w:eastAsia="Arial" w:hAnsi="Arial"/>
          <w:sz w:val="15"/>
          <w:szCs w:val="15"/>
          <w:color w:val="231F20"/>
        </w:rPr>
        <w:t xml:space="preserve"> </w:t>
      </w:r>
      <w:r>
        <w:rPr>
          <w:rFonts w:ascii="Arial" w:cs="Arial" w:eastAsia="Arial" w:hAnsi="Arial"/>
          <w:sz w:val="15"/>
          <w:szCs w:val="15"/>
          <w:color w:val="231F20"/>
        </w:rPr>
        <w:t>ɥ</w:t>
      </w:r>
      <w:r>
        <w:rPr>
          <w:rFonts w:ascii="Arial" w:cs="Arial" w:eastAsia="Arial" w:hAnsi="Arial"/>
          <w:sz w:val="15"/>
          <w:szCs w:val="15"/>
          <w:color w:val="231F20"/>
        </w:rPr>
        <w:t>Ƈ</w:t>
      </w:r>
      <w:r>
        <w:rPr>
          <w:rFonts w:ascii="Arial" w:cs="Arial" w:eastAsia="Arial" w:hAnsi="Arial"/>
          <w:sz w:val="15"/>
          <w:szCs w:val="15"/>
          <w:color w:val="231F20"/>
        </w:rPr>
        <w:t xml:space="preserve"> ƤƇɅ</w:t>
      </w:r>
      <w:r>
        <w:rPr>
          <w:rFonts w:ascii="Arial" w:cs="Arial" w:eastAsia="Arial" w:hAnsi="Arial"/>
          <w:sz w:val="15"/>
          <w:szCs w:val="15"/>
          <w:color w:val="231F20"/>
        </w:rPr>
        <w:t>Ǜ</w:t>
      </w:r>
      <w:r>
        <w:rPr>
          <w:rFonts w:ascii="Arial" w:cs="Arial" w:eastAsia="Arial" w:hAnsi="Arial"/>
          <w:sz w:val="15"/>
          <w:szCs w:val="15"/>
          <w:color w:val="231F20"/>
        </w:rPr>
        <w:t>ȉ</w:t>
      </w:r>
      <w:r>
        <w:rPr>
          <w:rFonts w:ascii="Arial" w:cs="Arial" w:eastAsia="Arial" w:hAnsi="Arial"/>
          <w:sz w:val="15"/>
          <w:szCs w:val="15"/>
          <w:color w:val="231F20"/>
        </w:rPr>
        <w:t>Ǿ</w:t>
      </w:r>
      <w:r>
        <w:rPr>
          <w:rFonts w:ascii="Arial" w:cs="Arial" w:eastAsia="Arial" w:hAnsi="Arial"/>
          <w:sz w:val="15"/>
          <w:szCs w:val="15"/>
          <w:color w:val="231F20"/>
        </w:rPr>
        <w:t xml:space="preserve"> </w:t>
      </w:r>
      <w:r>
        <w:rPr>
          <w:rFonts w:ascii="Arial" w:cs="Arial" w:eastAsia="Arial" w:hAnsi="Arial"/>
          <w:sz w:val="15"/>
          <w:szCs w:val="15"/>
          <w:color w:val="231F20"/>
        </w:rPr>
        <w:t>Ȭ</w:t>
      </w:r>
      <w:r>
        <w:rPr>
          <w:rFonts w:ascii="Arial" w:cs="Arial" w:eastAsia="Arial" w:hAnsi="Arial"/>
          <w:sz w:val="15"/>
          <w:szCs w:val="15"/>
          <w:color w:val="231F20"/>
        </w:rPr>
        <w:t>ȯȉȬƲ</w:t>
      </w:r>
      <w:r>
        <w:rPr>
          <w:rFonts w:ascii="Arial" w:cs="Arial" w:eastAsia="Arial" w:hAnsi="Arial"/>
          <w:sz w:val="15"/>
          <w:szCs w:val="15"/>
          <w:color w:val="231F20"/>
        </w:rPr>
        <w:t>ȯɅ</w:t>
      </w:r>
      <w:r>
        <w:rPr>
          <w:rFonts w:ascii="Arial" w:cs="Arial" w:eastAsia="Arial" w:hAnsi="Arial"/>
          <w:sz w:val="15"/>
          <w:szCs w:val="15"/>
          <w:color w:val="231F20"/>
        </w:rPr>
        <w:t>Ǜ</w:t>
      </w:r>
      <w:r>
        <w:rPr>
          <w:rFonts w:ascii="Arial" w:cs="Arial" w:eastAsia="Arial" w:hAnsi="Arial"/>
          <w:sz w:val="15"/>
          <w:szCs w:val="15"/>
          <w:color w:val="231F20"/>
        </w:rPr>
        <w:t>Ʋ</w:t>
      </w:r>
      <w:r>
        <w:rPr>
          <w:rFonts w:ascii="Arial" w:cs="Arial" w:eastAsia="Arial" w:hAnsi="Arial"/>
          <w:sz w:val="15"/>
          <w:szCs w:val="15"/>
          <w:color w:val="231F20"/>
        </w:rPr>
        <w:t>ȷؘ</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2825750</wp:posOffset>
                </wp:positionH>
                <wp:positionV relativeFrom="paragraph">
                  <wp:posOffset>-356870</wp:posOffset>
                </wp:positionV>
                <wp:extent cx="13335" cy="1270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231F20"/>
                        </a:solidFill>
                      </wps:spPr>
                      <wps:bodyPr/>
                    </wps:wsp>
                  </a:graphicData>
                </a:graphic>
              </wp:anchor>
            </w:drawing>
          </mc:Choice>
          <mc:Fallback>
            <w:pict>
              <v:rect id="Shape 5" o:spid="_x0000_s1030" style="position:absolute;margin-left:222.5pt;margin-top:-28.09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w:r>
    </w:p>
    <w:p>
      <w:pPr>
        <w:spacing w:after="0" w:line="96" w:lineRule="exact"/>
        <w:rPr>
          <w:sz w:val="20"/>
          <w:szCs w:val="20"/>
          <w:color w:val="auto"/>
        </w:rPr>
      </w:pPr>
    </w:p>
    <w:p>
      <w:pPr>
        <w:jc w:val="both"/>
        <w:spacing w:after="0" w:line="216" w:lineRule="exact"/>
        <w:rPr>
          <w:sz w:val="20"/>
          <w:szCs w:val="20"/>
          <w:color w:val="auto"/>
        </w:rPr>
      </w:pPr>
      <w:r>
        <w:rPr>
          <w:rFonts w:ascii="PMingLiU" w:cs="PMingLiU" w:eastAsia="PMingLiU" w:hAnsi="PMingLiU"/>
          <w:sz w:val="14"/>
          <w:szCs w:val="14"/>
          <w:color w:val="231F20"/>
        </w:rPr>
        <w:t/>
      </w:r>
      <w:r>
        <w:rPr>
          <w:rFonts w:ascii="Arial" w:cs="Arial" w:eastAsia="Arial" w:hAnsi="Arial"/>
          <w:sz w:val="14"/>
          <w:szCs w:val="14"/>
          <w:color w:val="231F20"/>
        </w:rPr>
        <w:t>Ʌ ɅǕ</w:t>
      </w:r>
      <w:r>
        <w:rPr>
          <w:rFonts w:ascii="Arial" w:cs="Arial" w:eastAsia="Arial" w:hAnsi="Arial"/>
          <w:sz w:val="14"/>
          <w:szCs w:val="14"/>
          <w:color w:val="231F20"/>
        </w:rPr>
        <w:t>Ʋ</w:t>
      </w:r>
      <w:r>
        <w:rPr>
          <w:rFonts w:ascii="Arial" w:cs="Arial" w:eastAsia="Arial" w:hAnsi="Arial"/>
          <w:sz w:val="14"/>
          <w:szCs w:val="14"/>
          <w:color w:val="231F20"/>
        </w:rPr>
        <w:t xml:space="preserve"> ȷƇǼƲ ɅǛǼƲؙ ǛɅ ɦƇȷ Ʋ</w:t>
      </w:r>
      <w:r>
        <w:rPr>
          <w:rFonts w:ascii="Arial" w:cs="Arial" w:eastAsia="Arial" w:hAnsi="Arial"/>
          <w:sz w:val="14"/>
          <w:szCs w:val="14"/>
          <w:color w:val="231F20"/>
        </w:rPr>
        <w:t>ɥ</w:t>
      </w:r>
      <w:r>
        <w:rPr>
          <w:rFonts w:ascii="Arial" w:cs="Arial" w:eastAsia="Arial" w:hAnsi="Arial"/>
          <w:sz w:val="14"/>
          <w:szCs w:val="14"/>
          <w:color w:val="231F20"/>
        </w:rPr>
        <w:t>ǛƫƲǾ</w:t>
      </w:r>
      <w:r>
        <w:rPr>
          <w:rFonts w:ascii="Arial" w:cs="Arial" w:eastAsia="Arial" w:hAnsi="Arial"/>
          <w:sz w:val="14"/>
          <w:szCs w:val="14"/>
          <w:color w:val="231F20"/>
        </w:rPr>
        <w:t>Ʌ</w:t>
      </w:r>
      <w:r>
        <w:rPr>
          <w:rFonts w:ascii="Arial" w:cs="Arial" w:eastAsia="Arial" w:hAnsi="Arial"/>
          <w:sz w:val="14"/>
          <w:szCs w:val="14"/>
          <w:color w:val="231F20"/>
        </w:rPr>
        <w:t xml:space="preserve"> </w:t>
      </w:r>
      <w:r>
        <w:rPr>
          <w:rFonts w:ascii="Arial" w:cs="Arial" w:eastAsia="Arial" w:hAnsi="Arial"/>
          <w:sz w:val="14"/>
          <w:szCs w:val="14"/>
          <w:color w:val="231F20"/>
        </w:rPr>
        <w:t>Ʌ</w:t>
      </w:r>
      <w:r>
        <w:rPr>
          <w:rFonts w:ascii="Arial" w:cs="Arial" w:eastAsia="Arial" w:hAnsi="Arial"/>
          <w:sz w:val="14"/>
          <w:szCs w:val="14"/>
          <w:color w:val="231F20"/>
        </w:rPr>
        <w:t>ǕƇ</w:t>
      </w:r>
      <w:r>
        <w:rPr>
          <w:rFonts w:ascii="Arial" w:cs="Arial" w:eastAsia="Arial" w:hAnsi="Arial"/>
          <w:sz w:val="14"/>
          <w:szCs w:val="14"/>
          <w:color w:val="231F20"/>
        </w:rPr>
        <w:t>Ʌ</w:t>
      </w:r>
      <w:r>
        <w:rPr>
          <w:rFonts w:ascii="Arial" w:cs="Arial" w:eastAsia="Arial" w:hAnsi="Arial"/>
          <w:sz w:val="14"/>
          <w:szCs w:val="14"/>
          <w:color w:val="231F20"/>
        </w:rPr>
        <w:t xml:space="preserve"> ɅǕƲ </w:t>
      </w:r>
      <w:r>
        <w:rPr>
          <w:rFonts w:ascii="PMingLiU" w:cs="PMingLiU" w:eastAsia="PMingLiU" w:hAnsi="PMingLiU"/>
          <w:sz w:val="14"/>
          <w:szCs w:val="14"/>
          <w:color w:val="231F20"/>
        </w:rPr>
        <w:t/>
      </w:r>
      <w:r>
        <w:rPr>
          <w:rFonts w:ascii="Arial" w:cs="Arial" w:eastAsia="Arial" w:hAnsi="Arial"/>
          <w:sz w:val="14"/>
          <w:szCs w:val="14"/>
          <w:color w:val="231F20"/>
        </w:rPr>
        <w:t>ȉǼ</w:t>
      </w:r>
      <w:r>
        <w:rPr>
          <w:rFonts w:ascii="Arial" w:cs="Arial" w:eastAsia="Arial" w:hAnsi="Arial"/>
          <w:sz w:val="14"/>
          <w:szCs w:val="14"/>
          <w:color w:val="231F20"/>
        </w:rPr>
        <w:t>Ȭ</w:t>
      </w:r>
      <w:r>
        <w:rPr>
          <w:rFonts w:ascii="Arial" w:cs="Arial" w:eastAsia="Arial" w:hAnsi="Arial"/>
          <w:sz w:val="14"/>
          <w:szCs w:val="14"/>
          <w:color w:val="231F20"/>
        </w:rPr>
        <w:t>Ƈ</w:t>
      </w:r>
      <w:r>
        <w:rPr>
          <w:rFonts w:ascii="Arial" w:cs="Arial" w:eastAsia="Arial" w:hAnsi="Arial"/>
          <w:sz w:val="14"/>
          <w:szCs w:val="14"/>
          <w:color w:val="231F20"/>
        </w:rPr>
        <w:t>Ǿ</w:t>
      </w:r>
      <w:r>
        <w:rPr>
          <w:rFonts w:ascii="Arial" w:cs="Arial" w:eastAsia="Arial" w:hAnsi="Arial"/>
          <w:sz w:val="14"/>
          <w:szCs w:val="14"/>
          <w:color w:val="231F20"/>
        </w:rPr>
        <w:t>ɬ Ǖ</w:t>
      </w:r>
      <w:r>
        <w:rPr>
          <w:rFonts w:ascii="Arial" w:cs="Arial" w:eastAsia="Arial" w:hAnsi="Arial"/>
          <w:sz w:val="14"/>
          <w:szCs w:val="14"/>
          <w:color w:val="231F20"/>
        </w:rPr>
        <w:t>Ƈ</w:t>
      </w:r>
      <w:r>
        <w:rPr>
          <w:rFonts w:ascii="Arial" w:cs="Arial" w:eastAsia="Arial" w:hAnsi="Arial"/>
          <w:sz w:val="14"/>
          <w:szCs w:val="14"/>
          <w:color w:val="231F20"/>
        </w:rPr>
        <w:t>ƫ</w:t>
      </w:r>
      <w:r>
        <w:rPr>
          <w:rFonts w:ascii="Arial" w:cs="Arial" w:eastAsia="Arial" w:hAnsi="Arial"/>
          <w:sz w:val="14"/>
          <w:szCs w:val="14"/>
          <w:color w:val="231F20"/>
        </w:rPr>
        <w:t xml:space="preserve"> Ƈ ǾƲƲ</w:t>
      </w:r>
      <w:r>
        <w:rPr>
          <w:rFonts w:ascii="Arial" w:cs="Arial" w:eastAsia="Arial" w:hAnsi="Arial"/>
          <w:sz w:val="14"/>
          <w:szCs w:val="14"/>
          <w:color w:val="231F20"/>
        </w:rPr>
        <w:t>ƫ ǌȉȯ</w:t>
      </w:r>
      <w:r>
        <w:rPr>
          <w:rFonts w:ascii="Arial" w:cs="Arial" w:eastAsia="Arial" w:hAnsi="Arial"/>
          <w:sz w:val="14"/>
          <w:szCs w:val="14"/>
          <w:color w:val="231F20"/>
        </w:rPr>
        <w:t xml:space="preserve"> ǛǼȬȯ</w:t>
      </w:r>
      <w:r>
        <w:rPr>
          <w:rFonts w:ascii="Arial" w:cs="Arial" w:eastAsia="Arial" w:hAnsi="Arial"/>
          <w:sz w:val="14"/>
          <w:szCs w:val="14"/>
          <w:color w:val="231F20"/>
        </w:rPr>
        <w:t>ȉ</w:t>
      </w:r>
      <w:r>
        <w:rPr>
          <w:rFonts w:ascii="Arial" w:cs="Arial" w:eastAsia="Arial" w:hAnsi="Arial"/>
          <w:sz w:val="14"/>
          <w:szCs w:val="14"/>
          <w:color w:val="231F20"/>
        </w:rPr>
        <w:t>ɥƲ</w:t>
      </w:r>
      <w:r>
        <w:rPr>
          <w:rFonts w:ascii="Arial" w:cs="Arial" w:eastAsia="Arial" w:hAnsi="Arial"/>
          <w:sz w:val="14"/>
          <w:szCs w:val="14"/>
          <w:color w:val="231F20"/>
        </w:rPr>
        <w:t>ǼƲ</w:t>
      </w:r>
      <w:r>
        <w:rPr>
          <w:rFonts w:ascii="Arial" w:cs="Arial" w:eastAsia="Arial" w:hAnsi="Arial"/>
          <w:sz w:val="14"/>
          <w:szCs w:val="14"/>
          <w:color w:val="231F20"/>
        </w:rPr>
        <w:t>Ǿ</w:t>
      </w:r>
      <w:r>
        <w:rPr>
          <w:rFonts w:ascii="Arial" w:cs="Arial" w:eastAsia="Arial" w:hAnsi="Arial"/>
          <w:sz w:val="14"/>
          <w:szCs w:val="14"/>
          <w:color w:val="231F20"/>
        </w:rPr>
        <w:t>Ʌ</w:t>
      </w:r>
      <w:r>
        <w:rPr>
          <w:rFonts w:ascii="Arial" w:cs="Arial" w:eastAsia="Arial" w:hAnsi="Arial"/>
          <w:sz w:val="14"/>
          <w:szCs w:val="14"/>
          <w:color w:val="231F20"/>
        </w:rPr>
        <w:t xml:space="preserve"> ǛǾ ȉɍ</w:t>
      </w:r>
      <w:r>
        <w:rPr>
          <w:rFonts w:ascii="Arial" w:cs="Arial" w:eastAsia="Arial" w:hAnsi="Arial"/>
          <w:sz w:val="14"/>
          <w:szCs w:val="14"/>
          <w:color w:val="231F20"/>
        </w:rPr>
        <w:t>ȯ</w:t>
      </w:r>
      <w:r>
        <w:rPr>
          <w:rFonts w:ascii="Arial" w:cs="Arial" w:eastAsia="Arial" w:hAnsi="Arial"/>
          <w:sz w:val="14"/>
          <w:szCs w:val="14"/>
          <w:color w:val="231F20"/>
        </w:rPr>
        <w:t xml:space="preserve"> ȉ</w:t>
      </w:r>
      <w:r>
        <w:rPr>
          <w:rFonts w:ascii="Arial" w:cs="Arial" w:eastAsia="Arial" w:hAnsi="Arial"/>
          <w:sz w:val="14"/>
          <w:szCs w:val="14"/>
          <w:color w:val="231F20"/>
        </w:rPr>
        <w:t>Ȭ</w:t>
      </w:r>
      <w:r>
        <w:rPr>
          <w:rFonts w:ascii="Arial" w:cs="Arial" w:eastAsia="Arial" w:hAnsi="Arial"/>
          <w:sz w:val="14"/>
          <w:szCs w:val="14"/>
          <w:color w:val="231F20"/>
        </w:rPr>
        <w:t>ƲȯƇ</w:t>
      </w:r>
      <w:r>
        <w:rPr>
          <w:rFonts w:ascii="Arial" w:cs="Arial" w:eastAsia="Arial" w:hAnsi="Arial"/>
          <w:sz w:val="14"/>
          <w:szCs w:val="14"/>
          <w:color w:val="231F20"/>
        </w:rPr>
        <w:t>ɅǛ</w:t>
      </w:r>
      <w:r>
        <w:rPr>
          <w:rFonts w:ascii="Arial" w:cs="Arial" w:eastAsia="Arial" w:hAnsi="Arial"/>
          <w:sz w:val="14"/>
          <w:szCs w:val="14"/>
          <w:color w:val="231F20"/>
        </w:rPr>
        <w:t>Ǿ</w:t>
      </w:r>
      <w:r>
        <w:rPr>
          <w:rFonts w:ascii="Arial" w:cs="Arial" w:eastAsia="Arial" w:hAnsi="Arial"/>
          <w:sz w:val="14"/>
          <w:szCs w:val="14"/>
          <w:color w:val="231F20"/>
        </w:rPr>
        <w:t>Ǎ</w:t>
      </w:r>
      <w:r>
        <w:rPr>
          <w:rFonts w:ascii="Arial" w:cs="Arial" w:eastAsia="Arial" w:hAnsi="Arial"/>
          <w:sz w:val="14"/>
          <w:szCs w:val="14"/>
          <w:color w:val="231F20"/>
        </w:rPr>
        <w:t xml:space="preserve"> Ƥɍ</w:t>
      </w:r>
      <w:r>
        <w:rPr>
          <w:rFonts w:ascii="Arial" w:cs="Arial" w:eastAsia="Arial" w:hAnsi="Arial"/>
          <w:sz w:val="14"/>
          <w:szCs w:val="14"/>
          <w:color w:val="231F20"/>
        </w:rPr>
        <w:t>ǳ</w:t>
      </w:r>
      <w:r>
        <w:rPr>
          <w:rFonts w:ascii="Arial" w:cs="Arial" w:eastAsia="Arial" w:hAnsi="Arial"/>
          <w:sz w:val="14"/>
          <w:szCs w:val="14"/>
          <w:color w:val="231F20"/>
        </w:rPr>
        <w:t>Ʌɍ</w:t>
      </w:r>
      <w:r>
        <w:rPr>
          <w:rFonts w:ascii="Arial" w:cs="Arial" w:eastAsia="Arial" w:hAnsi="Arial"/>
          <w:sz w:val="14"/>
          <w:szCs w:val="14"/>
          <w:color w:val="231F20"/>
        </w:rPr>
        <w:t xml:space="preserve">ȯƲؘ </w:t>
      </w:r>
      <w:r>
        <w:rPr>
          <w:rFonts w:ascii="PMingLiU" w:cs="PMingLiU" w:eastAsia="PMingLiU" w:hAnsi="PMingLiU"/>
          <w:sz w:val="14"/>
          <w:szCs w:val="14"/>
          <w:color w:val="231F20"/>
        </w:rPr>
        <w:t></w:t>
      </w:r>
      <w:r>
        <w:rPr>
          <w:rFonts w:ascii="Arial" w:cs="Arial" w:eastAsia="Arial" w:hAnsi="Arial"/>
          <w:sz w:val="14"/>
          <w:szCs w:val="14"/>
          <w:color w:val="231F20"/>
        </w:rPr>
        <w:t>ɥ</w:t>
      </w:r>
      <w:r>
        <w:rPr>
          <w:rFonts w:ascii="Arial" w:cs="Arial" w:eastAsia="Arial" w:hAnsi="Arial"/>
          <w:sz w:val="14"/>
          <w:szCs w:val="14"/>
          <w:color w:val="231F20"/>
        </w:rPr>
        <w:t>Ʋ</w:t>
      </w:r>
      <w:r>
        <w:rPr>
          <w:rFonts w:ascii="Arial" w:cs="Arial" w:eastAsia="Arial" w:hAnsi="Arial"/>
          <w:sz w:val="14"/>
          <w:szCs w:val="14"/>
          <w:color w:val="231F20"/>
        </w:rPr>
        <w:t xml:space="preserve"> </w:t>
      </w:r>
      <w:r>
        <w:rPr>
          <w:rFonts w:ascii="Arial" w:cs="Arial" w:eastAsia="Arial" w:hAnsi="Arial"/>
          <w:sz w:val="14"/>
          <w:szCs w:val="14"/>
          <w:color w:val="231F20"/>
        </w:rPr>
        <w:t>ȯ Ʌ</w:t>
      </w:r>
      <w:r>
        <w:rPr>
          <w:rFonts w:ascii="Arial" w:cs="Arial" w:eastAsia="Arial" w:hAnsi="Arial"/>
          <w:sz w:val="14"/>
          <w:szCs w:val="14"/>
          <w:color w:val="231F20"/>
        </w:rPr>
        <w:t xml:space="preserve"> </w:t>
      </w:r>
      <w:r>
        <w:rPr>
          <w:rFonts w:ascii="Arial" w:cs="Arial" w:eastAsia="Arial" w:hAnsi="Arial"/>
          <w:sz w:val="14"/>
          <w:szCs w:val="14"/>
          <w:color w:val="231F20"/>
        </w:rPr>
        <w:t>Ǖ</w:t>
      </w:r>
      <w:r>
        <w:rPr>
          <w:rFonts w:ascii="Arial" w:cs="Arial" w:eastAsia="Arial" w:hAnsi="Arial"/>
          <w:sz w:val="14"/>
          <w:szCs w:val="14"/>
          <w:color w:val="231F20"/>
        </w:rPr>
        <w:t>Ʋ Ƥ</w:t>
      </w:r>
      <w:r>
        <w:rPr>
          <w:rFonts w:ascii="Arial" w:cs="Arial" w:eastAsia="Arial" w:hAnsi="Arial"/>
          <w:sz w:val="14"/>
          <w:szCs w:val="14"/>
          <w:color w:val="231F20"/>
        </w:rPr>
        <w:t>ȉ</w:t>
      </w:r>
      <w:r>
        <w:rPr>
          <w:rFonts w:ascii="Arial" w:cs="Arial" w:eastAsia="Arial" w:hAnsi="Arial"/>
          <w:sz w:val="14"/>
          <w:szCs w:val="14"/>
          <w:color w:val="231F20"/>
        </w:rPr>
        <w:t>ɍ</w:t>
      </w:r>
      <w:r>
        <w:rPr>
          <w:rFonts w:ascii="Arial" w:cs="Arial" w:eastAsia="Arial" w:hAnsi="Arial"/>
          <w:sz w:val="14"/>
          <w:szCs w:val="14"/>
          <w:color w:val="231F20"/>
        </w:rPr>
        <w:t>ȯ</w:t>
      </w:r>
      <w:r>
        <w:rPr>
          <w:rFonts w:ascii="Arial" w:cs="Arial" w:eastAsia="Arial" w:hAnsi="Arial"/>
          <w:sz w:val="14"/>
          <w:szCs w:val="14"/>
          <w:color w:val="231F20"/>
        </w:rPr>
        <w:t>ȷ</w:t>
      </w:r>
      <w:r>
        <w:rPr>
          <w:rFonts w:ascii="Arial" w:cs="Arial" w:eastAsia="Arial" w:hAnsi="Arial"/>
          <w:sz w:val="14"/>
          <w:szCs w:val="14"/>
          <w:color w:val="231F20"/>
        </w:rPr>
        <w:t>Ʋ</w:t>
      </w:r>
      <w:r>
        <w:rPr>
          <w:rFonts w:ascii="Arial" w:cs="Arial" w:eastAsia="Arial" w:hAnsi="Arial"/>
          <w:sz w:val="14"/>
          <w:szCs w:val="14"/>
          <w:color w:val="231F20"/>
        </w:rPr>
        <w:t xml:space="preserve"> ȉ</w:t>
      </w:r>
      <w:r>
        <w:rPr>
          <w:rFonts w:ascii="Arial" w:cs="Arial" w:eastAsia="Arial" w:hAnsi="Arial"/>
          <w:sz w:val="14"/>
          <w:szCs w:val="14"/>
          <w:color w:val="231F20"/>
        </w:rPr>
        <w:t>ǌ ǌȉ</w:t>
      </w:r>
      <w:r>
        <w:rPr>
          <w:rFonts w:ascii="Arial" w:cs="Arial" w:eastAsia="Arial" w:hAnsi="Arial"/>
          <w:sz w:val="14"/>
          <w:szCs w:val="14"/>
          <w:color w:val="231F20"/>
        </w:rPr>
        <w:t xml:space="preserve">ɍȯ </w:t>
      </w:r>
      <w:r>
        <w:rPr>
          <w:rFonts w:ascii="Arial" w:cs="Arial" w:eastAsia="Arial" w:hAnsi="Arial"/>
          <w:sz w:val="14"/>
          <w:szCs w:val="14"/>
          <w:color w:val="231F20"/>
        </w:rPr>
        <w:t>Ǽȉ</w:t>
      </w:r>
      <w:r>
        <w:rPr>
          <w:rFonts w:ascii="Arial" w:cs="Arial" w:eastAsia="Arial" w:hAnsi="Arial"/>
          <w:sz w:val="14"/>
          <w:szCs w:val="14"/>
          <w:color w:val="231F20"/>
        </w:rPr>
        <w:t xml:space="preserve">ǾɅǕȷؙ </w:t>
      </w:r>
      <w:r>
        <w:rPr>
          <w:rFonts w:ascii="Arial" w:cs="Arial" w:eastAsia="Arial" w:hAnsi="Arial"/>
          <w:sz w:val="14"/>
          <w:szCs w:val="14"/>
          <w:color w:val="231F20"/>
        </w:rPr>
        <w:t>ɦƲ</w:t>
      </w:r>
      <w:r>
        <w:rPr>
          <w:rFonts w:ascii="Arial" w:cs="Arial" w:eastAsia="Arial" w:hAnsi="Arial"/>
          <w:sz w:val="14"/>
          <w:szCs w:val="14"/>
          <w:color w:val="231F20"/>
        </w:rPr>
        <w:t xml:space="preserve"> </w:t>
      </w:r>
      <w:r>
        <w:rPr>
          <w:rFonts w:ascii="Arial" w:cs="Arial" w:eastAsia="Arial" w:hAnsi="Arial"/>
          <w:sz w:val="14"/>
          <w:szCs w:val="14"/>
          <w:color w:val="231F20"/>
        </w:rPr>
        <w:t>Ƥȉ</w:t>
      </w:r>
      <w:r>
        <w:rPr>
          <w:rFonts w:ascii="Arial" w:cs="Arial" w:eastAsia="Arial" w:hAnsi="Arial"/>
          <w:sz w:val="14"/>
          <w:szCs w:val="14"/>
          <w:color w:val="231F20"/>
        </w:rPr>
        <w:t>Ǿ</w:t>
      </w:r>
      <w:r>
        <w:rPr>
          <w:rFonts w:ascii="Arial" w:cs="Arial" w:eastAsia="Arial" w:hAnsi="Arial"/>
          <w:sz w:val="14"/>
          <w:szCs w:val="14"/>
          <w:color w:val="231F20"/>
        </w:rPr>
        <w:t>ƫɍƤ</w:t>
      </w:r>
      <w:r>
        <w:rPr>
          <w:rFonts w:ascii="Arial" w:cs="Arial" w:eastAsia="Arial" w:hAnsi="Arial"/>
          <w:sz w:val="14"/>
          <w:szCs w:val="14"/>
          <w:color w:val="231F20"/>
        </w:rPr>
        <w:t>ɅƲ</w:t>
      </w:r>
      <w:r>
        <w:rPr>
          <w:rFonts w:ascii="Arial" w:cs="Arial" w:eastAsia="Arial" w:hAnsi="Arial"/>
          <w:sz w:val="14"/>
          <w:szCs w:val="14"/>
          <w:color w:val="231F20"/>
        </w:rPr>
        <w:t>ƫ Ƈ</w:t>
      </w:r>
      <w:r>
        <w:rPr>
          <w:rFonts w:ascii="Arial" w:cs="Arial" w:eastAsia="Arial" w:hAnsi="Arial"/>
          <w:sz w:val="14"/>
          <w:szCs w:val="14"/>
          <w:color w:val="231F20"/>
        </w:rPr>
        <w:t xml:space="preserve"> </w:t>
      </w:r>
      <w:r>
        <w:rPr>
          <w:rFonts w:ascii="Arial" w:cs="Arial" w:eastAsia="Arial" w:hAnsi="Arial"/>
          <w:sz w:val="14"/>
          <w:szCs w:val="14"/>
          <w:color w:val="231F20"/>
        </w:rPr>
        <w:t>ȯǛ</w:t>
      </w:r>
      <w:r>
        <w:rPr>
          <w:rFonts w:ascii="Arial" w:cs="Arial" w:eastAsia="Arial" w:hAnsi="Arial"/>
          <w:sz w:val="14"/>
          <w:szCs w:val="14"/>
          <w:color w:val="231F20"/>
        </w:rPr>
        <w:t>Ǎ</w:t>
      </w:r>
      <w:r>
        <w:rPr>
          <w:rFonts w:ascii="Arial" w:cs="Arial" w:eastAsia="Arial" w:hAnsi="Arial"/>
          <w:sz w:val="14"/>
          <w:szCs w:val="14"/>
          <w:color w:val="231F20"/>
        </w:rPr>
        <w:t>ȉȯ</w:t>
      </w:r>
      <w:r>
        <w:rPr>
          <w:rFonts w:ascii="Arial" w:cs="Arial" w:eastAsia="Arial" w:hAnsi="Arial"/>
          <w:sz w:val="14"/>
          <w:szCs w:val="14"/>
          <w:color w:val="231F20"/>
        </w:rPr>
        <w:t>ȉɍȷ Ƈȷȷ</w:t>
      </w:r>
      <w:r>
        <w:rPr>
          <w:rFonts w:ascii="Arial" w:cs="Arial" w:eastAsia="Arial" w:hAnsi="Arial"/>
          <w:sz w:val="14"/>
          <w:szCs w:val="14"/>
          <w:color w:val="231F20"/>
        </w:rPr>
        <w:t>Ʋȷȷ</w:t>
      </w:r>
      <w:r>
        <w:rPr>
          <w:rFonts w:ascii="Arial" w:cs="Arial" w:eastAsia="Arial" w:hAnsi="Arial"/>
          <w:sz w:val="14"/>
          <w:szCs w:val="14"/>
          <w:color w:val="231F20"/>
        </w:rPr>
        <w:t>Ǽ</w:t>
      </w:r>
      <w:r>
        <w:rPr>
          <w:rFonts w:ascii="Arial" w:cs="Arial" w:eastAsia="Arial" w:hAnsi="Arial"/>
          <w:sz w:val="14"/>
          <w:szCs w:val="14"/>
          <w:color w:val="231F20"/>
        </w:rPr>
        <w:t>Ʋ</w:t>
      </w:r>
      <w:r>
        <w:rPr>
          <w:rFonts w:ascii="Arial" w:cs="Arial" w:eastAsia="Arial" w:hAnsi="Arial"/>
          <w:sz w:val="14"/>
          <w:szCs w:val="14"/>
          <w:color w:val="231F20"/>
        </w:rPr>
        <w:t>Ǿ</w:t>
      </w:r>
      <w:r>
        <w:rPr>
          <w:rFonts w:ascii="Arial" w:cs="Arial" w:eastAsia="Arial" w:hAnsi="Arial"/>
          <w:sz w:val="14"/>
          <w:szCs w:val="14"/>
          <w:color w:val="231F20"/>
        </w:rPr>
        <w:t>Ʌ</w:t>
      </w:r>
      <w:r>
        <w:rPr>
          <w:rFonts w:ascii="Arial" w:cs="Arial" w:eastAsia="Arial" w:hAnsi="Arial"/>
          <w:sz w:val="14"/>
          <w:szCs w:val="14"/>
          <w:color w:val="231F20"/>
        </w:rPr>
        <w:t xml:space="preserve"> ƇƤ</w:t>
      </w:r>
      <w:r>
        <w:rPr>
          <w:rFonts w:ascii="Arial" w:cs="Arial" w:eastAsia="Arial" w:hAnsi="Arial"/>
          <w:sz w:val="14"/>
          <w:szCs w:val="14"/>
          <w:color w:val="231F20"/>
        </w:rPr>
        <w:t>ȯ</w:t>
      </w:r>
      <w:r>
        <w:rPr>
          <w:rFonts w:ascii="Arial" w:cs="Arial" w:eastAsia="Arial" w:hAnsi="Arial"/>
          <w:sz w:val="14"/>
          <w:szCs w:val="14"/>
          <w:color w:val="231F20"/>
        </w:rPr>
        <w:t xml:space="preserve">ȉȷȷ </w:t>
      </w:r>
      <w:r>
        <w:rPr>
          <w:rFonts w:ascii="Arial" w:cs="Arial" w:eastAsia="Arial" w:hAnsi="Arial"/>
          <w:sz w:val="14"/>
          <w:szCs w:val="14"/>
          <w:color w:val="231F20"/>
        </w:rPr>
        <w:t>Ʌ</w:t>
      </w:r>
      <w:r>
        <w:rPr>
          <w:rFonts w:ascii="Arial" w:cs="Arial" w:eastAsia="Arial" w:hAnsi="Arial"/>
          <w:sz w:val="14"/>
          <w:szCs w:val="14"/>
          <w:color w:val="231F20"/>
        </w:rPr>
        <w:t>Ǖ</w:t>
      </w:r>
      <w:r>
        <w:rPr>
          <w:rFonts w:ascii="Arial" w:cs="Arial" w:eastAsia="Arial" w:hAnsi="Arial"/>
          <w:sz w:val="14"/>
          <w:szCs w:val="14"/>
          <w:color w:val="231F20"/>
        </w:rPr>
        <w:t>Ʋ</w:t>
      </w:r>
      <w:r>
        <w:rPr>
          <w:rFonts w:ascii="Arial" w:cs="Arial" w:eastAsia="Arial" w:hAnsi="Arial"/>
          <w:sz w:val="14"/>
          <w:szCs w:val="14"/>
          <w:color w:val="231F20"/>
        </w:rPr>
        <w:t xml:space="preserve"> ȉ</w:t>
      </w:r>
      <w:r>
        <w:rPr>
          <w:rFonts w:ascii="Arial" w:cs="Arial" w:eastAsia="Arial" w:hAnsi="Arial"/>
          <w:sz w:val="14"/>
          <w:szCs w:val="14"/>
          <w:color w:val="231F20"/>
        </w:rPr>
        <w:t>ȯ</w:t>
      </w:r>
      <w:r>
        <w:rPr>
          <w:rFonts w:ascii="Arial" w:cs="Arial" w:eastAsia="Arial" w:hAnsi="Arial"/>
          <w:sz w:val="14"/>
          <w:szCs w:val="14"/>
          <w:color w:val="231F20"/>
        </w:rPr>
        <w:t>Ǎ</w:t>
      </w:r>
      <w:r>
        <w:rPr>
          <w:rFonts w:ascii="Arial" w:cs="Arial" w:eastAsia="Arial" w:hAnsi="Arial"/>
          <w:sz w:val="14"/>
          <w:szCs w:val="14"/>
          <w:color w:val="231F20"/>
        </w:rPr>
        <w:t>ƇǾ</w:t>
      </w:r>
      <w:r>
        <w:rPr>
          <w:rFonts w:ascii="Arial" w:cs="Arial" w:eastAsia="Arial" w:hAnsi="Arial"/>
          <w:sz w:val="14"/>
          <w:szCs w:val="14"/>
          <w:color w:val="231F20"/>
        </w:rPr>
        <w:t>Ǜ</w:t>
      </w:r>
      <w:r>
        <w:rPr>
          <w:rFonts w:ascii="Arial" w:cs="Arial" w:eastAsia="Arial" w:hAnsi="Arial"/>
          <w:sz w:val="14"/>
          <w:szCs w:val="14"/>
          <w:color w:val="231F20"/>
        </w:rPr>
        <w:t>ɶ</w:t>
      </w:r>
      <w:r>
        <w:rPr>
          <w:rFonts w:ascii="Arial" w:cs="Arial" w:eastAsia="Arial" w:hAnsi="Arial"/>
          <w:sz w:val="14"/>
          <w:szCs w:val="14"/>
          <w:color w:val="231F20"/>
        </w:rPr>
        <w:t>ƇɅ</w:t>
      </w:r>
      <w:r>
        <w:rPr>
          <w:rFonts w:ascii="Arial" w:cs="Arial" w:eastAsia="Arial" w:hAnsi="Arial"/>
          <w:sz w:val="14"/>
          <w:szCs w:val="14"/>
          <w:color w:val="231F20"/>
        </w:rPr>
        <w:t>Ǜ</w:t>
      </w:r>
      <w:r>
        <w:rPr>
          <w:rFonts w:ascii="Arial" w:cs="Arial" w:eastAsia="Arial" w:hAnsi="Arial"/>
          <w:sz w:val="14"/>
          <w:szCs w:val="14"/>
          <w:color w:val="231F20"/>
        </w:rPr>
        <w:t>ȉ</w:t>
      </w:r>
      <w:r>
        <w:rPr>
          <w:rFonts w:ascii="Arial" w:cs="Arial" w:eastAsia="Arial" w:hAnsi="Arial"/>
          <w:sz w:val="14"/>
          <w:szCs w:val="14"/>
          <w:color w:val="231F20"/>
        </w:rPr>
        <w:t xml:space="preserve"> Ǿ</w:t>
      </w:r>
      <w:r>
        <w:rPr>
          <w:rFonts w:ascii="Arial" w:cs="Arial" w:eastAsia="Arial" w:hAnsi="Arial"/>
          <w:sz w:val="14"/>
          <w:szCs w:val="14"/>
          <w:color w:val="231F20"/>
        </w:rPr>
        <w:t>ؙ ȯ</w:t>
      </w:r>
      <w:r>
        <w:rPr>
          <w:rFonts w:ascii="Arial" w:cs="Arial" w:eastAsia="Arial" w:hAnsi="Arial"/>
          <w:sz w:val="14"/>
          <w:szCs w:val="14"/>
          <w:color w:val="231F20"/>
        </w:rPr>
        <w:t>Ʋ</w:t>
      </w:r>
      <w:r>
        <w:rPr>
          <w:rFonts w:ascii="Arial" w:cs="Arial" w:eastAsia="Arial" w:hAnsi="Arial"/>
          <w:sz w:val="14"/>
          <w:szCs w:val="14"/>
          <w:color w:val="231F20"/>
        </w:rPr>
        <w:t>ɥǛ</w:t>
      </w:r>
      <w:r>
        <w:rPr>
          <w:rFonts w:ascii="Arial" w:cs="Arial" w:eastAsia="Arial" w:hAnsi="Arial"/>
          <w:sz w:val="14"/>
          <w:szCs w:val="14"/>
          <w:color w:val="231F20"/>
        </w:rPr>
        <w:t>Ʋ</w:t>
      </w:r>
      <w:r>
        <w:rPr>
          <w:rFonts w:ascii="Arial" w:cs="Arial" w:eastAsia="Arial" w:hAnsi="Arial"/>
          <w:sz w:val="14"/>
          <w:szCs w:val="14"/>
          <w:color w:val="231F20"/>
        </w:rPr>
        <w:t>ɦ</w:t>
      </w:r>
      <w:r>
        <w:rPr>
          <w:rFonts w:ascii="Arial" w:cs="Arial" w:eastAsia="Arial" w:hAnsi="Arial"/>
          <w:sz w:val="14"/>
          <w:szCs w:val="14"/>
          <w:color w:val="231F20"/>
        </w:rPr>
        <w:t>Ǜ</w:t>
      </w:r>
      <w:r>
        <w:rPr>
          <w:rFonts w:ascii="Arial" w:cs="Arial" w:eastAsia="Arial" w:hAnsi="Arial"/>
          <w:sz w:val="14"/>
          <w:szCs w:val="14"/>
          <w:color w:val="231F20"/>
        </w:rPr>
        <w:t xml:space="preserve"> ǾǍ </w:t>
      </w:r>
      <w:r>
        <w:rPr>
          <w:rFonts w:ascii="Arial" w:cs="Arial" w:eastAsia="Arial" w:hAnsi="Arial"/>
          <w:sz w:val="14"/>
          <w:szCs w:val="14"/>
          <w:color w:val="231F20"/>
        </w:rPr>
        <w:t>Ȭ</w:t>
      </w:r>
      <w:r>
        <w:rPr>
          <w:rFonts w:ascii="Arial" w:cs="Arial" w:eastAsia="Arial" w:hAnsi="Arial"/>
          <w:sz w:val="14"/>
          <w:szCs w:val="14"/>
          <w:color w:val="231F20"/>
        </w:rPr>
        <w:t>ȯȉƤ</w:t>
      </w:r>
      <w:r>
        <w:rPr>
          <w:rFonts w:ascii="Arial" w:cs="Arial" w:eastAsia="Arial" w:hAnsi="Arial"/>
          <w:sz w:val="14"/>
          <w:szCs w:val="14"/>
          <w:color w:val="231F20"/>
        </w:rPr>
        <w:t>Ʋȷȷؙ</w:t>
      </w:r>
      <w:r>
        <w:rPr>
          <w:rFonts w:ascii="Arial" w:cs="Arial" w:eastAsia="Arial" w:hAnsi="Arial"/>
          <w:sz w:val="14"/>
          <w:szCs w:val="14"/>
          <w:color w:val="231F20"/>
        </w:rPr>
        <w:t xml:space="preserve"> </w:t>
      </w:r>
      <w:r>
        <w:rPr>
          <w:rFonts w:ascii="Arial" w:cs="Arial" w:eastAsia="Arial" w:hAnsi="Arial"/>
          <w:sz w:val="14"/>
          <w:szCs w:val="14"/>
          <w:color w:val="231F20"/>
        </w:rPr>
        <w:t>ȷɅ</w:t>
      </w:r>
      <w:r>
        <w:rPr>
          <w:rFonts w:ascii="Arial" w:cs="Arial" w:eastAsia="Arial" w:hAnsi="Arial"/>
          <w:sz w:val="14"/>
          <w:szCs w:val="14"/>
          <w:color w:val="231F20"/>
        </w:rPr>
        <w:t>ȯ</w:t>
      </w:r>
      <w:r>
        <w:rPr>
          <w:rFonts w:ascii="Arial" w:cs="Arial" w:eastAsia="Arial" w:hAnsi="Arial"/>
          <w:sz w:val="14"/>
          <w:szCs w:val="14"/>
          <w:color w:val="231F20"/>
        </w:rPr>
        <w:t xml:space="preserve">ɍ </w:t>
      </w:r>
      <w:r>
        <w:rPr>
          <w:rFonts w:ascii="Arial" w:cs="Arial" w:eastAsia="Arial" w:hAnsi="Arial"/>
          <w:sz w:val="14"/>
          <w:szCs w:val="14"/>
          <w:color w:val="231F20"/>
        </w:rPr>
        <w:t>ƤɅ</w:t>
      </w:r>
      <w:r>
        <w:rPr>
          <w:rFonts w:ascii="Arial" w:cs="Arial" w:eastAsia="Arial" w:hAnsi="Arial"/>
          <w:sz w:val="14"/>
          <w:szCs w:val="14"/>
          <w:color w:val="231F20"/>
        </w:rPr>
        <w:t xml:space="preserve"> ɍȯƲ Ƈ </w:t>
      </w:r>
      <w:r>
        <w:rPr>
          <w:rFonts w:ascii="Arial" w:cs="Arial" w:eastAsia="Arial" w:hAnsi="Arial"/>
          <w:sz w:val="14"/>
          <w:szCs w:val="14"/>
          <w:color w:val="231F20"/>
        </w:rPr>
        <w:t>Ǿƫ</w:t>
      </w:r>
      <w:r>
        <w:rPr>
          <w:rFonts w:ascii="Arial" w:cs="Arial" w:eastAsia="Arial" w:hAnsi="Arial"/>
          <w:sz w:val="14"/>
          <w:szCs w:val="14"/>
          <w:color w:val="231F20"/>
        </w:rPr>
        <w:t xml:space="preserve"> </w:t>
      </w:r>
      <w:r>
        <w:rPr>
          <w:rFonts w:ascii="Arial" w:cs="Arial" w:eastAsia="Arial" w:hAnsi="Arial"/>
          <w:sz w:val="14"/>
          <w:szCs w:val="14"/>
          <w:color w:val="231F20"/>
        </w:rPr>
        <w:t>ȷ</w:t>
      </w:r>
      <w:r>
        <w:rPr>
          <w:rFonts w:ascii="Arial" w:cs="Arial" w:eastAsia="Arial" w:hAnsi="Arial"/>
          <w:sz w:val="14"/>
          <w:szCs w:val="14"/>
          <w:color w:val="231F20"/>
        </w:rPr>
        <w:t>Ȭ</w:t>
      </w:r>
      <w:r>
        <w:rPr>
          <w:rFonts w:ascii="Arial" w:cs="Arial" w:eastAsia="Arial" w:hAnsi="Arial"/>
          <w:sz w:val="14"/>
          <w:szCs w:val="14"/>
          <w:color w:val="231F20"/>
        </w:rPr>
        <w:t>ƲƲƫ</w:t>
      </w:r>
      <w:r>
        <w:rPr>
          <w:rFonts w:ascii="Arial" w:cs="Arial" w:eastAsia="Arial" w:hAnsi="Arial"/>
          <w:sz w:val="14"/>
          <w:szCs w:val="14"/>
          <w:color w:val="231F20"/>
        </w:rPr>
        <w:t xml:space="preserve"> </w:t>
      </w:r>
      <w:r>
        <w:rPr>
          <w:rFonts w:ascii="Arial" w:cs="Arial" w:eastAsia="Arial" w:hAnsi="Arial"/>
          <w:sz w:val="14"/>
          <w:szCs w:val="14"/>
          <w:color w:val="231F20"/>
        </w:rPr>
        <w:t>ؘ Ý</w:t>
      </w:r>
      <w:r>
        <w:rPr>
          <w:rFonts w:ascii="Arial" w:cs="Arial" w:eastAsia="Arial" w:hAnsi="Arial"/>
          <w:sz w:val="14"/>
          <w:szCs w:val="14"/>
          <w:color w:val="231F20"/>
        </w:rPr>
        <w:t xml:space="preserve">Ʋ ȉ </w:t>
      </w:r>
      <w:r>
        <w:rPr>
          <w:rFonts w:ascii="Arial" w:cs="Arial" w:eastAsia="Arial" w:hAnsi="Arial"/>
          <w:sz w:val="14"/>
          <w:szCs w:val="14"/>
          <w:color w:val="231F20"/>
        </w:rPr>
        <w:t>ƣǬ</w:t>
      </w:r>
      <w:r>
        <w:rPr>
          <w:rFonts w:ascii="Arial" w:cs="Arial" w:eastAsia="Arial" w:hAnsi="Arial"/>
          <w:sz w:val="14"/>
          <w:szCs w:val="14"/>
          <w:color w:val="231F20"/>
        </w:rPr>
        <w:t xml:space="preserve"> ƲƤ</w:t>
      </w:r>
      <w:r>
        <w:rPr>
          <w:rFonts w:ascii="Arial" w:cs="Arial" w:eastAsia="Arial" w:hAnsi="Arial"/>
          <w:sz w:val="14"/>
          <w:szCs w:val="14"/>
          <w:color w:val="231F20"/>
        </w:rPr>
        <w:t>ɅǛ</w:t>
      </w:r>
      <w:r>
        <w:rPr>
          <w:rFonts w:ascii="Arial" w:cs="Arial" w:eastAsia="Arial" w:hAnsi="Arial"/>
          <w:sz w:val="14"/>
          <w:szCs w:val="14"/>
          <w:color w:val="231F20"/>
        </w:rPr>
        <w:t>ɥ</w:t>
      </w:r>
      <w:r>
        <w:rPr>
          <w:rFonts w:ascii="Arial" w:cs="Arial" w:eastAsia="Arial" w:hAnsi="Arial"/>
          <w:sz w:val="14"/>
          <w:szCs w:val="14"/>
          <w:color w:val="231F20"/>
        </w:rPr>
        <w:t>Ʋ</w:t>
      </w:r>
      <w:r>
        <w:rPr>
          <w:rFonts w:ascii="Arial" w:cs="Arial" w:eastAsia="Arial" w:hAnsi="Arial"/>
          <w:sz w:val="14"/>
          <w:szCs w:val="14"/>
          <w:color w:val="231F20"/>
        </w:rPr>
        <w:t>ǳ</w:t>
      </w:r>
      <w:r>
        <w:rPr>
          <w:rFonts w:ascii="Arial" w:cs="Arial" w:eastAsia="Arial" w:hAnsi="Arial"/>
          <w:sz w:val="14"/>
          <w:szCs w:val="14"/>
          <w:color w:val="231F20"/>
        </w:rPr>
        <w:t>ɬ</w:t>
      </w:r>
      <w:r>
        <w:rPr>
          <w:rFonts w:ascii="Arial" w:cs="Arial" w:eastAsia="Arial" w:hAnsi="Arial"/>
          <w:sz w:val="14"/>
          <w:szCs w:val="14"/>
          <w:color w:val="231F20"/>
        </w:rPr>
        <w:t xml:space="preserve"> </w:t>
      </w:r>
      <w:r>
        <w:rPr>
          <w:rFonts w:ascii="Arial" w:cs="Arial" w:eastAsia="Arial" w:hAnsi="Arial"/>
          <w:sz w:val="14"/>
          <w:szCs w:val="14"/>
          <w:color w:val="231F20"/>
        </w:rPr>
        <w:t>ȯ</w:t>
      </w:r>
      <w:r>
        <w:rPr>
          <w:rFonts w:ascii="Arial" w:cs="Arial" w:eastAsia="Arial" w:hAnsi="Arial"/>
          <w:sz w:val="14"/>
          <w:szCs w:val="14"/>
          <w:color w:val="231F20"/>
        </w:rPr>
        <w:t>Ʋ</w:t>
      </w:r>
      <w:r>
        <w:rPr>
          <w:rFonts w:ascii="Arial" w:cs="Arial" w:eastAsia="Arial" w:hAnsi="Arial"/>
          <w:sz w:val="14"/>
          <w:szCs w:val="14"/>
          <w:color w:val="231F20"/>
        </w:rPr>
        <w:t>ɥǛ</w:t>
      </w:r>
      <w:r>
        <w:rPr>
          <w:rFonts w:ascii="Arial" w:cs="Arial" w:eastAsia="Arial" w:hAnsi="Arial"/>
          <w:sz w:val="14"/>
          <w:szCs w:val="14"/>
          <w:color w:val="231F20"/>
        </w:rPr>
        <w:t>Ʋ</w:t>
      </w:r>
      <w:r>
        <w:rPr>
          <w:rFonts w:ascii="Arial" w:cs="Arial" w:eastAsia="Arial" w:hAnsi="Arial"/>
          <w:sz w:val="14"/>
          <w:szCs w:val="14"/>
          <w:color w:val="231F20"/>
        </w:rPr>
        <w:t>ɦ</w:t>
      </w:r>
      <w:r>
        <w:rPr>
          <w:rFonts w:ascii="Arial" w:cs="Arial" w:eastAsia="Arial" w:hAnsi="Arial"/>
          <w:sz w:val="14"/>
          <w:szCs w:val="14"/>
          <w:color w:val="231F20"/>
        </w:rPr>
        <w:t>Ʋ</w:t>
      </w:r>
      <w:r>
        <w:rPr>
          <w:rFonts w:ascii="Arial" w:cs="Arial" w:eastAsia="Arial" w:hAnsi="Arial"/>
          <w:sz w:val="14"/>
          <w:szCs w:val="14"/>
          <w:color w:val="231F20"/>
        </w:rPr>
        <w:t>ƫ Ƈ</w:t>
      </w:r>
      <w:r>
        <w:rPr>
          <w:rFonts w:ascii="Arial" w:cs="Arial" w:eastAsia="Arial" w:hAnsi="Arial"/>
          <w:sz w:val="14"/>
          <w:szCs w:val="14"/>
          <w:color w:val="231F20"/>
        </w:rPr>
        <w:t>ǳǳ</w:t>
      </w:r>
      <w:r>
        <w:rPr>
          <w:rFonts w:ascii="Arial" w:cs="Arial" w:eastAsia="Arial" w:hAnsi="Arial"/>
          <w:sz w:val="14"/>
          <w:szCs w:val="14"/>
          <w:color w:val="231F20"/>
        </w:rPr>
        <w:t xml:space="preserve"> </w:t>
      </w:r>
      <w:r>
        <w:rPr>
          <w:rFonts w:ascii="Arial" w:cs="Arial" w:eastAsia="Arial" w:hAnsi="Arial"/>
          <w:sz w:val="14"/>
          <w:szCs w:val="14"/>
          <w:color w:val="231F20"/>
        </w:rPr>
        <w:t>ǯƲ</w:t>
      </w:r>
      <w:r>
        <w:rPr>
          <w:rFonts w:ascii="Arial" w:cs="Arial" w:eastAsia="Arial" w:hAnsi="Arial"/>
          <w:sz w:val="14"/>
          <w:szCs w:val="14"/>
          <w:color w:val="231F20"/>
        </w:rPr>
        <w:t xml:space="preserve">ɬ </w:t>
      </w:r>
      <w:r>
        <w:rPr>
          <w:rFonts w:ascii="Arial" w:cs="Arial" w:eastAsia="Arial" w:hAnsi="Arial"/>
          <w:sz w:val="14"/>
          <w:szCs w:val="14"/>
          <w:color w:val="231F20"/>
        </w:rPr>
        <w:t>Ƈȷ</w:t>
      </w:r>
      <w:r>
        <w:rPr>
          <w:rFonts w:ascii="Arial" w:cs="Arial" w:eastAsia="Arial" w:hAnsi="Arial"/>
          <w:sz w:val="14"/>
          <w:szCs w:val="14"/>
          <w:color w:val="231F20"/>
        </w:rPr>
        <w:t>ȬƲƤ</w:t>
      </w:r>
      <w:r>
        <w:rPr>
          <w:rFonts w:ascii="Arial" w:cs="Arial" w:eastAsia="Arial" w:hAnsi="Arial"/>
          <w:sz w:val="14"/>
          <w:szCs w:val="14"/>
          <w:color w:val="231F20"/>
        </w:rPr>
        <w:t>Ʌȷ</w:t>
      </w:r>
      <w:r>
        <w:rPr>
          <w:rFonts w:ascii="Arial" w:cs="Arial" w:eastAsia="Arial" w:hAnsi="Arial"/>
          <w:sz w:val="14"/>
          <w:szCs w:val="14"/>
          <w:color w:val="231F20"/>
        </w:rPr>
        <w:t xml:space="preserve"> </w:t>
      </w:r>
      <w:r>
        <w:rPr>
          <w:rFonts w:ascii="Arial" w:cs="Arial" w:eastAsia="Arial" w:hAnsi="Arial"/>
          <w:sz w:val="14"/>
          <w:szCs w:val="14"/>
          <w:color w:val="231F20"/>
        </w:rPr>
        <w:t>ȉ</w:t>
      </w:r>
      <w:r>
        <w:rPr>
          <w:rFonts w:ascii="Arial" w:cs="Arial" w:eastAsia="Arial" w:hAnsi="Arial"/>
          <w:sz w:val="14"/>
          <w:szCs w:val="14"/>
          <w:color w:val="231F20"/>
        </w:rPr>
        <w:t>ǌ</w:t>
      </w:r>
      <w:r>
        <w:rPr>
          <w:rFonts w:ascii="Arial" w:cs="Arial" w:eastAsia="Arial" w:hAnsi="Arial"/>
          <w:sz w:val="14"/>
          <w:szCs w:val="14"/>
          <w:color w:val="231F20"/>
        </w:rPr>
        <w:t xml:space="preserve"> ȉɍȯ ƣɍȷǛǾƲȷ</w:t>
      </w:r>
      <w:r>
        <w:rPr>
          <w:rFonts w:ascii="Arial" w:cs="Arial" w:eastAsia="Arial" w:hAnsi="Arial"/>
          <w:sz w:val="14"/>
          <w:szCs w:val="14"/>
          <w:color w:val="231F20"/>
        </w:rPr>
        <w:t>ȷ</w:t>
      </w:r>
      <w:r>
        <w:rPr>
          <w:rFonts w:ascii="Arial" w:cs="Arial" w:eastAsia="Arial" w:hAnsi="Arial"/>
          <w:sz w:val="14"/>
          <w:szCs w:val="14"/>
          <w:color w:val="231F20"/>
        </w:rPr>
        <w:t xml:space="preserve"> ɦǛɅǕ </w:t>
      </w:r>
      <w:r>
        <w:rPr>
          <w:rFonts w:ascii="Arial" w:cs="Arial" w:eastAsia="Arial" w:hAnsi="Arial"/>
          <w:sz w:val="14"/>
          <w:szCs w:val="14"/>
          <w:color w:val="231F20"/>
        </w:rPr>
        <w:t>ǌȯ</w:t>
      </w:r>
      <w:r>
        <w:rPr>
          <w:rFonts w:ascii="Arial" w:cs="Arial" w:eastAsia="Arial" w:hAnsi="Arial"/>
          <w:sz w:val="14"/>
          <w:szCs w:val="14"/>
          <w:color w:val="231F20"/>
        </w:rPr>
        <w:t>Ʋ</w:t>
      </w:r>
      <w:r>
        <w:rPr>
          <w:rFonts w:ascii="Arial" w:cs="Arial" w:eastAsia="Arial" w:hAnsi="Arial"/>
          <w:sz w:val="14"/>
          <w:szCs w:val="14"/>
          <w:color w:val="231F20"/>
        </w:rPr>
        <w:t>ȷ</w:t>
      </w:r>
      <w:r>
        <w:rPr>
          <w:rFonts w:ascii="Arial" w:cs="Arial" w:eastAsia="Arial" w:hAnsi="Arial"/>
          <w:sz w:val="14"/>
          <w:szCs w:val="14"/>
          <w:color w:val="231F20"/>
        </w:rPr>
        <w:t xml:space="preserve"> </w:t>
      </w:r>
      <w:r>
        <w:rPr>
          <w:rFonts w:ascii="Arial" w:cs="Arial" w:eastAsia="Arial" w:hAnsi="Arial"/>
          <w:sz w:val="14"/>
          <w:szCs w:val="14"/>
          <w:color w:val="231F20"/>
        </w:rPr>
        <w:t>Ǖ</w:t>
      </w:r>
      <w:r>
        <w:rPr>
          <w:rFonts w:ascii="Arial" w:cs="Arial" w:eastAsia="Arial" w:hAnsi="Arial"/>
          <w:sz w:val="14"/>
          <w:szCs w:val="14"/>
          <w:color w:val="231F20"/>
        </w:rPr>
        <w:t xml:space="preserve"> Ʋɬ</w:t>
      </w:r>
      <w:r>
        <w:rPr>
          <w:rFonts w:ascii="Arial" w:cs="Arial" w:eastAsia="Arial" w:hAnsi="Arial"/>
          <w:sz w:val="14"/>
          <w:szCs w:val="14"/>
          <w:color w:val="231F20"/>
        </w:rPr>
        <w:t>Ʋ</w:t>
      </w:r>
      <w:r>
        <w:rPr>
          <w:rFonts w:ascii="Arial" w:cs="Arial" w:eastAsia="Arial" w:hAnsi="Arial"/>
          <w:sz w:val="14"/>
          <w:szCs w:val="14"/>
          <w:color w:val="231F20"/>
        </w:rPr>
        <w:t xml:space="preserve">ȷ </w:t>
      </w:r>
      <w:r>
        <w:rPr>
          <w:rFonts w:ascii="Arial" w:cs="Arial" w:eastAsia="Arial" w:hAnsi="Arial"/>
          <w:sz w:val="14"/>
          <w:szCs w:val="14"/>
          <w:color w:val="231F20"/>
        </w:rPr>
        <w:t>Ƈ</w:t>
      </w:r>
      <w:r>
        <w:rPr>
          <w:rFonts w:ascii="Arial" w:cs="Arial" w:eastAsia="Arial" w:hAnsi="Arial"/>
          <w:sz w:val="14"/>
          <w:szCs w:val="14"/>
          <w:color w:val="231F20"/>
        </w:rPr>
        <w:t>Ǿ</w:t>
      </w:r>
      <w:r>
        <w:rPr>
          <w:rFonts w:ascii="Arial" w:cs="Arial" w:eastAsia="Arial" w:hAnsi="Arial"/>
          <w:sz w:val="14"/>
          <w:szCs w:val="14"/>
          <w:color w:val="231F20"/>
        </w:rPr>
        <w:t>ƫ Ƈ ǌ</w:t>
      </w:r>
      <w:r>
        <w:rPr>
          <w:rFonts w:ascii="Arial" w:cs="Arial" w:eastAsia="Arial" w:hAnsi="Arial"/>
          <w:sz w:val="14"/>
          <w:szCs w:val="14"/>
          <w:color w:val="231F20"/>
        </w:rPr>
        <w:t>ȉƤ</w:t>
      </w:r>
      <w:r>
        <w:rPr>
          <w:rFonts w:ascii="Arial" w:cs="Arial" w:eastAsia="Arial" w:hAnsi="Arial"/>
          <w:sz w:val="14"/>
          <w:szCs w:val="14"/>
          <w:color w:val="231F20"/>
        </w:rPr>
        <w:t>ɍ</w:t>
      </w:r>
      <w:r>
        <w:rPr>
          <w:rFonts w:ascii="Arial" w:cs="Arial" w:eastAsia="Arial" w:hAnsi="Arial"/>
          <w:sz w:val="14"/>
          <w:szCs w:val="14"/>
          <w:color w:val="231F20"/>
        </w:rPr>
        <w:t xml:space="preserve">ȷ </w:t>
      </w:r>
      <w:r>
        <w:rPr>
          <w:rFonts w:ascii="Arial" w:cs="Arial" w:eastAsia="Arial" w:hAnsi="Arial"/>
          <w:sz w:val="14"/>
          <w:szCs w:val="14"/>
          <w:color w:val="231F20"/>
        </w:rPr>
        <w:t>ȉ</w:t>
      </w:r>
      <w:r>
        <w:rPr>
          <w:rFonts w:ascii="Arial" w:cs="Arial" w:eastAsia="Arial" w:hAnsi="Arial"/>
          <w:sz w:val="14"/>
          <w:szCs w:val="14"/>
          <w:color w:val="231F20"/>
        </w:rPr>
        <w:t xml:space="preserve">Ǿ ƲɫƲƤɍɅǛȉǾؙ </w:t>
      </w:r>
      <w:r>
        <w:rPr>
          <w:rFonts w:ascii="Arial" w:cs="Arial" w:eastAsia="Arial" w:hAnsi="Arial"/>
          <w:sz w:val="14"/>
          <w:szCs w:val="14"/>
          <w:color w:val="231F20"/>
        </w:rPr>
        <w:t>Ƈ</w:t>
      </w:r>
      <w:r>
        <w:rPr>
          <w:rFonts w:ascii="Arial" w:cs="Arial" w:eastAsia="Arial" w:hAnsi="Arial"/>
          <w:sz w:val="14"/>
          <w:szCs w:val="14"/>
          <w:color w:val="231F20"/>
        </w:rPr>
        <w:t>ƤƤ</w:t>
      </w:r>
      <w:r>
        <w:rPr>
          <w:rFonts w:ascii="Arial" w:cs="Arial" w:eastAsia="Arial" w:hAnsi="Arial"/>
          <w:sz w:val="14"/>
          <w:szCs w:val="14"/>
          <w:color w:val="231F20"/>
        </w:rPr>
        <w:t>ȉ</w:t>
      </w:r>
      <w:r>
        <w:rPr>
          <w:rFonts w:ascii="Arial" w:cs="Arial" w:eastAsia="Arial" w:hAnsi="Arial"/>
          <w:sz w:val="14"/>
          <w:szCs w:val="14"/>
          <w:color w:val="231F20"/>
        </w:rPr>
        <w:t>ɍ</w:t>
      </w:r>
      <w:r>
        <w:rPr>
          <w:rFonts w:ascii="Arial" w:cs="Arial" w:eastAsia="Arial" w:hAnsi="Arial"/>
          <w:sz w:val="14"/>
          <w:szCs w:val="14"/>
          <w:color w:val="231F20"/>
        </w:rPr>
        <w:t>Ǿ</w:t>
      </w:r>
      <w:r>
        <w:rPr>
          <w:rFonts w:ascii="Arial" w:cs="Arial" w:eastAsia="Arial" w:hAnsi="Arial"/>
          <w:sz w:val="14"/>
          <w:szCs w:val="14"/>
          <w:color w:val="231F20"/>
        </w:rPr>
        <w:t>ɅƇ</w:t>
      </w:r>
      <w:r>
        <w:rPr>
          <w:rFonts w:ascii="Arial" w:cs="Arial" w:eastAsia="Arial" w:hAnsi="Arial"/>
          <w:sz w:val="14"/>
          <w:szCs w:val="14"/>
          <w:color w:val="231F20"/>
        </w:rPr>
        <w:t xml:space="preserve"> </w:t>
      </w:r>
      <w:r>
        <w:rPr>
          <w:rFonts w:ascii="Arial" w:cs="Arial" w:eastAsia="Arial" w:hAnsi="Arial"/>
          <w:sz w:val="14"/>
          <w:szCs w:val="14"/>
          <w:color w:val="231F20"/>
        </w:rPr>
        <w:t>ƣǛǳǛɅ</w:t>
      </w:r>
      <w:r>
        <w:rPr>
          <w:rFonts w:ascii="Arial" w:cs="Arial" w:eastAsia="Arial" w:hAnsi="Arial"/>
          <w:sz w:val="14"/>
          <w:szCs w:val="14"/>
          <w:color w:val="231F20"/>
        </w:rPr>
        <w:t>ɬ Ƈ</w:t>
      </w:r>
      <w:r>
        <w:rPr>
          <w:rFonts w:ascii="Arial" w:cs="Arial" w:eastAsia="Arial" w:hAnsi="Arial"/>
          <w:sz w:val="14"/>
          <w:szCs w:val="14"/>
          <w:color w:val="231F20"/>
        </w:rPr>
        <w:t>Ǿ</w:t>
      </w:r>
      <w:r>
        <w:rPr>
          <w:rFonts w:ascii="Arial" w:cs="Arial" w:eastAsia="Arial" w:hAnsi="Arial"/>
          <w:sz w:val="14"/>
          <w:szCs w:val="14"/>
          <w:color w:val="231F20"/>
        </w:rPr>
        <w:t>ƫ</w:t>
      </w:r>
      <w:r>
        <w:rPr>
          <w:rFonts w:ascii="Arial" w:cs="Arial" w:eastAsia="Arial" w:hAnsi="Arial"/>
          <w:sz w:val="14"/>
          <w:szCs w:val="14"/>
          <w:color w:val="231F20"/>
        </w:rPr>
        <w:t xml:space="preserve"> ɍ</w:t>
      </w:r>
      <w:r>
        <w:rPr>
          <w:rFonts w:ascii="Arial" w:cs="Arial" w:eastAsia="Arial" w:hAnsi="Arial"/>
          <w:sz w:val="14"/>
          <w:szCs w:val="14"/>
          <w:color w:val="231F20"/>
        </w:rPr>
        <w:t>ȯ</w:t>
      </w:r>
      <w:r>
        <w:rPr>
          <w:rFonts w:ascii="Arial" w:cs="Arial" w:eastAsia="Arial" w:hAnsi="Arial"/>
          <w:sz w:val="14"/>
          <w:szCs w:val="14"/>
          <w:color w:val="231F20"/>
        </w:rPr>
        <w:t xml:space="preserve">ǍƲǾƤɬؘ U </w:t>
      </w:r>
      <w:r>
        <w:rPr>
          <w:rFonts w:ascii="Arial" w:cs="Arial" w:eastAsia="Arial" w:hAnsi="Arial"/>
          <w:sz w:val="14"/>
          <w:szCs w:val="14"/>
          <w:color w:val="231F20"/>
        </w:rPr>
        <w:t>Ǖ</w:t>
      </w:r>
      <w:r>
        <w:rPr>
          <w:rFonts w:ascii="Arial" w:cs="Arial" w:eastAsia="Arial" w:hAnsi="Arial"/>
          <w:sz w:val="14"/>
          <w:szCs w:val="14"/>
          <w:color w:val="231F20"/>
        </w:rPr>
        <w:t>Ƈ</w:t>
      </w:r>
      <w:r>
        <w:rPr>
          <w:rFonts w:ascii="Arial" w:cs="Arial" w:eastAsia="Arial" w:hAnsi="Arial"/>
          <w:sz w:val="14"/>
          <w:szCs w:val="14"/>
          <w:color w:val="231F20"/>
        </w:rPr>
        <w:t>ƫ</w:t>
      </w:r>
      <w:r>
        <w:rPr>
          <w:rFonts w:ascii="Arial" w:cs="Arial" w:eastAsia="Arial" w:hAnsi="Arial"/>
          <w:sz w:val="14"/>
          <w:szCs w:val="14"/>
          <w:color w:val="231F20"/>
        </w:rPr>
        <w:t xml:space="preserve"> Ƥ</w:t>
      </w:r>
      <w:r>
        <w:rPr>
          <w:rFonts w:ascii="Arial" w:cs="Arial" w:eastAsia="Arial" w:hAnsi="Arial"/>
          <w:sz w:val="14"/>
          <w:szCs w:val="14"/>
          <w:color w:val="231F20"/>
        </w:rPr>
        <w:t>ȉ</w:t>
      </w:r>
      <w:r>
        <w:rPr>
          <w:rFonts w:ascii="Arial" w:cs="Arial" w:eastAsia="Arial" w:hAnsi="Arial"/>
          <w:sz w:val="14"/>
          <w:szCs w:val="14"/>
          <w:color w:val="231F20"/>
        </w:rPr>
        <w:t xml:space="preserve"> </w:t>
      </w:r>
      <w:r>
        <w:rPr>
          <w:rFonts w:ascii="Arial" w:cs="Arial" w:eastAsia="Arial" w:hAnsi="Arial"/>
          <w:sz w:val="14"/>
          <w:szCs w:val="14"/>
          <w:color w:val="231F20"/>
        </w:rPr>
        <w:t>Ǽ</w:t>
      </w:r>
      <w:r>
        <w:rPr>
          <w:rFonts w:ascii="Arial" w:cs="Arial" w:eastAsia="Arial" w:hAnsi="Arial"/>
          <w:sz w:val="14"/>
          <w:szCs w:val="14"/>
          <w:color w:val="231F20"/>
        </w:rPr>
        <w:t>ǼǛɅ</w:t>
      </w:r>
      <w:r>
        <w:rPr>
          <w:rFonts w:ascii="Arial" w:cs="Arial" w:eastAsia="Arial" w:hAnsi="Arial"/>
          <w:sz w:val="14"/>
          <w:szCs w:val="14"/>
          <w:color w:val="231F20"/>
        </w:rPr>
        <w:t>ɅƲ</w:t>
      </w:r>
      <w:r>
        <w:rPr>
          <w:rFonts w:ascii="Arial" w:cs="Arial" w:eastAsia="Arial" w:hAnsi="Arial"/>
          <w:sz w:val="14"/>
          <w:szCs w:val="14"/>
          <w:color w:val="231F20"/>
        </w:rPr>
        <w:t xml:space="preserve">ƫ </w:t>
      </w:r>
      <w:r>
        <w:rPr>
          <w:rFonts w:ascii="Arial" w:cs="Arial" w:eastAsia="Arial" w:hAnsi="Arial"/>
          <w:sz w:val="14"/>
          <w:szCs w:val="14"/>
          <w:color w:val="231F20"/>
        </w:rPr>
        <w:t>Ʌ</w:t>
      </w:r>
      <w:r>
        <w:rPr>
          <w:rFonts w:ascii="Arial" w:cs="Arial" w:eastAsia="Arial" w:hAnsi="Arial"/>
          <w:sz w:val="14"/>
          <w:szCs w:val="14"/>
          <w:color w:val="231F20"/>
        </w:rPr>
        <w:t xml:space="preserve">ȉ </w:t>
      </w:r>
      <w:r>
        <w:rPr>
          <w:rFonts w:ascii="Arial" w:cs="Arial" w:eastAsia="Arial" w:hAnsi="Arial"/>
          <w:sz w:val="14"/>
          <w:szCs w:val="14"/>
          <w:color w:val="231F20"/>
        </w:rPr>
        <w:t>Ʌ</w:t>
      </w:r>
      <w:r>
        <w:rPr>
          <w:rFonts w:ascii="Arial" w:cs="Arial" w:eastAsia="Arial" w:hAnsi="Arial"/>
          <w:sz w:val="14"/>
          <w:szCs w:val="14"/>
          <w:color w:val="231F20"/>
        </w:rPr>
        <w:t xml:space="preserve">ǕƲ </w:t>
      </w:r>
      <w:r>
        <w:rPr>
          <w:rFonts w:ascii="PMingLiU" w:cs="PMingLiU" w:eastAsia="PMingLiU" w:hAnsi="PMingLiU"/>
          <w:sz w:val="14"/>
          <w:szCs w:val="14"/>
          <w:color w:val="231F20"/>
        </w:rPr>
        <w:t/>
      </w:r>
      <w:r>
        <w:rPr>
          <w:rFonts w:ascii="Arial" w:cs="Arial" w:eastAsia="Arial" w:hAnsi="Arial"/>
          <w:sz w:val="14"/>
          <w:szCs w:val="14"/>
          <w:color w:val="231F20"/>
        </w:rPr>
        <w:t>ȉ</w:t>
      </w:r>
      <w:r>
        <w:rPr>
          <w:rFonts w:ascii="Arial" w:cs="Arial" w:eastAsia="Arial" w:hAnsi="Arial"/>
          <w:sz w:val="14"/>
          <w:szCs w:val="14"/>
          <w:color w:val="231F20"/>
        </w:rPr>
        <w:t>Ƈ</w:t>
      </w:r>
      <w:r>
        <w:rPr>
          <w:rFonts w:ascii="Arial" w:cs="Arial" w:eastAsia="Arial" w:hAnsi="Arial"/>
          <w:sz w:val="14"/>
          <w:szCs w:val="14"/>
          <w:color w:val="231F20"/>
        </w:rPr>
        <w:t>ȯ</w:t>
      </w:r>
      <w:r>
        <w:rPr>
          <w:rFonts w:ascii="Arial" w:cs="Arial" w:eastAsia="Arial" w:hAnsi="Arial"/>
          <w:sz w:val="14"/>
          <w:szCs w:val="14"/>
          <w:color w:val="231F20"/>
        </w:rPr>
        <w:t>ƫ Ƈ</w:t>
      </w:r>
      <w:r>
        <w:rPr>
          <w:rFonts w:ascii="Arial" w:cs="Arial" w:eastAsia="Arial" w:hAnsi="Arial"/>
          <w:sz w:val="14"/>
          <w:szCs w:val="14"/>
          <w:color w:val="231F20"/>
        </w:rPr>
        <w:t>Ǿ</w:t>
      </w:r>
      <w:r>
        <w:rPr>
          <w:rFonts w:ascii="Arial" w:cs="Arial" w:eastAsia="Arial" w:hAnsi="Arial"/>
          <w:sz w:val="14"/>
          <w:szCs w:val="14"/>
          <w:color w:val="231F20"/>
        </w:rPr>
        <w:t>ƫ ȉ</w:t>
      </w:r>
      <w:r>
        <w:rPr>
          <w:rFonts w:ascii="Arial" w:cs="Arial" w:eastAsia="Arial" w:hAnsi="Arial"/>
          <w:sz w:val="14"/>
          <w:szCs w:val="14"/>
          <w:color w:val="231F20"/>
        </w:rPr>
        <w:t>ɍ</w:t>
      </w:r>
      <w:r>
        <w:rPr>
          <w:rFonts w:ascii="Arial" w:cs="Arial" w:eastAsia="Arial" w:hAnsi="Arial"/>
          <w:sz w:val="14"/>
          <w:szCs w:val="14"/>
          <w:color w:val="231F20"/>
        </w:rPr>
        <w:t>ȯ Ƈȷ</w:t>
      </w:r>
      <w:r>
        <w:rPr>
          <w:rFonts w:ascii="Arial" w:cs="Arial" w:eastAsia="Arial" w:hAnsi="Arial"/>
          <w:sz w:val="14"/>
          <w:szCs w:val="14"/>
          <w:color w:val="231F20"/>
        </w:rPr>
        <w:t>ȷ</w:t>
      </w:r>
      <w:r>
        <w:rPr>
          <w:rFonts w:ascii="Arial" w:cs="Arial" w:eastAsia="Arial" w:hAnsi="Arial"/>
          <w:sz w:val="14"/>
          <w:szCs w:val="14"/>
          <w:color w:val="231F20"/>
        </w:rPr>
        <w:t>ȉƤ</w:t>
      </w:r>
      <w:r>
        <w:rPr>
          <w:rFonts w:ascii="Arial" w:cs="Arial" w:eastAsia="Arial" w:hAnsi="Arial"/>
          <w:sz w:val="14"/>
          <w:szCs w:val="14"/>
          <w:color w:val="231F20"/>
        </w:rPr>
        <w:t>ǛƇ</w:t>
      </w:r>
      <w:r>
        <w:rPr>
          <w:rFonts w:ascii="Arial" w:cs="Arial" w:eastAsia="Arial" w:hAnsi="Arial"/>
          <w:sz w:val="14"/>
          <w:szCs w:val="14"/>
          <w:color w:val="231F20"/>
        </w:rPr>
        <w:t>Ʌ</w:t>
      </w:r>
      <w:r>
        <w:rPr>
          <w:rFonts w:ascii="Arial" w:cs="Arial" w:eastAsia="Arial" w:hAnsi="Arial"/>
          <w:sz w:val="14"/>
          <w:szCs w:val="14"/>
          <w:color w:val="231F20"/>
        </w:rPr>
        <w:t xml:space="preserve">Ʋȷ </w:t>
      </w:r>
      <w:r>
        <w:rPr>
          <w:rFonts w:ascii="Arial" w:cs="Arial" w:eastAsia="Arial" w:hAnsi="Arial"/>
          <w:sz w:val="14"/>
          <w:szCs w:val="14"/>
          <w:color w:val="231F20"/>
        </w:rPr>
        <w:t>Ʌ</w:t>
      </w:r>
      <w:r>
        <w:rPr>
          <w:rFonts w:ascii="Arial" w:cs="Arial" w:eastAsia="Arial" w:hAnsi="Arial"/>
          <w:sz w:val="14"/>
          <w:szCs w:val="14"/>
          <w:color w:val="231F20"/>
        </w:rPr>
        <w:t>ǕƇ</w:t>
      </w:r>
      <w:r>
        <w:rPr>
          <w:rFonts w:ascii="Arial" w:cs="Arial" w:eastAsia="Arial" w:hAnsi="Arial"/>
          <w:sz w:val="14"/>
          <w:szCs w:val="14"/>
          <w:color w:val="231F20"/>
        </w:rPr>
        <w:t>Ʌ</w:t>
      </w:r>
      <w:r>
        <w:rPr>
          <w:rFonts w:ascii="Arial" w:cs="Arial" w:eastAsia="Arial" w:hAnsi="Arial"/>
          <w:sz w:val="14"/>
          <w:szCs w:val="14"/>
          <w:color w:val="231F20"/>
        </w:rPr>
        <w:t xml:space="preserve"> ɦ</w:t>
      </w:r>
      <w:r>
        <w:rPr>
          <w:rFonts w:ascii="Arial" w:cs="Arial" w:eastAsia="Arial" w:hAnsi="Arial"/>
          <w:sz w:val="14"/>
          <w:szCs w:val="14"/>
          <w:color w:val="231F20"/>
        </w:rPr>
        <w:t>Ʋ ɦȉ</w:t>
      </w:r>
      <w:r>
        <w:rPr>
          <w:rFonts w:ascii="Arial" w:cs="Arial" w:eastAsia="Arial" w:hAnsi="Arial"/>
          <w:sz w:val="14"/>
          <w:szCs w:val="14"/>
          <w:color w:val="231F20"/>
        </w:rPr>
        <w:t xml:space="preserve"> </w:t>
      </w:r>
      <w:r>
        <w:rPr>
          <w:rFonts w:ascii="Arial" w:cs="Arial" w:eastAsia="Arial" w:hAnsi="Arial"/>
          <w:sz w:val="14"/>
          <w:szCs w:val="14"/>
          <w:color w:val="231F20"/>
        </w:rPr>
        <w:t>ɍ</w:t>
      </w:r>
      <w:r>
        <w:rPr>
          <w:rFonts w:ascii="Arial" w:cs="Arial" w:eastAsia="Arial" w:hAnsi="Arial"/>
          <w:sz w:val="14"/>
          <w:szCs w:val="14"/>
          <w:color w:val="231F20"/>
        </w:rPr>
        <w:t>ǳ</w:t>
      </w:r>
      <w:r>
        <w:rPr>
          <w:rFonts w:ascii="Arial" w:cs="Arial" w:eastAsia="Arial" w:hAnsi="Arial"/>
          <w:sz w:val="14"/>
          <w:szCs w:val="14"/>
          <w:color w:val="231F20"/>
        </w:rPr>
        <w:t>ƫ</w:t>
      </w:r>
      <w:r>
        <w:rPr>
          <w:rFonts w:ascii="Arial" w:cs="Arial" w:eastAsia="Arial" w:hAnsi="Arial"/>
          <w:sz w:val="14"/>
          <w:szCs w:val="14"/>
          <w:color w:val="231F20"/>
        </w:rPr>
        <w:t xml:space="preserve"> </w:t>
      </w:r>
      <w:r>
        <w:rPr>
          <w:rFonts w:ascii="Arial" w:cs="Arial" w:eastAsia="Arial" w:hAnsi="Arial"/>
          <w:sz w:val="14"/>
          <w:szCs w:val="14"/>
          <w:color w:val="231F20"/>
        </w:rPr>
        <w:t>Ȭȯȉɥ</w:t>
      </w:r>
      <w:r>
        <w:rPr>
          <w:rFonts w:ascii="Arial" w:cs="Arial" w:eastAsia="Arial" w:hAnsi="Arial"/>
          <w:sz w:val="14"/>
          <w:szCs w:val="14"/>
          <w:color w:val="231F20"/>
        </w:rPr>
        <w:t>ǛƫƲ Ƥ</w:t>
      </w:r>
      <w:r>
        <w:rPr>
          <w:rFonts w:ascii="Arial" w:cs="Arial" w:eastAsia="Arial" w:hAnsi="Arial"/>
          <w:sz w:val="14"/>
          <w:szCs w:val="14"/>
          <w:color w:val="231F20"/>
        </w:rPr>
        <w:t>ǳ</w:t>
      </w:r>
      <w:r>
        <w:rPr>
          <w:rFonts w:ascii="Arial" w:cs="Arial" w:eastAsia="Arial" w:hAnsi="Arial"/>
          <w:sz w:val="14"/>
          <w:szCs w:val="14"/>
          <w:color w:val="231F20"/>
        </w:rPr>
        <w:t>Ƈȯ</w:t>
      </w:r>
      <w:r>
        <w:rPr>
          <w:rFonts w:ascii="Arial" w:cs="Arial" w:eastAsia="Arial" w:hAnsi="Arial"/>
          <w:sz w:val="14"/>
          <w:szCs w:val="14"/>
          <w:color w:val="231F20"/>
        </w:rPr>
        <w:t>ǛɅ</w:t>
      </w:r>
      <w:r>
        <w:rPr>
          <w:rFonts w:ascii="Arial" w:cs="Arial" w:eastAsia="Arial" w:hAnsi="Arial"/>
          <w:sz w:val="14"/>
          <w:szCs w:val="14"/>
          <w:color w:val="231F20"/>
        </w:rPr>
        <w:t>ɬ ȉ</w:t>
      </w:r>
      <w:r>
        <w:rPr>
          <w:rFonts w:ascii="Arial" w:cs="Arial" w:eastAsia="Arial" w:hAnsi="Arial"/>
          <w:sz w:val="14"/>
          <w:szCs w:val="14"/>
          <w:color w:val="231F20"/>
        </w:rPr>
        <w:t>ǌ Ȭ</w:t>
      </w:r>
      <w:r>
        <w:rPr>
          <w:rFonts w:ascii="Arial" w:cs="Arial" w:eastAsia="Arial" w:hAnsi="Arial"/>
          <w:sz w:val="14"/>
          <w:szCs w:val="14"/>
          <w:color w:val="231F20"/>
        </w:rPr>
        <w:t xml:space="preserve"> </w:t>
      </w:r>
      <w:r>
        <w:rPr>
          <w:rFonts w:ascii="Arial" w:cs="Arial" w:eastAsia="Arial" w:hAnsi="Arial"/>
          <w:sz w:val="14"/>
          <w:szCs w:val="14"/>
          <w:color w:val="231F20"/>
        </w:rPr>
        <w:t>ɍȯ</w:t>
      </w:r>
      <w:r>
        <w:rPr>
          <w:rFonts w:ascii="Arial" w:cs="Arial" w:eastAsia="Arial" w:hAnsi="Arial"/>
          <w:sz w:val="14"/>
          <w:szCs w:val="14"/>
          <w:color w:val="231F20"/>
        </w:rPr>
        <w:t>ȬȉȷƲ</w:t>
      </w:r>
      <w:r>
        <w:rPr>
          <w:rFonts w:ascii="Arial" w:cs="Arial" w:eastAsia="Arial" w:hAnsi="Arial"/>
          <w:sz w:val="14"/>
          <w:szCs w:val="14"/>
          <w:color w:val="231F20"/>
        </w:rPr>
        <w:t>ؙ</w:t>
      </w:r>
      <w:r>
        <w:rPr>
          <w:rFonts w:ascii="Arial" w:cs="Arial" w:eastAsia="Arial" w:hAnsi="Arial"/>
          <w:sz w:val="14"/>
          <w:szCs w:val="14"/>
          <w:color w:val="231F20"/>
        </w:rPr>
        <w:t xml:space="preserve"> </w:t>
      </w:r>
      <w:r>
        <w:rPr>
          <w:rFonts w:ascii="Arial" w:cs="Arial" w:eastAsia="Arial" w:hAnsi="Arial"/>
          <w:sz w:val="14"/>
          <w:szCs w:val="14"/>
          <w:color w:val="231F20"/>
        </w:rPr>
        <w:t>ƫƲ</w:t>
      </w:r>
      <w:r>
        <w:rPr>
          <w:rFonts w:ascii="Arial" w:cs="Arial" w:eastAsia="Arial" w:hAnsi="Arial"/>
          <w:sz w:val="14"/>
          <w:szCs w:val="14"/>
          <w:color w:val="231F20"/>
        </w:rPr>
        <w:t>˚Ǿ</w:t>
      </w:r>
      <w:r>
        <w:rPr>
          <w:rFonts w:ascii="Arial" w:cs="Arial" w:eastAsia="Arial" w:hAnsi="Arial"/>
          <w:sz w:val="14"/>
          <w:szCs w:val="14"/>
          <w:color w:val="231F20"/>
        </w:rPr>
        <w:t>Ʋƫ Ƈǳ</w:t>
      </w:r>
      <w:r>
        <w:rPr>
          <w:rFonts w:ascii="Arial" w:cs="Arial" w:eastAsia="Arial" w:hAnsi="Arial"/>
          <w:sz w:val="14"/>
          <w:szCs w:val="14"/>
          <w:color w:val="231F20"/>
        </w:rPr>
        <w:t>ǳ</w:t>
      </w:r>
      <w:r>
        <w:rPr>
          <w:rFonts w:ascii="Arial" w:cs="Arial" w:eastAsia="Arial" w:hAnsi="Arial"/>
          <w:sz w:val="14"/>
          <w:szCs w:val="14"/>
          <w:color w:val="231F20"/>
        </w:rPr>
        <w:t>ȉƤ</w:t>
      </w:r>
      <w:r>
        <w:rPr>
          <w:rFonts w:ascii="Arial" w:cs="Arial" w:eastAsia="Arial" w:hAnsi="Arial"/>
          <w:sz w:val="14"/>
          <w:szCs w:val="14"/>
          <w:color w:val="231F20"/>
        </w:rPr>
        <w:t>ƇɅ</w:t>
      </w:r>
      <w:r>
        <w:rPr>
          <w:rFonts w:ascii="Arial" w:cs="Arial" w:eastAsia="Arial" w:hAnsi="Arial"/>
          <w:sz w:val="14"/>
          <w:szCs w:val="14"/>
          <w:color w:val="231F20"/>
        </w:rPr>
        <w:t xml:space="preserve"> </w:t>
      </w:r>
      <w:r>
        <w:rPr>
          <w:rFonts w:ascii="Arial" w:cs="Arial" w:eastAsia="Arial" w:hAnsi="Arial"/>
          <w:sz w:val="14"/>
          <w:szCs w:val="14"/>
          <w:color w:val="231F20"/>
        </w:rPr>
        <w:t>ȉ</w:t>
      </w:r>
      <w:r>
        <w:rPr>
          <w:rFonts w:ascii="Arial" w:cs="Arial" w:eastAsia="Arial" w:hAnsi="Arial"/>
          <w:sz w:val="14"/>
          <w:szCs w:val="14"/>
          <w:color w:val="231F20"/>
        </w:rPr>
        <w:t xml:space="preserve">Ǿ </w:t>
      </w:r>
      <w:r>
        <w:rPr>
          <w:rFonts w:ascii="Arial" w:cs="Arial" w:eastAsia="Arial" w:hAnsi="Arial"/>
          <w:sz w:val="14"/>
          <w:szCs w:val="14"/>
          <w:color w:val="231F20"/>
        </w:rPr>
        <w:t>ȉ</w:t>
      </w:r>
      <w:r>
        <w:rPr>
          <w:rFonts w:ascii="Arial" w:cs="Arial" w:eastAsia="Arial" w:hAnsi="Arial"/>
          <w:sz w:val="14"/>
          <w:szCs w:val="14"/>
          <w:color w:val="231F20"/>
        </w:rPr>
        <w:t>ǌ ȯ</w:t>
      </w:r>
      <w:r>
        <w:rPr>
          <w:rFonts w:ascii="Arial" w:cs="Arial" w:eastAsia="Arial" w:hAnsi="Arial"/>
          <w:sz w:val="14"/>
          <w:szCs w:val="14"/>
          <w:color w:val="231F20"/>
        </w:rPr>
        <w:t>ƲȷȉɍȯƤƲȷ Ƈ</w:t>
      </w:r>
      <w:r>
        <w:rPr>
          <w:rFonts w:ascii="Arial" w:cs="Arial" w:eastAsia="Arial" w:hAnsi="Arial"/>
          <w:sz w:val="14"/>
          <w:szCs w:val="14"/>
          <w:color w:val="231F20"/>
        </w:rPr>
        <w:t>Ǿ</w:t>
      </w:r>
      <w:r>
        <w:rPr>
          <w:rFonts w:ascii="Arial" w:cs="Arial" w:eastAsia="Arial" w:hAnsi="Arial"/>
          <w:sz w:val="14"/>
          <w:szCs w:val="14"/>
          <w:color w:val="231F20"/>
        </w:rPr>
        <w:t>ƫ Ʌ</w:t>
      </w:r>
      <w:r>
        <w:rPr>
          <w:rFonts w:ascii="Arial" w:cs="Arial" w:eastAsia="Arial" w:hAnsi="Arial"/>
          <w:sz w:val="14"/>
          <w:szCs w:val="14"/>
          <w:color w:val="231F20"/>
        </w:rPr>
        <w:t>ǛǼ</w:t>
      </w:r>
      <w:r>
        <w:rPr>
          <w:rFonts w:ascii="Arial" w:cs="Arial" w:eastAsia="Arial" w:hAnsi="Arial"/>
          <w:sz w:val="14"/>
          <w:szCs w:val="14"/>
          <w:color w:val="231F20"/>
        </w:rPr>
        <w:t>Ʋ</w:t>
      </w:r>
      <w:r>
        <w:rPr>
          <w:rFonts w:ascii="Arial" w:cs="Arial" w:eastAsia="Arial" w:hAnsi="Arial"/>
          <w:sz w:val="14"/>
          <w:szCs w:val="14"/>
          <w:color w:val="231F20"/>
        </w:rPr>
        <w:t xml:space="preserve"> </w:t>
      </w:r>
      <w:r>
        <w:rPr>
          <w:rFonts w:ascii="Arial" w:cs="Arial" w:eastAsia="Arial" w:hAnsi="Arial"/>
          <w:sz w:val="14"/>
          <w:szCs w:val="14"/>
          <w:color w:val="231F20"/>
        </w:rPr>
        <w:t>ǳɬ ƫƲƤǛȷ</w:t>
      </w:r>
      <w:r>
        <w:rPr>
          <w:rFonts w:ascii="Arial" w:cs="Arial" w:eastAsia="Arial" w:hAnsi="Arial"/>
          <w:sz w:val="14"/>
          <w:szCs w:val="14"/>
          <w:color w:val="231F20"/>
        </w:rPr>
        <w:t>Ǜ</w:t>
      </w:r>
      <w:r>
        <w:rPr>
          <w:rFonts w:ascii="Arial" w:cs="Arial" w:eastAsia="Arial" w:hAnsi="Arial"/>
          <w:sz w:val="14"/>
          <w:szCs w:val="14"/>
          <w:color w:val="231F20"/>
        </w:rPr>
        <w:t>ȉǾ</w:t>
      </w:r>
      <w:r>
        <w:rPr>
          <w:rFonts w:ascii="Arial" w:cs="Arial" w:eastAsia="Arial" w:hAnsi="Arial"/>
          <w:sz w:val="14"/>
          <w:szCs w:val="14"/>
          <w:color w:val="231F20"/>
        </w:rPr>
        <w:t xml:space="preserve"> Ǽ</w:t>
      </w:r>
      <w:r>
        <w:rPr>
          <w:rFonts w:ascii="Arial" w:cs="Arial" w:eastAsia="Arial" w:hAnsi="Arial"/>
          <w:sz w:val="14"/>
          <w:szCs w:val="14"/>
          <w:color w:val="231F20"/>
        </w:rPr>
        <w:t>Ƈ</w:t>
      </w:r>
      <w:r>
        <w:rPr>
          <w:rFonts w:ascii="Arial" w:cs="Arial" w:eastAsia="Arial" w:hAnsi="Arial"/>
          <w:sz w:val="14"/>
          <w:szCs w:val="14"/>
          <w:color w:val="231F20"/>
        </w:rPr>
        <w:t>ǯǛ</w:t>
      </w:r>
      <w:r>
        <w:rPr>
          <w:rFonts w:ascii="Arial" w:cs="Arial" w:eastAsia="Arial" w:hAnsi="Arial"/>
          <w:sz w:val="14"/>
          <w:szCs w:val="14"/>
          <w:color w:val="231F20"/>
        </w:rPr>
        <w:t>Ǿ</w:t>
      </w:r>
      <w:r>
        <w:rPr>
          <w:rFonts w:ascii="Arial" w:cs="Arial" w:eastAsia="Arial" w:hAnsi="Arial"/>
          <w:sz w:val="14"/>
          <w:szCs w:val="14"/>
          <w:color w:val="231F20"/>
        </w:rPr>
        <w:t xml:space="preserve"> </w:t>
      </w:r>
      <w:r>
        <w:rPr>
          <w:rFonts w:ascii="Arial" w:cs="Arial" w:eastAsia="Arial" w:hAnsi="Arial"/>
          <w:sz w:val="14"/>
          <w:szCs w:val="14"/>
          <w:color w:val="231F20"/>
        </w:rPr>
        <w:t>Ǎ</w:t>
      </w:r>
      <w:r>
        <w:rPr>
          <w:rFonts w:ascii="Arial" w:cs="Arial" w:eastAsia="Arial" w:hAnsi="Arial"/>
          <w:sz w:val="14"/>
          <w:szCs w:val="14"/>
          <w:color w:val="231F20"/>
        </w:rPr>
        <w:t>ؘ Ý</w:t>
      </w:r>
      <w:r>
        <w:rPr>
          <w:rFonts w:ascii="Arial" w:cs="Arial" w:eastAsia="Arial" w:hAnsi="Arial"/>
          <w:sz w:val="14"/>
          <w:szCs w:val="14"/>
          <w:color w:val="231F20"/>
        </w:rPr>
        <w:t>Ʋ</w:t>
      </w:r>
      <w:r>
        <w:rPr>
          <w:rFonts w:ascii="Arial" w:cs="Arial" w:eastAsia="Arial" w:hAnsi="Arial"/>
          <w:sz w:val="14"/>
          <w:szCs w:val="14"/>
          <w:color w:val="231F20"/>
        </w:rPr>
        <w:t xml:space="preserve"> Ǽ</w:t>
      </w:r>
      <w:r>
        <w:rPr>
          <w:rFonts w:ascii="Arial" w:cs="Arial" w:eastAsia="Arial" w:hAnsi="Arial"/>
          <w:sz w:val="14"/>
          <w:szCs w:val="14"/>
          <w:color w:val="231F20"/>
        </w:rPr>
        <w:t>Ƈ</w:t>
      </w:r>
      <w:r>
        <w:rPr>
          <w:rFonts w:ascii="Arial" w:cs="Arial" w:eastAsia="Arial" w:hAnsi="Arial"/>
          <w:sz w:val="14"/>
          <w:szCs w:val="14"/>
          <w:color w:val="231F20"/>
        </w:rPr>
        <w:t xml:space="preserve"> </w:t>
      </w:r>
      <w:r>
        <w:rPr>
          <w:rFonts w:ascii="Arial" w:cs="Arial" w:eastAsia="Arial" w:hAnsi="Arial"/>
          <w:sz w:val="14"/>
          <w:szCs w:val="14"/>
          <w:color w:val="231F20"/>
        </w:rPr>
        <w:t>ƫƲ</w:t>
      </w:r>
      <w:r>
        <w:rPr>
          <w:rFonts w:ascii="Arial" w:cs="Arial" w:eastAsia="Arial" w:hAnsi="Arial"/>
          <w:sz w:val="14"/>
          <w:szCs w:val="14"/>
          <w:color w:val="231F20"/>
        </w:rPr>
        <w:t xml:space="preserve"> Ǿ</w:t>
      </w:r>
      <w:r>
        <w:rPr>
          <w:rFonts w:ascii="Arial" w:cs="Arial" w:eastAsia="Arial" w:hAnsi="Arial"/>
          <w:sz w:val="14"/>
          <w:szCs w:val="14"/>
          <w:color w:val="231F20"/>
        </w:rPr>
        <w:t>ƲƤƲȷȷƇȯ</w:t>
      </w:r>
      <w:r>
        <w:rPr>
          <w:rFonts w:ascii="Arial" w:cs="Arial" w:eastAsia="Arial" w:hAnsi="Arial"/>
          <w:sz w:val="14"/>
          <w:szCs w:val="14"/>
          <w:color w:val="231F20"/>
        </w:rPr>
        <w:t>ɬ ƫ</w:t>
      </w:r>
      <w:r>
        <w:rPr>
          <w:rFonts w:ascii="Arial" w:cs="Arial" w:eastAsia="Arial" w:hAnsi="Arial"/>
          <w:sz w:val="14"/>
          <w:szCs w:val="14"/>
          <w:color w:val="231F20"/>
        </w:rPr>
        <w:t xml:space="preserve"> </w:t>
      </w:r>
      <w:r>
        <w:rPr>
          <w:rFonts w:ascii="Arial" w:cs="Arial" w:eastAsia="Arial" w:hAnsi="Arial"/>
          <w:sz w:val="14"/>
          <w:szCs w:val="14"/>
          <w:color w:val="231F20"/>
        </w:rPr>
        <w:t>ƲƤ</w:t>
      </w:r>
      <w:r>
        <w:rPr>
          <w:rFonts w:ascii="Arial" w:cs="Arial" w:eastAsia="Arial" w:hAnsi="Arial"/>
          <w:sz w:val="14"/>
          <w:szCs w:val="14"/>
          <w:color w:val="231F20"/>
        </w:rPr>
        <w:t>Ǜ</w:t>
      </w:r>
      <w:r>
        <w:rPr>
          <w:rFonts w:ascii="Arial" w:cs="Arial" w:eastAsia="Arial" w:hAnsi="Arial"/>
          <w:sz w:val="14"/>
          <w:szCs w:val="14"/>
          <w:color w:val="231F20"/>
        </w:rPr>
        <w:t>ȷ</w:t>
      </w:r>
      <w:r>
        <w:rPr>
          <w:rFonts w:ascii="Arial" w:cs="Arial" w:eastAsia="Arial" w:hAnsi="Arial"/>
          <w:sz w:val="14"/>
          <w:szCs w:val="14"/>
          <w:color w:val="231F20"/>
        </w:rPr>
        <w:t>Ǜ</w:t>
      </w:r>
      <w:r>
        <w:rPr>
          <w:rFonts w:ascii="Arial" w:cs="Arial" w:eastAsia="Arial" w:hAnsi="Arial"/>
          <w:sz w:val="14"/>
          <w:szCs w:val="14"/>
          <w:color w:val="231F20"/>
        </w:rPr>
        <w:t>ȉ</w:t>
      </w:r>
      <w:r>
        <w:rPr>
          <w:rFonts w:ascii="Arial" w:cs="Arial" w:eastAsia="Arial" w:hAnsi="Arial"/>
          <w:sz w:val="14"/>
          <w:szCs w:val="14"/>
          <w:color w:val="231F20"/>
        </w:rPr>
        <w:t xml:space="preserve"> </w:t>
      </w:r>
      <w:r>
        <w:rPr>
          <w:rFonts w:ascii="Arial" w:cs="Arial" w:eastAsia="Arial" w:hAnsi="Arial"/>
          <w:sz w:val="14"/>
          <w:szCs w:val="14"/>
          <w:color w:val="231F20"/>
        </w:rPr>
        <w:t>Ǿȷ</w:t>
      </w:r>
      <w:r>
        <w:rPr>
          <w:rFonts w:ascii="Arial" w:cs="Arial" w:eastAsia="Arial" w:hAnsi="Arial"/>
          <w:sz w:val="14"/>
          <w:szCs w:val="14"/>
          <w:color w:val="231F20"/>
        </w:rPr>
        <w:t xml:space="preserve"> Ǜ</w:t>
      </w:r>
      <w:r>
        <w:rPr>
          <w:rFonts w:ascii="Arial" w:cs="Arial" w:eastAsia="Arial" w:hAnsi="Arial"/>
          <w:sz w:val="14"/>
          <w:szCs w:val="14"/>
          <w:color w:val="231F20"/>
        </w:rPr>
        <w:t>Ǿ</w:t>
      </w:r>
      <w:r>
        <w:rPr>
          <w:rFonts w:ascii="Arial" w:cs="Arial" w:eastAsia="Arial" w:hAnsi="Arial"/>
          <w:sz w:val="14"/>
          <w:szCs w:val="14"/>
          <w:color w:val="231F20"/>
        </w:rPr>
        <w:t>ɥ</w:t>
      </w:r>
      <w:r>
        <w:rPr>
          <w:rFonts w:ascii="Arial" w:cs="Arial" w:eastAsia="Arial" w:hAnsi="Arial"/>
          <w:sz w:val="14"/>
          <w:szCs w:val="14"/>
          <w:color w:val="231F20"/>
        </w:rPr>
        <w:t>ȉ</w:t>
      </w:r>
      <w:r>
        <w:rPr>
          <w:rFonts w:ascii="Arial" w:cs="Arial" w:eastAsia="Arial" w:hAnsi="Arial"/>
          <w:sz w:val="14"/>
          <w:szCs w:val="14"/>
          <w:color w:val="231F20"/>
        </w:rPr>
        <w:t>ǳɥǛǾ</w:t>
      </w:r>
      <w:r>
        <w:rPr>
          <w:rFonts w:ascii="Arial" w:cs="Arial" w:eastAsia="Arial" w:hAnsi="Arial"/>
          <w:sz w:val="14"/>
          <w:szCs w:val="14"/>
          <w:color w:val="231F20"/>
        </w:rPr>
        <w:t>Ǎ</w:t>
      </w:r>
      <w:r>
        <w:rPr>
          <w:rFonts w:ascii="Arial" w:cs="Arial" w:eastAsia="Arial" w:hAnsi="Arial"/>
          <w:sz w:val="14"/>
          <w:szCs w:val="14"/>
          <w:color w:val="231F20"/>
        </w:rPr>
        <w:t xml:space="preserve"> ȉ</w:t>
      </w:r>
      <w:r>
        <w:rPr>
          <w:rFonts w:ascii="Arial" w:cs="Arial" w:eastAsia="Arial" w:hAnsi="Arial"/>
          <w:sz w:val="14"/>
          <w:szCs w:val="14"/>
          <w:color w:val="231F20"/>
        </w:rPr>
        <w:t>Ȭ</w:t>
      </w:r>
      <w:r>
        <w:rPr>
          <w:rFonts w:ascii="Arial" w:cs="Arial" w:eastAsia="Arial" w:hAnsi="Arial"/>
          <w:sz w:val="14"/>
          <w:szCs w:val="14"/>
          <w:color w:val="231F20"/>
        </w:rPr>
        <w:t>Ʋ</w:t>
      </w:r>
      <w:r>
        <w:rPr>
          <w:rFonts w:ascii="Arial" w:cs="Arial" w:eastAsia="Arial" w:hAnsi="Arial"/>
          <w:sz w:val="14"/>
          <w:szCs w:val="14"/>
          <w:color w:val="231F20"/>
        </w:rPr>
        <w:t>ȯ</w:t>
      </w:r>
      <w:r>
        <w:rPr>
          <w:rFonts w:ascii="Arial" w:cs="Arial" w:eastAsia="Arial" w:hAnsi="Arial"/>
          <w:sz w:val="14"/>
          <w:szCs w:val="14"/>
          <w:color w:val="231F20"/>
        </w:rPr>
        <w:t xml:space="preserve">ƇɅǛǾǍ </w:t>
      </w:r>
      <w:r>
        <w:rPr>
          <w:rFonts w:ascii="Arial" w:cs="Arial" w:eastAsia="Arial" w:hAnsi="Arial"/>
          <w:sz w:val="14"/>
          <w:szCs w:val="14"/>
          <w:color w:val="231F20"/>
        </w:rPr>
        <w:t>ȷɅ</w:t>
      </w:r>
      <w:r>
        <w:rPr>
          <w:rFonts w:ascii="Arial" w:cs="Arial" w:eastAsia="Arial" w:hAnsi="Arial"/>
          <w:sz w:val="14"/>
          <w:szCs w:val="14"/>
          <w:color w:val="231F20"/>
        </w:rPr>
        <w:t>ȯɍƤ</w:t>
      </w:r>
      <w:r>
        <w:rPr>
          <w:rFonts w:ascii="Arial" w:cs="Arial" w:eastAsia="Arial" w:hAnsi="Arial"/>
          <w:sz w:val="14"/>
          <w:szCs w:val="14"/>
          <w:color w:val="231F20"/>
        </w:rPr>
        <w:t>Ʌ</w:t>
      </w:r>
      <w:r>
        <w:rPr>
          <w:rFonts w:ascii="Arial" w:cs="Arial" w:eastAsia="Arial" w:hAnsi="Arial"/>
          <w:sz w:val="14"/>
          <w:szCs w:val="14"/>
          <w:color w:val="231F20"/>
        </w:rPr>
        <w:t>ɍȯ</w:t>
      </w:r>
      <w:r>
        <w:rPr>
          <w:rFonts w:ascii="Arial" w:cs="Arial" w:eastAsia="Arial" w:hAnsi="Arial"/>
          <w:sz w:val="14"/>
          <w:szCs w:val="14"/>
          <w:color w:val="231F20"/>
        </w:rPr>
        <w:t>Ʋؙ</w:t>
      </w:r>
      <w:r>
        <w:rPr>
          <w:rFonts w:ascii="Arial" w:cs="Arial" w:eastAsia="Arial" w:hAnsi="Arial"/>
          <w:sz w:val="14"/>
          <w:szCs w:val="14"/>
          <w:color w:val="231F20"/>
        </w:rPr>
        <w:t xml:space="preserve"> ƤƇ</w:t>
      </w:r>
      <w:r>
        <w:rPr>
          <w:rFonts w:ascii="Arial" w:cs="Arial" w:eastAsia="Arial" w:hAnsi="Arial"/>
          <w:sz w:val="14"/>
          <w:szCs w:val="14"/>
          <w:color w:val="231F20"/>
        </w:rPr>
        <w:t>Ȭ</w:t>
      </w:r>
      <w:r>
        <w:rPr>
          <w:rFonts w:ascii="Arial" w:cs="Arial" w:eastAsia="Arial" w:hAnsi="Arial"/>
          <w:sz w:val="14"/>
          <w:szCs w:val="14"/>
          <w:color w:val="231F20"/>
        </w:rPr>
        <w:t>ǛɅƇ</w:t>
      </w:r>
      <w:r>
        <w:rPr>
          <w:rFonts w:ascii="Arial" w:cs="Arial" w:eastAsia="Arial" w:hAnsi="Arial"/>
          <w:sz w:val="14"/>
          <w:szCs w:val="14"/>
          <w:color w:val="231F20"/>
        </w:rPr>
        <w:t>ǳ Ƈ</w:t>
      </w:r>
      <w:r>
        <w:rPr>
          <w:rFonts w:ascii="Arial" w:cs="Arial" w:eastAsia="Arial" w:hAnsi="Arial"/>
          <w:sz w:val="14"/>
          <w:szCs w:val="14"/>
          <w:color w:val="231F20"/>
        </w:rPr>
        <w:t xml:space="preserve">ǳǳȉƤƇɅǛȉǾؙ </w:t>
      </w:r>
      <w:r>
        <w:rPr>
          <w:rFonts w:ascii="Arial" w:cs="Arial" w:eastAsia="Arial" w:hAnsi="Arial"/>
          <w:sz w:val="14"/>
          <w:szCs w:val="14"/>
          <w:color w:val="231F20"/>
        </w:rPr>
        <w:t>Ƈ</w:t>
      </w:r>
      <w:r>
        <w:rPr>
          <w:rFonts w:ascii="Arial" w:cs="Arial" w:eastAsia="Arial" w:hAnsi="Arial"/>
          <w:sz w:val="14"/>
          <w:szCs w:val="14"/>
          <w:color w:val="231F20"/>
        </w:rPr>
        <w:t>Ǿ</w:t>
      </w:r>
      <w:r>
        <w:rPr>
          <w:rFonts w:ascii="Arial" w:cs="Arial" w:eastAsia="Arial" w:hAnsi="Arial"/>
          <w:sz w:val="14"/>
          <w:szCs w:val="14"/>
          <w:color w:val="231F20"/>
        </w:rPr>
        <w:t>ƫ</w:t>
      </w:r>
      <w:r>
        <w:rPr>
          <w:rFonts w:ascii="Arial" w:cs="Arial" w:eastAsia="Arial" w:hAnsi="Arial"/>
          <w:sz w:val="14"/>
          <w:szCs w:val="14"/>
          <w:color w:val="231F20"/>
        </w:rPr>
        <w:t xml:space="preserve"> Ƥ</w:t>
      </w:r>
      <w:r>
        <w:rPr>
          <w:rFonts w:ascii="Arial" w:cs="Arial" w:eastAsia="Arial" w:hAnsi="Arial"/>
          <w:sz w:val="14"/>
          <w:szCs w:val="14"/>
          <w:color w:val="231F20"/>
        </w:rPr>
        <w:t>ȉ</w:t>
      </w:r>
      <w:r>
        <w:rPr>
          <w:rFonts w:ascii="Arial" w:cs="Arial" w:eastAsia="Arial" w:hAnsi="Arial"/>
          <w:sz w:val="14"/>
          <w:szCs w:val="14"/>
          <w:color w:val="231F20"/>
        </w:rPr>
        <w:t>ȷ</w:t>
      </w:r>
      <w:r>
        <w:rPr>
          <w:rFonts w:ascii="Arial" w:cs="Arial" w:eastAsia="Arial" w:hAnsi="Arial"/>
          <w:sz w:val="14"/>
          <w:szCs w:val="14"/>
          <w:color w:val="231F20"/>
        </w:rPr>
        <w:t>Ʌ</w:t>
      </w:r>
      <w:r>
        <w:rPr>
          <w:rFonts w:ascii="Arial" w:cs="Arial" w:eastAsia="Arial" w:hAnsi="Arial"/>
          <w:sz w:val="14"/>
          <w:szCs w:val="14"/>
          <w:color w:val="231F20"/>
        </w:rPr>
        <w:t xml:space="preserve"> ȷ</w:t>
      </w:r>
      <w:r>
        <w:rPr>
          <w:rFonts w:ascii="Arial" w:cs="Arial" w:eastAsia="Arial" w:hAnsi="Arial"/>
          <w:sz w:val="14"/>
          <w:szCs w:val="14"/>
          <w:color w:val="231F20"/>
        </w:rPr>
        <w:t>Ʌ</w:t>
      </w:r>
      <w:r>
        <w:rPr>
          <w:rFonts w:ascii="Arial" w:cs="Arial" w:eastAsia="Arial" w:hAnsi="Arial"/>
          <w:sz w:val="14"/>
          <w:szCs w:val="14"/>
          <w:color w:val="231F20"/>
        </w:rPr>
        <w:t>ȯɍƤ</w:t>
      </w:r>
      <w:r>
        <w:rPr>
          <w:rFonts w:ascii="Arial" w:cs="Arial" w:eastAsia="Arial" w:hAnsi="Arial"/>
          <w:sz w:val="14"/>
          <w:szCs w:val="14"/>
          <w:color w:val="231F20"/>
        </w:rPr>
        <w:t>Ʌ</w:t>
      </w:r>
      <w:r>
        <w:rPr>
          <w:rFonts w:ascii="Arial" w:cs="Arial" w:eastAsia="Arial" w:hAnsi="Arial"/>
          <w:sz w:val="14"/>
          <w:szCs w:val="14"/>
          <w:color w:val="231F20"/>
        </w:rPr>
        <w:t>ɍ</w:t>
      </w:r>
      <w:r>
        <w:rPr>
          <w:rFonts w:ascii="Arial" w:cs="Arial" w:eastAsia="Arial" w:hAnsi="Arial"/>
          <w:sz w:val="14"/>
          <w:szCs w:val="14"/>
          <w:color w:val="231F20"/>
        </w:rPr>
        <w:t>ȯ</w:t>
      </w:r>
      <w:r>
        <w:rPr>
          <w:rFonts w:ascii="Arial" w:cs="Arial" w:eastAsia="Arial" w:hAnsi="Arial"/>
          <w:sz w:val="14"/>
          <w:szCs w:val="14"/>
          <w:color w:val="231F20"/>
        </w:rPr>
        <w:t>Ʋ</w:t>
      </w:r>
      <w:r>
        <w:rPr>
          <w:rFonts w:ascii="Arial" w:cs="Arial" w:eastAsia="Arial" w:hAnsi="Arial"/>
          <w:sz w:val="14"/>
          <w:szCs w:val="14"/>
          <w:color w:val="231F20"/>
        </w:rPr>
        <w:t>ؘ</w:t>
      </w:r>
      <w:r>
        <w:rPr>
          <w:rFonts w:ascii="Arial" w:cs="Arial" w:eastAsia="Arial" w:hAnsi="Arial"/>
          <w:sz w:val="14"/>
          <w:szCs w:val="14"/>
          <w:color w:val="231F20"/>
        </w:rPr>
        <w:t xml:space="preserve"> -</w:t>
      </w:r>
      <w:r>
        <w:rPr>
          <w:rFonts w:ascii="Arial" w:cs="Arial" w:eastAsia="Arial" w:hAnsi="Arial"/>
          <w:sz w:val="14"/>
          <w:szCs w:val="14"/>
          <w:color w:val="231F20"/>
        </w:rPr>
        <w:t>Ƈ</w:t>
      </w:r>
      <w:r>
        <w:rPr>
          <w:rFonts w:ascii="Arial" w:cs="Arial" w:eastAsia="Arial" w:hAnsi="Arial"/>
          <w:sz w:val="14"/>
          <w:szCs w:val="14"/>
          <w:color w:val="231F20"/>
        </w:rPr>
        <w:t>Ƥ</w:t>
      </w:r>
      <w:r>
        <w:rPr>
          <w:rFonts w:ascii="Arial" w:cs="Arial" w:eastAsia="Arial" w:hAnsi="Arial"/>
          <w:sz w:val="14"/>
          <w:szCs w:val="14"/>
          <w:color w:val="231F20"/>
        </w:rPr>
        <w:t>Ǖ</w:t>
      </w:r>
      <w:r>
        <w:rPr>
          <w:rFonts w:ascii="Arial" w:cs="Arial" w:eastAsia="Arial" w:hAnsi="Arial"/>
          <w:sz w:val="14"/>
          <w:szCs w:val="14"/>
          <w:color w:val="231F20"/>
        </w:rPr>
        <w:t xml:space="preserve"> ƫƲ</w:t>
      </w:r>
      <w:r>
        <w:rPr>
          <w:rFonts w:ascii="Arial" w:cs="Arial" w:eastAsia="Arial" w:hAnsi="Arial"/>
          <w:sz w:val="14"/>
          <w:szCs w:val="14"/>
          <w:color w:val="231F20"/>
        </w:rPr>
        <w:t>ƤǛ</w:t>
      </w:r>
      <w:r>
        <w:rPr>
          <w:rFonts w:ascii="Arial" w:cs="Arial" w:eastAsia="Arial" w:hAnsi="Arial"/>
          <w:sz w:val="14"/>
          <w:szCs w:val="14"/>
          <w:color w:val="231F20"/>
        </w:rPr>
        <w:t xml:space="preserve">ȷǛȉǾ </w:t>
      </w:r>
      <w:r>
        <w:rPr>
          <w:rFonts w:ascii="Arial" w:cs="Arial" w:eastAsia="Arial" w:hAnsi="Arial"/>
          <w:sz w:val="14"/>
          <w:szCs w:val="14"/>
          <w:color w:val="231F20"/>
        </w:rPr>
        <w:t>ɦ</w:t>
      </w:r>
      <w:r>
        <w:rPr>
          <w:rFonts w:ascii="Arial" w:cs="Arial" w:eastAsia="Arial" w:hAnsi="Arial"/>
          <w:sz w:val="14"/>
          <w:szCs w:val="14"/>
          <w:color w:val="231F20"/>
        </w:rPr>
        <w:t>Ƈ</w:t>
      </w:r>
      <w:r>
        <w:rPr>
          <w:rFonts w:ascii="Arial" w:cs="Arial" w:eastAsia="Arial" w:hAnsi="Arial"/>
          <w:sz w:val="14"/>
          <w:szCs w:val="14"/>
          <w:color w:val="231F20"/>
        </w:rPr>
        <w:t>ȷ</w:t>
      </w:r>
      <w:r>
        <w:rPr>
          <w:rFonts w:ascii="Arial" w:cs="Arial" w:eastAsia="Arial" w:hAnsi="Arial"/>
          <w:sz w:val="14"/>
          <w:szCs w:val="14"/>
          <w:color w:val="231F20"/>
        </w:rPr>
        <w:t xml:space="preserve"> ƫƲ</w:t>
      </w:r>
      <w:r>
        <w:rPr>
          <w:rFonts w:ascii="Arial" w:cs="Arial" w:eastAsia="Arial" w:hAnsi="Arial"/>
          <w:sz w:val="14"/>
          <w:szCs w:val="14"/>
          <w:color w:val="231F20"/>
        </w:rPr>
        <w:t>ǳ</w:t>
      </w:r>
      <w:r>
        <w:rPr>
          <w:rFonts w:ascii="Arial" w:cs="Arial" w:eastAsia="Arial" w:hAnsi="Arial"/>
          <w:sz w:val="14"/>
          <w:szCs w:val="14"/>
          <w:color w:val="231F20"/>
        </w:rPr>
        <w:t>ǛƣƲȯ</w:t>
      </w:r>
      <w:r>
        <w:rPr>
          <w:rFonts w:ascii="Arial" w:cs="Arial" w:eastAsia="Arial" w:hAnsi="Arial"/>
          <w:sz w:val="14"/>
          <w:szCs w:val="14"/>
          <w:color w:val="231F20"/>
        </w:rPr>
        <w:t>Ƈ</w:t>
      </w:r>
      <w:r>
        <w:rPr>
          <w:rFonts w:ascii="Arial" w:cs="Arial" w:eastAsia="Arial" w:hAnsi="Arial"/>
          <w:sz w:val="14"/>
          <w:szCs w:val="14"/>
          <w:color w:val="231F20"/>
        </w:rPr>
        <w:t>ɅƲ</w:t>
      </w:r>
      <w:r>
        <w:rPr>
          <w:rFonts w:ascii="Arial" w:cs="Arial" w:eastAsia="Arial" w:hAnsi="Arial"/>
          <w:sz w:val="14"/>
          <w:szCs w:val="14"/>
          <w:color w:val="231F20"/>
        </w:rPr>
        <w:t xml:space="preserve"> ƇǾ</w:t>
      </w:r>
      <w:r>
        <w:rPr>
          <w:rFonts w:ascii="Arial" w:cs="Arial" w:eastAsia="Arial" w:hAnsi="Arial"/>
          <w:sz w:val="14"/>
          <w:szCs w:val="14"/>
          <w:color w:val="231F20"/>
        </w:rPr>
        <w:t>ƫ</w:t>
      </w:r>
      <w:r>
        <w:rPr>
          <w:rFonts w:ascii="Arial" w:cs="Arial" w:eastAsia="Arial" w:hAnsi="Arial"/>
          <w:sz w:val="14"/>
          <w:szCs w:val="14"/>
          <w:color w:val="231F20"/>
        </w:rPr>
        <w:t xml:space="preserve"> ƫ</w:t>
      </w:r>
      <w:r>
        <w:rPr>
          <w:rFonts w:ascii="Arial" w:cs="Arial" w:eastAsia="Arial" w:hAnsi="Arial"/>
          <w:sz w:val="14"/>
          <w:szCs w:val="14"/>
          <w:color w:val="231F20"/>
        </w:rPr>
        <w:t>Ʋ</w:t>
      </w:r>
      <w:r>
        <w:rPr>
          <w:rFonts w:ascii="Arial" w:cs="Arial" w:eastAsia="Arial" w:hAnsi="Arial"/>
          <w:sz w:val="14"/>
          <w:szCs w:val="14"/>
          <w:color w:val="231F20"/>
        </w:rPr>
        <w:t>ȷǛǍǾƲ</w:t>
      </w:r>
      <w:r>
        <w:rPr>
          <w:rFonts w:ascii="Arial" w:cs="Arial" w:eastAsia="Arial" w:hAnsi="Arial"/>
          <w:sz w:val="14"/>
          <w:szCs w:val="14"/>
          <w:color w:val="231F20"/>
        </w:rPr>
        <w:t>ƫ</w:t>
      </w:r>
      <w:r>
        <w:rPr>
          <w:rFonts w:ascii="Arial" w:cs="Arial" w:eastAsia="Arial" w:hAnsi="Arial"/>
          <w:sz w:val="14"/>
          <w:szCs w:val="14"/>
          <w:color w:val="231F20"/>
        </w:rPr>
        <w:t xml:space="preserve"> </w:t>
      </w:r>
      <w:r>
        <w:rPr>
          <w:rFonts w:ascii="Arial" w:cs="Arial" w:eastAsia="Arial" w:hAnsi="Arial"/>
          <w:sz w:val="14"/>
          <w:szCs w:val="14"/>
          <w:color w:val="231F20"/>
        </w:rPr>
        <w:t>Ʌȉ</w:t>
      </w:r>
      <w:r>
        <w:rPr>
          <w:rFonts w:ascii="Arial" w:cs="Arial" w:eastAsia="Arial" w:hAnsi="Arial"/>
          <w:sz w:val="14"/>
          <w:szCs w:val="14"/>
          <w:color w:val="231F20"/>
        </w:rPr>
        <w:t xml:space="preserve"> ǛǼ</w:t>
      </w:r>
      <w:r>
        <w:rPr>
          <w:rFonts w:ascii="Arial" w:cs="Arial" w:eastAsia="Arial" w:hAnsi="Arial"/>
          <w:sz w:val="14"/>
          <w:szCs w:val="14"/>
          <w:color w:val="231F20"/>
        </w:rPr>
        <w:t>Ȭȯ</w:t>
      </w:r>
      <w:r>
        <w:rPr>
          <w:rFonts w:ascii="Arial" w:cs="Arial" w:eastAsia="Arial" w:hAnsi="Arial"/>
          <w:sz w:val="14"/>
          <w:szCs w:val="14"/>
          <w:color w:val="231F20"/>
        </w:rPr>
        <w:t>ȉɥ</w:t>
      </w:r>
      <w:r>
        <w:rPr>
          <w:rFonts w:ascii="Arial" w:cs="Arial" w:eastAsia="Arial" w:hAnsi="Arial"/>
          <w:sz w:val="14"/>
          <w:szCs w:val="14"/>
          <w:color w:val="231F20"/>
        </w:rPr>
        <w:t>Ʋ Ȭȯ</w:t>
      </w:r>
      <w:r>
        <w:rPr>
          <w:rFonts w:ascii="Arial" w:cs="Arial" w:eastAsia="Arial" w:hAnsi="Arial"/>
          <w:sz w:val="14"/>
          <w:szCs w:val="14"/>
          <w:color w:val="231F20"/>
        </w:rPr>
        <w:t>ȉ</w:t>
      </w:r>
      <w:r>
        <w:rPr>
          <w:rFonts w:ascii="Arial" w:cs="Arial" w:eastAsia="Arial" w:hAnsi="Arial"/>
          <w:sz w:val="14"/>
          <w:szCs w:val="14"/>
          <w:color w:val="231F20"/>
        </w:rPr>
        <w:t>˚</w:t>
      </w:r>
      <w:r>
        <w:rPr>
          <w:rFonts w:ascii="Arial" w:cs="Arial" w:eastAsia="Arial" w:hAnsi="Arial"/>
          <w:sz w:val="14"/>
          <w:szCs w:val="14"/>
          <w:color w:val="231F20"/>
        </w:rPr>
        <w:t>ɅƇ</w:t>
      </w:r>
      <w:r>
        <w:rPr>
          <w:rFonts w:ascii="Arial" w:cs="Arial" w:eastAsia="Arial" w:hAnsi="Arial"/>
          <w:sz w:val="14"/>
          <w:szCs w:val="14"/>
          <w:color w:val="231F20"/>
        </w:rPr>
        <w:t>ƣǛǳǛɅ</w:t>
      </w:r>
      <w:r>
        <w:rPr>
          <w:rFonts w:ascii="Arial" w:cs="Arial" w:eastAsia="Arial" w:hAnsi="Arial"/>
          <w:sz w:val="14"/>
          <w:szCs w:val="14"/>
          <w:color w:val="231F20"/>
        </w:rPr>
        <w:t>ɬ Ƈ</w:t>
      </w:r>
      <w:r>
        <w:rPr>
          <w:rFonts w:ascii="Arial" w:cs="Arial" w:eastAsia="Arial" w:hAnsi="Arial"/>
          <w:sz w:val="14"/>
          <w:szCs w:val="14"/>
          <w:color w:val="231F20"/>
        </w:rPr>
        <w:t>Ǿ</w:t>
      </w:r>
      <w:r>
        <w:rPr>
          <w:rFonts w:ascii="Arial" w:cs="Arial" w:eastAsia="Arial" w:hAnsi="Arial"/>
          <w:sz w:val="14"/>
          <w:szCs w:val="14"/>
          <w:color w:val="231F20"/>
        </w:rPr>
        <w:t>ƫ</w:t>
      </w:r>
      <w:r>
        <w:rPr>
          <w:rFonts w:ascii="Arial" w:cs="Arial" w:eastAsia="Arial" w:hAnsi="Arial"/>
          <w:sz w:val="14"/>
          <w:szCs w:val="14"/>
          <w:color w:val="231F20"/>
        </w:rPr>
        <w:t xml:space="preserve"> Ƥ</w:t>
      </w:r>
      <w:r>
        <w:rPr>
          <w:rFonts w:ascii="Arial" w:cs="Arial" w:eastAsia="Arial" w:hAnsi="Arial"/>
          <w:sz w:val="14"/>
          <w:szCs w:val="14"/>
          <w:color w:val="231F20"/>
        </w:rPr>
        <w:t>Ƈ</w:t>
      </w:r>
      <w:r>
        <w:rPr>
          <w:rFonts w:ascii="Arial" w:cs="Arial" w:eastAsia="Arial" w:hAnsi="Arial"/>
          <w:sz w:val="14"/>
          <w:szCs w:val="14"/>
          <w:color w:val="231F20"/>
        </w:rPr>
        <w:t xml:space="preserve">ȷǕ </w:t>
      </w:r>
      <w:r>
        <w:rPr>
          <w:rFonts w:ascii="Arial" w:cs="Arial" w:eastAsia="Arial" w:hAnsi="Arial"/>
          <w:sz w:val="14"/>
          <w:szCs w:val="14"/>
          <w:color w:val="231F20"/>
        </w:rPr>
        <w:t>˛</w:t>
      </w:r>
      <w:r>
        <w:rPr>
          <w:rFonts w:ascii="Arial" w:cs="Arial" w:eastAsia="Arial" w:hAnsi="Arial"/>
          <w:sz w:val="14"/>
          <w:szCs w:val="14"/>
          <w:color w:val="231F20"/>
        </w:rPr>
        <w:t xml:space="preserve"> </w:t>
      </w:r>
      <w:r>
        <w:rPr>
          <w:rFonts w:ascii="Arial" w:cs="Arial" w:eastAsia="Arial" w:hAnsi="Arial"/>
          <w:sz w:val="14"/>
          <w:szCs w:val="14"/>
          <w:color w:val="231F20"/>
        </w:rPr>
        <w:t>ȉ</w:t>
      </w:r>
      <w:r>
        <w:rPr>
          <w:rFonts w:ascii="Arial" w:cs="Arial" w:eastAsia="Arial" w:hAnsi="Arial"/>
          <w:sz w:val="14"/>
          <w:szCs w:val="14"/>
          <w:color w:val="231F20"/>
        </w:rPr>
        <w:t xml:space="preserve">ɦ </w:t>
      </w:r>
      <w:r>
        <w:rPr>
          <w:rFonts w:ascii="Arial" w:cs="Arial" w:eastAsia="Arial" w:hAnsi="Arial"/>
          <w:sz w:val="14"/>
          <w:szCs w:val="14"/>
          <w:color w:val="231F20"/>
        </w:rPr>
        <w:t>Ƈ</w:t>
      </w:r>
      <w:r>
        <w:rPr>
          <w:rFonts w:ascii="Arial" w:cs="Arial" w:eastAsia="Arial" w:hAnsi="Arial"/>
          <w:sz w:val="14"/>
          <w:szCs w:val="14"/>
          <w:color w:val="231F20"/>
        </w:rPr>
        <w:t>Ǿ</w:t>
      </w:r>
      <w:r>
        <w:rPr>
          <w:rFonts w:ascii="Arial" w:cs="Arial" w:eastAsia="Arial" w:hAnsi="Arial"/>
          <w:sz w:val="14"/>
          <w:szCs w:val="14"/>
          <w:color w:val="231F20"/>
        </w:rPr>
        <w:t xml:space="preserve">ƫ </w:t>
      </w:r>
      <w:r>
        <w:rPr>
          <w:rFonts w:ascii="Arial" w:cs="Arial" w:eastAsia="Arial" w:hAnsi="Arial"/>
          <w:sz w:val="14"/>
          <w:szCs w:val="14"/>
          <w:color w:val="231F20"/>
        </w:rPr>
        <w:t>ȷɅ</w:t>
      </w:r>
      <w:r>
        <w:rPr>
          <w:rFonts w:ascii="Arial" w:cs="Arial" w:eastAsia="Arial" w:hAnsi="Arial"/>
          <w:sz w:val="14"/>
          <w:szCs w:val="14"/>
          <w:color w:val="231F20"/>
        </w:rPr>
        <w:t>ȯƲǾ</w:t>
      </w:r>
      <w:r>
        <w:rPr>
          <w:rFonts w:ascii="Arial" w:cs="Arial" w:eastAsia="Arial" w:hAnsi="Arial"/>
          <w:sz w:val="14"/>
          <w:szCs w:val="14"/>
          <w:color w:val="231F20"/>
        </w:rPr>
        <w:t>Ǎ</w:t>
      </w:r>
      <w:r>
        <w:rPr>
          <w:rFonts w:ascii="Arial" w:cs="Arial" w:eastAsia="Arial" w:hAnsi="Arial"/>
          <w:sz w:val="14"/>
          <w:szCs w:val="14"/>
          <w:color w:val="231F20"/>
        </w:rPr>
        <w:t>ɅǕƲǾ</w:t>
      </w:r>
      <w:r>
        <w:rPr>
          <w:rFonts w:ascii="Arial" w:cs="Arial" w:eastAsia="Arial" w:hAnsi="Arial"/>
          <w:sz w:val="14"/>
          <w:szCs w:val="14"/>
          <w:color w:val="231F20"/>
        </w:rPr>
        <w:t xml:space="preserve"> Ʌ</w:t>
      </w:r>
      <w:r>
        <w:rPr>
          <w:rFonts w:ascii="Arial" w:cs="Arial" w:eastAsia="Arial" w:hAnsi="Arial"/>
          <w:sz w:val="14"/>
          <w:szCs w:val="14"/>
          <w:color w:val="231F20"/>
        </w:rPr>
        <w:t>Ǖ</w:t>
      </w:r>
      <w:r>
        <w:rPr>
          <w:rFonts w:ascii="Arial" w:cs="Arial" w:eastAsia="Arial" w:hAnsi="Arial"/>
          <w:sz w:val="14"/>
          <w:szCs w:val="14"/>
          <w:color w:val="231F20"/>
        </w:rPr>
        <w:t xml:space="preserve">Ʋ </w:t>
      </w:r>
      <w:r>
        <w:rPr>
          <w:rFonts w:ascii="PMingLiU" w:cs="PMingLiU" w:eastAsia="PMingLiU" w:hAnsi="PMingLiU"/>
          <w:sz w:val="14"/>
          <w:szCs w:val="14"/>
          <w:color w:val="231F20"/>
        </w:rPr>
        <w:t/>
      </w:r>
      <w:r>
        <w:rPr>
          <w:rFonts w:ascii="Arial" w:cs="Arial" w:eastAsia="Arial" w:hAnsi="Arial"/>
          <w:sz w:val="14"/>
          <w:szCs w:val="14"/>
          <w:color w:val="231F20"/>
        </w:rPr>
        <w:t>ȉ</w:t>
      </w:r>
      <w:r>
        <w:rPr>
          <w:rFonts w:ascii="Arial" w:cs="Arial" w:eastAsia="Arial" w:hAnsi="Arial"/>
          <w:sz w:val="14"/>
          <w:szCs w:val="14"/>
          <w:color w:val="231F20"/>
        </w:rPr>
        <w:t>Ǽ</w:t>
      </w:r>
      <w:r>
        <w:rPr>
          <w:rFonts w:ascii="Arial" w:cs="Arial" w:eastAsia="Arial" w:hAnsi="Arial"/>
          <w:sz w:val="14"/>
          <w:szCs w:val="14"/>
          <w:color w:val="231F20"/>
        </w:rPr>
        <w:t>ȬƇǾ</w:t>
      </w:r>
      <w:r>
        <w:rPr>
          <w:rFonts w:ascii="Arial" w:cs="Arial" w:eastAsia="Arial" w:hAnsi="Arial"/>
          <w:sz w:val="14"/>
          <w:szCs w:val="14"/>
          <w:color w:val="231F20"/>
        </w:rPr>
        <w:t>ɬى</w:t>
      </w:r>
      <w:r>
        <w:rPr>
          <w:rFonts w:ascii="Arial" w:cs="Arial" w:eastAsia="Arial" w:hAnsi="Arial"/>
          <w:sz w:val="14"/>
          <w:szCs w:val="14"/>
          <w:color w:val="231F20"/>
        </w:rPr>
        <w:t>ȷ ȉ</w:t>
      </w:r>
      <w:r>
        <w:rPr>
          <w:rFonts w:ascii="Arial" w:cs="Arial" w:eastAsia="Arial" w:hAnsi="Arial"/>
          <w:sz w:val="14"/>
          <w:szCs w:val="14"/>
          <w:color w:val="231F20"/>
        </w:rPr>
        <w:t>ɥ</w:t>
      </w:r>
      <w:r>
        <w:rPr>
          <w:rFonts w:ascii="Arial" w:cs="Arial" w:eastAsia="Arial" w:hAnsi="Arial"/>
          <w:sz w:val="14"/>
          <w:szCs w:val="14"/>
          <w:color w:val="231F20"/>
        </w:rPr>
        <w:t>ƲȯƇ</w:t>
      </w:r>
      <w:r>
        <w:rPr>
          <w:rFonts w:ascii="Arial" w:cs="Arial" w:eastAsia="Arial" w:hAnsi="Arial"/>
          <w:sz w:val="14"/>
          <w:szCs w:val="14"/>
          <w:color w:val="231F20"/>
        </w:rPr>
        <w:t>ǳǳ Ǖ</w:t>
      </w:r>
      <w:r>
        <w:rPr>
          <w:rFonts w:ascii="Arial" w:cs="Arial" w:eastAsia="Arial" w:hAnsi="Arial"/>
          <w:sz w:val="14"/>
          <w:szCs w:val="14"/>
          <w:color w:val="231F20"/>
        </w:rPr>
        <w:t>ƲƇǳɅǕ Ƈ</w:t>
      </w:r>
      <w:r>
        <w:rPr>
          <w:rFonts w:ascii="Arial" w:cs="Arial" w:eastAsia="Arial" w:hAnsi="Arial"/>
          <w:sz w:val="14"/>
          <w:szCs w:val="14"/>
          <w:color w:val="231F20"/>
        </w:rPr>
        <w:t>Ǿ</w:t>
      </w:r>
      <w:r>
        <w:rPr>
          <w:rFonts w:ascii="Arial" w:cs="Arial" w:eastAsia="Arial" w:hAnsi="Arial"/>
          <w:sz w:val="14"/>
          <w:szCs w:val="14"/>
          <w:color w:val="231F20"/>
        </w:rPr>
        <w:t xml:space="preserve">ƫ </w:t>
      </w:r>
      <w:r>
        <w:rPr>
          <w:rFonts w:ascii="Arial" w:cs="Arial" w:eastAsia="Arial" w:hAnsi="Arial"/>
          <w:sz w:val="14"/>
          <w:szCs w:val="14"/>
          <w:color w:val="231F20"/>
        </w:rPr>
        <w:t>Ȭ</w:t>
      </w:r>
      <w:r>
        <w:rPr>
          <w:rFonts w:ascii="Arial" w:cs="Arial" w:eastAsia="Arial" w:hAnsi="Arial"/>
          <w:sz w:val="14"/>
          <w:szCs w:val="14"/>
          <w:color w:val="231F20"/>
        </w:rPr>
        <w:t>Ʋ</w:t>
      </w:r>
      <w:r>
        <w:rPr>
          <w:rFonts w:ascii="Arial" w:cs="Arial" w:eastAsia="Arial" w:hAnsi="Arial"/>
          <w:sz w:val="14"/>
          <w:szCs w:val="14"/>
          <w:color w:val="231F20"/>
        </w:rPr>
        <w:t>ȯ</w:t>
      </w:r>
      <w:r>
        <w:rPr>
          <w:rFonts w:ascii="Arial" w:cs="Arial" w:eastAsia="Arial" w:hAnsi="Arial"/>
          <w:sz w:val="14"/>
          <w:szCs w:val="14"/>
          <w:color w:val="231F20"/>
        </w:rPr>
        <w:t>ǌ</w:t>
      </w:r>
      <w:r>
        <w:rPr>
          <w:rFonts w:ascii="Arial" w:cs="Arial" w:eastAsia="Arial" w:hAnsi="Arial"/>
          <w:sz w:val="14"/>
          <w:szCs w:val="14"/>
          <w:color w:val="231F20"/>
        </w:rPr>
        <w:t>ȉȯ</w:t>
      </w:r>
      <w:r>
        <w:rPr>
          <w:rFonts w:ascii="Arial" w:cs="Arial" w:eastAsia="Arial" w:hAnsi="Arial"/>
          <w:sz w:val="14"/>
          <w:szCs w:val="14"/>
          <w:color w:val="231F20"/>
        </w:rPr>
        <w:t>Ǽ</w:t>
      </w:r>
      <w:r>
        <w:rPr>
          <w:rFonts w:ascii="Arial" w:cs="Arial" w:eastAsia="Arial" w:hAnsi="Arial"/>
          <w:sz w:val="14"/>
          <w:szCs w:val="14"/>
          <w:color w:val="231F20"/>
        </w:rPr>
        <w:t>Ƈ ǾƤƲؘ</w:t>
      </w:r>
    </w:p>
    <w:p>
      <w:pPr>
        <w:spacing w:after="0" w:line="116" w:lineRule="exact"/>
        <w:rPr>
          <w:sz w:val="20"/>
          <w:szCs w:val="20"/>
          <w:color w:val="auto"/>
        </w:rPr>
      </w:pPr>
    </w:p>
    <w:p>
      <w:pPr>
        <w:jc w:val="both"/>
        <w:spacing w:after="0" w:line="215"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ȷ ɦƲ ȬȉȷǛɅǛȉǾ ȉɍȯȷƲǳɥƲȷ ǌȉȯ ɅǕƲ ǌɍɅɍȯƲؙ ǳƲɅ ǼƲ ƣȯǛƲ</w:t>
      </w:r>
      <w:r>
        <w:rPr>
          <w:rFonts w:ascii="Arial" w:cs="Arial" w:eastAsia="Arial" w:hAnsi="Arial"/>
          <w:sz w:val="15"/>
          <w:szCs w:val="15"/>
          <w:color w:val="231F20"/>
        </w:rPr>
        <w:t>˛</w:t>
      </w:r>
      <w:r>
        <w:rPr>
          <w:rFonts w:ascii="Arial" w:cs="Arial" w:eastAsia="Arial" w:hAnsi="Arial"/>
          <w:sz w:val="15"/>
          <w:szCs w:val="15"/>
          <w:color w:val="231F20"/>
        </w:rPr>
        <w:t xml:space="preserve"> </w:t>
      </w:r>
      <w:r>
        <w:rPr>
          <w:rFonts w:ascii="Arial" w:cs="Arial" w:eastAsia="Arial" w:hAnsi="Arial"/>
          <w:sz w:val="15"/>
          <w:szCs w:val="15"/>
          <w:color w:val="231F20"/>
        </w:rPr>
        <w:t>ɬ</w:t>
      </w:r>
      <w:r>
        <w:rPr>
          <w:rFonts w:ascii="Arial" w:cs="Arial" w:eastAsia="Arial" w:hAnsi="Arial"/>
          <w:sz w:val="15"/>
          <w:szCs w:val="15"/>
          <w:color w:val="231F20"/>
        </w:rPr>
        <w:t xml:space="preserve"> ƤȉɥƲȯ ȉɍ</w:t>
      </w:r>
      <w:r>
        <w:rPr>
          <w:rFonts w:ascii="Arial" w:cs="Arial" w:eastAsia="Arial" w:hAnsi="Arial"/>
          <w:sz w:val="15"/>
          <w:szCs w:val="15"/>
          <w:color w:val="231F20"/>
        </w:rPr>
        <w:t>ȯ</w:t>
      </w:r>
      <w:r>
        <w:rPr>
          <w:rFonts w:ascii="Arial" w:cs="Arial" w:eastAsia="Arial" w:hAnsi="Arial"/>
          <w:sz w:val="15"/>
          <w:szCs w:val="15"/>
          <w:color w:val="231F20"/>
        </w:rPr>
        <w:t xml:space="preserve"> ˚ǾƇǾƤǛƇǳ ȯƲȷɍǳɅȷؘ UǾ ׀־׀׃ؙ ȉɍȯ </w:t>
      </w:r>
      <w:r>
        <w:rPr>
          <w:rFonts w:ascii="PMingLiU" w:cs="PMingLiU" w:eastAsia="PMingLiU" w:hAnsi="PMingLiU"/>
          <w:sz w:val="15"/>
          <w:szCs w:val="15"/>
          <w:color w:val="231F20"/>
        </w:rPr>
        <w:t/>
      </w:r>
      <w:r>
        <w:rPr>
          <w:rFonts w:ascii="Arial" w:cs="Arial" w:eastAsia="Arial" w:hAnsi="Arial"/>
          <w:sz w:val="15"/>
          <w:szCs w:val="15"/>
          <w:color w:val="231F20"/>
        </w:rPr>
        <w:t>ȉǼȬƇǾɬ ǍƲǾƲȯƇɅƲƫ ٳֿؘ׆ ƣǛǳǳǛȉǾ ǛǾ ƤȉǾɅȯƇƤɅ ȷƇǳƲȷؙ Ƈ ǾƲɅ ǳȉȷȷ ȉǌ ٳׁ־׆ ǼǛǳǳǛȉǾؙ ȯƲ</w:t>
      </w:r>
      <w:r>
        <w:rPr>
          <w:rFonts w:ascii="Arial" w:cs="Arial" w:eastAsia="Arial" w:hAnsi="Arial"/>
          <w:sz w:val="15"/>
          <w:szCs w:val="15"/>
          <w:color w:val="231F20"/>
        </w:rPr>
        <w:t>˛</w:t>
      </w:r>
      <w:r>
        <w:rPr>
          <w:rFonts w:ascii="Arial" w:cs="Arial" w:eastAsia="Arial" w:hAnsi="Arial"/>
          <w:sz w:val="15"/>
          <w:szCs w:val="15"/>
          <w:color w:val="231F20"/>
        </w:rPr>
        <w:t xml:space="preserve">ƲƤɅǛǾǍ ǼȉƫƲȯǾǛɶƇɅǛȉǾ ƲɫȬƲǾȷƲȷؙ ȯƲȷɅȯɍƤɅɍȯǛǾǍ ƤȉȷɅȷ ƇǾƫ ǾȉǾعƤƇȷǕ ǛǼȬƇǛȯǼƲǾɅ ƤǕƇȯǍƲȷؙ ƇǾƫ ٳׅ׃ֿ ǼǛǳǳǛȉǾ ȉǌ </w:t>
      </w:r>
      <w:r>
        <w:rPr>
          <w:rFonts w:ascii="PMingLiU" w:cs="PMingLiU" w:eastAsia="PMingLiU" w:hAnsi="PMingLiU"/>
          <w:sz w:val="15"/>
          <w:szCs w:val="15"/>
          <w:color w:val="231F20"/>
        </w:rPr>
        <w:t/>
      </w:r>
      <w:r>
        <w:rPr>
          <w:rFonts w:ascii="Arial" w:cs="Arial" w:eastAsia="Arial" w:hAnsi="Arial"/>
          <w:sz w:val="15"/>
          <w:szCs w:val="15"/>
          <w:color w:val="231F20"/>
        </w:rPr>
        <w:t>ƫǬɍȷɅƲƫ -</w:t>
      </w:r>
      <w:r>
        <w:rPr>
          <w:rFonts w:ascii="PMingLiU" w:cs="PMingLiU" w:eastAsia="PMingLiU" w:hAnsi="PMingLiU"/>
          <w:sz w:val="15"/>
          <w:szCs w:val="15"/>
          <w:color w:val="231F20"/>
        </w:rPr>
        <w:t/>
      </w:r>
      <w:r>
        <w:rPr>
          <w:rFonts w:ascii="Arial" w:cs="Arial" w:eastAsia="Arial" w:hAnsi="Arial"/>
          <w:sz w:val="15"/>
          <w:szCs w:val="15"/>
          <w:color w:val="231F20"/>
        </w:rPr>
        <w:t>U½%</w:t>
      </w:r>
      <w:r>
        <w:rPr>
          <w:rFonts w:ascii="PMingLiU" w:cs="PMingLiU" w:eastAsia="PMingLiU" w:hAnsi="PMingLiU"/>
          <w:sz w:val="15"/>
          <w:szCs w:val="15"/>
          <w:color w:val="231F20"/>
        </w:rPr>
        <w:t/>
      </w:r>
      <w:r>
        <w:rPr>
          <w:rFonts w:ascii="Arial" w:cs="Arial" w:eastAsia="Arial" w:hAnsi="Arial"/>
          <w:sz w:val="15"/>
          <w:szCs w:val="15"/>
          <w:color w:val="231F20"/>
        </w:rPr>
        <w:t xml:space="preserve">ؘ ÝƲ ȯƲɅɍȯǾƲƫ ٳֿֿׅ ǼǛǳǳǛȉǾ Ʌȉ ȷɅȉƤǯǕȉǳƫƲȯȷ ɅǕȯȉɍǍǕ ƫǛɥǛƫƲǾƫȷ ƇǾƫ ȷɅȉƤǯ ȯƲȬɍȯƤǕƇȷƲȷؘ ½ǕƲȷƲ ȯƲȷɍǳɅȷ ɍǾƫƲȯȷƤȉȯƲ </w:t>
      </w:r>
      <w:r>
        <w:rPr>
          <w:rFonts w:ascii="Arial" w:cs="Arial" w:eastAsia="Arial" w:hAnsi="Arial"/>
          <w:sz w:val="15"/>
          <w:szCs w:val="15"/>
          <w:color w:val="231F20"/>
        </w:rPr>
        <w:t xml:space="preserve">Ʌ </w:t>
      </w:r>
      <w:r>
        <w:rPr>
          <w:rFonts w:ascii="Arial" w:cs="Arial" w:eastAsia="Arial" w:hAnsi="Arial"/>
          <w:sz w:val="15"/>
          <w:szCs w:val="15"/>
          <w:color w:val="231F20"/>
        </w:rPr>
        <w:t>Ǖ</w:t>
      </w:r>
      <w:r>
        <w:rPr>
          <w:rFonts w:ascii="Arial" w:cs="Arial" w:eastAsia="Arial" w:hAnsi="Arial"/>
          <w:sz w:val="15"/>
          <w:szCs w:val="15"/>
          <w:color w:val="231F20"/>
        </w:rPr>
        <w:t>Ʋ</w:t>
      </w:r>
      <w:r>
        <w:rPr>
          <w:rFonts w:ascii="Arial" w:cs="Arial" w:eastAsia="Arial" w:hAnsi="Arial"/>
          <w:sz w:val="15"/>
          <w:szCs w:val="15"/>
          <w:color w:val="231F20"/>
        </w:rPr>
        <w:t xml:space="preserve"> </w:t>
      </w:r>
      <w:r>
        <w:rPr>
          <w:rFonts w:ascii="Arial" w:cs="Arial" w:eastAsia="Arial" w:hAnsi="Arial"/>
          <w:sz w:val="15"/>
          <w:szCs w:val="15"/>
          <w:color w:val="231F20"/>
        </w:rPr>
        <w:t>Ʋ</w:t>
      </w:r>
      <w:r>
        <w:rPr>
          <w:rFonts w:ascii="Arial" w:cs="Arial" w:eastAsia="Arial" w:hAnsi="Arial"/>
          <w:sz w:val="15"/>
          <w:szCs w:val="15"/>
          <w:color w:val="231F20"/>
        </w:rPr>
        <w:t>ȷ Ʋ</w:t>
      </w:r>
      <w:r>
        <w:rPr>
          <w:rFonts w:ascii="Arial" w:cs="Arial" w:eastAsia="Arial" w:hAnsi="Arial"/>
          <w:sz w:val="15"/>
          <w:szCs w:val="15"/>
          <w:color w:val="231F20"/>
        </w:rPr>
        <w:t>Ǿ</w:t>
      </w:r>
      <w:r>
        <w:rPr>
          <w:rFonts w:ascii="Arial" w:cs="Arial" w:eastAsia="Arial" w:hAnsi="Arial"/>
          <w:sz w:val="15"/>
          <w:szCs w:val="15"/>
          <w:color w:val="231F20"/>
        </w:rPr>
        <w:t>ƤƲ ȉ</w:t>
      </w:r>
      <w:r>
        <w:rPr>
          <w:rFonts w:ascii="Arial" w:cs="Arial" w:eastAsia="Arial" w:hAnsi="Arial"/>
          <w:sz w:val="15"/>
          <w:szCs w:val="15"/>
          <w:color w:val="231F20"/>
        </w:rPr>
        <w:t>ǌ</w:t>
      </w:r>
      <w:r>
        <w:rPr>
          <w:rFonts w:ascii="Arial" w:cs="Arial" w:eastAsia="Arial" w:hAnsi="Arial"/>
          <w:sz w:val="15"/>
          <w:szCs w:val="15"/>
          <w:color w:val="231F20"/>
        </w:rPr>
        <w:t xml:space="preserve"> </w:t>
      </w:r>
      <w:r>
        <w:rPr>
          <w:rFonts w:ascii="Arial" w:cs="Arial" w:eastAsia="Arial" w:hAnsi="Arial"/>
          <w:sz w:val="15"/>
          <w:szCs w:val="15"/>
          <w:color w:val="231F20"/>
        </w:rPr>
        <w:t>ȉ</w:t>
      </w:r>
      <w:r>
        <w:rPr>
          <w:rFonts w:ascii="Arial" w:cs="Arial" w:eastAsia="Arial" w:hAnsi="Arial"/>
          <w:sz w:val="15"/>
          <w:szCs w:val="15"/>
          <w:color w:val="231F20"/>
        </w:rPr>
        <w:t xml:space="preserve"> </w:t>
      </w:r>
      <w:r>
        <w:rPr>
          <w:rFonts w:ascii="Arial" w:cs="Arial" w:eastAsia="Arial" w:hAnsi="Arial"/>
          <w:sz w:val="15"/>
          <w:szCs w:val="15"/>
          <w:color w:val="231F20"/>
        </w:rPr>
        <w:t>ƣ</w:t>
      </w:r>
      <w:r>
        <w:rPr>
          <w:rFonts w:ascii="Arial" w:cs="Arial" w:eastAsia="Arial" w:hAnsi="Arial"/>
          <w:sz w:val="15"/>
          <w:szCs w:val="15"/>
          <w:color w:val="231F20"/>
        </w:rPr>
        <w:t xml:space="preserve"> </w:t>
      </w:r>
      <w:r>
        <w:rPr>
          <w:rFonts w:ascii="Arial" w:cs="Arial" w:eastAsia="Arial" w:hAnsi="Arial"/>
          <w:sz w:val="15"/>
          <w:szCs w:val="15"/>
          <w:color w:val="231F20"/>
        </w:rPr>
        <w:t>ȷ Ǿ</w:t>
      </w:r>
      <w:r>
        <w:rPr>
          <w:rFonts w:ascii="Arial" w:cs="Arial" w:eastAsia="Arial" w:hAnsi="Arial"/>
          <w:sz w:val="15"/>
          <w:szCs w:val="15"/>
          <w:color w:val="231F20"/>
        </w:rPr>
        <w:t>Ʋȷȷ</w:t>
      </w:r>
      <w:r>
        <w:rPr>
          <w:rFonts w:ascii="Arial" w:cs="Arial" w:eastAsia="Arial" w:hAnsi="Arial"/>
          <w:sz w:val="15"/>
          <w:szCs w:val="15"/>
          <w:color w:val="231F20"/>
        </w:rPr>
        <w:t xml:space="preserve"> </w:t>
      </w:r>
      <w:r>
        <w:rPr>
          <w:rFonts w:ascii="Arial" w:cs="Arial" w:eastAsia="Arial" w:hAnsi="Arial"/>
          <w:sz w:val="15"/>
          <w:szCs w:val="15"/>
          <w:color w:val="231F20"/>
        </w:rPr>
        <w:t>Ǽȉ</w:t>
      </w:r>
      <w:r>
        <w:rPr>
          <w:rFonts w:ascii="Arial" w:cs="Arial" w:eastAsia="Arial" w:hAnsi="Arial"/>
          <w:sz w:val="15"/>
          <w:szCs w:val="15"/>
          <w:color w:val="231F20"/>
        </w:rPr>
        <w:t>ƫ</w:t>
      </w:r>
      <w:r>
        <w:rPr>
          <w:rFonts w:ascii="Arial" w:cs="Arial" w:eastAsia="Arial" w:hAnsi="Arial"/>
          <w:sz w:val="15"/>
          <w:szCs w:val="15"/>
          <w:color w:val="231F20"/>
        </w:rPr>
        <w:t>Ʋ</w:t>
      </w:r>
    </w:p>
    <w:p>
      <w:pPr>
        <w:spacing w:after="0" w:line="111" w:lineRule="exact"/>
        <w:rPr>
          <w:sz w:val="20"/>
          <w:szCs w:val="20"/>
          <w:color w:val="auto"/>
        </w:rPr>
      </w:pPr>
    </w:p>
    <w:p>
      <w:pPr>
        <w:jc w:val="both"/>
        <w:ind w:firstLine="1"/>
        <w:spacing w:after="0" w:line="317" w:lineRule="auto"/>
        <w:rPr>
          <w:sz w:val="20"/>
          <w:szCs w:val="20"/>
          <w:color w:val="auto"/>
        </w:rPr>
      </w:pPr>
      <w:r>
        <w:rPr>
          <w:rFonts w:ascii="Arial" w:cs="Arial" w:eastAsia="Arial" w:hAnsi="Arial"/>
          <w:sz w:val="15"/>
          <w:szCs w:val="15"/>
          <w:color w:val="231F20"/>
        </w:rPr>
        <w:t>½</w:t>
      </w:r>
      <w:r>
        <w:rPr>
          <w:rFonts w:ascii="Arial" w:cs="Arial" w:eastAsia="Arial" w:hAnsi="Arial"/>
          <w:sz w:val="15"/>
          <w:szCs w:val="15"/>
          <w:color w:val="231F20"/>
        </w:rPr>
        <w:t>Ǖȯȉɍ</w:t>
      </w:r>
      <w:r>
        <w:rPr>
          <w:rFonts w:ascii="Arial" w:cs="Arial" w:eastAsia="Arial" w:hAnsi="Arial"/>
          <w:sz w:val="15"/>
          <w:szCs w:val="15"/>
          <w:color w:val="231F20"/>
        </w:rPr>
        <w:t>Ǎ</w:t>
      </w:r>
      <w:r>
        <w:rPr>
          <w:rFonts w:ascii="Arial" w:cs="Arial" w:eastAsia="Arial" w:hAnsi="Arial"/>
          <w:sz w:val="15"/>
          <w:szCs w:val="15"/>
          <w:color w:val="231F20"/>
        </w:rPr>
        <w:t>ǕȉɍɅ ɅǕƲ</w:t>
      </w:r>
      <w:r>
        <w:rPr>
          <w:rFonts w:ascii="Arial" w:cs="Arial" w:eastAsia="Arial" w:hAnsi="Arial"/>
          <w:sz w:val="15"/>
          <w:szCs w:val="15"/>
          <w:color w:val="231F20"/>
        </w:rPr>
        <w:t xml:space="preserve"> ɬ</w:t>
      </w:r>
      <w:r>
        <w:rPr>
          <w:rFonts w:ascii="Arial" w:cs="Arial" w:eastAsia="Arial" w:hAnsi="Arial"/>
          <w:sz w:val="15"/>
          <w:szCs w:val="15"/>
          <w:color w:val="231F20"/>
        </w:rPr>
        <w:t>ƲƇȯؙ ɦƲ ƤȉǾɅǛǾɍƲƫ Ʌȉ ƫƲǳǛɥƲȯ ǼƲǼȉȯƇƣǳƲ ɥƇƤƇɅǛȉǾ ƲɫȬƲȯǛƲǾƤƲȷ Ʌȉ ȉɍȯ ǼȉȯƲ ɅǕƇǾ ׅ־־ؙ־־־ ȉɦǾƲȯ ǌƇǼǛǳǛƲȷؙ ƲɥǛƫƲǾƤƲƫ ƣ</w:t>
      </w:r>
      <w:r>
        <w:rPr>
          <w:rFonts w:ascii="Arial" w:cs="Arial" w:eastAsia="Arial" w:hAnsi="Arial"/>
          <w:sz w:val="15"/>
          <w:szCs w:val="15"/>
          <w:color w:val="231F20"/>
        </w:rPr>
        <w:t>ɬ ȉ</w:t>
      </w:r>
      <w:r>
        <w:rPr>
          <w:rFonts w:ascii="Arial" w:cs="Arial" w:eastAsia="Arial" w:hAnsi="Arial"/>
          <w:sz w:val="15"/>
          <w:szCs w:val="15"/>
          <w:color w:val="231F20"/>
        </w:rPr>
        <w:t>ɍȯ ȷƇɅǛȷ</w:t>
      </w:r>
      <w:r>
        <w:rPr>
          <w:rFonts w:ascii="Arial" w:cs="Arial" w:eastAsia="Arial" w:hAnsi="Arial"/>
          <w:sz w:val="15"/>
          <w:szCs w:val="15"/>
          <w:color w:val="231F20"/>
        </w:rPr>
        <w:t>ǌ</w:t>
      </w:r>
      <w:r>
        <w:rPr>
          <w:rFonts w:ascii="Arial" w:cs="Arial" w:eastAsia="Arial" w:hAnsi="Arial"/>
          <w:sz w:val="15"/>
          <w:szCs w:val="15"/>
          <w:color w:val="231F20"/>
        </w:rPr>
        <w:t>ƇƤɅǛȉǾ ȷƤȉȯƲȷ ɅǕȯȉɍǍǕȉɍɅ ȉɍȯ ȉɦǾƲȯ ƇǾƫ ǍɍƲȷɅ ɅȉɍƤǕȬȉǛǾɅȷ ȉȬƲȯƇɅǛǾǍ ƇɅ ׇ־ڤڋ ȉƤƤɍȬƇǾƤɬ ƇƤȯȉȷȷ ȉɍȯ ȷɬȷɅƲǼؘ vȉǾƲɅǕƲǳƲȷȷؙ ɦƲ ƇȯƲ</w:t>
      </w:r>
      <w:r>
        <w:rPr>
          <w:rFonts w:ascii="Arial" w:cs="Arial" w:eastAsia="Arial" w:hAnsi="Arial"/>
          <w:sz w:val="15"/>
          <w:szCs w:val="15"/>
          <w:color w:val="231F20"/>
        </w:rPr>
        <w:t xml:space="preserve"> Ʋ</w:t>
      </w:r>
      <w:r>
        <w:rPr>
          <w:rFonts w:ascii="Arial" w:cs="Arial" w:eastAsia="Arial" w:hAnsi="Arial"/>
          <w:sz w:val="15"/>
          <w:szCs w:val="15"/>
          <w:color w:val="231F20"/>
        </w:rPr>
        <w:t>ǾǕƇǾƤǛǾ</w:t>
      </w:r>
      <w:r>
        <w:rPr>
          <w:rFonts w:ascii="Arial" w:cs="Arial" w:eastAsia="Arial" w:hAnsi="Arial"/>
          <w:sz w:val="15"/>
          <w:szCs w:val="15"/>
          <w:color w:val="231F20"/>
        </w:rPr>
        <w:t xml:space="preserve">Ǎ </w:t>
      </w:r>
      <w:r>
        <w:rPr>
          <w:rFonts w:ascii="Arial" w:cs="Arial" w:eastAsia="Arial" w:hAnsi="Arial"/>
          <w:sz w:val="15"/>
          <w:szCs w:val="15"/>
          <w:color w:val="231F20"/>
        </w:rPr>
        <w:t>ȉɍȯ ƤȉǼǼǛɅǼƲǾɅ Ʌȉ ƤɍȷɅȉǼƲȯ ȷƲȯɥǛƤƲ ƲɅǕȉȷ ɦǛɅǕ ǛǾƤȯƲƇȷƲƫ ƫǛȯƲƤɅ ƤȉǼǼɍǾǛƤƇɅǛȉǾ Ʌȉ ȉɍȯ ȉɦǾƲȯȷ ǌȯȉǼ ȉɍȯ ǳƲƇƫƲȯȷǕǛȬ ɅƲƇǼ Ʌ</w:t>
      </w:r>
      <w:r>
        <w:rPr>
          <w:rFonts w:ascii="Arial" w:cs="Arial" w:eastAsia="Arial" w:hAnsi="Arial"/>
          <w:sz w:val="15"/>
          <w:szCs w:val="15"/>
          <w:color w:val="231F20"/>
        </w:rPr>
        <w:t xml:space="preserve">ȉ </w:t>
      </w:r>
      <w:r>
        <w:rPr>
          <w:rFonts w:ascii="Arial" w:cs="Arial" w:eastAsia="Arial" w:hAnsi="Arial"/>
          <w:sz w:val="15"/>
          <w:szCs w:val="15"/>
          <w:color w:val="231F20"/>
        </w:rPr>
        <w:t>ǼȉȯƲ ȮɍǛƤǯǳɬ ȯƲȷȉǳɥƲ ƤǕƇǳǳƲǾǍƲȷ ƇǾƫ ƣƲɅɅƲȯ ƇƫƫȯƲȷȷ ƇǾɬ ɍǾƫƲȯǳɬǛǾǍ ǛȷȷɍƲȷ</w:t>
      </w:r>
      <w:r>
        <w:rPr>
          <w:rFonts w:ascii="Arial" w:cs="Arial" w:eastAsia="Arial" w:hAnsi="Arial"/>
          <w:sz w:val="15"/>
          <w:szCs w:val="15"/>
          <w:color w:val="231F20"/>
        </w:rPr>
        <w:t>ؘ</w:t>
      </w:r>
    </w:p>
    <w:p>
      <w:pPr>
        <w:spacing w:after="0" w:line="59"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231F20"/>
        </w:rPr>
        <w:t>GȉǛǾ</w:t>
      </w:r>
      <w:r>
        <w:rPr>
          <w:rFonts w:ascii="Arial" w:cs="Arial" w:eastAsia="Arial" w:hAnsi="Arial"/>
          <w:sz w:val="15"/>
          <w:szCs w:val="15"/>
          <w:color w:val="231F20"/>
        </w:rPr>
        <w:t>Ǎ</w:t>
      </w:r>
      <w:r>
        <w:rPr>
          <w:rFonts w:ascii="Arial" w:cs="Arial" w:eastAsia="Arial" w:hAnsi="Arial"/>
          <w:sz w:val="15"/>
          <w:szCs w:val="15"/>
          <w:color w:val="231F20"/>
        </w:rPr>
        <w:t xml:space="preserve"> ǌȉȯɦƇȯƫؙ ɦƲ ƇȯƲ ȷɅȯƲǾ</w:t>
      </w:r>
      <w:r>
        <w:rPr>
          <w:rFonts w:ascii="Arial" w:cs="Arial" w:eastAsia="Arial" w:hAnsi="Arial"/>
          <w:sz w:val="15"/>
          <w:szCs w:val="15"/>
          <w:color w:val="231F20"/>
        </w:rPr>
        <w:t>Ǎ</w:t>
      </w:r>
      <w:r>
        <w:rPr>
          <w:rFonts w:ascii="Arial" w:cs="Arial" w:eastAsia="Arial" w:hAnsi="Arial"/>
          <w:sz w:val="15"/>
          <w:szCs w:val="15"/>
          <w:color w:val="231F20"/>
        </w:rPr>
        <w:t>ɅǕƲǾǛǾ</w:t>
      </w:r>
      <w:r>
        <w:rPr>
          <w:rFonts w:ascii="Arial" w:cs="Arial" w:eastAsia="Arial" w:hAnsi="Arial"/>
          <w:sz w:val="15"/>
          <w:szCs w:val="15"/>
          <w:color w:val="231F20"/>
        </w:rPr>
        <w:t>Ǎ</w:t>
      </w:r>
      <w:r>
        <w:rPr>
          <w:rFonts w:ascii="Arial" w:cs="Arial" w:eastAsia="Arial" w:hAnsi="Arial"/>
          <w:sz w:val="15"/>
          <w:szCs w:val="15"/>
          <w:color w:val="231F20"/>
        </w:rPr>
        <w:t xml:space="preserve"> ȉɍȯ ȷƇǳƲȷ ƇǾƫ ǼƇȯǯƲɅǛǾ</w:t>
      </w:r>
      <w:r>
        <w:rPr>
          <w:rFonts w:ascii="Arial" w:cs="Arial" w:eastAsia="Arial" w:hAnsi="Arial"/>
          <w:sz w:val="15"/>
          <w:szCs w:val="15"/>
          <w:color w:val="231F20"/>
        </w:rPr>
        <w:t>Ǎ</w:t>
      </w:r>
      <w:r>
        <w:rPr>
          <w:rFonts w:ascii="Arial" w:cs="Arial" w:eastAsia="Arial" w:hAnsi="Arial"/>
          <w:sz w:val="15"/>
          <w:szCs w:val="15"/>
          <w:color w:val="231F20"/>
        </w:rPr>
        <w:t xml:space="preserve"> ƲɫƲƤɍɅǛȉǾؙ ƲǾǕƇǾƤǛǾ</w:t>
      </w:r>
      <w:r>
        <w:rPr>
          <w:rFonts w:ascii="Arial" w:cs="Arial" w:eastAsia="Arial" w:hAnsi="Arial"/>
          <w:sz w:val="15"/>
          <w:szCs w:val="15"/>
          <w:color w:val="231F20"/>
        </w:rPr>
        <w:t>Ǎ</w:t>
      </w:r>
      <w:r>
        <w:rPr>
          <w:rFonts w:ascii="Arial" w:cs="Arial" w:eastAsia="Arial" w:hAnsi="Arial"/>
          <w:sz w:val="15"/>
          <w:szCs w:val="15"/>
          <w:color w:val="231F20"/>
        </w:rPr>
        <w:t xml:space="preserve"> ȉɍ</w:t>
      </w:r>
      <w:r>
        <w:rPr>
          <w:rFonts w:ascii="Arial" w:cs="Arial" w:eastAsia="Arial" w:hAnsi="Arial"/>
          <w:sz w:val="15"/>
          <w:szCs w:val="15"/>
          <w:color w:val="231F20"/>
        </w:rPr>
        <w:t>ȯ</w:t>
      </w:r>
      <w:r>
        <w:rPr>
          <w:rFonts w:ascii="Arial" w:cs="Arial" w:eastAsia="Arial" w:hAnsi="Arial"/>
          <w:sz w:val="15"/>
          <w:szCs w:val="15"/>
          <w:color w:val="231F20"/>
        </w:rPr>
        <w:t xml:space="preserve"> ˚</w:t>
      </w:r>
      <w:r>
        <w:rPr>
          <w:rFonts w:ascii="Arial" w:cs="Arial" w:eastAsia="Arial" w:hAnsi="Arial"/>
          <w:sz w:val="15"/>
          <w:szCs w:val="15"/>
          <w:color w:val="231F20"/>
        </w:rPr>
        <w:t>Ǿ</w:t>
      </w:r>
      <w:r>
        <w:rPr>
          <w:rFonts w:ascii="Arial" w:cs="Arial" w:eastAsia="Arial" w:hAnsi="Arial"/>
          <w:sz w:val="15"/>
          <w:szCs w:val="15"/>
          <w:color w:val="231F20"/>
        </w:rPr>
        <w:t>ƇǾƤǛƇǳ ȬƲȯǌȉȯǼƇǾƤƲؙ ƇǾƫ ȯƲǛǾǌȉȯƤǛǾ</w:t>
      </w:r>
      <w:r>
        <w:rPr>
          <w:rFonts w:ascii="Arial" w:cs="Arial" w:eastAsia="Arial" w:hAnsi="Arial"/>
          <w:sz w:val="15"/>
          <w:szCs w:val="15"/>
          <w:color w:val="231F20"/>
        </w:rPr>
        <w:t>Ǎ</w:t>
      </w:r>
      <w:r>
        <w:rPr>
          <w:rFonts w:ascii="Arial" w:cs="Arial" w:eastAsia="Arial" w:hAnsi="Arial"/>
          <w:sz w:val="15"/>
          <w:szCs w:val="15"/>
          <w:color w:val="231F20"/>
        </w:rPr>
        <w:t xml:space="preserve"> Ƈ ƤɍǳɅɍȯƲ ȉǌ ƇƤƤȉɍǾɅƇƣǛǳǛɅɬؙ ƤȉǾȷɅƇǾɅ ǛǼȬȯȉɥƲǼƲǾɅ ƇǾƫ ǼȉȯƲ Ʋ</w:t>
      </w:r>
      <w:r>
        <w:rPr>
          <w:rFonts w:ascii="Arial" w:cs="Arial" w:eastAsia="Arial" w:hAnsi="Arial"/>
          <w:sz w:val="15"/>
          <w:szCs w:val="15"/>
          <w:color w:val="231F20"/>
        </w:rPr>
        <w:t>ǌǌ</w:t>
      </w:r>
      <w:r>
        <w:rPr>
          <w:rFonts w:ascii="Arial" w:cs="Arial" w:eastAsia="Arial" w:hAnsi="Arial"/>
          <w:sz w:val="15"/>
          <w:szCs w:val="15"/>
          <w:color w:val="231F20"/>
        </w:rPr>
        <w:t>ƲƤɅǛɥƲ ƫƲƤǛȷǛȉǾعǼƇǯǛǾǍؘ vȉɦ Ǜȷ ɅǕƲ ɅǛǼƲ Ʌȉ ƫƲǼȉǾȷɅȯƇɅƲ Ƥȉ</w:t>
      </w:r>
      <w:r>
        <w:rPr>
          <w:rFonts w:ascii="Arial" w:cs="Arial" w:eastAsia="Arial" w:hAnsi="Arial"/>
          <w:sz w:val="15"/>
          <w:szCs w:val="15"/>
          <w:color w:val="231F20"/>
        </w:rPr>
        <w:t>Ǿ˚</w:t>
      </w:r>
      <w:r>
        <w:rPr>
          <w:rFonts w:ascii="Arial" w:cs="Arial" w:eastAsia="Arial" w:hAnsi="Arial"/>
          <w:sz w:val="15"/>
          <w:szCs w:val="15"/>
          <w:color w:val="231F20"/>
        </w:rPr>
        <w:t>ƫƲǾƤƲ ǛǾ ȉɍȯ ȬƲȯ</w:t>
      </w:r>
      <w:r>
        <w:rPr>
          <w:rFonts w:ascii="Arial" w:cs="Arial" w:eastAsia="Arial" w:hAnsi="Arial"/>
          <w:sz w:val="15"/>
          <w:szCs w:val="15"/>
          <w:color w:val="231F20"/>
        </w:rPr>
        <w:t>ǌ</w:t>
      </w:r>
      <w:r>
        <w:rPr>
          <w:rFonts w:ascii="Arial" w:cs="Arial" w:eastAsia="Arial" w:hAnsi="Arial"/>
          <w:sz w:val="15"/>
          <w:szCs w:val="15"/>
          <w:color w:val="231F20"/>
        </w:rPr>
        <w:t>ȉȯǼƇǾƤƲ ƇǾƫ ƫƲǳǛɥƲȯ ɦǕƇɅ ȉɍȯ ȷɅƇǯƲǕȉǳƫƲȯȷ ƲɫȬƲƤɅ ǌȯȉǼ ɍȷ ع ƇǾƫ ɦǕƇɅ ɦƲ ƲɫȬƲƤɅ ǌȯȉǼ ȉɍȯȷƲǳɥƲȷ</w:t>
      </w:r>
      <w:r>
        <w:rPr>
          <w:rFonts w:ascii="Arial" w:cs="Arial" w:eastAsia="Arial" w:hAnsi="Arial"/>
          <w:sz w:val="15"/>
          <w:szCs w:val="15"/>
          <w:color w:val="231F20"/>
        </w:rPr>
        <w:t>ؘ</w:t>
      </w:r>
    </w:p>
    <w:p>
      <w:pPr>
        <w:spacing w:after="0" w:line="56" w:lineRule="exact"/>
        <w:rPr>
          <w:sz w:val="20"/>
          <w:szCs w:val="20"/>
          <w:color w:val="auto"/>
        </w:rPr>
      </w:pPr>
    </w:p>
    <w:p>
      <w:pPr>
        <w:jc w:val="both"/>
        <w:ind w:firstLine="17"/>
        <w:spacing w:after="0" w:line="212" w:lineRule="exact"/>
        <w:rPr>
          <w:sz w:val="20"/>
          <w:szCs w:val="20"/>
          <w:color w:val="auto"/>
        </w:rPr>
      </w:pPr>
      <w:r>
        <w:rPr>
          <w:rFonts w:ascii="Arial" w:cs="Arial" w:eastAsia="Arial" w:hAnsi="Arial"/>
          <w:sz w:val="15"/>
          <w:szCs w:val="15"/>
          <w:color w:val="231F20"/>
        </w:rPr>
        <w:t xml:space="preserve">U ɦƇȷ ȬƲȯȷȉǾƇǳǳɬ ƲɫƤǛɅƲƫ ɦǕƲǾ ɦƲ ǕƇƫ ɅǕƲ ȉȬȬȉȯɅɍǾǛɅɬ Ʌȉ ǕǛȯƲ tǛǯƲ FǳƇȷǯƲɬ Ƈȷ ȉɍȯ ¤ȯƲȷǛƫƲǾɅ ƇǾƫ </w:t>
      </w:r>
      <w:r>
        <w:rPr>
          <w:rFonts w:ascii="PMingLiU" w:cs="PMingLiU" w:eastAsia="PMingLiU" w:hAnsi="PMingLiU"/>
          <w:sz w:val="15"/>
          <w:szCs w:val="15"/>
          <w:color w:val="231F20"/>
        </w:rPr>
        <w:t/>
      </w:r>
      <w:r>
        <w:rPr>
          <w:rFonts w:ascii="Arial" w:cs="Arial" w:eastAsia="Arial" w:hAnsi="Arial"/>
          <w:sz w:val="15"/>
          <w:szCs w:val="15"/>
          <w:color w:val="231F20"/>
        </w:rPr>
        <w:t xml:space="preserve">ǕǛƲǌ </w:t>
      </w:r>
      <w:r>
        <w:rPr>
          <w:rFonts w:ascii="PMingLiU" w:cs="PMingLiU" w:eastAsia="PMingLiU" w:hAnsi="PMingLiU"/>
          <w:sz w:val="15"/>
          <w:szCs w:val="15"/>
          <w:color w:val="231F20"/>
        </w:rPr>
        <w:t></w:t>
      </w:r>
      <w:r>
        <w:rPr>
          <w:rFonts w:ascii="Arial" w:cs="Arial" w:eastAsia="Arial" w:hAnsi="Arial"/>
          <w:sz w:val="15"/>
          <w:szCs w:val="15"/>
          <w:color w:val="231F20"/>
        </w:rPr>
        <w:t xml:space="preserve">ȬƲȯƇɅǛǾǍ </w:t>
      </w:r>
      <w:r>
        <w:rPr>
          <w:rFonts w:ascii="PMingLiU" w:cs="PMingLiU" w:eastAsia="PMingLiU" w:hAnsi="PMingLiU"/>
          <w:sz w:val="15"/>
          <w:szCs w:val="15"/>
          <w:color w:val="231F20"/>
        </w:rPr>
        <w:t></w:t>
      </w:r>
      <w:r>
        <w:rPr>
          <w:rFonts w:ascii="Arial" w:cs="Arial" w:eastAsia="Arial" w:hAnsi="Arial"/>
          <w:sz w:val="15"/>
          <w:szCs w:val="15"/>
          <w:color w:val="231F20"/>
        </w:rPr>
        <w:t>ǌ˚</w:t>
      </w:r>
      <w:r>
        <w:rPr>
          <w:rFonts w:ascii="Arial" w:cs="Arial" w:eastAsia="Arial" w:hAnsi="Arial"/>
          <w:sz w:val="15"/>
          <w:szCs w:val="15"/>
          <w:color w:val="231F20"/>
        </w:rPr>
        <w:t>ƤƲȯ ƤȉǾƤɍȯȯƲǾɅ ɦǛɅǕ ɅǕƲ</w:t>
      </w:r>
      <w:r>
        <w:rPr>
          <w:rFonts w:ascii="Arial" w:cs="Arial" w:eastAsia="Arial" w:hAnsi="Arial"/>
          <w:sz w:val="15"/>
          <w:szCs w:val="15"/>
          <w:color w:val="231F20"/>
        </w:rPr>
        <w:t xml:space="preserve"> </w:t>
      </w:r>
      <w:r>
        <w:rPr>
          <w:rFonts w:ascii="PMingLiU" w:cs="PMingLiU" w:eastAsia="PMingLiU" w:hAnsi="PMingLiU"/>
          <w:sz w:val="15"/>
          <w:szCs w:val="15"/>
          <w:color w:val="231F20"/>
        </w:rPr>
        <w:t/>
      </w:r>
      <w:r>
        <w:rPr>
          <w:rFonts w:ascii="Arial" w:cs="Arial" w:eastAsia="Arial" w:hAnsi="Arial"/>
          <w:sz w:val="15"/>
          <w:szCs w:val="15"/>
          <w:color w:val="231F20"/>
        </w:rPr>
        <w:t xml:space="preserve">ȉƇȯƫىȷ ƫƲƤǛȷǛȉǾ Ʌȉ ȯƲɅƇǛǾ ǼƲ ǛǾ Ǽɬ ȯȉǳƲ Ƈȷ </w:t>
      </w:r>
      <w:r>
        <w:rPr>
          <w:rFonts w:ascii="PMingLiU" w:cs="PMingLiU" w:eastAsia="PMingLiU" w:hAnsi="PMingLiU"/>
          <w:sz w:val="15"/>
          <w:szCs w:val="15"/>
          <w:color w:val="231F20"/>
        </w:rPr>
        <w:t/>
      </w:r>
      <w:r>
        <w:rPr>
          <w:rFonts w:ascii="Arial" w:cs="Arial" w:eastAsia="Arial" w:hAnsi="Arial"/>
          <w:sz w:val="15"/>
          <w:szCs w:val="15"/>
          <w:color w:val="231F20"/>
        </w:rPr>
        <w:t xml:space="preserve">ǕǛƲǌ -ɫƲƤɍɅǛɥƲ </w:t>
      </w:r>
      <w:r>
        <w:rPr>
          <w:rFonts w:ascii="PMingLiU" w:cs="PMingLiU" w:eastAsia="PMingLiU" w:hAnsi="PMingLiU"/>
          <w:sz w:val="15"/>
          <w:szCs w:val="15"/>
          <w:color w:val="231F20"/>
        </w:rPr>
        <w:t></w:t>
      </w:r>
      <w:r>
        <w:rPr>
          <w:rFonts w:ascii="Arial" w:cs="Arial" w:eastAsia="Arial" w:hAnsi="Arial"/>
          <w:sz w:val="15"/>
          <w:szCs w:val="15"/>
          <w:color w:val="231F20"/>
        </w:rPr>
        <w:t>ǌ˚</w:t>
      </w:r>
      <w:r>
        <w:rPr>
          <w:rFonts w:ascii="Arial" w:cs="Arial" w:eastAsia="Arial" w:hAnsi="Arial"/>
          <w:sz w:val="15"/>
          <w:szCs w:val="15"/>
          <w:color w:val="231F20"/>
        </w:rPr>
        <w:t>ƤƲȯؘ tǛǯƲ Ǜȷ Ƈ ȬȯȉɥƲǾ ǛǾƫɍȷɅȯ</w:t>
      </w:r>
      <w:r>
        <w:rPr>
          <w:rFonts w:ascii="Arial" w:cs="Arial" w:eastAsia="Arial" w:hAnsi="Arial"/>
          <w:sz w:val="15"/>
          <w:szCs w:val="15"/>
          <w:color w:val="231F20"/>
        </w:rPr>
        <w:t xml:space="preserve">ɬ </w:t>
      </w:r>
      <w:r>
        <w:rPr>
          <w:rFonts w:ascii="Arial" w:cs="Arial" w:eastAsia="Arial" w:hAnsi="Arial"/>
          <w:sz w:val="15"/>
          <w:szCs w:val="15"/>
          <w:color w:val="231F20"/>
        </w:rPr>
        <w:t>ǳƲƇƫƲȯ ɦǛɅǕ Ƈ ȷɅȯȉǾ</w:t>
      </w:r>
      <w:r>
        <w:rPr>
          <w:rFonts w:ascii="Arial" w:cs="Arial" w:eastAsia="Arial" w:hAnsi="Arial"/>
          <w:sz w:val="15"/>
          <w:szCs w:val="15"/>
          <w:color w:val="231F20"/>
        </w:rPr>
        <w:t xml:space="preserve">Ǎ </w:t>
      </w:r>
      <w:r>
        <w:rPr>
          <w:rFonts w:ascii="Arial" w:cs="Arial" w:eastAsia="Arial" w:hAnsi="Arial"/>
          <w:sz w:val="15"/>
          <w:szCs w:val="15"/>
          <w:color w:val="231F20"/>
        </w:rPr>
        <w:t>ȯƲƤȉȯƫ ȉǌ ǳƲƇƫǛǾ</w:t>
      </w:r>
      <w:r>
        <w:rPr>
          <w:rFonts w:ascii="Arial" w:cs="Arial" w:eastAsia="Arial" w:hAnsi="Arial"/>
          <w:sz w:val="15"/>
          <w:szCs w:val="15"/>
          <w:color w:val="231F20"/>
        </w:rPr>
        <w:t xml:space="preserve">Ǎ </w:t>
      </w:r>
      <w:r>
        <w:rPr>
          <w:rFonts w:ascii="Arial" w:cs="Arial" w:eastAsia="Arial" w:hAnsi="Arial"/>
          <w:sz w:val="15"/>
          <w:szCs w:val="15"/>
          <w:color w:val="231F20"/>
        </w:rPr>
        <w:t>ƣɍȷǛǾƲȷ</w:t>
      </w:r>
      <w:r>
        <w:rPr>
          <w:rFonts w:ascii="Arial" w:cs="Arial" w:eastAsia="Arial" w:hAnsi="Arial"/>
          <w:sz w:val="15"/>
          <w:szCs w:val="15"/>
          <w:color w:val="231F20"/>
        </w:rPr>
        <w:t xml:space="preserve">ȷ </w:t>
      </w:r>
      <w:r>
        <w:rPr>
          <w:rFonts w:ascii="Arial" w:cs="Arial" w:eastAsia="Arial" w:hAnsi="Arial"/>
          <w:sz w:val="15"/>
          <w:szCs w:val="15"/>
          <w:color w:val="231F20"/>
        </w:rPr>
        <w:t>ɅȯƇǾȷ</w:t>
      </w:r>
      <w:r>
        <w:rPr>
          <w:rFonts w:ascii="Arial" w:cs="Arial" w:eastAsia="Arial" w:hAnsi="Arial"/>
          <w:sz w:val="15"/>
          <w:szCs w:val="15"/>
          <w:color w:val="231F20"/>
        </w:rPr>
        <w:t>ǌ</w:t>
      </w:r>
      <w:r>
        <w:rPr>
          <w:rFonts w:ascii="Arial" w:cs="Arial" w:eastAsia="Arial" w:hAnsi="Arial"/>
          <w:sz w:val="15"/>
          <w:szCs w:val="15"/>
          <w:color w:val="231F20"/>
        </w:rPr>
        <w:t>ȉȯǼƇɅǛȉǾȷ ƇǾƫ ƫȯǛɥǛǾǍ ǍȯȉɦɅǕؘ</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5442585</wp:posOffset>
                </wp:positionH>
                <wp:positionV relativeFrom="paragraph">
                  <wp:posOffset>-356870</wp:posOffset>
                </wp:positionV>
                <wp:extent cx="13335" cy="1270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12700"/>
                        </a:xfrm>
                        <a:prstGeom prst="rect">
                          <a:avLst/>
                        </a:prstGeom>
                        <a:solidFill>
                          <a:srgbClr val="231F20"/>
                        </a:solidFill>
                      </wps:spPr>
                      <wps:bodyPr/>
                    </wps:wsp>
                  </a:graphicData>
                </a:graphic>
              </wp:anchor>
            </w:drawing>
          </mc:Choice>
          <mc:Fallback>
            <w:pict>
              <v:rect id="Shape 6" o:spid="_x0000_s1031" style="position:absolute;margin-left:428.55pt;margin-top:-28.0999pt;width:1.0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w:r>
    </w:p>
    <w:p>
      <w:pPr>
        <w:spacing w:after="0" w:line="96" w:lineRule="exact"/>
        <w:rPr>
          <w:sz w:val="20"/>
          <w:szCs w:val="20"/>
          <w:color w:val="auto"/>
        </w:rPr>
      </w:pPr>
    </w:p>
    <w:p>
      <w:pPr>
        <w:jc w:val="both"/>
        <w:spacing w:after="0" w:line="380" w:lineRule="auto"/>
        <w:rPr>
          <w:sz w:val="20"/>
          <w:szCs w:val="20"/>
          <w:color w:val="auto"/>
        </w:rPr>
      </w:pPr>
      <w:r>
        <w:rPr>
          <w:rFonts w:ascii="Arial" w:cs="Arial" w:eastAsia="Arial" w:hAnsi="Arial"/>
          <w:sz w:val="14"/>
          <w:szCs w:val="14"/>
          <w:color w:val="231F20"/>
        </w:rPr>
        <w:t>U ǕƇɥƲ ɦȉȯǯƲƫ ɦǛɅǕ tǛǯƲ ȬȯƲɥǛȉɍȷǳ</w:t>
      </w:r>
      <w:r>
        <w:rPr>
          <w:rFonts w:ascii="Arial" w:cs="Arial" w:eastAsia="Arial" w:hAnsi="Arial"/>
          <w:sz w:val="14"/>
          <w:szCs w:val="14"/>
          <w:color w:val="231F20"/>
        </w:rPr>
        <w:t>ɬ</w:t>
      </w:r>
      <w:r>
        <w:rPr>
          <w:rFonts w:ascii="Arial" w:cs="Arial" w:eastAsia="Arial" w:hAnsi="Arial"/>
          <w:sz w:val="14"/>
          <w:szCs w:val="14"/>
          <w:color w:val="231F20"/>
        </w:rPr>
        <w:t xml:space="preserve"> ƇǾƫ ɦǛɅǾƲȷȷƲƫ ǕǛȷ ȬƇȷȷǛȉǾ ƇǾƫ ǌȉƤɍȷ ȉǾ ƲǾǕƇǾƤǛǾ</w:t>
      </w:r>
      <w:r>
        <w:rPr>
          <w:rFonts w:ascii="Arial" w:cs="Arial" w:eastAsia="Arial" w:hAnsi="Arial"/>
          <w:sz w:val="14"/>
          <w:szCs w:val="14"/>
          <w:color w:val="231F20"/>
        </w:rPr>
        <w:t>Ǎ</w:t>
      </w:r>
      <w:r>
        <w:rPr>
          <w:rFonts w:ascii="Arial" w:cs="Arial" w:eastAsia="Arial" w:hAnsi="Arial"/>
          <w:sz w:val="14"/>
          <w:szCs w:val="14"/>
          <w:color w:val="231F20"/>
        </w:rPr>
        <w:t xml:space="preserve"> ɅǕƲ ȉɦǾƲȯ ƲɫȬƲȯǛƲǾƤƲؘ U ƇǼ Ƥȉ</w:t>
      </w:r>
      <w:r>
        <w:rPr>
          <w:rFonts w:ascii="Arial" w:cs="Arial" w:eastAsia="Arial" w:hAnsi="Arial"/>
          <w:sz w:val="14"/>
          <w:szCs w:val="14"/>
          <w:color w:val="231F20"/>
        </w:rPr>
        <w:t>Ǿ˚ ƫƲ</w:t>
      </w:r>
      <w:r>
        <w:rPr>
          <w:rFonts w:ascii="Arial" w:cs="Arial" w:eastAsia="Arial" w:hAnsi="Arial"/>
          <w:sz w:val="14"/>
          <w:szCs w:val="14"/>
          <w:color w:val="231F20"/>
        </w:rPr>
        <w:t>Ǿ</w:t>
      </w:r>
      <w:r>
        <w:rPr>
          <w:rFonts w:ascii="Arial" w:cs="Arial" w:eastAsia="Arial" w:hAnsi="Arial"/>
          <w:sz w:val="14"/>
          <w:szCs w:val="14"/>
          <w:color w:val="231F20"/>
        </w:rPr>
        <w:t>Ʌ Ʌ</w:t>
      </w:r>
      <w:r>
        <w:rPr>
          <w:rFonts w:ascii="Arial" w:cs="Arial" w:eastAsia="Arial" w:hAnsi="Arial"/>
          <w:sz w:val="14"/>
          <w:szCs w:val="14"/>
          <w:color w:val="231F20"/>
        </w:rPr>
        <w:t>Ǖ</w:t>
      </w:r>
      <w:r>
        <w:rPr>
          <w:rFonts w:ascii="Arial" w:cs="Arial" w:eastAsia="Arial" w:hAnsi="Arial"/>
          <w:sz w:val="14"/>
          <w:szCs w:val="14"/>
          <w:color w:val="231F20"/>
        </w:rPr>
        <w:t>ƇɅ</w:t>
      </w:r>
      <w:r>
        <w:rPr>
          <w:rFonts w:ascii="Arial" w:cs="Arial" w:eastAsia="Arial" w:hAnsi="Arial"/>
          <w:sz w:val="14"/>
          <w:szCs w:val="14"/>
          <w:color w:val="231F20"/>
        </w:rPr>
        <w:t xml:space="preserve"> ɦ</w:t>
      </w:r>
      <w:r>
        <w:rPr>
          <w:rFonts w:ascii="Arial" w:cs="Arial" w:eastAsia="Arial" w:hAnsi="Arial"/>
          <w:sz w:val="14"/>
          <w:szCs w:val="14"/>
          <w:color w:val="231F20"/>
        </w:rPr>
        <w:t>Ʋ Ƈ</w:t>
      </w:r>
      <w:r>
        <w:rPr>
          <w:rFonts w:ascii="Arial" w:cs="Arial" w:eastAsia="Arial" w:hAnsi="Arial"/>
          <w:sz w:val="14"/>
          <w:szCs w:val="14"/>
          <w:color w:val="231F20"/>
        </w:rPr>
        <w:t>ȯ</w:t>
      </w:r>
      <w:r>
        <w:rPr>
          <w:rFonts w:ascii="Arial" w:cs="Arial" w:eastAsia="Arial" w:hAnsi="Arial"/>
          <w:sz w:val="14"/>
          <w:szCs w:val="14"/>
          <w:color w:val="231F20"/>
        </w:rPr>
        <w:t>Ʋ</w:t>
      </w:r>
      <w:r>
        <w:rPr>
          <w:rFonts w:ascii="Arial" w:cs="Arial" w:eastAsia="Arial" w:hAnsi="Arial"/>
          <w:sz w:val="14"/>
          <w:szCs w:val="14"/>
          <w:color w:val="231F20"/>
        </w:rPr>
        <w:t xml:space="preserve"> ǼƇǯǛǾǍ ǾƲƤƲȷȷƇȯɬ ƤǕƇǾǍƲȷ Ʌȉ ɅȯƇǾȷ</w:t>
      </w:r>
      <w:r>
        <w:rPr>
          <w:rFonts w:ascii="Arial" w:cs="Arial" w:eastAsia="Arial" w:hAnsi="Arial"/>
          <w:sz w:val="14"/>
          <w:szCs w:val="14"/>
          <w:color w:val="231F20"/>
        </w:rPr>
        <w:t>ǌ</w:t>
      </w:r>
      <w:r>
        <w:rPr>
          <w:rFonts w:ascii="Arial" w:cs="Arial" w:eastAsia="Arial" w:hAnsi="Arial"/>
          <w:sz w:val="14"/>
          <w:szCs w:val="14"/>
          <w:color w:val="231F20"/>
        </w:rPr>
        <w:t>ȉȯǼ ȉɍȯ ȉȬƲȯƇɅǛȉǾƇǳ Ʋ</w:t>
      </w:r>
      <w:r>
        <w:rPr>
          <w:rFonts w:ascii="Arial" w:cs="Arial" w:eastAsia="Arial" w:hAnsi="Arial"/>
          <w:sz w:val="14"/>
          <w:szCs w:val="14"/>
          <w:color w:val="231F20"/>
        </w:rPr>
        <w:t>ǌǌ</w:t>
      </w:r>
      <w:r>
        <w:rPr>
          <w:rFonts w:ascii="Arial" w:cs="Arial" w:eastAsia="Arial" w:hAnsi="Arial"/>
          <w:sz w:val="14"/>
          <w:szCs w:val="14"/>
          <w:color w:val="231F20"/>
        </w:rPr>
        <w:t>ƲƤɅǛɥƲǾƲȷȷ ƇǾƫ ǕƇȯǾƲȷȷ ɅǕƲ ȬȉɦƲȯ ȉ</w:t>
      </w:r>
      <w:r>
        <w:rPr>
          <w:rFonts w:ascii="Arial" w:cs="Arial" w:eastAsia="Arial" w:hAnsi="Arial"/>
          <w:sz w:val="14"/>
          <w:szCs w:val="14"/>
          <w:color w:val="231F20"/>
        </w:rPr>
        <w:t>ǌ</w:t>
      </w:r>
      <w:r>
        <w:rPr>
          <w:rFonts w:ascii="Arial" w:cs="Arial" w:eastAsia="Arial" w:hAnsi="Arial"/>
          <w:sz w:val="14"/>
          <w:szCs w:val="14"/>
          <w:color w:val="231F20"/>
        </w:rPr>
        <w:t xml:space="preserve"> ȉɍȯ ƣȯƇǾƫȷ ƇǾƫ ȉɍȯ ȬǳƇɅ</w:t>
      </w:r>
      <w:r>
        <w:rPr>
          <w:rFonts w:ascii="Arial" w:cs="Arial" w:eastAsia="Arial" w:hAnsi="Arial"/>
          <w:sz w:val="14"/>
          <w:szCs w:val="14"/>
          <w:color w:val="231F20"/>
        </w:rPr>
        <w:t>ǌ</w:t>
      </w:r>
      <w:r>
        <w:rPr>
          <w:rFonts w:ascii="Arial" w:cs="Arial" w:eastAsia="Arial" w:hAnsi="Arial"/>
          <w:sz w:val="14"/>
          <w:szCs w:val="14"/>
          <w:color w:val="231F20"/>
        </w:rPr>
        <w:t>ȉȯǼ</w:t>
      </w:r>
      <w:r>
        <w:rPr>
          <w:rFonts w:ascii="Arial" w:cs="Arial" w:eastAsia="Arial" w:hAnsi="Arial"/>
          <w:sz w:val="14"/>
          <w:szCs w:val="14"/>
          <w:color w:val="231F20"/>
        </w:rPr>
        <w:t>ؘ</w:t>
      </w:r>
    </w:p>
    <w:p>
      <w:pPr>
        <w:spacing w:after="0" w:line="20" w:lineRule="exact"/>
        <w:rPr>
          <w:sz w:val="20"/>
          <w:szCs w:val="20"/>
          <w:color w:val="auto"/>
        </w:rPr>
      </w:pPr>
    </w:p>
    <w:p>
      <w:pPr>
        <w:jc w:val="both"/>
        <w:spacing w:after="0" w:line="209" w:lineRule="exact"/>
        <w:rPr>
          <w:sz w:val="20"/>
          <w:szCs w:val="20"/>
          <w:color w:val="auto"/>
        </w:rPr>
      </w:pPr>
      <w:r>
        <w:rPr>
          <w:rFonts w:ascii="Arial" w:cs="Arial" w:eastAsia="Arial" w:hAnsi="Arial"/>
          <w:sz w:val="14"/>
          <w:szCs w:val="14"/>
          <w:color w:val="231F20"/>
        </w:rPr>
        <w:t xml:space="preserve">U ɦƇǾɅ Ʌȉ ɅǕƇǾǯ ȉɍȯ ƇȷȷȉƤǛƇɅƲȷ ǌȉȯ ɅǕƲǛȯ ǕƇȯƫ ɦȉȯǯ ƇǾƫ ƤȉǼǼǛɅǼƲǾɅ ȷǛǾƤƲ U </w:t>
      </w:r>
      <w:r>
        <w:rPr>
          <w:rFonts w:ascii="Arial" w:cs="Arial" w:eastAsia="Arial" w:hAnsi="Arial"/>
          <w:sz w:val="14"/>
          <w:szCs w:val="14"/>
          <w:color w:val="231F20"/>
        </w:rPr>
        <w:t>Ǭ</w:t>
      </w:r>
      <w:r>
        <w:rPr>
          <w:rFonts w:ascii="Arial" w:cs="Arial" w:eastAsia="Arial" w:hAnsi="Arial"/>
          <w:sz w:val="14"/>
          <w:szCs w:val="14"/>
          <w:color w:val="231F20"/>
        </w:rPr>
        <w:t xml:space="preserve">ȉǛǾƲƫ ɅǕƲ </w:t>
      </w:r>
      <w:r>
        <w:rPr>
          <w:rFonts w:ascii="PMingLiU" w:cs="PMingLiU" w:eastAsia="PMingLiU" w:hAnsi="PMingLiU"/>
          <w:sz w:val="14"/>
          <w:szCs w:val="14"/>
          <w:color w:val="231F20"/>
        </w:rPr>
        <w:t/>
      </w:r>
      <w:r>
        <w:rPr>
          <w:rFonts w:ascii="Arial" w:cs="Arial" w:eastAsia="Arial" w:hAnsi="Arial"/>
          <w:sz w:val="14"/>
          <w:szCs w:val="14"/>
          <w:color w:val="231F20"/>
        </w:rPr>
        <w:t>ȉǼȬƇǾ</w:t>
      </w:r>
      <w:r>
        <w:rPr>
          <w:rFonts w:ascii="Arial" w:cs="Arial" w:eastAsia="Arial" w:hAnsi="Arial"/>
          <w:sz w:val="14"/>
          <w:szCs w:val="14"/>
          <w:color w:val="231F20"/>
        </w:rPr>
        <w:t>ɬ</w:t>
      </w:r>
      <w:r>
        <w:rPr>
          <w:rFonts w:ascii="Arial" w:cs="Arial" w:eastAsia="Arial" w:hAnsi="Arial"/>
          <w:sz w:val="14"/>
          <w:szCs w:val="14"/>
          <w:color w:val="231F20"/>
        </w:rPr>
        <w:t xml:space="preserve"> ػ ɅǕƲȯƲ ƇȯƲ Ʌȉȉ ǼƇǾ</w:t>
      </w:r>
      <w:r>
        <w:rPr>
          <w:rFonts w:ascii="Arial" w:cs="Arial" w:eastAsia="Arial" w:hAnsi="Arial"/>
          <w:sz w:val="14"/>
          <w:szCs w:val="14"/>
          <w:color w:val="231F20"/>
        </w:rPr>
        <w:t>ɬ</w:t>
      </w:r>
      <w:r>
        <w:rPr>
          <w:rFonts w:ascii="Arial" w:cs="Arial" w:eastAsia="Arial" w:hAnsi="Arial"/>
          <w:sz w:val="14"/>
          <w:szCs w:val="14"/>
          <w:color w:val="231F20"/>
        </w:rPr>
        <w:t xml:space="preserve"> Ʌȉ ǾƇǼƲ ɦǕȉ ǕƇɥƲ ȷɅƲȬȬƲƫ ɍȬؙ ƇǾƫ ǛɅ Ǜȷ ƫƲƲȬǳɬ ƇȬȬȯƲƤǛƇɅƲƫؘ vȉɦؙ ɦƲ ƇȯƲ ǼȉɥǛǾǍ ɅȉǍƲɅǕƲȯ ɦǛɅǕ ƲǾƲȯǍɬ ƇǾƫ ƣƲǳǛƲ</w:t>
      </w:r>
      <w:r>
        <w:rPr>
          <w:rFonts w:ascii="Arial" w:cs="Arial" w:eastAsia="Arial" w:hAnsi="Arial"/>
          <w:sz w:val="14"/>
          <w:szCs w:val="14"/>
          <w:color w:val="231F20"/>
        </w:rPr>
        <w:t>ǌ</w:t>
      </w:r>
      <w:r>
        <w:rPr>
          <w:rFonts w:ascii="Arial" w:cs="Arial" w:eastAsia="Arial" w:hAnsi="Arial"/>
          <w:sz w:val="14"/>
          <w:szCs w:val="14"/>
          <w:color w:val="231F20"/>
        </w:rPr>
        <w:t xml:space="preserve"> Ʌȉ ȯƲɅɍȯǾ ɍȷ Ʌȉ Ƈ ȬƇɅǕ </w:t>
      </w:r>
      <w:r>
        <w:rPr>
          <w:rFonts w:ascii="Arial" w:cs="Arial" w:eastAsia="Arial" w:hAnsi="Arial"/>
          <w:sz w:val="14"/>
          <w:szCs w:val="14"/>
          <w:color w:val="231F20"/>
        </w:rPr>
        <w:t>ǌ</w:t>
      </w:r>
      <w:r>
        <w:rPr>
          <w:rFonts w:ascii="Arial" w:cs="Arial" w:eastAsia="Arial" w:hAnsi="Arial"/>
          <w:sz w:val="14"/>
          <w:szCs w:val="14"/>
          <w:color w:val="231F20"/>
        </w:rPr>
        <w:t>ȉȯ ǍȯȉɦɅǕ</w:t>
      </w:r>
      <w:r>
        <w:rPr>
          <w:rFonts w:ascii="Arial" w:cs="Arial" w:eastAsia="Arial" w:hAnsi="Arial"/>
          <w:sz w:val="14"/>
          <w:szCs w:val="14"/>
          <w:color w:val="231F20"/>
        </w:rPr>
        <w:t>ؘ</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231F20"/>
        </w:rPr>
        <w:t>½</w:t>
      </w:r>
      <w:r>
        <w:rPr>
          <w:rFonts w:ascii="Arial" w:cs="Arial" w:eastAsia="Arial" w:hAnsi="Arial"/>
          <w:sz w:val="15"/>
          <w:szCs w:val="15"/>
          <w:color w:val="231F20"/>
        </w:rPr>
        <w:t>ǕƇǾǯ</w:t>
      </w:r>
      <w:r>
        <w:rPr>
          <w:rFonts w:ascii="Arial" w:cs="Arial" w:eastAsia="Arial" w:hAnsi="Arial"/>
          <w:sz w:val="15"/>
          <w:szCs w:val="15"/>
          <w:color w:val="231F20"/>
        </w:rPr>
        <w:t xml:space="preserve"> ɬ</w:t>
      </w:r>
      <w:r>
        <w:rPr>
          <w:rFonts w:ascii="Arial" w:cs="Arial" w:eastAsia="Arial" w:hAnsi="Arial"/>
          <w:sz w:val="15"/>
          <w:szCs w:val="15"/>
          <w:color w:val="231F20"/>
        </w:rPr>
        <w:t>ȉɍ ǌȉȯ</w:t>
      </w:r>
      <w:r>
        <w:rPr>
          <w:rFonts w:ascii="Arial" w:cs="Arial" w:eastAsia="Arial" w:hAnsi="Arial"/>
          <w:sz w:val="15"/>
          <w:szCs w:val="15"/>
          <w:color w:val="231F20"/>
        </w:rPr>
        <w:t xml:space="preserve"> ɬ</w:t>
      </w:r>
      <w:r>
        <w:rPr>
          <w:rFonts w:ascii="Arial" w:cs="Arial" w:eastAsia="Arial" w:hAnsi="Arial"/>
          <w:sz w:val="15"/>
          <w:szCs w:val="15"/>
          <w:color w:val="231F20"/>
        </w:rPr>
        <w:t>ȉɍȯ ȉǾ</w:t>
      </w:r>
      <w:r>
        <w:rPr>
          <w:rFonts w:ascii="Arial" w:cs="Arial" w:eastAsia="Arial" w:hAnsi="Arial"/>
          <w:sz w:val="15"/>
          <w:szCs w:val="15"/>
          <w:color w:val="231F20"/>
        </w:rPr>
        <w:t>Ǎ</w:t>
      </w:r>
      <w:r>
        <w:rPr>
          <w:rFonts w:ascii="Arial" w:cs="Arial" w:eastAsia="Arial" w:hAnsi="Arial"/>
          <w:sz w:val="15"/>
          <w:szCs w:val="15"/>
          <w:color w:val="231F20"/>
        </w:rPr>
        <w:t>ȉǛǾ</w:t>
      </w:r>
      <w:r>
        <w:rPr>
          <w:rFonts w:ascii="Arial" w:cs="Arial" w:eastAsia="Arial" w:hAnsi="Arial"/>
          <w:sz w:val="15"/>
          <w:szCs w:val="15"/>
          <w:color w:val="231F20"/>
        </w:rPr>
        <w:t xml:space="preserve">Ǎ </w:t>
      </w:r>
      <w:r>
        <w:rPr>
          <w:rFonts w:ascii="Arial" w:cs="Arial" w:eastAsia="Arial" w:hAnsi="Arial"/>
          <w:sz w:val="15"/>
          <w:szCs w:val="15"/>
          <w:color w:val="231F20"/>
        </w:rPr>
        <w:t>ȷɍȬȬȉȯɅ ǌȉȯ tƇȯȯǛȉɅɅ ÜƇƤƇɅǛȉǾȷ ÝȉȯǳƫɦǛƫƲ</w:t>
      </w:r>
      <w:r>
        <w:rPr>
          <w:rFonts w:ascii="Arial" w:cs="Arial" w:eastAsia="Arial" w:hAnsi="Arial"/>
          <w:sz w:val="15"/>
          <w:szCs w:val="15"/>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2592705" cy="800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2592705" cy="800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620"/>
        <w:spacing w:after="0"/>
        <w:rPr>
          <w:sz w:val="20"/>
          <w:szCs w:val="20"/>
          <w:color w:val="auto"/>
        </w:rPr>
      </w:pPr>
      <w:r>
        <w:rPr>
          <w:rFonts w:ascii="Arial" w:cs="Arial" w:eastAsia="Arial" w:hAnsi="Arial"/>
          <w:sz w:val="15"/>
          <w:szCs w:val="15"/>
          <w:b w:val="1"/>
          <w:bCs w:val="1"/>
          <w:color w:val="231F20"/>
        </w:rPr>
        <w:t>Matthew E. Avril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1687195</wp:posOffset>
            </wp:positionH>
            <wp:positionV relativeFrom="paragraph">
              <wp:posOffset>-57785</wp:posOffset>
            </wp:positionV>
            <wp:extent cx="4763"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4763" cy="11430"/>
                    </a:xfrm>
                    <a:prstGeom prst="rect">
                      <a:avLst/>
                    </a:prstGeom>
                    <a:noFill/>
                  </pic:spPr>
                </pic:pic>
              </a:graphicData>
            </a:graphic>
          </wp:anchor>
        </w:drawing>
      </w:r>
    </w:p>
    <w:p>
      <w:pPr>
        <w:spacing w:after="0" w:line="33" w:lineRule="exact"/>
        <w:rPr>
          <w:sz w:val="20"/>
          <w:szCs w:val="20"/>
          <w:color w:val="auto"/>
        </w:rPr>
      </w:pPr>
    </w:p>
    <w:p>
      <w:pPr>
        <w:ind w:left="1620"/>
        <w:spacing w:after="0" w:line="182" w:lineRule="exact"/>
        <w:rPr>
          <w:sz w:val="20"/>
          <w:szCs w:val="20"/>
          <w:color w:val="auto"/>
        </w:rPr>
      </w:pPr>
      <w:r>
        <w:rPr>
          <w:rFonts w:ascii="PMingLiU" w:cs="PMingLiU" w:eastAsia="PMingLiU" w:hAnsi="PMingLiU"/>
          <w:sz w:val="15"/>
          <w:szCs w:val="15"/>
          <w:color w:val="231F20"/>
        </w:rPr>
        <w:t/>
      </w:r>
      <w:r>
        <w:rPr>
          <w:rFonts w:ascii="Arial" w:cs="Arial" w:eastAsia="Arial" w:hAnsi="Arial"/>
          <w:sz w:val="15"/>
          <w:szCs w:val="15"/>
          <w:color w:val="231F20"/>
        </w:rPr>
        <w:t>Ǖ</w:t>
      </w:r>
      <w:r>
        <w:rPr>
          <w:rFonts w:ascii="Arial" w:cs="Arial" w:eastAsia="Arial" w:hAnsi="Arial"/>
          <w:sz w:val="15"/>
          <w:szCs w:val="15"/>
          <w:color w:val="231F20"/>
        </w:rPr>
        <w:t>Ǜ</w:t>
      </w:r>
      <w:r>
        <w:rPr>
          <w:rFonts w:ascii="Arial" w:cs="Arial" w:eastAsia="Arial" w:hAnsi="Arial"/>
          <w:sz w:val="15"/>
          <w:szCs w:val="15"/>
          <w:color w:val="231F20"/>
        </w:rPr>
        <w:t>Ʋ</w:t>
      </w:r>
      <w:r>
        <w:rPr>
          <w:rFonts w:ascii="Arial" w:cs="Arial" w:eastAsia="Arial" w:hAnsi="Arial"/>
          <w:sz w:val="15"/>
          <w:szCs w:val="15"/>
          <w:color w:val="231F20"/>
        </w:rPr>
        <w:t>ǌ -</w:t>
      </w:r>
      <w:r>
        <w:rPr>
          <w:rFonts w:ascii="Arial" w:cs="Arial" w:eastAsia="Arial" w:hAnsi="Arial"/>
          <w:sz w:val="15"/>
          <w:szCs w:val="15"/>
          <w:color w:val="231F20"/>
        </w:rPr>
        <w:t>ɫ</w:t>
      </w:r>
      <w:r>
        <w:rPr>
          <w:rFonts w:ascii="Arial" w:cs="Arial" w:eastAsia="Arial" w:hAnsi="Arial"/>
          <w:sz w:val="15"/>
          <w:szCs w:val="15"/>
          <w:color w:val="231F20"/>
        </w:rPr>
        <w:t>ƲƤɍɅ</w:t>
      </w:r>
      <w:r>
        <w:rPr>
          <w:rFonts w:ascii="Arial" w:cs="Arial" w:eastAsia="Arial" w:hAnsi="Arial"/>
          <w:sz w:val="15"/>
          <w:szCs w:val="15"/>
          <w:color w:val="231F20"/>
        </w:rPr>
        <w:t>Ǜ</w:t>
      </w:r>
      <w:r>
        <w:rPr>
          <w:rFonts w:ascii="Arial" w:cs="Arial" w:eastAsia="Arial" w:hAnsi="Arial"/>
          <w:sz w:val="15"/>
          <w:szCs w:val="15"/>
          <w:color w:val="231F20"/>
        </w:rPr>
        <w:t>ɥ</w:t>
      </w:r>
      <w:r>
        <w:rPr>
          <w:rFonts w:ascii="Arial" w:cs="Arial" w:eastAsia="Arial" w:hAnsi="Arial"/>
          <w:sz w:val="15"/>
          <w:szCs w:val="15"/>
          <w:color w:val="231F20"/>
        </w:rPr>
        <w:t>Ʋ</w:t>
      </w:r>
      <w:r>
        <w:rPr>
          <w:rFonts w:ascii="Arial" w:cs="Arial" w:eastAsia="Arial" w:hAnsi="Arial"/>
          <w:sz w:val="15"/>
          <w:szCs w:val="15"/>
          <w:color w:val="231F20"/>
        </w:rPr>
        <w:t xml:space="preserve"> </w:t>
      </w:r>
      <w:r>
        <w:rPr>
          <w:rFonts w:ascii="PMingLiU" w:cs="PMingLiU" w:eastAsia="PMingLiU" w:hAnsi="PMingLiU"/>
          <w:sz w:val="15"/>
          <w:szCs w:val="15"/>
          <w:color w:val="231F20"/>
        </w:rPr>
        <w:t></w:t>
      </w:r>
      <w:r>
        <w:rPr>
          <w:rFonts w:ascii="Arial" w:cs="Arial" w:eastAsia="Arial" w:hAnsi="Arial"/>
          <w:sz w:val="15"/>
          <w:szCs w:val="15"/>
          <w:color w:val="231F20"/>
        </w:rPr>
        <w:t xml:space="preserve">ǌ˚ </w:t>
      </w:r>
      <w:r>
        <w:rPr>
          <w:rFonts w:ascii="Arial" w:cs="Arial" w:eastAsia="Arial" w:hAnsi="Arial"/>
          <w:sz w:val="15"/>
          <w:szCs w:val="15"/>
          <w:color w:val="231F20"/>
        </w:rPr>
        <w:t>ƤƲ</w:t>
      </w:r>
    </w:p>
    <w:p>
      <w:pPr>
        <w:spacing w:after="0" w:line="20" w:lineRule="exact"/>
        <w:rPr>
          <w:sz w:val="20"/>
          <w:szCs w:val="20"/>
          <w:color w:val="auto"/>
        </w:rPr>
      </w:pPr>
    </w:p>
    <w:p>
      <w:pPr>
        <w:sectPr>
          <w:pgSz w:w="11880" w:h="15480" w:orient="portrait"/>
          <w:cols w:equalWidth="0" w:num="1">
            <w:col w:w="10440"/>
          </w:cols>
          <w:pgMar w:left="540" w:top="502" w:right="900" w:bottom="388"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32"/>
          <w:szCs w:val="32"/>
          <w:b w:val="1"/>
          <w:bCs w:val="1"/>
          <w:color w:val="231F20"/>
        </w:rPr>
        <w:t>UNITED STATES</w:t>
      </w:r>
    </w:p>
    <w:p>
      <w:pPr>
        <w:spacing w:after="0" w:line="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231F20"/>
        </w:rPr>
        <w:t>SECURITIES AND EXCHANGE COMMISSION</w:t>
      </w:r>
    </w:p>
    <w:p>
      <w:pPr>
        <w:spacing w:after="0" w:line="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231F20"/>
        </w:rPr>
        <w:t>Washington, D.C. 20549</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231F20"/>
        </w:rPr>
        <w:t>FORM 10-K</w:t>
      </w:r>
    </w:p>
    <w:p>
      <w:pPr>
        <w:spacing w:after="0" w:line="109" w:lineRule="exact"/>
        <w:rPr>
          <w:sz w:val="20"/>
          <w:szCs w:val="20"/>
          <w:color w:val="auto"/>
        </w:rPr>
      </w:pPr>
    </w:p>
    <w:p>
      <w:pPr>
        <w:ind w:left="40"/>
        <w:spacing w:after="0" w:line="219" w:lineRule="exact"/>
        <w:rPr>
          <w:sz w:val="20"/>
          <w:szCs w:val="20"/>
          <w:color w:val="auto"/>
        </w:rPr>
      </w:pPr>
      <w:r>
        <w:rPr>
          <w:rFonts w:ascii="Times New Roman" w:cs="Times New Roman" w:eastAsia="Times New Roman" w:hAnsi="Times New Roman"/>
          <w:sz w:val="19"/>
          <w:szCs w:val="19"/>
          <w:b w:val="1"/>
          <w:bCs w:val="1"/>
          <w:color w:val="231F20"/>
        </w:rPr>
        <w:t>ANNUAL REPORT PURSUANT TO SECTION 13 OR 15(d) OF THE SECURITIES EXCHANGE ACT OF 1934</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31F20"/>
        </w:rPr>
        <w:t>For the Fiscal Year Ended December 31, 2025</w:t>
      </w:r>
    </w:p>
    <w:p>
      <w:pPr>
        <w:spacing w:after="0" w:line="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31F20"/>
        </w:rPr>
        <w:t>or</w:t>
      </w:r>
    </w:p>
    <w:p>
      <w:pPr>
        <w:spacing w:after="0" w:line="54" w:lineRule="exact"/>
        <w:rPr>
          <w:sz w:val="20"/>
          <w:szCs w:val="20"/>
          <w:color w:val="auto"/>
        </w:rPr>
      </w:pPr>
    </w:p>
    <w:p>
      <w:pPr>
        <w:ind w:left="40"/>
        <w:spacing w:after="0" w:line="219" w:lineRule="exact"/>
        <w:rPr>
          <w:sz w:val="20"/>
          <w:szCs w:val="20"/>
          <w:color w:val="auto"/>
        </w:rPr>
      </w:pPr>
      <w:r>
        <w:rPr>
          <w:rFonts w:ascii="Times New Roman" w:cs="Times New Roman" w:eastAsia="Times New Roman" w:hAnsi="Times New Roman"/>
          <w:sz w:val="19"/>
          <w:szCs w:val="19"/>
          <w:b w:val="1"/>
          <w:bCs w:val="1"/>
          <w:color w:val="231F20"/>
        </w:rPr>
        <w:t>TRANSITION REPORT PURSUANT TO SECTION 13 OR 15(d) OF THE SECURITIES EXCHANGE ACT OF 1934</w:t>
      </w:r>
    </w:p>
    <w:p>
      <w:pPr>
        <w:spacing w:after="0" w:line="145" w:lineRule="exact"/>
        <w:rPr>
          <w:sz w:val="20"/>
          <w:szCs w:val="20"/>
          <w:color w:val="auto"/>
        </w:rPr>
      </w:pPr>
    </w:p>
    <w:p>
      <w:pPr>
        <w:ind w:left="3500"/>
        <w:spacing w:after="0"/>
        <w:tabs>
          <w:tab w:leader="none" w:pos="6060" w:val="left"/>
        </w:tabs>
        <w:rPr>
          <w:sz w:val="20"/>
          <w:szCs w:val="20"/>
          <w:color w:val="auto"/>
        </w:rPr>
      </w:pPr>
      <w:r>
        <w:rPr>
          <w:rFonts w:ascii="Times New Roman" w:cs="Times New Roman" w:eastAsia="Times New Roman" w:hAnsi="Times New Roman"/>
          <w:sz w:val="16"/>
          <w:szCs w:val="16"/>
          <w:b w:val="1"/>
          <w:bCs w:val="1"/>
          <w:color w:val="231F20"/>
        </w:rPr>
        <w:t>For the transition period from</w:t>
      </w:r>
      <w:r>
        <w:rPr>
          <w:sz w:val="20"/>
          <w:szCs w:val="20"/>
          <w:color w:val="auto"/>
        </w:rPr>
        <w:tab/>
      </w:r>
      <w:r>
        <w:rPr>
          <w:rFonts w:ascii="Times New Roman" w:cs="Times New Roman" w:eastAsia="Times New Roman" w:hAnsi="Times New Roman"/>
          <w:sz w:val="16"/>
          <w:szCs w:val="16"/>
          <w:b w:val="1"/>
          <w:bCs w:val="1"/>
          <w:color w:val="231F20"/>
        </w:rPr>
        <w:t>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3535045</wp:posOffset>
                </wp:positionH>
                <wp:positionV relativeFrom="paragraph">
                  <wp:posOffset>-2540</wp:posOffset>
                </wp:positionV>
                <wp:extent cx="3048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 cy="4763"/>
                        </a:xfrm>
                        <a:prstGeom prst="line">
                          <a:avLst/>
                        </a:prstGeom>
                        <a:solidFill>
                          <a:srgbClr val="FFFFFF"/>
                        </a:solidFill>
                        <a:ln w="5080">
                          <a:solidFill>
                            <a:srgbClr val="231F2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35pt,-0.1999pt" to="302.35pt,-0.1999pt" o:allowincell="f" strokecolor="#231F20" strokeweight="0.4pt"/>
            </w:pict>
          </mc:Fallback>
        </mc:AlternateContent>
        <mc:AlternateContent>
          <mc:Choice Requires="wps">
            <w:drawing>
              <wp:anchor simplePos="0" relativeHeight="251657728" behindDoc="1" locked="0" layoutInCell="0" allowOverlap="1">
                <wp:simplePos x="0" y="0"/>
                <wp:positionH relativeFrom="column">
                  <wp:posOffset>3975735</wp:posOffset>
                </wp:positionH>
                <wp:positionV relativeFrom="paragraph">
                  <wp:posOffset>-2540</wp:posOffset>
                </wp:positionV>
                <wp:extent cx="3048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 cy="4763"/>
                        </a:xfrm>
                        <a:prstGeom prst="line">
                          <a:avLst/>
                        </a:prstGeom>
                        <a:solidFill>
                          <a:srgbClr val="FFFFFF"/>
                        </a:solidFill>
                        <a:ln w="5080">
                          <a:solidFill>
                            <a:srgbClr val="231F2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05pt,-0.1999pt" to="337.05pt,-0.1999pt" o:allowincell="f" strokecolor="#231F20" strokeweight="0.4pt"/>
            </w:pict>
          </mc:Fallback>
        </mc:AlternateConten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231F20"/>
        </w:rPr>
        <w:t>Commission File No. 001-35219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80645</wp:posOffset>
            </wp:positionV>
            <wp:extent cx="4200525" cy="12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4200525" cy="12700"/>
                    </a:xfrm>
                    <a:prstGeom prst="rect">
                      <a:avLst/>
                    </a:prstGeom>
                    <a:noFill/>
                  </pic:spPr>
                </pic:pic>
              </a:graphicData>
            </a:graphic>
          </wp:anchor>
        </w:drawing>
      </w:r>
    </w:p>
    <w:p>
      <w:pPr>
        <w:spacing w:after="0" w:line="2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231F20"/>
        </w:rPr>
        <w:t>Marriott Vacations Worldwide Corporation</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231F20"/>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96520</wp:posOffset>
            </wp:positionV>
            <wp:extent cx="420052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extLst>
                    </a:blip>
                    <a:srcRect/>
                    <a:stretch>
                      <a:fillRect/>
                    </a:stretch>
                  </pic:blipFill>
                  <pic:spPr bwMode="auto">
                    <a:xfrm>
                      <a:off x="0" y="0"/>
                      <a:ext cx="4200525" cy="1270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600" w:type="dxa"/>
        <w:tblCellMar>
          <w:top w:w="0" w:type="dxa"/>
          <w:left w:w="0" w:type="dxa"/>
          <w:bottom w:w="0" w:type="dxa"/>
          <w:right w:w="0" w:type="dxa"/>
        </w:tblCellMar>
      </w:tblPr>
      <w:tr>
        <w:trPr>
          <w:trHeight w:val="264"/>
        </w:trPr>
        <w:tc>
          <w:tcPr>
            <w:tcW w:w="4960" w:type="dxa"/>
            <w:vAlign w:val="bottom"/>
          </w:tcPr>
          <w:p>
            <w:pPr>
              <w:jc w:val="center"/>
              <w:ind w:right="750"/>
              <w:spacing w:after="0"/>
              <w:rPr>
                <w:sz w:val="20"/>
                <w:szCs w:val="20"/>
                <w:color w:val="auto"/>
              </w:rPr>
            </w:pPr>
            <w:r>
              <w:rPr>
                <w:rFonts w:ascii="Times New Roman" w:cs="Times New Roman" w:eastAsia="Times New Roman" w:hAnsi="Times New Roman"/>
                <w:sz w:val="20"/>
                <w:szCs w:val="20"/>
                <w:b w:val="1"/>
                <w:bCs w:val="1"/>
                <w:color w:val="231F20"/>
                <w:w w:val="98"/>
              </w:rPr>
              <w:t>Delaware</w:t>
            </w:r>
          </w:p>
        </w:tc>
        <w:tc>
          <w:tcPr>
            <w:tcW w:w="3300" w:type="dxa"/>
            <w:vAlign w:val="bottom"/>
          </w:tcPr>
          <w:p>
            <w:pPr>
              <w:jc w:val="right"/>
              <w:ind w:right="650"/>
              <w:spacing w:after="0"/>
              <w:rPr>
                <w:sz w:val="20"/>
                <w:szCs w:val="20"/>
                <w:color w:val="auto"/>
              </w:rPr>
            </w:pPr>
            <w:r>
              <w:rPr>
                <w:rFonts w:ascii="Times New Roman" w:cs="Times New Roman" w:eastAsia="Times New Roman" w:hAnsi="Times New Roman"/>
                <w:sz w:val="20"/>
                <w:szCs w:val="20"/>
                <w:b w:val="1"/>
                <w:bCs w:val="1"/>
                <w:color w:val="231F20"/>
              </w:rPr>
              <w:t>45-2598330</w:t>
            </w:r>
          </w:p>
        </w:tc>
      </w:tr>
      <w:tr>
        <w:trPr>
          <w:trHeight w:val="211"/>
        </w:trPr>
        <w:tc>
          <w:tcPr>
            <w:tcW w:w="496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231F20"/>
                <w:w w:val="99"/>
              </w:rPr>
              <w:t>(State or other jurisdiction of incorporation or organization)</w:t>
            </w:r>
          </w:p>
        </w:tc>
        <w:tc>
          <w:tcPr>
            <w:tcW w:w="3300" w:type="dxa"/>
            <w:vAlign w:val="bottom"/>
          </w:tcPr>
          <w:p>
            <w:pPr>
              <w:jc w:val="center"/>
              <w:ind w:left="750"/>
              <w:spacing w:after="0"/>
              <w:rPr>
                <w:sz w:val="20"/>
                <w:szCs w:val="20"/>
                <w:color w:val="auto"/>
              </w:rPr>
            </w:pPr>
            <w:r>
              <w:rPr>
                <w:rFonts w:ascii="Times New Roman" w:cs="Times New Roman" w:eastAsia="Times New Roman" w:hAnsi="Times New Roman"/>
                <w:sz w:val="16"/>
                <w:szCs w:val="16"/>
                <w:b w:val="1"/>
                <w:bCs w:val="1"/>
                <w:color w:val="231F20"/>
              </w:rPr>
              <w:t>(I.R.S. Employer Identification No.)</w:t>
            </w:r>
          </w:p>
        </w:tc>
      </w:tr>
      <w:tr>
        <w:trPr>
          <w:trHeight w:val="303"/>
        </w:trPr>
        <w:tc>
          <w:tcPr>
            <w:tcW w:w="4960" w:type="dxa"/>
            <w:vAlign w:val="bottom"/>
          </w:tcPr>
          <w:p>
            <w:pPr>
              <w:ind w:left="640"/>
              <w:spacing w:after="0"/>
              <w:rPr>
                <w:sz w:val="20"/>
                <w:szCs w:val="20"/>
                <w:color w:val="auto"/>
              </w:rPr>
            </w:pPr>
            <w:r>
              <w:rPr>
                <w:rFonts w:ascii="Times New Roman" w:cs="Times New Roman" w:eastAsia="Times New Roman" w:hAnsi="Times New Roman"/>
                <w:sz w:val="20"/>
                <w:szCs w:val="20"/>
                <w:b w:val="1"/>
                <w:bCs w:val="1"/>
                <w:color w:val="231F20"/>
              </w:rPr>
              <w:t>7812 Palm Parkway Orlando  FL</w:t>
            </w:r>
          </w:p>
        </w:tc>
        <w:tc>
          <w:tcPr>
            <w:tcW w:w="3300" w:type="dxa"/>
            <w:vAlign w:val="bottom"/>
          </w:tcPr>
          <w:p>
            <w:pPr>
              <w:jc w:val="right"/>
              <w:ind w:right="890"/>
              <w:spacing w:after="0"/>
              <w:rPr>
                <w:sz w:val="20"/>
                <w:szCs w:val="20"/>
                <w:color w:val="auto"/>
              </w:rPr>
            </w:pPr>
            <w:r>
              <w:rPr>
                <w:rFonts w:ascii="Times New Roman" w:cs="Times New Roman" w:eastAsia="Times New Roman" w:hAnsi="Times New Roman"/>
                <w:sz w:val="20"/>
                <w:szCs w:val="20"/>
                <w:b w:val="1"/>
                <w:bCs w:val="1"/>
                <w:color w:val="231F20"/>
              </w:rPr>
              <w:t>32836</w:t>
            </w:r>
          </w:p>
        </w:tc>
      </w:tr>
      <w:tr>
        <w:trPr>
          <w:trHeight w:val="222"/>
        </w:trPr>
        <w:tc>
          <w:tcPr>
            <w:tcW w:w="4960" w:type="dxa"/>
            <w:vAlign w:val="bottom"/>
          </w:tcPr>
          <w:p>
            <w:pPr>
              <w:jc w:val="center"/>
              <w:ind w:right="750"/>
              <w:spacing w:after="0"/>
              <w:rPr>
                <w:sz w:val="20"/>
                <w:szCs w:val="20"/>
                <w:color w:val="auto"/>
              </w:rPr>
            </w:pPr>
            <w:r>
              <w:rPr>
                <w:rFonts w:ascii="Times New Roman" w:cs="Times New Roman" w:eastAsia="Times New Roman" w:hAnsi="Times New Roman"/>
                <w:sz w:val="16"/>
                <w:szCs w:val="16"/>
                <w:b w:val="1"/>
                <w:bCs w:val="1"/>
                <w:color w:val="231F20"/>
                <w:w w:val="99"/>
              </w:rPr>
              <w:t>(Address of principal executive offices)</w:t>
            </w:r>
          </w:p>
        </w:tc>
        <w:tc>
          <w:tcPr>
            <w:tcW w:w="3300" w:type="dxa"/>
            <w:vAlign w:val="bottom"/>
          </w:tcPr>
          <w:p>
            <w:pPr>
              <w:jc w:val="center"/>
              <w:ind w:left="750"/>
              <w:spacing w:after="0"/>
              <w:rPr>
                <w:sz w:val="20"/>
                <w:szCs w:val="20"/>
                <w:color w:val="auto"/>
              </w:rPr>
            </w:pPr>
            <w:r>
              <w:rPr>
                <w:rFonts w:ascii="Times New Roman" w:cs="Times New Roman" w:eastAsia="Times New Roman" w:hAnsi="Times New Roman"/>
                <w:sz w:val="16"/>
                <w:szCs w:val="16"/>
                <w:b w:val="1"/>
                <w:bCs w:val="1"/>
                <w:color w:val="231F20"/>
                <w:w w:val="99"/>
              </w:rPr>
              <w:t>(Zip Code)</w:t>
            </w:r>
          </w:p>
        </w:tc>
      </w:tr>
    </w:tbl>
    <w:p>
      <w:pPr>
        <w:spacing w:after="0" w:line="1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31F20"/>
        </w:rPr>
        <w:t>Registrant’s Telephone Number, Including Area Code (407) 206-6000</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231F20"/>
        </w:rPr>
        <w:t>Securities registered pursuant to Section 12(b) of the Act: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00" w:type="dxa"/>
            <w:vAlign w:val="bottom"/>
          </w:tcPr>
          <w:p>
            <w:pPr>
              <w:spacing w:after="0"/>
              <w:rPr>
                <w:sz w:val="21"/>
                <w:szCs w:val="21"/>
                <w:color w:val="auto"/>
              </w:rPr>
            </w:pPr>
          </w:p>
        </w:tc>
        <w:tc>
          <w:tcPr>
            <w:tcW w:w="404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Title of Each Class</w:t>
            </w:r>
          </w:p>
        </w:tc>
        <w:tc>
          <w:tcPr>
            <w:tcW w:w="60" w:type="dxa"/>
            <w:vAlign w:val="bottom"/>
          </w:tcPr>
          <w:p>
            <w:pPr>
              <w:spacing w:after="0"/>
              <w:rPr>
                <w:sz w:val="21"/>
                <w:szCs w:val="21"/>
                <w:color w:val="auto"/>
              </w:rPr>
            </w:pPr>
          </w:p>
        </w:tc>
        <w:tc>
          <w:tcPr>
            <w:tcW w:w="18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Trading Symbol(s)</w:t>
            </w:r>
          </w:p>
        </w:tc>
        <w:tc>
          <w:tcPr>
            <w:tcW w:w="60" w:type="dxa"/>
            <w:vAlign w:val="bottom"/>
          </w:tcPr>
          <w:p>
            <w:pPr>
              <w:spacing w:after="0"/>
              <w:rPr>
                <w:sz w:val="21"/>
                <w:szCs w:val="21"/>
                <w:color w:val="auto"/>
              </w:rPr>
            </w:pPr>
          </w:p>
        </w:tc>
        <w:tc>
          <w:tcPr>
            <w:tcW w:w="384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Name of Each Exchange on Which Registered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4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231F20"/>
                <w:w w:val="99"/>
              </w:rPr>
              <w:t>Common Stock, $0.01 Par Value</w:t>
            </w:r>
          </w:p>
        </w:tc>
        <w:tc>
          <w:tcPr>
            <w:tcW w:w="6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VAC</w:t>
            </w:r>
          </w:p>
        </w:tc>
        <w:tc>
          <w:tcPr>
            <w:tcW w:w="60" w:type="dxa"/>
            <w:vAlign w:val="bottom"/>
          </w:tcPr>
          <w:p>
            <w:pPr>
              <w:spacing w:after="0"/>
              <w:rPr>
                <w:sz w:val="20"/>
                <w:szCs w:val="20"/>
                <w:color w:val="auto"/>
              </w:rPr>
            </w:pPr>
          </w:p>
        </w:tc>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231F20"/>
                <w:w w:val="99"/>
              </w:rPr>
              <w:t>New York Stock Exchange</w:t>
            </w:r>
          </w:p>
        </w:tc>
        <w:tc>
          <w:tcPr>
            <w:tcW w:w="0" w:type="dxa"/>
            <w:vAlign w:val="bottom"/>
          </w:tcPr>
          <w:p>
            <w:pPr>
              <w:spacing w:after="0"/>
              <w:rPr>
                <w:sz w:val="1"/>
                <w:szCs w:val="1"/>
                <w:color w:val="auto"/>
              </w:rPr>
            </w:pPr>
          </w:p>
        </w:tc>
      </w:tr>
      <w:tr>
        <w:trPr>
          <w:trHeight w:val="303"/>
        </w:trPr>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00" w:type="dxa"/>
            <w:vAlign w:val="bottom"/>
            <w:gridSpan w:val="6"/>
          </w:tcPr>
          <w:p>
            <w:pPr>
              <w:ind w:left="1080"/>
              <w:spacing w:after="0"/>
              <w:rPr>
                <w:sz w:val="20"/>
                <w:szCs w:val="20"/>
                <w:color w:val="auto"/>
              </w:rPr>
            </w:pPr>
            <w:r>
              <w:rPr>
                <w:rFonts w:ascii="Times New Roman" w:cs="Times New Roman" w:eastAsia="Times New Roman" w:hAnsi="Times New Roman"/>
                <w:sz w:val="16"/>
                <w:szCs w:val="16"/>
                <w:b w:val="1"/>
                <w:bCs w:val="1"/>
                <w:color w:val="231F20"/>
              </w:rPr>
              <w:t>Securities registered pursuant to Section 12(g) of the Act: NONE</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1820" w:type="dxa"/>
            <w:vAlign w:val="bottom"/>
            <w:gridSpan w:val="2"/>
          </w:tcPr>
          <w:p>
            <w:pPr>
              <w:spacing w:after="0"/>
              <w:rPr>
                <w:sz w:val="8"/>
                <w:szCs w:val="8"/>
                <w:color w:val="auto"/>
              </w:rPr>
            </w:pPr>
          </w:p>
        </w:tc>
        <w:tc>
          <w:tcPr>
            <w:tcW w:w="6600" w:type="dxa"/>
            <w:vAlign w:val="bottom"/>
            <w:tcBorders>
              <w:bottom w:val="single" w:sz="8" w:color="231F20"/>
            </w:tcBorders>
            <w:gridSpan w:val="5"/>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231F20"/>
              </w:rPr>
              <w:t>YesNo</w:t>
            </w:r>
          </w:p>
        </w:tc>
        <w:tc>
          <w:tcPr>
            <w:tcW w:w="0" w:type="dxa"/>
            <w:vAlign w:val="bottom"/>
          </w:tcPr>
          <w:p>
            <w:pPr>
              <w:spacing w:after="0"/>
              <w:rPr>
                <w:sz w:val="1"/>
                <w:szCs w:val="1"/>
                <w:color w:val="auto"/>
              </w:rPr>
            </w:pPr>
          </w:p>
        </w:tc>
      </w:tr>
      <w:tr>
        <w:trPr>
          <w:trHeight w:val="354"/>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231F20"/>
              </w:rPr>
              <w:t>Indicate by check mark if the registrant is a well-known seasoned issuer, as defined in Rule 405 of the Securities Act.</w:t>
            </w:r>
          </w:p>
        </w:tc>
        <w:tc>
          <w:tcPr>
            <w:tcW w:w="1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620" w:type="dxa"/>
            <w:vAlign w:val="bottom"/>
            <w:gridSpan w:val="8"/>
          </w:tcPr>
          <w:p>
            <w:pPr>
              <w:spacing w:after="0"/>
              <w:rPr>
                <w:sz w:val="20"/>
                <w:szCs w:val="20"/>
                <w:color w:val="auto"/>
              </w:rPr>
            </w:pPr>
            <w:r>
              <w:rPr>
                <w:rFonts w:ascii="Times New Roman" w:cs="Times New Roman" w:eastAsia="Times New Roman" w:hAnsi="Times New Roman"/>
                <w:sz w:val="18"/>
                <w:szCs w:val="18"/>
                <w:color w:val="231F20"/>
                <w:w w:val="99"/>
              </w:rPr>
              <w:t>Indicate by check mark if the registrant is not required to file reports pursuant to Section 13 or Section 15(d) of the Act.</w:t>
            </w:r>
          </w:p>
        </w:tc>
        <w:tc>
          <w:tcPr>
            <w:tcW w:w="14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231F20"/>
              </w:rPr>
              <w:t>YesNo</w:t>
            </w: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38" w:lineRule="exact"/>
        <w:rPr>
          <w:sz w:val="20"/>
          <w:szCs w:val="20"/>
          <w:color w:val="auto"/>
        </w:rPr>
      </w:pPr>
    </w:p>
    <w:p>
      <w:pPr>
        <w:ind w:right="140"/>
        <w:spacing w:after="0" w:line="224" w:lineRule="exact"/>
        <w:rPr>
          <w:sz w:val="20"/>
          <w:szCs w:val="20"/>
          <w:color w:val="auto"/>
        </w:rPr>
      </w:pPr>
      <w:r>
        <w:rPr>
          <w:rFonts w:ascii="Times New Roman" w:cs="Times New Roman" w:eastAsia="Times New Roman" w:hAnsi="Times New Roman"/>
          <w:sz w:val="18"/>
          <w:szCs w:val="18"/>
          <w:color w:val="231F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w:t>
      </w:r>
    </w:p>
    <w:p>
      <w:pPr>
        <w:spacing w:after="0" w:line="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231F20"/>
              </w:rPr>
              <w:t>Large accelerated filer</w:t>
            </w:r>
          </w:p>
        </w:tc>
        <w:tc>
          <w:tcPr>
            <w:tcW w:w="2360" w:type="dxa"/>
            <w:vAlign w:val="bottom"/>
          </w:tcPr>
          <w:p>
            <w:pPr>
              <w:spacing w:after="0" w:line="1" w:lineRule="exact"/>
              <w:rPr>
                <w:sz w:val="19"/>
                <w:szCs w:val="19"/>
                <w:color w:val="auto"/>
              </w:rPr>
            </w:pPr>
          </w:p>
        </w:tc>
        <w:tc>
          <w:tcPr>
            <w:tcW w:w="4260" w:type="dxa"/>
            <w:vAlign w:val="bottom"/>
          </w:tcPr>
          <w:p>
            <w:pPr>
              <w:ind w:left="2140"/>
              <w:spacing w:after="0"/>
              <w:rPr>
                <w:sz w:val="20"/>
                <w:szCs w:val="20"/>
                <w:color w:val="auto"/>
              </w:rPr>
            </w:pPr>
            <w:r>
              <w:rPr>
                <w:rFonts w:ascii="Times New Roman" w:cs="Times New Roman" w:eastAsia="Times New Roman" w:hAnsi="Times New Roman"/>
                <w:sz w:val="18"/>
                <w:szCs w:val="18"/>
                <w:color w:val="231F20"/>
              </w:rPr>
              <w:t>Accelerated filer</w:t>
            </w:r>
          </w:p>
        </w:tc>
        <w:tc>
          <w:tcPr>
            <w:tcW w:w="280" w:type="dxa"/>
            <w:vAlign w:val="bottom"/>
          </w:tcPr>
          <w:p>
            <w:pPr>
              <w:spacing w:after="0" w:line="1" w:lineRule="exact"/>
              <w:rPr>
                <w:sz w:val="19"/>
                <w:szCs w:val="19"/>
                <w:color w:val="auto"/>
              </w:rPr>
            </w:pPr>
          </w:p>
        </w:tc>
      </w:tr>
      <w:tr>
        <w:trPr>
          <w:trHeight w:val="225"/>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231F20"/>
              </w:rPr>
              <w:t>Non-accelerated filer</w:t>
            </w:r>
          </w:p>
        </w:tc>
        <w:tc>
          <w:tcPr>
            <w:tcW w:w="2360" w:type="dxa"/>
            <w:vAlign w:val="bottom"/>
          </w:tcPr>
          <w:p>
            <w:pPr>
              <w:spacing w:after="0" w:line="1" w:lineRule="exact"/>
              <w:rPr>
                <w:sz w:val="19"/>
                <w:szCs w:val="19"/>
                <w:color w:val="auto"/>
              </w:rPr>
            </w:pPr>
          </w:p>
        </w:tc>
        <w:tc>
          <w:tcPr>
            <w:tcW w:w="4260" w:type="dxa"/>
            <w:vAlign w:val="bottom"/>
          </w:tcPr>
          <w:p>
            <w:pPr>
              <w:ind w:left="2140"/>
              <w:spacing w:after="0"/>
              <w:rPr>
                <w:sz w:val="20"/>
                <w:szCs w:val="20"/>
                <w:color w:val="auto"/>
              </w:rPr>
            </w:pPr>
            <w:r>
              <w:rPr>
                <w:rFonts w:ascii="Times New Roman" w:cs="Times New Roman" w:eastAsia="Times New Roman" w:hAnsi="Times New Roman"/>
                <w:sz w:val="18"/>
                <w:szCs w:val="18"/>
                <w:color w:val="231F20"/>
              </w:rPr>
              <w:t>Smaller reporting company</w:t>
            </w:r>
          </w:p>
        </w:tc>
        <w:tc>
          <w:tcPr>
            <w:tcW w:w="280" w:type="dxa"/>
            <w:vAlign w:val="bottom"/>
          </w:tcPr>
          <w:p>
            <w:pPr>
              <w:spacing w:after="0" w:line="1" w:lineRule="exact"/>
              <w:rPr>
                <w:sz w:val="19"/>
                <w:szCs w:val="19"/>
                <w:color w:val="auto"/>
              </w:rPr>
            </w:pPr>
          </w:p>
        </w:tc>
      </w:tr>
      <w:tr>
        <w:trPr>
          <w:trHeight w:val="266"/>
        </w:trPr>
        <w:tc>
          <w:tcPr>
            <w:tcW w:w="17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4260" w:type="dxa"/>
            <w:vAlign w:val="bottom"/>
          </w:tcPr>
          <w:p>
            <w:pPr>
              <w:ind w:left="2140"/>
              <w:spacing w:after="0"/>
              <w:rPr>
                <w:sz w:val="20"/>
                <w:szCs w:val="20"/>
                <w:color w:val="auto"/>
              </w:rPr>
            </w:pPr>
            <w:r>
              <w:rPr>
                <w:rFonts w:ascii="Times New Roman" w:cs="Times New Roman" w:eastAsia="Times New Roman" w:hAnsi="Times New Roman"/>
                <w:sz w:val="18"/>
                <w:szCs w:val="18"/>
                <w:color w:val="231F20"/>
              </w:rPr>
              <w:t>Emerging growth company</w:t>
            </w:r>
          </w:p>
        </w:tc>
        <w:tc>
          <w:tcPr>
            <w:tcW w:w="280" w:type="dxa"/>
            <w:vAlign w:val="bottom"/>
          </w:tcPr>
          <w:p>
            <w:pPr>
              <w:spacing w:after="0" w:line="1" w:lineRule="exact"/>
              <w:rPr>
                <w:sz w:val="23"/>
                <w:szCs w:val="23"/>
                <w:color w:val="auto"/>
              </w:rPr>
            </w:pPr>
          </w:p>
        </w:tc>
      </w:tr>
    </w:tbl>
    <w:p>
      <w:pPr>
        <w:spacing w:after="0" w:line="38" w:lineRule="exact"/>
        <w:rPr>
          <w:sz w:val="20"/>
          <w:szCs w:val="20"/>
          <w:color w:val="auto"/>
        </w:rPr>
      </w:pPr>
    </w:p>
    <w:p>
      <w:pPr>
        <w:ind w:right="60"/>
        <w:spacing w:after="0" w:line="228" w:lineRule="exact"/>
        <w:rPr>
          <w:sz w:val="20"/>
          <w:szCs w:val="20"/>
          <w:color w:val="auto"/>
        </w:rPr>
      </w:pPr>
      <w:r>
        <w:rPr>
          <w:rFonts w:ascii="Times New Roman" w:cs="Times New Roman" w:eastAsia="Times New Roman" w:hAnsi="Times New Roman"/>
          <w:sz w:val="18"/>
          <w:szCs w:val="18"/>
          <w:color w:val="231F20"/>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7" w:lineRule="exact"/>
        <w:rPr>
          <w:sz w:val="20"/>
          <w:szCs w:val="20"/>
          <w:color w:val="auto"/>
        </w:rPr>
      </w:pPr>
    </w:p>
    <w:p>
      <w:pPr>
        <w:ind w:right="60"/>
        <w:spacing w:after="0" w:line="224" w:lineRule="exact"/>
        <w:rPr>
          <w:sz w:val="20"/>
          <w:szCs w:val="20"/>
          <w:color w:val="auto"/>
        </w:rPr>
      </w:pPr>
      <w:r>
        <w:rPr>
          <w:rFonts w:ascii="Times New Roman" w:cs="Times New Roman" w:eastAsia="Times New Roman" w:hAnsi="Times New Roman"/>
          <w:sz w:val="18"/>
          <w:szCs w:val="18"/>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38" w:lineRule="exact"/>
        <w:rPr>
          <w:sz w:val="20"/>
          <w:szCs w:val="20"/>
          <w:color w:val="auto"/>
        </w:rPr>
      </w:pPr>
    </w:p>
    <w:p>
      <w:pPr>
        <w:ind w:right="300"/>
        <w:spacing w:after="0" w:line="228" w:lineRule="exact"/>
        <w:rPr>
          <w:sz w:val="20"/>
          <w:szCs w:val="20"/>
          <w:color w:val="auto"/>
        </w:rPr>
      </w:pPr>
      <w:r>
        <w:rPr>
          <w:rFonts w:ascii="Times New Roman" w:cs="Times New Roman" w:eastAsia="Times New Roman" w:hAnsi="Times New Roman"/>
          <w:sz w:val="18"/>
          <w:szCs w:val="18"/>
          <w:color w:val="231F20"/>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37" w:lineRule="exact"/>
        <w:rPr>
          <w:sz w:val="20"/>
          <w:szCs w:val="20"/>
          <w:color w:val="auto"/>
        </w:rPr>
      </w:pPr>
    </w:p>
    <w:p>
      <w:pPr>
        <w:ind w:right="540"/>
        <w:spacing w:after="0" w:line="228" w:lineRule="exact"/>
        <w:rPr>
          <w:sz w:val="20"/>
          <w:szCs w:val="20"/>
          <w:color w:val="auto"/>
        </w:rPr>
      </w:pPr>
      <w:r>
        <w:rPr>
          <w:rFonts w:ascii="Times New Roman" w:cs="Times New Roman" w:eastAsia="Times New Roman" w:hAnsi="Times New Roman"/>
          <w:sz w:val="18"/>
          <w:szCs w:val="18"/>
          <w:color w:val="231F20"/>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31" w:lineRule="exact"/>
        <w:rPr>
          <w:sz w:val="20"/>
          <w:szCs w:val="20"/>
          <w:color w:val="auto"/>
        </w:rPr>
      </w:pPr>
    </w:p>
    <w:p>
      <w:pPr>
        <w:spacing w:after="0" w:line="207" w:lineRule="exact"/>
        <w:tabs>
          <w:tab w:leader="none" w:pos="7580" w:val="left"/>
          <w:tab w:leader="none" w:pos="8240" w:val="left"/>
        </w:tabs>
        <w:rPr>
          <w:sz w:val="20"/>
          <w:szCs w:val="20"/>
          <w:color w:val="auto"/>
        </w:rPr>
      </w:pPr>
      <w:r>
        <w:rPr>
          <w:rFonts w:ascii="Times New Roman" w:cs="Times New Roman" w:eastAsia="Times New Roman" w:hAnsi="Times New Roman"/>
          <w:sz w:val="18"/>
          <w:szCs w:val="18"/>
          <w:color w:val="231F20"/>
        </w:rPr>
        <w:t>Indicate by check mark whether the registrant is a shell company (as defined in Rule 12b-2 of the Act).</w:t>
        <w:tab/>
        <w:t>Yes</w:t>
      </w:r>
      <w:r>
        <w:rPr>
          <w:sz w:val="20"/>
          <w:szCs w:val="20"/>
          <w:color w:val="auto"/>
        </w:rPr>
        <w:tab/>
      </w:r>
      <w:r>
        <w:rPr>
          <w:rFonts w:ascii="Times New Roman" w:cs="Times New Roman" w:eastAsia="Times New Roman" w:hAnsi="Times New Roman"/>
          <w:sz w:val="18"/>
          <w:szCs w:val="18"/>
          <w:color w:val="231F20"/>
        </w:rPr>
        <w:t>No</w:t>
      </w:r>
    </w:p>
    <w:p>
      <w:pPr>
        <w:spacing w:after="0" w:line="7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231F20"/>
        </w:rPr>
        <w:t>The aggregate market value of shares of common stock held by non-affiliates at June 30, 2025, was $2,180,020,753. There were 34,305,473 shares of common stock outstanding as of February 23, 2026.</w:t>
      </w:r>
    </w:p>
    <w:p>
      <w:pPr>
        <w:jc w:val="center"/>
        <w:ind w:right="-119"/>
        <w:spacing w:after="0"/>
        <w:rPr>
          <w:sz w:val="20"/>
          <w:szCs w:val="20"/>
          <w:color w:val="auto"/>
        </w:rPr>
      </w:pPr>
      <w:r>
        <w:rPr>
          <w:rFonts w:ascii="Times New Roman" w:cs="Times New Roman" w:eastAsia="Times New Roman" w:hAnsi="Times New Roman"/>
          <w:sz w:val="18"/>
          <w:szCs w:val="18"/>
          <w:b w:val="1"/>
          <w:bCs w:val="1"/>
          <w:color w:val="231F20"/>
        </w:rPr>
        <w:t>DOCUMENTS INCORPORATED BY REFERENCE</w:t>
      </w:r>
    </w:p>
    <w:p>
      <w:pPr>
        <w:spacing w:after="0" w:line="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231F20"/>
        </w:rPr>
        <w:t>Portions of the Proxy Statement prepared for the 2026 Annual Meeting of Stockholders are incorporated by reference into Part III of this report.</w:t>
      </w:r>
    </w:p>
    <w:p>
      <w:pPr>
        <w:sectPr>
          <w:pgSz w:w="11880" w:h="15480" w:orient="portrait"/>
          <w:cols w:equalWidth="0" w:num="1">
            <w:col w:w="10120"/>
          </w:cols>
          <w:pgMar w:left="1000" w:top="249" w:right="760" w:bottom="0" w:gutter="0" w:footer="0" w:header="0"/>
        </w:sectPr>
      </w:pPr>
    </w:p>
    <w:bookmarkStart w:id="3" w:name="page4"/>
    <w:bookmarkEnd w:id="3"/>
    <w:p>
      <w:pPr>
        <w:ind w:left="3740"/>
        <w:spacing w:after="0"/>
        <w:rPr>
          <w:sz w:val="20"/>
          <w:szCs w:val="20"/>
          <w:color w:val="auto"/>
        </w:rPr>
      </w:pPr>
      <w:r>
        <w:rPr>
          <w:rFonts w:ascii="Times New Roman" w:cs="Times New Roman" w:eastAsia="Times New Roman" w:hAnsi="Times New Roman"/>
          <w:sz w:val="20"/>
          <w:szCs w:val="20"/>
          <w:b w:val="1"/>
          <w:bCs w:val="1"/>
          <w:color w:val="231F20"/>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Part I.</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1.</w:t>
      </w:r>
      <w:r>
        <w:rPr>
          <w:sz w:val="20"/>
          <w:szCs w:val="20"/>
          <w:color w:val="auto"/>
        </w:rPr>
        <w:tab/>
      </w:r>
      <w:r>
        <w:rPr>
          <w:rFonts w:ascii="Times New Roman" w:cs="Times New Roman" w:eastAsia="Times New Roman" w:hAnsi="Times New Roman"/>
          <w:sz w:val="20"/>
          <w:szCs w:val="20"/>
          <w:color w:val="231F20"/>
        </w:rPr>
        <w:t xml:space="preserve">Business </w:t>
      </w:r>
      <w:r>
        <w:rPr>
          <w:rFonts w:ascii="Times New Roman" w:cs="Times New Roman" w:eastAsia="Times New Roman" w:hAnsi="Times New Roman"/>
          <w:sz w:val="20"/>
          <w:szCs w:val="20"/>
          <w:color w:val="B8BABC"/>
        </w:rPr>
        <w:t>. . . . . . . . . . . . . . . . . . . . . . . . . . . . . . . . . . . . . . . . . . . . . . . . . . . . . . . . . . . . . . . . . .</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1A.</w:t>
        <w:tab/>
        <w:t xml:space="preserve">Risk Factors </w:t>
      </w:r>
      <w:r>
        <w:rPr>
          <w:rFonts w:ascii="Times New Roman" w:cs="Times New Roman" w:eastAsia="Times New Roman" w:hAnsi="Times New Roman"/>
          <w:sz w:val="20"/>
          <w:szCs w:val="20"/>
          <w:color w:val="B8BABC"/>
        </w:rPr>
        <w:t>. . . . . . . . . . . . . . . . . . . . . . . . . . . . . . . . . . . . . . . . . . . . . . . . . . . . . . . . . . . . . . .</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1B.</w:t>
      </w:r>
      <w:r>
        <w:rPr>
          <w:sz w:val="20"/>
          <w:szCs w:val="20"/>
          <w:color w:val="auto"/>
        </w:rPr>
        <w:tab/>
      </w:r>
      <w:r>
        <w:rPr>
          <w:rFonts w:ascii="Times New Roman" w:cs="Times New Roman" w:eastAsia="Times New Roman" w:hAnsi="Times New Roman"/>
          <w:sz w:val="20"/>
          <w:szCs w:val="20"/>
          <w:color w:val="231F20"/>
        </w:rPr>
        <w:t xml:space="preserve">Unresolved Staff Comments </w:t>
      </w:r>
      <w:r>
        <w:rPr>
          <w:rFonts w:ascii="Times New Roman" w:cs="Times New Roman" w:eastAsia="Times New Roman" w:hAnsi="Times New Roman"/>
          <w:sz w:val="20"/>
          <w:szCs w:val="20"/>
          <w:color w:val="B8BABC"/>
        </w:rPr>
        <w:t>. . . . . . . . . . . . . . . . . . . . . . . . . . . . . . . . . . . . . . . . . . . . . . . . . . .</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1C.</w:t>
      </w:r>
      <w:r>
        <w:rPr>
          <w:sz w:val="20"/>
          <w:szCs w:val="20"/>
          <w:color w:val="auto"/>
        </w:rPr>
        <w:tab/>
      </w:r>
      <w:r>
        <w:rPr>
          <w:rFonts w:ascii="Times New Roman" w:cs="Times New Roman" w:eastAsia="Times New Roman" w:hAnsi="Times New Roman"/>
          <w:sz w:val="20"/>
          <w:szCs w:val="20"/>
          <w:color w:val="231F20"/>
        </w:rPr>
        <w:t xml:space="preserve">Cybersecurity </w:t>
      </w:r>
      <w:r>
        <w:rPr>
          <w:rFonts w:ascii="Times New Roman" w:cs="Times New Roman" w:eastAsia="Times New Roman" w:hAnsi="Times New Roman"/>
          <w:sz w:val="20"/>
          <w:szCs w:val="20"/>
          <w:color w:val="B8BABC"/>
        </w:rPr>
        <w:t>. . . . . . . . . . . . . . . . . . . . . . . . . . . . . . . . . . . . . . . . . . . . . . . . . . . . . . . . . . . . . .</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2.</w:t>
      </w:r>
      <w:r>
        <w:rPr>
          <w:sz w:val="20"/>
          <w:szCs w:val="20"/>
          <w:color w:val="auto"/>
        </w:rPr>
        <w:tab/>
      </w:r>
      <w:r>
        <w:rPr>
          <w:rFonts w:ascii="Times New Roman" w:cs="Times New Roman" w:eastAsia="Times New Roman" w:hAnsi="Times New Roman"/>
          <w:sz w:val="20"/>
          <w:szCs w:val="20"/>
          <w:color w:val="231F20"/>
        </w:rPr>
        <w:t xml:space="preserve">Properties </w:t>
      </w:r>
      <w:r>
        <w:rPr>
          <w:rFonts w:ascii="Times New Roman" w:cs="Times New Roman" w:eastAsia="Times New Roman" w:hAnsi="Times New Roman"/>
          <w:sz w:val="20"/>
          <w:szCs w:val="20"/>
          <w:color w:val="B8BABC"/>
        </w:rPr>
        <w:t>. . . . . . . . . . . . . . . . . . . . . . . . . . . . . . . . . . . . . . . . . . . . . . . . . . . . . . . . . . . . . . . . .</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3.</w:t>
      </w:r>
      <w:r>
        <w:rPr>
          <w:sz w:val="20"/>
          <w:szCs w:val="20"/>
          <w:color w:val="auto"/>
        </w:rPr>
        <w:tab/>
      </w:r>
      <w:r>
        <w:rPr>
          <w:rFonts w:ascii="Times New Roman" w:cs="Times New Roman" w:eastAsia="Times New Roman" w:hAnsi="Times New Roman"/>
          <w:sz w:val="19"/>
          <w:szCs w:val="19"/>
          <w:color w:val="231F20"/>
        </w:rPr>
        <w:t xml:space="preserve">Legal Proceedings </w:t>
      </w:r>
      <w:r>
        <w:rPr>
          <w:rFonts w:ascii="Times New Roman" w:cs="Times New Roman" w:eastAsia="Times New Roman" w:hAnsi="Times New Roman"/>
          <w:sz w:val="19"/>
          <w:szCs w:val="19"/>
          <w:color w:val="B8BABC"/>
        </w:rPr>
        <w:t>. . . . . . . . . . . . . . . . . . . . . . . . . . . . . . . . . . . . . . . . . . . . . . . . . . . . . . . . . . .</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4.</w:t>
      </w:r>
      <w:r>
        <w:rPr>
          <w:sz w:val="20"/>
          <w:szCs w:val="20"/>
          <w:color w:val="auto"/>
        </w:rPr>
        <w:tab/>
      </w:r>
      <w:r>
        <w:rPr>
          <w:rFonts w:ascii="Times New Roman" w:cs="Times New Roman" w:eastAsia="Times New Roman" w:hAnsi="Times New Roman"/>
          <w:sz w:val="20"/>
          <w:szCs w:val="20"/>
          <w:color w:val="231F20"/>
        </w:rPr>
        <w:t xml:space="preserve">Mine Safety Disclosures </w:t>
      </w:r>
      <w:r>
        <w:rPr>
          <w:rFonts w:ascii="Times New Roman" w:cs="Times New Roman" w:eastAsia="Times New Roman" w:hAnsi="Times New Roman"/>
          <w:sz w:val="20"/>
          <w:szCs w:val="20"/>
          <w:color w:val="B8BABC"/>
        </w:rPr>
        <w:t>. . . . . . . . . . . . . . . . . . . . . . . . . . . . . . . . . . . . . . . . . . . . . . . . . . . . . .</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Part II.</w:t>
      </w:r>
    </w:p>
    <w:p>
      <w:pPr>
        <w:spacing w:after="0" w:line="26"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5.</w:t>
      </w:r>
      <w:r>
        <w:rPr>
          <w:sz w:val="20"/>
          <w:szCs w:val="20"/>
          <w:color w:val="auto"/>
        </w:rPr>
        <w:tab/>
      </w:r>
      <w:r>
        <w:rPr>
          <w:rFonts w:ascii="Times New Roman" w:cs="Times New Roman" w:eastAsia="Times New Roman" w:hAnsi="Times New Roman"/>
          <w:sz w:val="19"/>
          <w:szCs w:val="19"/>
          <w:color w:val="231F20"/>
        </w:rPr>
        <w:t>Market for Registrant’s Common Equity, Related Stockholder Matters and Issuer Purchases</w:t>
      </w:r>
    </w:p>
    <w:p>
      <w:pPr>
        <w:ind w:left="1360"/>
        <w:spacing w:after="0"/>
        <w:rPr>
          <w:sz w:val="20"/>
          <w:szCs w:val="20"/>
          <w:color w:val="auto"/>
        </w:rPr>
      </w:pPr>
      <w:r>
        <w:rPr>
          <w:rFonts w:ascii="Times New Roman" w:cs="Times New Roman" w:eastAsia="Times New Roman" w:hAnsi="Times New Roman"/>
          <w:sz w:val="20"/>
          <w:szCs w:val="20"/>
          <w:color w:val="231F20"/>
        </w:rPr>
        <w:t xml:space="preserve">of Equity Securities </w:t>
      </w:r>
      <w:r>
        <w:rPr>
          <w:rFonts w:ascii="Times New Roman" w:cs="Times New Roman" w:eastAsia="Times New Roman" w:hAnsi="Times New Roman"/>
          <w:sz w:val="20"/>
          <w:szCs w:val="20"/>
          <w:color w:val="B8BABC"/>
        </w:rPr>
        <w:t>. . . . . . . . . . . . . . . . . . . . . . . . . . . . . . . . . . . . . . . . . . . . . . . . . . . . . . . . . .</w:t>
      </w:r>
    </w:p>
    <w:p>
      <w:pPr>
        <w:spacing w:after="0" w:line="43"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6.</w:t>
      </w:r>
      <w:r>
        <w:rPr>
          <w:sz w:val="20"/>
          <w:szCs w:val="20"/>
          <w:color w:val="auto"/>
        </w:rPr>
        <w:tab/>
      </w:r>
      <w:r>
        <w:rPr>
          <w:rFonts w:ascii="Times New Roman" w:cs="Times New Roman" w:eastAsia="Times New Roman" w:hAnsi="Times New Roman"/>
          <w:sz w:val="20"/>
          <w:szCs w:val="20"/>
          <w:color w:val="231F20"/>
        </w:rPr>
        <w:t xml:space="preserve">Reserved </w:t>
      </w:r>
      <w:r>
        <w:rPr>
          <w:rFonts w:ascii="Times New Roman" w:cs="Times New Roman" w:eastAsia="Times New Roman" w:hAnsi="Times New Roman"/>
          <w:sz w:val="20"/>
          <w:szCs w:val="20"/>
          <w:color w:val="B8BABC"/>
        </w:rPr>
        <w:t>. . . . . . . . . . . . . . . . . . . . . . . . . . . . . . . . . . . . . . . . . . . . . . . . . . . . . . . . . . . . . . . . . .</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7.</w:t>
      </w:r>
      <w:r>
        <w:rPr>
          <w:sz w:val="20"/>
          <w:szCs w:val="20"/>
          <w:color w:val="auto"/>
        </w:rPr>
        <w:tab/>
      </w:r>
      <w:r>
        <w:rPr>
          <w:rFonts w:ascii="Times New Roman" w:cs="Times New Roman" w:eastAsia="Times New Roman" w:hAnsi="Times New Roman"/>
          <w:sz w:val="19"/>
          <w:szCs w:val="19"/>
          <w:color w:val="231F20"/>
        </w:rPr>
        <w:t xml:space="preserve">Management’s Discussion and Analysis of Financial Condition and Results of Operations </w:t>
      </w:r>
      <w:r>
        <w:rPr>
          <w:rFonts w:ascii="Times New Roman" w:cs="Times New Roman" w:eastAsia="Times New Roman" w:hAnsi="Times New Roman"/>
          <w:sz w:val="19"/>
          <w:szCs w:val="19"/>
          <w:color w:val="B8BABC"/>
        </w:rPr>
        <w:t>. .</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7A.</w:t>
        <w:tab/>
        <w:t xml:space="preserve">Quantitative and Qualitative Disclosures About Market Risk </w:t>
      </w:r>
      <w:r>
        <w:rPr>
          <w:rFonts w:ascii="Times New Roman" w:cs="Times New Roman" w:eastAsia="Times New Roman" w:hAnsi="Times New Roman"/>
          <w:sz w:val="20"/>
          <w:szCs w:val="20"/>
          <w:color w:val="B8BABC"/>
        </w:rPr>
        <w:t>. . . . . . . . . . . . . . . . . . . . . . . . .</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8.</w:t>
      </w:r>
      <w:r>
        <w:rPr>
          <w:sz w:val="20"/>
          <w:szCs w:val="20"/>
          <w:color w:val="auto"/>
        </w:rPr>
        <w:tab/>
      </w:r>
      <w:r>
        <w:rPr>
          <w:rFonts w:ascii="Times New Roman" w:cs="Times New Roman" w:eastAsia="Times New Roman" w:hAnsi="Times New Roman"/>
          <w:sz w:val="20"/>
          <w:szCs w:val="20"/>
          <w:color w:val="231F20"/>
        </w:rPr>
        <w:t xml:space="preserve">Financial Statements and Supplementary Data  </w:t>
      </w:r>
      <w:r>
        <w:rPr>
          <w:rFonts w:ascii="Times New Roman" w:cs="Times New Roman" w:eastAsia="Times New Roman" w:hAnsi="Times New Roman"/>
          <w:sz w:val="20"/>
          <w:szCs w:val="20"/>
          <w:color w:val="B8BABC"/>
        </w:rPr>
        <w:t>. . . . . . . . . . . . . . . . . . . . . . . . . . . . . . . . . . . .</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9.</w:t>
      </w:r>
      <w:r>
        <w:rPr>
          <w:sz w:val="20"/>
          <w:szCs w:val="20"/>
          <w:color w:val="auto"/>
        </w:rPr>
        <w:tab/>
      </w:r>
      <w:r>
        <w:rPr>
          <w:rFonts w:ascii="Times New Roman" w:cs="Times New Roman" w:eastAsia="Times New Roman" w:hAnsi="Times New Roman"/>
          <w:sz w:val="20"/>
          <w:szCs w:val="20"/>
          <w:color w:val="231F20"/>
        </w:rPr>
        <w:t xml:space="preserve">Changes in and Disagreements with Accountants on Accounting and Financial Disclosure </w:t>
      </w:r>
      <w:r>
        <w:rPr>
          <w:rFonts w:ascii="Times New Roman" w:cs="Times New Roman" w:eastAsia="Times New Roman" w:hAnsi="Times New Roman"/>
          <w:sz w:val="20"/>
          <w:szCs w:val="20"/>
          <w:color w:val="B8BABC"/>
        </w:rPr>
        <w:t>. .</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9A.</w:t>
        <w:tab/>
        <w:t xml:space="preserve">Controls and Procedures </w:t>
      </w:r>
      <w:r>
        <w:rPr>
          <w:rFonts w:ascii="Times New Roman" w:cs="Times New Roman" w:eastAsia="Times New Roman" w:hAnsi="Times New Roman"/>
          <w:sz w:val="20"/>
          <w:szCs w:val="20"/>
          <w:color w:val="B8BABC"/>
        </w:rPr>
        <w:t>. . . . . . . . . . . . . . . . . . . . . . . . . . . . . . . . . . . . . . . . . . . . . . . . . . . . . .</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9B.</w:t>
      </w:r>
      <w:r>
        <w:rPr>
          <w:sz w:val="20"/>
          <w:szCs w:val="20"/>
          <w:color w:val="auto"/>
        </w:rPr>
        <w:tab/>
      </w:r>
      <w:r>
        <w:rPr>
          <w:rFonts w:ascii="Times New Roman" w:cs="Times New Roman" w:eastAsia="Times New Roman" w:hAnsi="Times New Roman"/>
          <w:sz w:val="20"/>
          <w:szCs w:val="20"/>
          <w:color w:val="231F20"/>
        </w:rPr>
        <w:t xml:space="preserve">Other Information </w:t>
      </w:r>
      <w:r>
        <w:rPr>
          <w:rFonts w:ascii="Times New Roman" w:cs="Times New Roman" w:eastAsia="Times New Roman" w:hAnsi="Times New Roman"/>
          <w:sz w:val="20"/>
          <w:szCs w:val="20"/>
          <w:color w:val="B8BABC"/>
        </w:rPr>
        <w:t>. . . . . . . . . . . . . . . . . . . . . . . . . . . . . . . . . . . . . . . . . . . . . . . . . . . . . . . . . . .</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9C.</w:t>
      </w:r>
      <w:r>
        <w:rPr>
          <w:sz w:val="20"/>
          <w:szCs w:val="20"/>
          <w:color w:val="auto"/>
        </w:rPr>
        <w:tab/>
      </w:r>
      <w:r>
        <w:rPr>
          <w:rFonts w:ascii="Times New Roman" w:cs="Times New Roman" w:eastAsia="Times New Roman" w:hAnsi="Times New Roman"/>
          <w:sz w:val="20"/>
          <w:szCs w:val="20"/>
          <w:color w:val="231F20"/>
        </w:rPr>
        <w:t xml:space="preserve">Disclosure Regarding Foreign Jurisdictions that Prevent Inspections </w:t>
      </w:r>
      <w:r>
        <w:rPr>
          <w:rFonts w:ascii="Times New Roman" w:cs="Times New Roman" w:eastAsia="Times New Roman" w:hAnsi="Times New Roman"/>
          <w:sz w:val="20"/>
          <w:szCs w:val="20"/>
          <w:color w:val="B8BABC"/>
        </w:rPr>
        <w:t>. . . . . . . . . . . . . . . . . . .</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Part III.</w:t>
      </w:r>
    </w:p>
    <w:p>
      <w:pPr>
        <w:spacing w:after="0" w:line="34"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10.</w:t>
      </w:r>
      <w:r>
        <w:rPr>
          <w:sz w:val="20"/>
          <w:szCs w:val="20"/>
          <w:color w:val="auto"/>
        </w:rPr>
        <w:tab/>
      </w:r>
      <w:r>
        <w:rPr>
          <w:rFonts w:ascii="Times New Roman" w:cs="Times New Roman" w:eastAsia="Times New Roman" w:hAnsi="Times New Roman"/>
          <w:sz w:val="20"/>
          <w:szCs w:val="20"/>
          <w:color w:val="231F20"/>
        </w:rPr>
        <w:t xml:space="preserve">Directors, Executive Officers and Corporate Governance </w:t>
      </w:r>
      <w:r>
        <w:rPr>
          <w:rFonts w:ascii="Times New Roman" w:cs="Times New Roman" w:eastAsia="Times New Roman" w:hAnsi="Times New Roman"/>
          <w:sz w:val="20"/>
          <w:szCs w:val="20"/>
          <w:color w:val="B8BABC"/>
        </w:rPr>
        <w:t>. . . . . . . . . . . . . . . . . . . . . . . . . . . .</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11.</w:t>
      </w:r>
      <w:r>
        <w:rPr>
          <w:sz w:val="20"/>
          <w:szCs w:val="20"/>
          <w:color w:val="auto"/>
        </w:rPr>
        <w:tab/>
      </w:r>
      <w:r>
        <w:rPr>
          <w:rFonts w:ascii="Times New Roman" w:cs="Times New Roman" w:eastAsia="Times New Roman" w:hAnsi="Times New Roman"/>
          <w:sz w:val="20"/>
          <w:szCs w:val="20"/>
          <w:color w:val="231F20"/>
        </w:rPr>
        <w:t xml:space="preserve">Executive Compensation  </w:t>
      </w:r>
      <w:r>
        <w:rPr>
          <w:rFonts w:ascii="Times New Roman" w:cs="Times New Roman" w:eastAsia="Times New Roman" w:hAnsi="Times New Roman"/>
          <w:sz w:val="20"/>
          <w:szCs w:val="20"/>
          <w:color w:val="B8BABC"/>
        </w:rPr>
        <w:t>. . . . . . . . . . . . . . . . . . . . . . . . . . . . . . . . . . . . . . . . . . . . . . . . . . . . .</w:t>
      </w:r>
    </w:p>
    <w:p>
      <w:pPr>
        <w:spacing w:after="0" w:line="62"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12.</w:t>
      </w:r>
      <w:r>
        <w:rPr>
          <w:sz w:val="20"/>
          <w:szCs w:val="20"/>
          <w:color w:val="auto"/>
        </w:rPr>
        <w:tab/>
      </w:r>
      <w:r>
        <w:rPr>
          <w:rFonts w:ascii="Times New Roman" w:cs="Times New Roman" w:eastAsia="Times New Roman" w:hAnsi="Times New Roman"/>
          <w:sz w:val="19"/>
          <w:szCs w:val="19"/>
          <w:color w:val="231F20"/>
        </w:rPr>
        <w:t>Security Ownership of Certain Beneficial Owners and Management and Related</w:t>
      </w:r>
    </w:p>
    <w:p>
      <w:pPr>
        <w:ind w:left="1360"/>
        <w:spacing w:after="0"/>
        <w:rPr>
          <w:sz w:val="20"/>
          <w:szCs w:val="20"/>
          <w:color w:val="auto"/>
        </w:rPr>
      </w:pPr>
      <w:r>
        <w:rPr>
          <w:rFonts w:ascii="Times New Roman" w:cs="Times New Roman" w:eastAsia="Times New Roman" w:hAnsi="Times New Roman"/>
          <w:sz w:val="20"/>
          <w:szCs w:val="20"/>
          <w:color w:val="231F20"/>
        </w:rPr>
        <w:t xml:space="preserve">Stockholder Matters </w:t>
      </w:r>
      <w:r>
        <w:rPr>
          <w:rFonts w:ascii="Times New Roman" w:cs="Times New Roman" w:eastAsia="Times New Roman" w:hAnsi="Times New Roman"/>
          <w:sz w:val="20"/>
          <w:szCs w:val="20"/>
          <w:color w:val="B8BABC"/>
        </w:rPr>
        <w:t>. . . . . . . . . . . . . . . . . . . . . . . . . . . . . . . . . . . . . . . . . . . . . . . . . . . . . . . . .</w:t>
      </w:r>
    </w:p>
    <w:p>
      <w:pPr>
        <w:spacing w:after="0" w:line="43"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13.</w:t>
      </w:r>
      <w:r>
        <w:rPr>
          <w:sz w:val="20"/>
          <w:szCs w:val="20"/>
          <w:color w:val="auto"/>
        </w:rPr>
        <w:tab/>
      </w:r>
      <w:r>
        <w:rPr>
          <w:rFonts w:ascii="Times New Roman" w:cs="Times New Roman" w:eastAsia="Times New Roman" w:hAnsi="Times New Roman"/>
          <w:sz w:val="20"/>
          <w:szCs w:val="20"/>
          <w:color w:val="231F20"/>
        </w:rPr>
        <w:t xml:space="preserve">Certain Relationships and Related Transactions, and Director Independence </w:t>
      </w:r>
      <w:r>
        <w:rPr>
          <w:rFonts w:ascii="Times New Roman" w:cs="Times New Roman" w:eastAsia="Times New Roman" w:hAnsi="Times New Roman"/>
          <w:sz w:val="20"/>
          <w:szCs w:val="20"/>
          <w:color w:val="B8BABC"/>
        </w:rPr>
        <w:t>. . . . . . . . . . . . .</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14.</w:t>
      </w:r>
      <w:r>
        <w:rPr>
          <w:sz w:val="20"/>
          <w:szCs w:val="20"/>
          <w:color w:val="auto"/>
        </w:rPr>
        <w:tab/>
      </w:r>
      <w:r>
        <w:rPr>
          <w:rFonts w:ascii="Times New Roman" w:cs="Times New Roman" w:eastAsia="Times New Roman" w:hAnsi="Times New Roman"/>
          <w:sz w:val="20"/>
          <w:szCs w:val="20"/>
          <w:color w:val="231F20"/>
        </w:rPr>
        <w:t xml:space="preserve">Principal Accountant Fees and Services </w:t>
      </w:r>
      <w:r>
        <w:rPr>
          <w:rFonts w:ascii="Times New Roman" w:cs="Times New Roman" w:eastAsia="Times New Roman" w:hAnsi="Times New Roman"/>
          <w:sz w:val="20"/>
          <w:szCs w:val="20"/>
          <w:color w:val="B8BABC"/>
        </w:rPr>
        <w:t>. . . . . . . . . . . . . . . . . . . . . . . . . . . . . . . . . . . . . . . . . .</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Part IV.</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15.</w:t>
      </w:r>
      <w:r>
        <w:rPr>
          <w:sz w:val="20"/>
          <w:szCs w:val="20"/>
          <w:color w:val="auto"/>
        </w:rPr>
        <w:tab/>
      </w:r>
      <w:r>
        <w:rPr>
          <w:rFonts w:ascii="Times New Roman" w:cs="Times New Roman" w:eastAsia="Times New Roman" w:hAnsi="Times New Roman"/>
          <w:sz w:val="20"/>
          <w:szCs w:val="20"/>
          <w:color w:val="231F20"/>
        </w:rPr>
        <w:t xml:space="preserve">Exhibits and Financial Statement Schedules </w:t>
      </w:r>
      <w:r>
        <w:rPr>
          <w:rFonts w:ascii="Times New Roman" w:cs="Times New Roman" w:eastAsia="Times New Roman" w:hAnsi="Times New Roman"/>
          <w:sz w:val="20"/>
          <w:szCs w:val="20"/>
          <w:color w:val="B8BABC"/>
        </w:rPr>
        <w:t>. . . . . . . . . . . . . . . . . . . . . . . . . . . . . . . . . . . . . .</w:t>
      </w:r>
    </w:p>
    <w:p>
      <w:pPr>
        <w:spacing w:after="0" w:line="70" w:lineRule="exact"/>
        <w:rPr>
          <w:sz w:val="20"/>
          <w:szCs w:val="20"/>
          <w:color w:val="auto"/>
        </w:rPr>
      </w:pPr>
    </w:p>
    <w:p>
      <w:pPr>
        <w:ind w:left="360"/>
        <w:spacing w:after="0"/>
        <w:tabs>
          <w:tab w:leader="none" w:pos="1340" w:val="left"/>
        </w:tabs>
        <w:rPr>
          <w:sz w:val="20"/>
          <w:szCs w:val="20"/>
          <w:color w:val="auto"/>
        </w:rPr>
      </w:pPr>
      <w:r>
        <w:rPr>
          <w:rFonts w:ascii="Times New Roman" w:cs="Times New Roman" w:eastAsia="Times New Roman" w:hAnsi="Times New Roman"/>
          <w:sz w:val="20"/>
          <w:szCs w:val="20"/>
          <w:color w:val="231F20"/>
        </w:rPr>
        <w:t>Item 16.</w:t>
      </w:r>
      <w:r>
        <w:rPr>
          <w:sz w:val="20"/>
          <w:szCs w:val="20"/>
          <w:color w:val="auto"/>
        </w:rPr>
        <w:tab/>
      </w:r>
      <w:r>
        <w:rPr>
          <w:rFonts w:ascii="Times New Roman" w:cs="Times New Roman" w:eastAsia="Times New Roman" w:hAnsi="Times New Roman"/>
          <w:sz w:val="20"/>
          <w:szCs w:val="20"/>
          <w:color w:val="231F20"/>
        </w:rPr>
        <w:t xml:space="preserve">Form 10-K Summary </w:t>
      </w:r>
      <w:r>
        <w:rPr>
          <w:rFonts w:ascii="Times New Roman" w:cs="Times New Roman" w:eastAsia="Times New Roman" w:hAnsi="Times New Roman"/>
          <w:sz w:val="20"/>
          <w:szCs w:val="20"/>
          <w:color w:val="B8BABC"/>
        </w:rPr>
        <w:t>. . . . . . . . . . . . . . . . . . . . . . . . . . . . . . . . . . . . . . . . . . . . . . . . . . . . . . . .</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231F20"/>
        </w:rPr>
        <w:t xml:space="preserve">Signatures </w:t>
      </w:r>
      <w:r>
        <w:rPr>
          <w:rFonts w:ascii="Times New Roman" w:cs="Times New Roman" w:eastAsia="Times New Roman" w:hAnsi="Times New Roman"/>
          <w:sz w:val="20"/>
          <w:szCs w:val="20"/>
          <w:color w:val="B8BABC"/>
        </w:rPr>
        <w:t>. . . . . . . . . . . . . . . . . . . . . . . . . . . . . . . . . . . . . . . . . . . . . . . . . . . . . . . . . . . . . .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23495</wp:posOffset>
            </wp:positionV>
            <wp:extent cx="571500"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extLst>
                    </a:blip>
                    <a:srcRect/>
                    <a:stretch>
                      <a:fillRect/>
                    </a:stretch>
                  </pic:blipFill>
                  <pic:spPr bwMode="auto">
                    <a:xfrm>
                      <a:off x="0" y="0"/>
                      <a:ext cx="571500" cy="1270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3</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23</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37</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37</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39</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39</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39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39</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40</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41</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65</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231F20"/>
        </w:rPr>
        <w:t>67</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124</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124</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124</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124</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124</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125</w:t>
      </w:r>
    </w:p>
    <w:p>
      <w:pPr>
        <w:spacing w:after="0" w:line="2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125</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125</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125</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125</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130</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131</w:t>
      </w:r>
    </w:p>
    <w:p>
      <w:pPr>
        <w:sectPr>
          <w:pgSz w:w="11880" w:h="15480" w:orient="portrait"/>
          <w:cols w:equalWidth="0" w:num="2">
            <w:col w:w="8760" w:space="280"/>
            <w:col w:w="420"/>
          </w:cols>
          <w:pgMar w:left="1120" w:top="831" w:right="1300" w:bottom="1440" w:gutter="0" w:footer="0" w:header="0"/>
        </w:sectPr>
      </w:pPr>
    </w:p>
    <w:bookmarkStart w:id="4" w:name="page5"/>
    <w:bookmarkEnd w:id="4"/>
    <w:p>
      <w:pPr>
        <w:spacing w:after="0" w:line="266" w:lineRule="auto"/>
        <w:rPr>
          <w:sz w:val="20"/>
          <w:szCs w:val="20"/>
          <w:color w:val="auto"/>
        </w:rPr>
      </w:pPr>
      <w:r>
        <w:rPr>
          <w:rFonts w:ascii="Times New Roman" w:cs="Times New Roman" w:eastAsia="Times New Roman" w:hAnsi="Times New Roman"/>
          <w:sz w:val="20"/>
          <w:szCs w:val="20"/>
          <w:color w:val="231F20"/>
        </w:rPr>
        <w:t>Throughout this Annual Report on Form 10-K (this “Annual Report”), we refer to Marriott Vacations Worldwide Corporation, together with its consolidated subsidiaries, as “Marriott Vacations Worldwide,” “MVW,” “we,” “us,” or the “Company.”</w:t>
      </w:r>
    </w:p>
    <w:p>
      <w:pPr>
        <w:spacing w:after="0" w:line="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231F20"/>
        </w:rPr>
        <w:t>In order to make this Annual Report easier to read, we refer throughout to (i) our Consolidated Financial Statements as our “Financial Statements,” (ii) our Consolidated Statements of Income as our “Income Statements,” (iii) our Consolidated Balance Sheets as our “Balance Sheets” and (iv) our Consolidated Statements of Cash Flows as our “Cash Flows.” References throughout to numbered “Footnotes” refer to the numbered Notes to our Financial Statements that we include in Part II, Item 8. “Financial Statements and Supplementary Data” of this Annual Report. When discussing our properties or markets, we refer to the United States (the “U.S.”), Mexico, Central America, and the Caribbean as “North America.”</w:t>
      </w:r>
    </w:p>
    <w:p>
      <w:pPr>
        <w:spacing w:after="0" w:line="9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231F20"/>
        </w:rPr>
        <w:t xml:space="preserve">Additionally, throughout this Annual Report, we refer to brands that we own, as well as those brands that we license, as our brands. All brand names, trademarks, trade names, and service marks cited in this Annual Report are the property of their respective owners, including those of other companies and organizations. Solely for convenience, trademarks, trade names, and service marks referred to in this Annual Report may appear without the </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or </w:t>
      </w:r>
      <w:r>
        <w:rPr>
          <w:rFonts w:ascii="Times New Roman" w:cs="Times New Roman" w:eastAsia="Times New Roman" w:hAnsi="Times New Roman"/>
          <w:sz w:val="26"/>
          <w:szCs w:val="26"/>
          <w:color w:val="231F20"/>
          <w:vertAlign w:val="superscript"/>
        </w:rPr>
        <w:t>TM</w:t>
      </w:r>
      <w:r>
        <w:rPr>
          <w:rFonts w:ascii="Times New Roman" w:cs="Times New Roman" w:eastAsia="Times New Roman" w:hAnsi="Times New Roman"/>
          <w:sz w:val="20"/>
          <w:szCs w:val="20"/>
          <w:color w:val="231F20"/>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99"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20"/>
          <w:szCs w:val="20"/>
          <w:color w:val="231F20"/>
        </w:rPr>
        <w:t>Brand names, trademarks, trade names, and service marks that we own or license from Marriott International, Inc. or its affiliates (“Marriott International”) include Marriott Vacation Club</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Marriott Vacation Club Destinations</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Abound by Marriott Vacations</w:t>
      </w:r>
      <w:r>
        <w:rPr>
          <w:rFonts w:ascii="Times New Roman" w:cs="Times New Roman" w:eastAsia="Times New Roman" w:hAnsi="Times New Roman"/>
          <w:sz w:val="26"/>
          <w:szCs w:val="26"/>
          <w:color w:val="231F20"/>
          <w:vertAlign w:val="superscript"/>
        </w:rPr>
        <w:t>TM</w:t>
      </w:r>
      <w:r>
        <w:rPr>
          <w:rFonts w:ascii="Times New Roman" w:cs="Times New Roman" w:eastAsia="Times New Roman" w:hAnsi="Times New Roman"/>
          <w:sz w:val="20"/>
          <w:szCs w:val="20"/>
          <w:color w:val="231F20"/>
        </w:rPr>
        <w:t>, The Marriott Vacation Clubs</w:t>
      </w:r>
      <w:r>
        <w:rPr>
          <w:rFonts w:ascii="Times New Roman" w:cs="Times New Roman" w:eastAsia="Times New Roman" w:hAnsi="Times New Roman"/>
          <w:sz w:val="26"/>
          <w:szCs w:val="26"/>
          <w:color w:val="231F20"/>
          <w:vertAlign w:val="superscript"/>
        </w:rPr>
        <w:t>TM</w:t>
      </w:r>
      <w:r>
        <w:rPr>
          <w:rFonts w:ascii="Times New Roman" w:cs="Times New Roman" w:eastAsia="Times New Roman" w:hAnsi="Times New Roman"/>
          <w:sz w:val="20"/>
          <w:szCs w:val="20"/>
          <w:color w:val="231F20"/>
        </w:rPr>
        <w:t>, Marriott Grand Residence Club</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Grand Residences by Marriott</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The Ritz-Carlton Club</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Westin</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Sheraton</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and (to a limited extent) St. Regis</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and The Luxury Collection</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Marriott International’s affiliates include Starwood Hotels and Resorts Worldwide, Inc. (“Starwood”) and The Ritz-Carlton Hotel Company, L.L.C. (“The Ritz-Carlton Hotel Company”). We use the term “Marriott Vacation Ownership” to refer to our Marriott-, Sheraton-, and Westin-branded businesses, and we also refer to Marriott International’s Marriott Bonvoy</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customer loyalty program as “Marriott Bonvoy.”</w:t>
      </w:r>
    </w:p>
    <w:p>
      <w:pPr>
        <w:spacing w:after="0" w:line="101"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20"/>
          <w:szCs w:val="20"/>
          <w:color w:val="231F20"/>
        </w:rPr>
        <w:t>Brand names, trademarks, trade names, and service marks that we own or license from a subsidiary of Hyatt Hotels Corporation (“Hyatt”) include Hyatt Vacation Ownership and Hyatt Vacation Club</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The Hyatt Vacation Ownership business refers to our group of businesses using the Hyatt</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brand in the vacation ownership business pursuant to an exclusive, global master license agreement with a subsidiary of Hyatt. We use the term “Hyatt Vacation Ownership” to refer to our Hyatt-branded business, and we also refer to Hyatt’s World of Hyatt</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customer loyalty program as “World of Hyatt.”</w:t>
      </w:r>
    </w:p>
    <w:p>
      <w:pPr>
        <w:spacing w:after="0" w:line="105"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20"/>
          <w:szCs w:val="20"/>
          <w:color w:val="231F20"/>
        </w:rPr>
        <w:t>In 2021, we completed the acquisition of Welk Hospitality Group, Inc. (“Welk”) through a series of transactions (the “Welk Acquisition”), after which Welk became our indirect wholly-owned subsidiary. We refer to the business and brand that we acquired from Welk as “Legacy-Welk.” During 2023, we rebranded all Legacy-Welk resorts as Hyatt Vacation Club resorts.</w:t>
      </w:r>
    </w:p>
    <w:p>
      <w:pPr>
        <w:spacing w:after="0" w:line="8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231F20"/>
        </w:rPr>
        <w:t>In 2018, we completed the acquisition of ILG, LLC, formerly known as ILG, Inc. (“ILG”), through a series of transactions (the “ILG Acquisition”), after which ILG became our indirect wholly-owned subsidiary. We refer to the business and brands that we acquired in the ILG Acquisition as “Legacy-ILG.” We refer to the business we conducted prior to the ILG Acquisition and the associated brands as “Legacy-MVW.” The businesses acquired from ILG that we currently operate as part of our Vacation Ownership business include Vistana Signature Experiences</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(“Vistana”), which includes vacation ownership products branded as Sheraton or Westin, and Hyatt Vacation Ownership. The businesses acquired from ILG that we currently operate as part of our Exchange &amp; Third-Party Management business include Interval International</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and Aqua-Aston Hospitality</w:t>
      </w:r>
      <w:r>
        <w:rPr>
          <w:rFonts w:ascii="Times New Roman" w:cs="Times New Roman" w:eastAsia="Times New Roman" w:hAnsi="Times New Roman"/>
          <w:sz w:val="26"/>
          <w:szCs w:val="26"/>
          <w:color w:val="231F20"/>
          <w:vertAlign w:val="superscript"/>
        </w:rPr>
        <w:t>®</w:t>
      </w:r>
      <w:r>
        <w:rPr>
          <w:rFonts w:ascii="Times New Roman" w:cs="Times New Roman" w:eastAsia="Times New Roman" w:hAnsi="Times New Roman"/>
          <w:sz w:val="20"/>
          <w:szCs w:val="20"/>
          <w:color w:val="231F20"/>
        </w:rPr>
        <w:t xml:space="preserve"> (“Aqua-Aston”).</w:t>
      </w:r>
    </w:p>
    <w:p>
      <w:pPr>
        <w:spacing w:after="0" w:line="5" w:lineRule="exact"/>
        <w:rPr>
          <w:sz w:val="20"/>
          <w:szCs w:val="20"/>
          <w:color w:val="auto"/>
        </w:rPr>
      </w:pPr>
    </w:p>
    <w:p>
      <w:pPr>
        <w:ind w:right="880"/>
        <w:spacing w:after="0" w:line="281" w:lineRule="auto"/>
        <w:rPr>
          <w:sz w:val="20"/>
          <w:szCs w:val="20"/>
          <w:color w:val="auto"/>
        </w:rPr>
      </w:pPr>
      <w:r>
        <w:rPr>
          <w:rFonts w:ascii="Times New Roman" w:cs="Times New Roman" w:eastAsia="Times New Roman" w:hAnsi="Times New Roman"/>
          <w:sz w:val="20"/>
          <w:szCs w:val="20"/>
          <w:color w:val="231F20"/>
        </w:rPr>
        <w:t>By referring to our corporate website, www.marriottvacationsworldwide.com, or any other website, we do not incorporate any such website or its contents in this Annual Report.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reclassified certain prior year amounts to conform with our current year presentation.</w:t>
      </w:r>
    </w:p>
    <w:p>
      <w:pPr>
        <w:sectPr>
          <w:pgSz w:w="11880" w:h="15480" w:orient="portrait"/>
          <w:cols w:equalWidth="0" w:num="1">
            <w:col w:w="9700"/>
          </w:cols>
          <w:pgMar w:left="1080" w:top="83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w:t>
      </w:r>
    </w:p>
    <w:p>
      <w:pPr>
        <w:sectPr>
          <w:pgSz w:w="11880" w:h="15480" w:orient="portrait"/>
          <w:cols w:equalWidth="0" w:num="1">
            <w:col w:w="9700"/>
          </w:cols>
          <w:pgMar w:left="1080" w:top="838" w:right="1100" w:bottom="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SPECIAL NOTE ABOUT FORWARD-LOOKING STATEMENTS</w:t>
      </w:r>
    </w:p>
    <w:p>
      <w:pPr>
        <w:spacing w:after="0" w:line="1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We make forward-looking statements throughout this Annual Report, including in, among others, the sections entitled “Business,” “Risk Factors,” and “Management’s Discussion and Analysis of Financial Condition and Results of Operations,” based on our management’s beliefs and assumptions and on information currently available to our management. Forward-looking statements include, among other things, the information concerning: our possible or assumed future results of operations, cash flows, revenues, financial condition, leverage, liquidity, returns on investments, margins and related financing, development and rental profits and trends that we anticipate will impact our results of operations; dividend payments; business strategies and management priorities for 2026, including plans to drive stronger profitability and improve cash flow, focus on higher quality tour tours, tighten our cost structure, focus our Asia Pacific business and refine our development strategy; financing plans, financing terms and the adequacy of capital to meet short-term and long-term liquidity requirements and provide financial flexibility; customer satisfaction; our competitive position; our plans to pursue growth opportunities, including any plans to selectively add desirable new destinations to our systems with new on-site sales locations and plans to grow our recurring revenue, and their expected benefits; our beliefs about our industry; our expectations regarding our average consumer financing interest rates and our financing profit margin; our expectations regarding future securitization transactions; our beliefs regarding the expected benefits of digital tools and analytics; our expectations regarding the objectives, costs and benefits of our modernization efforts; our beliefs regarding the benefits of our culture on our business; our plan to reduce our corporate debt, net of cash and equivalents, to Adjusted EBITDA ratio; our expectations regarding inventory spending; the impact of inventory repurchases and timing of payments for inventory; our ability to securitize consumer loans; and expectations related to sales reserves, delinquencies and default rates relating to vacation ownership notes receivable.</w:t>
      </w:r>
    </w:p>
    <w:p>
      <w:pPr>
        <w:spacing w:after="0" w:line="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231F20"/>
        </w:rPr>
        <w:t>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5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231F20"/>
        </w:rPr>
        <w:t>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uncertainty in the current global macroeconomic environment created by rapid governmental policy and regulatory changes, including those affecting international trade or travel; a future health crisis and responses to a health crisis, including possible quarantines or other government imposed travel or health-related restrictions and the effects of a health crisis, including the short and longer-term impact on consumer confidence and demand for travel and the pace of recovery following a health crisis; variations in demand for vacation ownership and exchange products and services; failure of vendors and other third parties to timely comply with their contractual obligations; worker absenteeism; price inflation; difficulties associated with implementing new or maintaining existing technologies; the ability to use artificial intelligence (“AI”) technologies successfully and potential business, compliance, or reputational risks associated with the use of AI technologies; changes in privacy and other laws and regulations affecting our business; the impact of a future banking crisis; impacts from natural or man-made disasters; delinquency and default rates; global supply chain disruptions; volatility in the international and national economy and credit markets, including as a result of the ongoing conflicts between Russia and Ukraine, Israel and Hamas, and elsewhere in the world and related sanctions and other measures; our ability to attract and retain our global workforce; competitive conditions; the availability of capital to finance growth; the impact of changes in interest rates; the effects of steps we have taken and may continue to take to reduce operating costs and accelerate growth and profitability; political or social strife; and other matters referred to under the heading “Risk Factors” contained in this Annual Report. All forward-looking statements in this Annual Report apply only as of the date of this Annual Report or as of the date they were made or as otherwise specified herein. We do not undertake any obligation to publicly update or revise any forward-looking statement, whether as a result of new information, future events, or otherwise, except as required by law. You should not put undue reliance on any forward-looking statements in this Annual Report.</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The risk factors discussed in “Risk Factors” in this Annual Report could cause actual results to differ materially from those expressed or implied in forward-looking statements in this Annual Report.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ectPr>
          <w:pgSz w:w="11880" w:h="15480" w:orient="portrait"/>
          <w:cols w:equalWidth="0" w:num="1">
            <w:col w:w="9700"/>
          </w:cols>
          <w:pgMar w:left="1080" w:top="831"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9700"/>
          </w:cols>
          <w:pgMar w:left="1080" w:top="831" w:right="110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7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231F20"/>
        </w:rPr>
        <w:t>Item 1.</w:t>
      </w:r>
      <w:r>
        <w:rPr>
          <w:sz w:val="20"/>
          <w:szCs w:val="20"/>
          <w:color w:val="auto"/>
        </w:rPr>
        <w:tab/>
      </w:r>
      <w:r>
        <w:rPr>
          <w:rFonts w:ascii="Times New Roman" w:cs="Times New Roman" w:eastAsia="Times New Roman" w:hAnsi="Times New Roman"/>
          <w:sz w:val="20"/>
          <w:szCs w:val="20"/>
          <w:b w:val="1"/>
          <w:bCs w:val="1"/>
          <w:color w:val="231F20"/>
        </w:rPr>
        <w:t>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We are a leading global vacation company that offers vacation ownership, exchange, rental and resort and property management, along with related businesses, products and services. As the first major hospitality-branded vacation ownership company, Marriott Vacations Worldwide helped establish the industry and was the first major pure-play independent, public company in the field. Today we are more than a vacation ownership company; we are about vacation experiences.</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We are a global leader in vacation ownership with some of the most iconic brands in the industry.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 Interval International is our high-quality vacation ownership exchange service provider that serves as the gateway to vacation experiences around the world, including access to its affiliated resorts. Our Aqua-Aston business provides management services for resorts, hotels, and other third-party vacation property owners.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business operates in two reportable segments: Vacation Ownership and Exchange &amp; Third-Party Management.</w:t>
      </w:r>
    </w:p>
    <w:p>
      <w:pPr>
        <w:spacing w:after="0" w:line="163" w:lineRule="exact"/>
        <w:rPr>
          <w:sz w:val="20"/>
          <w:szCs w:val="20"/>
          <w:color w:val="auto"/>
        </w:rPr>
      </w:pPr>
    </w:p>
    <w:tbl>
      <w:tblPr>
        <w:tblLayout w:type="fixed"/>
        <w:tblInd w:w="840" w:type="dxa"/>
        <w:tblCellMar>
          <w:top w:w="0" w:type="dxa"/>
          <w:left w:w="0" w:type="dxa"/>
          <w:bottom w:w="0" w:type="dxa"/>
          <w:right w:w="0" w:type="dxa"/>
        </w:tblCellMar>
      </w:tblPr>
      <w:tr>
        <w:trPr>
          <w:trHeight w:val="243"/>
        </w:trPr>
        <w:tc>
          <w:tcPr>
            <w:tcW w:w="402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3820" w:type="dxa"/>
            <w:vAlign w:val="bottom"/>
            <w:tcBorders>
              <w:bottom w:val="single" w:sz="8" w:color="231F20"/>
            </w:tcBorders>
            <w:gridSpan w:val="3"/>
          </w:tcPr>
          <w:p>
            <w:pPr>
              <w:jc w:val="right"/>
              <w:ind w:right="1765"/>
              <w:spacing w:after="0"/>
              <w:rPr>
                <w:sz w:val="20"/>
                <w:szCs w:val="20"/>
                <w:color w:val="auto"/>
              </w:rPr>
            </w:pPr>
            <w:r>
              <w:rPr>
                <w:rFonts w:ascii="Times New Roman" w:cs="Times New Roman" w:eastAsia="Times New Roman" w:hAnsi="Times New Roman"/>
                <w:sz w:val="18"/>
                <w:szCs w:val="18"/>
                <w:b w:val="1"/>
                <w:bCs w:val="1"/>
                <w:color w:val="231F20"/>
              </w:rPr>
              <w:t>2025</w:t>
            </w:r>
          </w:p>
        </w:tc>
      </w:tr>
      <w:tr>
        <w:trPr>
          <w:trHeight w:val="265"/>
        </w:trPr>
        <w:tc>
          <w:tcPr>
            <w:tcW w:w="4020" w:type="dxa"/>
            <w:vAlign w:val="bottom"/>
          </w:tcPr>
          <w:p>
            <w:pPr>
              <w:jc w:val="right"/>
              <w:ind w:right="2985"/>
              <w:spacing w:after="0"/>
              <w:rPr>
                <w:sz w:val="20"/>
                <w:szCs w:val="20"/>
                <w:color w:val="auto"/>
              </w:rPr>
            </w:pPr>
            <w:r>
              <w:rPr>
                <w:rFonts w:ascii="Times New Roman" w:cs="Times New Roman" w:eastAsia="Times New Roman" w:hAnsi="Times New Roman"/>
                <w:sz w:val="16"/>
                <w:szCs w:val="16"/>
                <w:b w:val="1"/>
                <w:bCs w:val="1"/>
                <w:i w:val="1"/>
                <w:iCs w:val="1"/>
                <w:color w:val="231F20"/>
                <w:w w:val="98"/>
              </w:rPr>
              <w:t>($ in millions)</w:t>
            </w:r>
          </w:p>
        </w:tc>
        <w:tc>
          <w:tcPr>
            <w:tcW w:w="260" w:type="dxa"/>
            <w:vAlign w:val="bottom"/>
            <w:tcBorders>
              <w:bottom w:val="single" w:sz="8" w:color="231F20"/>
            </w:tcBorders>
          </w:tcPr>
          <w:p>
            <w:pPr>
              <w:spacing w:after="0"/>
              <w:rPr>
                <w:sz w:val="23"/>
                <w:szCs w:val="23"/>
                <w:color w:val="auto"/>
              </w:rPr>
            </w:pPr>
          </w:p>
        </w:tc>
        <w:tc>
          <w:tcPr>
            <w:tcW w:w="1740" w:type="dxa"/>
            <w:vAlign w:val="bottom"/>
            <w:tcBorders>
              <w:bottom w:val="single" w:sz="8" w:color="231F20"/>
            </w:tcBorders>
          </w:tcPr>
          <w:p>
            <w:pPr>
              <w:jc w:val="right"/>
              <w:ind w:right="204"/>
              <w:spacing w:after="0"/>
              <w:rPr>
                <w:sz w:val="20"/>
                <w:szCs w:val="20"/>
                <w:color w:val="auto"/>
              </w:rPr>
            </w:pPr>
            <w:r>
              <w:rPr>
                <w:rFonts w:ascii="Times New Roman" w:cs="Times New Roman" w:eastAsia="Times New Roman" w:hAnsi="Times New Roman"/>
                <w:sz w:val="18"/>
                <w:szCs w:val="18"/>
                <w:b w:val="1"/>
                <w:bCs w:val="1"/>
                <w:color w:val="231F20"/>
              </w:rPr>
              <w:t>Segment Revenue</w:t>
            </w:r>
          </w:p>
        </w:tc>
        <w:tc>
          <w:tcPr>
            <w:tcW w:w="80" w:type="dxa"/>
            <w:vAlign w:val="bottom"/>
          </w:tcPr>
          <w:p>
            <w:pPr>
              <w:spacing w:after="0"/>
              <w:rPr>
                <w:sz w:val="23"/>
                <w:szCs w:val="23"/>
                <w:color w:val="auto"/>
              </w:rPr>
            </w:pPr>
          </w:p>
        </w:tc>
        <w:tc>
          <w:tcPr>
            <w:tcW w:w="20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8"/>
                <w:szCs w:val="18"/>
                <w:b w:val="1"/>
                <w:bCs w:val="1"/>
                <w:color w:val="231F20"/>
              </w:rPr>
              <w:t>% of Segment Revenue</w:t>
            </w:r>
          </w:p>
        </w:tc>
      </w:tr>
      <w:tr>
        <w:trPr>
          <w:trHeight w:val="277"/>
        </w:trPr>
        <w:tc>
          <w:tcPr>
            <w:tcW w:w="402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231F20"/>
              </w:rPr>
              <w:t xml:space="preserve">Vacation Ownership </w:t>
            </w:r>
            <w:r>
              <w:rPr>
                <w:rFonts w:ascii="Times New Roman" w:cs="Times New Roman" w:eastAsia="Times New Roman" w:hAnsi="Times New Roman"/>
                <w:sz w:val="20"/>
                <w:szCs w:val="20"/>
                <w:color w:val="B8BABC"/>
              </w:rPr>
              <w:t>. . . . . . . . . . . . . . . . . . . . . .</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4,805</w:t>
            </w:r>
          </w:p>
        </w:tc>
        <w:tc>
          <w:tcPr>
            <w:tcW w:w="208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8"/>
              </w:rPr>
              <w:t>96%</w:t>
            </w:r>
          </w:p>
        </w:tc>
      </w:tr>
      <w:tr>
        <w:trPr>
          <w:trHeight w:val="303"/>
        </w:trPr>
        <w:tc>
          <w:tcPr>
            <w:tcW w:w="402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231F20"/>
              </w:rPr>
              <w:t xml:space="preserve">Exchange &amp; Third-Party Management </w:t>
            </w:r>
            <w:r>
              <w:rPr>
                <w:rFonts w:ascii="Times New Roman" w:cs="Times New Roman" w:eastAsia="Times New Roman" w:hAnsi="Times New Roman"/>
                <w:sz w:val="20"/>
                <w:szCs w:val="20"/>
                <w:color w:val="B8BABC"/>
              </w:rPr>
              <w:t>. . . . . . . .</w:t>
            </w:r>
          </w:p>
        </w:tc>
        <w:tc>
          <w:tcPr>
            <w:tcW w:w="260" w:type="dxa"/>
            <w:vAlign w:val="bottom"/>
            <w:tcBorders>
              <w:bottom w:val="single" w:sz="8" w:color="231F20"/>
            </w:tcBorders>
          </w:tcPr>
          <w:p>
            <w:pPr>
              <w:spacing w:after="0"/>
              <w:rPr>
                <w:sz w:val="24"/>
                <w:szCs w:val="24"/>
                <w:color w:val="auto"/>
              </w:rPr>
            </w:pPr>
          </w:p>
        </w:tc>
        <w:tc>
          <w:tcPr>
            <w:tcW w:w="1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213</w:t>
            </w:r>
          </w:p>
        </w:tc>
        <w:tc>
          <w:tcPr>
            <w:tcW w:w="80" w:type="dxa"/>
            <w:vAlign w:val="bottom"/>
          </w:tcPr>
          <w:p>
            <w:pPr>
              <w:spacing w:after="0"/>
              <w:rPr>
                <w:sz w:val="24"/>
                <w:szCs w:val="24"/>
                <w:color w:val="auto"/>
              </w:rPr>
            </w:pPr>
          </w:p>
        </w:tc>
        <w:tc>
          <w:tcPr>
            <w:tcW w:w="2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7"/>
              </w:rPr>
              <w:t>4%</w:t>
            </w:r>
          </w:p>
        </w:tc>
      </w:tr>
      <w:tr>
        <w:trPr>
          <w:trHeight w:val="260"/>
        </w:trPr>
        <w:tc>
          <w:tcPr>
            <w:tcW w:w="402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231F20"/>
              </w:rPr>
              <w:t xml:space="preserve">Total Segment Revenue </w:t>
            </w:r>
            <w:r>
              <w:rPr>
                <w:rFonts w:ascii="Times New Roman" w:cs="Times New Roman" w:eastAsia="Times New Roman" w:hAnsi="Times New Roman"/>
                <w:sz w:val="20"/>
                <w:szCs w:val="20"/>
                <w:color w:val="B8BABC"/>
              </w:rPr>
              <w:t>. . . . . . . . . . . . . . . . .</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5,018</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100%</w:t>
            </w:r>
          </w:p>
        </w:tc>
      </w:tr>
      <w:tr>
        <w:trPr>
          <w:trHeight w:val="20"/>
        </w:trPr>
        <w:tc>
          <w:tcPr>
            <w:tcW w:w="402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7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top w:val="single" w:sz="8" w:color="231F20"/>
              <w:bottom w:val="single" w:sz="8" w:color="231F20"/>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The Vacation Ownership Industry</w:t>
      </w:r>
    </w:p>
    <w:p>
      <w:pPr>
        <w:spacing w:after="0" w:line="13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231F20"/>
        </w:rPr>
        <w:t>The vacation ownership industry, also known as the timeshare industry, enables customers to share ownership and use of fully-furnished vacation accommodations. Typically, a purchaser acquires an interest (known as a “vacation ownership interest” or a “VOI”) that is either a real estate ownership interest (known as a “timeshare estate”) or a contractual right-to-use interest (known as a “timeshare license”) in a single resort or a collection of resort properties. In the United States, most vacation ownership products are sold as timeshare estates, which can be structured in a variety of ways, including a deeded real estate interest in a specified accommodation unit, an undivided interest in a building or an entire resort, or a beneficial interest in a trust that owns one or more resort properties. For many purchasers, vacation ownership provides an attractive alternative to traditional lodging accommodations (such as hotels, resorts and condominium rentals). Vacation ownership accommodations are, on average, more than twice the size of traditional hotel rooms and typically have more features, such as kitchens and separate living areas, than traditional hotel rooms. Purchasers who might otherwise buy a second home find vacation ownership a preferable alternative because it is more affordable and reduces maintenance and upkeep concerns, and because they are interested in buying a lifetime of vacations.</w:t>
      </w:r>
    </w:p>
    <w:p>
      <w:pPr>
        <w:spacing w:after="0" w:line="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Vacation ownership resorts are often operated by a not-for-profit owners’ association of which owners of the VOIs are members. Most owners’ associations are governed by a board of directors that includes owners and which may include representatives of the resort developer. Some vacation ownership resorts are held through a trust structure in which a trustee holds title and manages the property. The board of the owners’ association, or trustee, as applicable, typically delegates much of the responsibility for managing the resort to a management company, which is often affiliated with the resort developer. Owners typically reserve their usage of vacation accommodations in advance through a reservation system (often provided by the management company or an affiliated entity), unless a VOI specifies fixed usage dates and a particular unit every year.</w:t>
      </w:r>
    </w:p>
    <w:p>
      <w:pPr>
        <w:spacing w:after="0" w:line="9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231F20"/>
        </w:rPr>
        <w:t>Typically, resort developers sell VOIs for a fixed purchase price that is paid in full at closing or financed with a loan. Although certain financial institutions participate in the securitization or hypothecation of portfolios of timeshare receivables, financial institutions typically do not finance the purchase of individual timeshare interests. As a result, a majority of the sales price is often financed by the developer through a note receivable. The note receivable is usually a recourse note secured by the VOI. It is common business practice for developers to repossess timeshare interests upon buyer default.</w:t>
      </w:r>
    </w:p>
    <w:p>
      <w:pPr>
        <w:sectPr>
          <w:pgSz w:w="11880" w:h="15480" w:orient="portrait"/>
          <w:cols w:equalWidth="0" w:num="1">
            <w:col w:w="9700"/>
          </w:cols>
          <w:pgMar w:left="1080" w:top="831" w:right="1100" w:bottom="0" w:gutter="0" w:footer="0" w:header="0"/>
        </w:sect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9700"/>
          </w:cols>
          <w:pgMar w:left="1080" w:top="831" w:right="1100" w:bottom="0" w:gutter="0" w:footer="0" w:header="0"/>
          <w:type w:val="continuous"/>
        </w:sectPr>
      </w:pPr>
    </w:p>
    <w:bookmarkStart w:id="7" w:name="page8"/>
    <w:bookmarkEnd w:id="7"/>
    <w:p>
      <w:pPr>
        <w:spacing w:after="0" w:line="254" w:lineRule="auto"/>
        <w:rPr>
          <w:sz w:val="20"/>
          <w:szCs w:val="20"/>
          <w:color w:val="auto"/>
        </w:rPr>
      </w:pPr>
      <w:r>
        <w:rPr>
          <w:rFonts w:ascii="Times New Roman" w:cs="Times New Roman" w:eastAsia="Times New Roman" w:hAnsi="Times New Roman"/>
          <w:sz w:val="20"/>
          <w:szCs w:val="20"/>
          <w:color w:val="231F20"/>
        </w:rPr>
        <w:t>After the initial purchase, most vacation ownership programs require the owner of the VOI to pay an annual maintenance fee. This fee represents the owner’s allocable share of the costs and expenses of operating and maintaining the vacation ownership property and providing program services. This fee typically covers expenses such as: housekeeping, landscaping, taxes, insurance, and resort labor; a property management fee payable to the management company for providing management services; and an assessment to fund a capital asset reserve account used to renovate, refurbish and replace furnishings, common areas and other assets (such as parking lots or roofs) as needed over time. By locking in their purchase price, vacation ownership purchasers avoid most of the volatility in room rates to which traditional lodging customers are subject because only annual maintenance fees and club dues are subject to inflation.</w:t>
      </w:r>
    </w:p>
    <w:p>
      <w:pPr>
        <w:spacing w:after="0" w:line="9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231F20"/>
        </w:rPr>
        <w:t>The vacation ownership industry has grown through expansion of established vacation ownership developers as well as entrance into the market of well-known lodging and entertainment brands, including Marriott, Sheraton, Hilton, Hyatt, Westin and Disney. The industry’s growth can also be attributed to increased market acceptance of vacation ownership products, stronger consumer protection laws and the evolution of VOIs from a fixed- or floating-week product, which provides the right to use the same property every year, to membership in multi-resort vacation networks, which offer a more flexible vacation experience. These vacation networks often issue their members an annual allotment of points that can be redeemed for stays at affiliated vacation ownership resorts or for alternative vacation experiences available through the program.</w:t>
      </w:r>
    </w:p>
    <w:p>
      <w:pPr>
        <w:spacing w:after="0" w:line="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To enhance the flexibility and appeal of their products, many vacation ownership developers affiliate their projects with vacation ownership exchange service providers so that owners may exchange their rights to use the developer’s resorts in which they have purchased an interest for accommodations at other resorts in the exchange service provider’s broader network of properties. The two leading exchange service providers are our subsidiary Interval International, and RCI, LLC (“RCI”), a subsidiary of Travel + Leisure Co.</w:t>
      </w:r>
    </w:p>
    <w:p>
      <w:pPr>
        <w:spacing w:after="0" w:line="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According to the American Resort Development Association (“ARDA”), a trade association representing the vacation ownership and resort development industries, as of December 31, 2024, the U.S. vacation ownership community was comprised of approximately 1,500 resorts, representing nearly 200,000 units. According to ARDA, sales in the U.S. market were approximately $10.5 billion in 2024. We believe there is potential for further growth in the industry both in the U.S. and globally.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License Agreements and Intellectual Property</w:t>
      </w:r>
    </w:p>
    <w:p>
      <w:pPr>
        <w:spacing w:after="0" w:line="1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We have a long-term license agreement with Marriott International that expires in 2095, subject to renewal, under which we are granted the exclusive right, for the term of the license agreement, to use certain Marriott, Sheraton, and Westin marks and intellectual property in our vacation ownership business and to use the Grand Residences by Marriott marks and intellectual property in our residential real estate business. Under the license agreement, we also have the right to use the St. Regis brand for specified fractional ownership products. We also have a long-term license agreement with The Ritz-Carlton Hotel Company, a subsidiary of Marriott International, under which we are granted the exclusive right, for the term of the license agreement, to use certain Ritz-Carlton marks and intellectual property in our vacation ownership business and the nonexclusive right to use certain Ritz-Carlton marks and intellectual property in our residential real estate business.</w:t>
      </w:r>
    </w:p>
    <w:p>
      <w:pPr>
        <w:spacing w:after="0" w:line="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231F20"/>
        </w:rPr>
        <w:t>We have a long-term license agreement with Hyatt that expires in 2093, subject to renewal, under which we are granted the exclusive right, for the term of the license agreement, to use certain Hyatt marks and intellectual property in connection with our Hyatt Vacation Ownership business.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We operate in a highly competitive industry and our brand names, trademarks, trade names, and service marks are very important to the marketing and sales of our products and services. We believe that our licensed brand names and other intellectual property represent high standards of quality, caring, service and value to our customers and the traveling public. We register and protect our intellectual property where we deem appropriate and otherwise seek to protect against its unauthorized use.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Licensor Customer Loyalty Programs</w:t>
      </w:r>
    </w:p>
    <w:p>
      <w:pPr>
        <w:spacing w:after="0" w:line="13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9"/>
          <w:szCs w:val="19"/>
          <w:color w:val="231F20"/>
        </w:rPr>
        <w:t>Under our affiliation agreements with Marriott International and its affiliates, our owners who are Marriott Bonvoy members generally have the ability to redeem their vacation ownership usage rights to access participating Marriott-, Sheraton-, and Westin-branded properties or other products and services offered through the Marriott Bonvoy program.</w:t>
      </w:r>
    </w:p>
    <w:p>
      <w:pPr>
        <w:spacing w:after="0" w:line="5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20"/>
          <w:szCs w:val="20"/>
          <w:color w:val="231F20"/>
        </w:rPr>
        <w:t>Through our relationship with Hyatt, our owners who are members of the World of Hyatt customer loyalty program generally have the ability to redeem their vacation ownership usage rights to access participating Hyatt-branded properties or other products and services offered through the World of Hyatt program.</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9720"/>
          </w:cols>
          <w:pgMar w:left="1080" w:top="838" w:right="108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231F20"/>
        </w:rPr>
        <w:t>Business Strategy</w:t>
      </w:r>
    </w:p>
    <w:p>
      <w:pPr>
        <w:spacing w:after="0" w:line="13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231F20"/>
        </w:rPr>
        <w:t>Our strategic goal is to excel in the vacation industry by further enhancing the vacation experience for our owners and guests of every type.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Drive profitable revenue growth</w:t>
      </w:r>
    </w:p>
    <w:p>
      <w:pPr>
        <w:spacing w:after="0" w:line="139"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20"/>
          <w:szCs w:val="20"/>
          <w:color w:val="231F20"/>
        </w:rPr>
        <w:t>We intend to drive long-term growth by leveraging our trusted hospitality brands and membership programs to attract new owners and members and expand revenues in an overall cost-efficient manner. We may selectively add desirable destinations with new on-site sales centers to our portfolio utilizing our integrated platform. This utilizes access to the loyalty programs of Marriott International and Hyatt. We also intend to continue to focus on further engaging with our global base of approximately 700,000 owner families.</w:t>
      </w:r>
    </w:p>
    <w:p>
      <w:pPr>
        <w:spacing w:after="0" w:line="6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20"/>
          <w:szCs w:val="20"/>
          <w:color w:val="231F20"/>
        </w:rPr>
        <w:t>We seek to increase sales efficiency by growing high</w:t>
      </w:r>
      <w:r>
        <w:rPr>
          <w:rFonts w:ascii="Arial" w:cs="Arial" w:eastAsia="Arial" w:hAnsi="Arial"/>
          <w:sz w:val="20"/>
          <w:szCs w:val="20"/>
          <w:color w:val="231F20"/>
        </w:rPr>
        <w:t>-</w:t>
      </w:r>
      <w:r>
        <w:rPr>
          <w:rFonts w:ascii="Times New Roman" w:cs="Times New Roman" w:eastAsia="Times New Roman" w:hAnsi="Times New Roman"/>
          <w:sz w:val="20"/>
          <w:szCs w:val="20"/>
          <w:color w:val="231F20"/>
        </w:rPr>
        <w:t>quality tour flow and volume per guest (“VPG”) through a mix of existing and emerging marketing channels, including digital and social media, while expanding the use of remote sales presentations to address evolving consumer preferences. We may also seek to grow new lead and tour sources which may have different efficiency models but are intended to grow revenues and profitability.</w:t>
      </w:r>
    </w:p>
    <w:p>
      <w:pPr>
        <w:spacing w:after="0" w:line="7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In addition, we aim to expand recurring revenues, which are generally less capital intensive than VOI sales. Recurring revenues include resort and owners’ association management, financing, and membership and club fees. These revenues are expected to grow as VOIs are sold and benefit from greater predictability, supported by long</w:t>
      </w:r>
      <w:r>
        <w:rPr>
          <w:rFonts w:ascii="Arial" w:cs="Arial" w:eastAsia="Arial" w:hAnsi="Arial"/>
          <w:sz w:val="20"/>
          <w:szCs w:val="20"/>
          <w:color w:val="231F20"/>
        </w:rPr>
        <w:t>-</w:t>
      </w:r>
      <w:r>
        <w:rPr>
          <w:rFonts w:ascii="Times New Roman" w:cs="Times New Roman" w:eastAsia="Times New Roman" w:hAnsi="Times New Roman"/>
          <w:sz w:val="20"/>
          <w:szCs w:val="20"/>
          <w:color w:val="231F20"/>
        </w:rPr>
        <w:t>term contractual arrangements for management and exchange services and the predictability of financing revenues, which are primarily derived from note originations in prior years. Although demand for our Exchange and Third</w:t>
      </w:r>
      <w:r>
        <w:rPr>
          <w:rFonts w:ascii="Arial" w:cs="Arial" w:eastAsia="Arial" w:hAnsi="Arial"/>
          <w:sz w:val="20"/>
          <w:szCs w:val="20"/>
          <w:color w:val="231F20"/>
        </w:rPr>
        <w:t>-</w:t>
      </w:r>
      <w:r>
        <w:rPr>
          <w:rFonts w:ascii="Times New Roman" w:cs="Times New Roman" w:eastAsia="Times New Roman" w:hAnsi="Times New Roman"/>
          <w:sz w:val="20"/>
          <w:szCs w:val="20"/>
          <w:color w:val="231F20"/>
        </w:rPr>
        <w:t>Party Management businesses has softened over the past five years, this segment continues to generate recurring, higher</w:t>
      </w:r>
      <w:r>
        <w:rPr>
          <w:rFonts w:ascii="Arial" w:cs="Arial" w:eastAsia="Arial" w:hAnsi="Arial"/>
          <w:sz w:val="20"/>
          <w:szCs w:val="20"/>
          <w:color w:val="231F20"/>
        </w:rPr>
        <w:t>-</w:t>
      </w:r>
      <w:r>
        <w:rPr>
          <w:rFonts w:ascii="Times New Roman" w:cs="Times New Roman" w:eastAsia="Times New Roman" w:hAnsi="Times New Roman"/>
          <w:sz w:val="20"/>
          <w:szCs w:val="20"/>
          <w:color w:val="231F20"/>
        </w:rPr>
        <w:t>margin fee income with modest capital requirements. We intend to continue evolving our core product offerings and driving revenue growth by expanding membership programs and leisure travel products and services that complement our current business to address changing consumer preferences to increase our capture of leisure travel wallet share.</w:t>
      </w:r>
    </w:p>
    <w:p>
      <w:pPr>
        <w:spacing w:after="0" w:line="197" w:lineRule="exact"/>
        <w:rPr>
          <w:sz w:val="20"/>
          <w:szCs w:val="20"/>
          <w:color w:val="auto"/>
        </w:rPr>
      </w:pPr>
    </w:p>
    <w:p>
      <w:pPr>
        <w:jc w:val="both"/>
        <w:ind w:right="800"/>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Drive cash flow by better matching inventory and sales levels, selectively pursuing capital efficient vacation ownership deal structures and business models, and regularly monitoring our asset base for any appropriate dispositions</w:t>
      </w:r>
    </w:p>
    <w:p>
      <w:pPr>
        <w:spacing w:after="0" w:line="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We seek to grow cash flow and improve returns on invested capital by proactively reducing inventory holdings. By leveraging our points</w:t>
      </w:r>
      <w:r>
        <w:rPr>
          <w:rFonts w:ascii="Arial" w:cs="Arial" w:eastAsia="Arial" w:hAnsi="Arial"/>
          <w:sz w:val="20"/>
          <w:szCs w:val="20"/>
          <w:color w:val="231F20"/>
        </w:rPr>
        <w:t>-</w:t>
      </w:r>
      <w:r>
        <w:rPr>
          <w:rFonts w:ascii="Times New Roman" w:cs="Times New Roman" w:eastAsia="Times New Roman" w:hAnsi="Times New Roman"/>
          <w:sz w:val="20"/>
          <w:szCs w:val="20"/>
          <w:color w:val="231F20"/>
        </w:rPr>
        <w:t>based products, we have the ability to better align inventory investment with sales pace, reduce maintenance fees associated with unsold inventory, and generate strong, sustainable cash flows over time. In addition, we may selectively reacquire previously sold vacation ownership interests at costs below those necessary to develop new inventory, which can enhance margins on subsequent VOI sales.</w:t>
      </w:r>
    </w:p>
    <w:p>
      <w:pPr>
        <w:spacing w:after="0" w:line="6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color w:val="231F20"/>
        </w:rPr>
        <w:t>Our business model is designed to deliver steady and consistent cash flow, supported by an asset</w:t>
      </w:r>
      <w:r>
        <w:rPr>
          <w:rFonts w:ascii="Arial" w:cs="Arial" w:eastAsia="Arial" w:hAnsi="Arial"/>
          <w:sz w:val="20"/>
          <w:szCs w:val="20"/>
          <w:color w:val="231F20"/>
        </w:rPr>
        <w:t>-</w:t>
      </w:r>
      <w:r>
        <w:rPr>
          <w:rFonts w:ascii="Times New Roman" w:cs="Times New Roman" w:eastAsia="Times New Roman" w:hAnsi="Times New Roman"/>
          <w:sz w:val="20"/>
          <w:szCs w:val="20"/>
          <w:color w:val="231F20"/>
        </w:rPr>
        <w:t>light, capital</w:t>
      </w:r>
      <w:r>
        <w:rPr>
          <w:rFonts w:ascii="Arial" w:cs="Arial" w:eastAsia="Arial" w:hAnsi="Arial"/>
          <w:sz w:val="20"/>
          <w:szCs w:val="20"/>
          <w:color w:val="231F20"/>
        </w:rPr>
        <w:t>-</w:t>
      </w:r>
      <w:r>
        <w:rPr>
          <w:rFonts w:ascii="Times New Roman" w:cs="Times New Roman" w:eastAsia="Times New Roman" w:hAnsi="Times New Roman"/>
          <w:sz w:val="20"/>
          <w:szCs w:val="20"/>
          <w:color w:val="231F20"/>
        </w:rPr>
        <w:t>efficient framework that seeks to achieve a balanced leverage profile. We believe our access to capital markets and credit facilities, together with our ability to monetize certain non-core assets, provides sufficient liquidity and financial flexibility to support strategic growth initiatives, manage potential economic downturns, optimize our cost of capital, and return excess capital to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Enhance digital capabilities and data analytics</w:t>
      </w:r>
    </w:p>
    <w:p>
      <w:pPr>
        <w:spacing w:after="0" w:line="13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231F20"/>
        </w:rPr>
        <w:t>We are focused on expanding our digital capabilities to drive more efficient marketing activities and enhance the experience of our owners and members across our vacation ownership, exchange and other membership programs. We believe innovation in digital tools presents meaningful opportunities to improve operating efficiency, customer engagement, and long</w:t>
      </w:r>
      <w:r>
        <w:rPr>
          <w:rFonts w:ascii="Arial" w:cs="Arial" w:eastAsia="Arial" w:hAnsi="Arial"/>
          <w:sz w:val="20"/>
          <w:szCs w:val="20"/>
          <w:color w:val="231F20"/>
        </w:rPr>
        <w:t>-</w:t>
      </w:r>
      <w:r>
        <w:rPr>
          <w:rFonts w:ascii="Times New Roman" w:cs="Times New Roman" w:eastAsia="Times New Roman" w:hAnsi="Times New Roman"/>
          <w:sz w:val="20"/>
          <w:szCs w:val="20"/>
          <w:color w:val="231F20"/>
        </w:rPr>
        <w:t>term growth.</w:t>
      </w:r>
    </w:p>
    <w:p>
      <w:pPr>
        <w:spacing w:after="0" w:line="4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20"/>
          <w:szCs w:val="20"/>
          <w:color w:val="231F20"/>
        </w:rPr>
        <w:t>We are investing in the development and enhancement of customer</w:t>
      </w:r>
      <w:r>
        <w:rPr>
          <w:rFonts w:ascii="Arial" w:cs="Arial" w:eastAsia="Arial" w:hAnsi="Arial"/>
          <w:sz w:val="20"/>
          <w:szCs w:val="20"/>
          <w:color w:val="231F20"/>
        </w:rPr>
        <w:t>-</w:t>
      </w:r>
      <w:r>
        <w:rPr>
          <w:rFonts w:ascii="Times New Roman" w:cs="Times New Roman" w:eastAsia="Times New Roman" w:hAnsi="Times New Roman"/>
          <w:sz w:val="20"/>
          <w:szCs w:val="20"/>
          <w:color w:val="231F20"/>
        </w:rPr>
        <w:t>facing digital platforms to support our existing and future product offerings, including enabling customers to transact online via self-service capabilities across our portfolio of brands and products. In addition, we are leveraging data and advanced analytics to improve operational efficiency, enhance the customer experience, refine targeted marketing efforts, and drive increased profitability.</w:t>
      </w:r>
    </w:p>
    <w:p>
      <w:pPr>
        <w:sectPr>
          <w:pgSz w:w="11880" w:h="15480" w:orient="portrait"/>
          <w:cols w:equalWidth="0" w:num="1">
            <w:col w:w="9700"/>
          </w:cols>
          <w:pgMar w:left="1080" w:top="831"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9700"/>
          </w:cols>
          <w:pgMar w:left="1080" w:top="831" w:right="110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i w:val="1"/>
          <w:iCs w:val="1"/>
          <w:color w:val="231F20"/>
        </w:rPr>
        <w:t>Focus on the satisfaction of our owners, members, and guests as well as the engagement of our associates</w:t>
      </w:r>
    </w:p>
    <w:p>
      <w:pPr>
        <w:spacing w:after="0" w:line="12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color w:val="231F20"/>
        </w:rPr>
        <w:t>We seek to deliver high</w:t>
      </w:r>
      <w:r>
        <w:rPr>
          <w:rFonts w:ascii="Arial" w:cs="Arial" w:eastAsia="Arial" w:hAnsi="Arial"/>
          <w:sz w:val="19"/>
          <w:szCs w:val="19"/>
          <w:color w:val="231F20"/>
        </w:rPr>
        <w:t>-</w:t>
      </w:r>
      <w:r>
        <w:rPr>
          <w:rFonts w:ascii="Times New Roman" w:cs="Times New Roman" w:eastAsia="Times New Roman" w:hAnsi="Times New Roman"/>
          <w:sz w:val="19"/>
          <w:szCs w:val="19"/>
          <w:color w:val="231F20"/>
        </w:rPr>
        <w:t>quality vacation experiences to our owners, members, and guests worldwide, and we believe that sustained engagement across these customer groups is fundamental to our long</w:t>
      </w:r>
      <w:r>
        <w:rPr>
          <w:rFonts w:ascii="Arial" w:cs="Arial" w:eastAsia="Arial" w:hAnsi="Arial"/>
          <w:sz w:val="19"/>
          <w:szCs w:val="19"/>
          <w:color w:val="231F20"/>
        </w:rPr>
        <w:t>-</w:t>
      </w:r>
      <w:r>
        <w:rPr>
          <w:rFonts w:ascii="Times New Roman" w:cs="Times New Roman" w:eastAsia="Times New Roman" w:hAnsi="Times New Roman"/>
          <w:sz w:val="19"/>
          <w:szCs w:val="19"/>
          <w:color w:val="231F20"/>
        </w:rPr>
        <w:t>term success. Our strategy is centered on maintaining and enhancing owner, member, and guest satisfaction through consistent service quality, operational excellence, and continuous improvement in our products and offerings. Higher customer satisfaction can support incremental sales growth, as engaged customers elect to spend more time at our resorts and participate more actively in our programs. Because existing owners, members, and guests represent our most cost</w:t>
      </w:r>
      <w:r>
        <w:rPr>
          <w:rFonts w:ascii="Arial" w:cs="Arial" w:eastAsia="Arial" w:hAnsi="Arial"/>
          <w:sz w:val="19"/>
          <w:szCs w:val="19"/>
          <w:color w:val="231F20"/>
        </w:rPr>
        <w:t>-</w:t>
      </w:r>
      <w:r>
        <w:rPr>
          <w:rFonts w:ascii="Times New Roman" w:cs="Times New Roman" w:eastAsia="Times New Roman" w:hAnsi="Times New Roman"/>
          <w:sz w:val="19"/>
          <w:szCs w:val="19"/>
          <w:color w:val="231F20"/>
        </w:rPr>
        <w:t>effective source of vacation ownership sales, we intend to continue leveraging strong satisfaction levels to drive higher</w:t>
      </w:r>
      <w:r>
        <w:rPr>
          <w:rFonts w:ascii="Arial" w:cs="Arial" w:eastAsia="Arial" w:hAnsi="Arial"/>
          <w:sz w:val="19"/>
          <w:szCs w:val="19"/>
          <w:color w:val="231F20"/>
        </w:rPr>
        <w:t>-</w:t>
      </w:r>
      <w:r>
        <w:rPr>
          <w:rFonts w:ascii="Times New Roman" w:cs="Times New Roman" w:eastAsia="Times New Roman" w:hAnsi="Times New Roman"/>
          <w:sz w:val="19"/>
          <w:szCs w:val="19"/>
          <w:color w:val="231F20"/>
        </w:rPr>
        <w:t>margin sales volumes.</w:t>
      </w:r>
    </w:p>
    <w:p>
      <w:pPr>
        <w:spacing w:after="0" w:line="5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231F20"/>
        </w:rPr>
        <w:t>We remain focused on delivering operational excellence while aligning our services and experiences with core customer expectations, which we believe will support sustainable growth and improved efficiency. In addition, we continue to enhance the customer experience through a combination of expanded self</w:t>
      </w:r>
      <w:r>
        <w:rPr>
          <w:rFonts w:ascii="Arial" w:cs="Arial" w:eastAsia="Arial" w:hAnsi="Arial"/>
          <w:sz w:val="20"/>
          <w:szCs w:val="20"/>
          <w:color w:val="231F20"/>
        </w:rPr>
        <w:t>-</w:t>
      </w:r>
      <w:r>
        <w:rPr>
          <w:rFonts w:ascii="Times New Roman" w:cs="Times New Roman" w:eastAsia="Times New Roman" w:hAnsi="Times New Roman"/>
          <w:sz w:val="20"/>
          <w:szCs w:val="20"/>
          <w:color w:val="231F20"/>
        </w:rPr>
        <w:t>service capabilities and the ongoing streamlining of business processes enabled by technology.</w:t>
      </w:r>
    </w:p>
    <w:p>
      <w:pPr>
        <w:spacing w:after="0" w:line="8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231F20"/>
        </w:rPr>
        <w:t>We also believe that our associates play a critical role in delivering exceptional customer experiences and executing our strategy. From our inception, we have emphasized a culture grounded in welcoming service and authentic care for both customers and associates. Our commitment to attracting, developing, engaging, and retaining a diverse pool of top talent is intended to foster innovation, strengthen our leadership pipeline, and support long</w:t>
      </w:r>
      <w:r>
        <w:rPr>
          <w:rFonts w:ascii="Arial" w:cs="Arial" w:eastAsia="Arial" w:hAnsi="Arial"/>
          <w:sz w:val="20"/>
          <w:szCs w:val="20"/>
          <w:color w:val="231F20"/>
        </w:rPr>
        <w:t>-</w:t>
      </w:r>
      <w:r>
        <w:rPr>
          <w:rFonts w:ascii="Times New Roman" w:cs="Times New Roman" w:eastAsia="Times New Roman" w:hAnsi="Times New Roman"/>
          <w:sz w:val="20"/>
          <w:szCs w:val="20"/>
          <w:color w:val="231F20"/>
        </w:rPr>
        <w:t>term business growth.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Selectively pursue compelling new business opportunities</w:t>
      </w:r>
    </w:p>
    <w:p>
      <w:pPr>
        <w:spacing w:after="0" w:line="13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231F20"/>
        </w:rPr>
        <w:t>We selectively evaluate and pursue strategic growth opportunities that are complementary to our core vacation ownership and exchange businesses. These opportunities may include acquisitions of existing vacation ownership and related businesses, enhancements to our exchange programs, new management affiliations, and the development of innovative leisure travel</w:t>
      </w:r>
      <w:r>
        <w:rPr>
          <w:rFonts w:ascii="Arial" w:cs="Arial" w:eastAsia="Arial" w:hAnsi="Arial"/>
          <w:sz w:val="20"/>
          <w:szCs w:val="20"/>
          <w:color w:val="231F20"/>
        </w:rPr>
        <w:t>-</w:t>
      </w:r>
      <w:r>
        <w:rPr>
          <w:rFonts w:ascii="Times New Roman" w:cs="Times New Roman" w:eastAsia="Times New Roman" w:hAnsi="Times New Roman"/>
          <w:sz w:val="20"/>
          <w:szCs w:val="20"/>
          <w:color w:val="231F20"/>
        </w:rPr>
        <w:t>related products and services. In assessing potential opportunities, we focus on those that are expected to generate recurring revenue streams and sustainable profitability with modest capital requirements.</w:t>
      </w:r>
    </w:p>
    <w:p>
      <w:pPr>
        <w:spacing w:after="0" w:line="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231F20"/>
        </w:rPr>
        <w:t>Before entering into any new business opportunity, we conduct a disciplined evaluation of its strategic fit, including an assessment of its alignment with our existing operations, brand portfolio, culture, and core competencies, as well as expected financial returns. We may pursue opportunities that we believe can enhance long</w:t>
      </w:r>
      <w:r>
        <w:rPr>
          <w:rFonts w:ascii="Arial" w:cs="Arial" w:eastAsia="Arial" w:hAnsi="Arial"/>
          <w:sz w:val="20"/>
          <w:szCs w:val="20"/>
          <w:color w:val="231F20"/>
        </w:rPr>
        <w:t>-</w:t>
      </w:r>
      <w:r>
        <w:rPr>
          <w:rFonts w:ascii="Times New Roman" w:cs="Times New Roman" w:eastAsia="Times New Roman" w:hAnsi="Times New Roman"/>
          <w:sz w:val="20"/>
          <w:szCs w:val="20"/>
          <w:color w:val="231F20"/>
        </w:rPr>
        <w:t>term stockholder value while maintaining our capital</w:t>
      </w:r>
      <w:r>
        <w:rPr>
          <w:rFonts w:ascii="Arial" w:cs="Arial" w:eastAsia="Arial" w:hAnsi="Arial"/>
          <w:sz w:val="20"/>
          <w:szCs w:val="20"/>
          <w:color w:val="231F20"/>
        </w:rPr>
        <w:t>-</w:t>
      </w:r>
      <w:r>
        <w:rPr>
          <w:rFonts w:ascii="Times New Roman" w:cs="Times New Roman" w:eastAsia="Times New Roman" w:hAnsi="Times New Roman"/>
          <w:sz w:val="20"/>
          <w:szCs w:val="20"/>
          <w:color w:val="231F20"/>
        </w:rPr>
        <w:t>efficient operating model and balanced risk profile.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Competitive Strengths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Global scale, diversified platform, and strong brand access</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We are one of the world’s largest vacation ownership and exchange companies based on the number of owners, members, resorts, and revenues. Since becoming a standalone public company in 2011, our vacation ownership business has expanded from 64 resorts serving approximately 420,000 owners to 120 resorts serving approximately 700,000 owner families as of December 31, 2025. Our exchange network and membership programs include more than 3,200 affiliated resorts and 1.5 million members, and we also provide management services to 23 other resorts and lodging properties as of the end of 2025.</w:t>
      </w:r>
    </w:p>
    <w:p>
      <w:pPr>
        <w:spacing w:after="0" w:line="8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9"/>
          <w:szCs w:val="19"/>
          <w:color w:val="231F20"/>
        </w:rPr>
        <w:t>Our global scale, diversified portfolio, and integrated capabilities across development, marketing, sales, exchange, and resort management support operational efficiencies, cost advantages, and long</w:t>
      </w:r>
      <w:r>
        <w:rPr>
          <w:rFonts w:ascii="Arial" w:cs="Arial" w:eastAsia="Arial" w:hAnsi="Arial"/>
          <w:sz w:val="19"/>
          <w:szCs w:val="19"/>
          <w:color w:val="231F20"/>
        </w:rPr>
        <w:t>-</w:t>
      </w:r>
      <w:r>
        <w:rPr>
          <w:rFonts w:ascii="Times New Roman" w:cs="Times New Roman" w:eastAsia="Times New Roman" w:hAnsi="Times New Roman"/>
          <w:sz w:val="19"/>
          <w:szCs w:val="19"/>
          <w:color w:val="231F20"/>
        </w:rPr>
        <w:t>term growth. These strengths enable us to offer a broad range of high</w:t>
      </w:r>
      <w:r>
        <w:rPr>
          <w:rFonts w:ascii="Arial" w:cs="Arial" w:eastAsia="Arial" w:hAnsi="Arial"/>
          <w:sz w:val="19"/>
          <w:szCs w:val="19"/>
          <w:color w:val="231F20"/>
        </w:rPr>
        <w:t>-</w:t>
      </w:r>
      <w:r>
        <w:rPr>
          <w:rFonts w:ascii="Times New Roman" w:cs="Times New Roman" w:eastAsia="Times New Roman" w:hAnsi="Times New Roman"/>
          <w:sz w:val="19"/>
          <w:szCs w:val="19"/>
          <w:color w:val="231F20"/>
        </w:rPr>
        <w:t>quality vacation experiences across traditional resort destinations and select urban offerings, while supporting a balanced leverage profile and our ability to attract and retain experienced management and associates.</w:t>
      </w:r>
    </w:p>
    <w:p>
      <w:pPr>
        <w:spacing w:after="0" w:line="5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231F20"/>
        </w:rPr>
        <w:t>Through our owned and licensed brands and long</w:t>
      </w:r>
      <w:r>
        <w:rPr>
          <w:rFonts w:ascii="Arial" w:cs="Arial" w:eastAsia="Arial" w:hAnsi="Arial"/>
          <w:sz w:val="20"/>
          <w:szCs w:val="20"/>
          <w:color w:val="231F20"/>
        </w:rPr>
        <w:t>-</w:t>
      </w:r>
      <w:r>
        <w:rPr>
          <w:rFonts w:ascii="Times New Roman" w:cs="Times New Roman" w:eastAsia="Times New Roman" w:hAnsi="Times New Roman"/>
          <w:sz w:val="20"/>
          <w:szCs w:val="20"/>
          <w:color w:val="231F20"/>
        </w:rPr>
        <w:t>term relationships with Marriott International and Hyatt, we benefit from exclusive access to large, established loyalty programs, including Marriott Bonvoy and World of Hyatt. Through the brands we license from Marriott International for use in vacation ownership, we benefit from exclusive long-term access to members in the Marriott Bonvoy loyalty program, which includes nearly 271 million members as of December 31, 2025. Similarly, through our relationship with Hyatt, we benefit from access to members of Hyatt’s award-winning guest loyalty program, the World of Hyatt, which includes approximately 63 million members as of December 31, 2025. Access to these brand</w:t>
      </w:r>
      <w:r>
        <w:rPr>
          <w:rFonts w:ascii="Arial" w:cs="Arial" w:eastAsia="Arial" w:hAnsi="Arial"/>
          <w:sz w:val="20"/>
          <w:szCs w:val="20"/>
          <w:color w:val="231F20"/>
        </w:rPr>
        <w:t>-</w:t>
      </w:r>
      <w:r>
        <w:rPr>
          <w:rFonts w:ascii="Times New Roman" w:cs="Times New Roman" w:eastAsia="Times New Roman" w:hAnsi="Times New Roman"/>
          <w:sz w:val="20"/>
          <w:szCs w:val="20"/>
          <w:color w:val="231F20"/>
        </w:rPr>
        <w:t>affiliated customers enhances marketing efficiency and supports future sales, as a substantial portion of our VOI sales are generated through brand</w:t>
      </w:r>
      <w:r>
        <w:rPr>
          <w:rFonts w:ascii="Arial" w:cs="Arial" w:eastAsia="Arial" w:hAnsi="Arial"/>
          <w:sz w:val="20"/>
          <w:szCs w:val="20"/>
          <w:color w:val="231F20"/>
        </w:rPr>
        <w:t>-</w:t>
      </w:r>
      <w:r>
        <w:rPr>
          <w:rFonts w:ascii="Times New Roman" w:cs="Times New Roman" w:eastAsia="Times New Roman" w:hAnsi="Times New Roman"/>
          <w:sz w:val="20"/>
          <w:szCs w:val="20"/>
          <w:color w:val="231F20"/>
        </w:rPr>
        <w:t>loyalty channels.</w:t>
      </w:r>
    </w:p>
    <w:p>
      <w:pPr>
        <w:spacing w:after="0" w:line="5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20"/>
          <w:szCs w:val="20"/>
          <w:color w:val="231F20"/>
        </w:rPr>
        <w:t>Within our exchange business, Interval International’s high</w:t>
      </w:r>
      <w:r>
        <w:rPr>
          <w:rFonts w:ascii="Arial" w:cs="Arial" w:eastAsia="Arial" w:hAnsi="Arial"/>
          <w:sz w:val="20"/>
          <w:szCs w:val="20"/>
          <w:color w:val="231F20"/>
        </w:rPr>
        <w:t>-</w:t>
      </w:r>
      <w:r>
        <w:rPr>
          <w:rFonts w:ascii="Times New Roman" w:cs="Times New Roman" w:eastAsia="Times New Roman" w:hAnsi="Times New Roman"/>
          <w:sz w:val="20"/>
          <w:szCs w:val="20"/>
          <w:color w:val="231F20"/>
        </w:rPr>
        <w:t>quality membership program, the Interval Network, provides access to premium vacation experiences and includes resorts and members from Marriott, Westin, Sheraton, and Hyatt branded products, as well as other high</w:t>
      </w:r>
      <w:r>
        <w:rPr>
          <w:rFonts w:ascii="Arial" w:cs="Arial" w:eastAsia="Arial" w:hAnsi="Arial"/>
          <w:sz w:val="20"/>
          <w:szCs w:val="20"/>
          <w:color w:val="231F20"/>
        </w:rPr>
        <w:t>-</w:t>
      </w:r>
      <w:r>
        <w:rPr>
          <w:rFonts w:ascii="Times New Roman" w:cs="Times New Roman" w:eastAsia="Times New Roman" w:hAnsi="Times New Roman"/>
          <w:sz w:val="20"/>
          <w:szCs w:val="20"/>
          <w:color w:val="231F20"/>
        </w:rPr>
        <w:t>quality branded and independent resorts, making it an attractive platform for developers and owners’ associations.</w:t>
      </w:r>
    </w:p>
    <w:p>
      <w:pPr>
        <w:sectPr>
          <w:pgSz w:w="11880" w:h="15480" w:orient="portrait"/>
          <w:cols w:equalWidth="0" w:num="1">
            <w:col w:w="9720"/>
          </w:cols>
          <w:pgMar w:left="1080" w:top="829" w:right="1080" w:bottom="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9720"/>
          </w:cols>
          <w:pgMar w:left="1080" w:top="829" w:right="108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i w:val="1"/>
          <w:iCs w:val="1"/>
          <w:color w:val="231F20"/>
        </w:rPr>
        <w:t>Loyal and highly satisfied customer base</w:t>
      </w:r>
    </w:p>
    <w:p>
      <w:pPr>
        <w:spacing w:after="0" w:line="1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231F20"/>
        </w:rPr>
        <w:t>We benefit from a large and highly satisfied customer base, as evidenced by strong repeat purchasing behavior, with approximately 70% of VOI sales in 2025 generated from existing owners, which typically carry lower sales and marketing costs than those for new owners. High customer satisfaction is further reflected in consistent, favorable historical survey results, sustained engagement across customer and associate care channels, and consistently above</w:t>
      </w:r>
      <w:r>
        <w:rPr>
          <w:rFonts w:ascii="Arial" w:cs="Arial" w:eastAsia="Arial" w:hAnsi="Arial"/>
          <w:sz w:val="20"/>
          <w:szCs w:val="20"/>
          <w:color w:val="231F20"/>
        </w:rPr>
        <w:t>-</w:t>
      </w:r>
      <w:r>
        <w:rPr>
          <w:rFonts w:ascii="Times New Roman" w:cs="Times New Roman" w:eastAsia="Times New Roman" w:hAnsi="Times New Roman"/>
          <w:sz w:val="20"/>
          <w:szCs w:val="20"/>
          <w:color w:val="231F20"/>
        </w:rPr>
        <w:t>industry</w:t>
      </w:r>
      <w:r>
        <w:rPr>
          <w:rFonts w:ascii="Arial" w:cs="Arial" w:eastAsia="Arial" w:hAnsi="Arial"/>
          <w:sz w:val="20"/>
          <w:szCs w:val="20"/>
          <w:color w:val="231F20"/>
        </w:rPr>
        <w:t>-</w:t>
      </w:r>
      <w:r>
        <w:rPr>
          <w:rFonts w:ascii="Times New Roman" w:cs="Times New Roman" w:eastAsia="Times New Roman" w:hAnsi="Times New Roman"/>
          <w:sz w:val="20"/>
          <w:szCs w:val="20"/>
          <w:color w:val="231F20"/>
        </w:rPr>
        <w:t>average resort occupancy levels within our Vacation Ownership segment. We believe this customer loyalty supports increased product utilization, higher retention rates, incremental product purchases, and referral activity, which collectively contribute to revenue growth.</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Capital-efficient business model generating strong cash flow and financial flexibility</w:t>
      </w:r>
    </w:p>
    <w:p>
      <w:pPr>
        <w:spacing w:after="0" w:line="124"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20"/>
          <w:szCs w:val="20"/>
          <w:color w:val="231F20"/>
        </w:rPr>
        <w:t>Our scale, recurring fee</w:t>
      </w:r>
      <w:r>
        <w:rPr>
          <w:rFonts w:ascii="Arial" w:cs="Arial" w:eastAsia="Arial" w:hAnsi="Arial"/>
          <w:sz w:val="20"/>
          <w:szCs w:val="20"/>
          <w:color w:val="231F20"/>
        </w:rPr>
        <w:t>-</w:t>
      </w:r>
      <w:r>
        <w:rPr>
          <w:rFonts w:ascii="Times New Roman" w:cs="Times New Roman" w:eastAsia="Times New Roman" w:hAnsi="Times New Roman"/>
          <w:sz w:val="20"/>
          <w:szCs w:val="20"/>
          <w:color w:val="231F20"/>
        </w:rPr>
        <w:t>based revenue streams, and enhanced margin profile provide meaningful financial flexibility to support organic growth, strategic acquisitions, debt reduction, and return of capital to stockholders. Vacation Ownership segment revenue derived from sources other than VOI sales, excluding cost reimbursements, has consistently increased annually since 2020 and is expected to continue to grow in both the short and long term. Although demand for our Exchange and Third</w:t>
      </w:r>
      <w:r>
        <w:rPr>
          <w:rFonts w:ascii="Arial" w:cs="Arial" w:eastAsia="Arial" w:hAnsi="Arial"/>
          <w:sz w:val="20"/>
          <w:szCs w:val="20"/>
          <w:color w:val="231F20"/>
        </w:rPr>
        <w:t>-</w:t>
      </w:r>
      <w:r>
        <w:rPr>
          <w:rFonts w:ascii="Times New Roman" w:cs="Times New Roman" w:eastAsia="Times New Roman" w:hAnsi="Times New Roman"/>
          <w:sz w:val="20"/>
          <w:szCs w:val="20"/>
          <w:color w:val="231F20"/>
        </w:rPr>
        <w:t>Party Management businesses has moderated over the past five years, this segment continues to generate recurring, higher</w:t>
      </w:r>
      <w:r>
        <w:rPr>
          <w:rFonts w:ascii="Arial" w:cs="Arial" w:eastAsia="Arial" w:hAnsi="Arial"/>
          <w:sz w:val="20"/>
          <w:szCs w:val="20"/>
          <w:color w:val="231F20"/>
        </w:rPr>
        <w:t>-</w:t>
      </w:r>
      <w:r>
        <w:rPr>
          <w:rFonts w:ascii="Times New Roman" w:cs="Times New Roman" w:eastAsia="Times New Roman" w:hAnsi="Times New Roman"/>
          <w:sz w:val="20"/>
          <w:szCs w:val="20"/>
          <w:color w:val="231F20"/>
        </w:rPr>
        <w:t>margin fee income with modest capital requirements.</w:t>
      </w:r>
    </w:p>
    <w:p>
      <w:pPr>
        <w:spacing w:after="0" w:line="60"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231F20"/>
        </w:rPr>
        <w:t>Available inventory and future commitments are sufficient to support sales operations without significant incremental development, enabling growth while limiting investment to reacquire low cost previously sold VOIs. Our intended disciplined use of third</w:t>
      </w:r>
      <w:r>
        <w:rPr>
          <w:rFonts w:ascii="Arial" w:cs="Arial" w:eastAsia="Arial" w:hAnsi="Arial"/>
          <w:sz w:val="20"/>
          <w:szCs w:val="20"/>
          <w:color w:val="231F20"/>
        </w:rPr>
        <w:t>-</w:t>
      </w:r>
      <w:r>
        <w:rPr>
          <w:rFonts w:ascii="Times New Roman" w:cs="Times New Roman" w:eastAsia="Times New Roman" w:hAnsi="Times New Roman"/>
          <w:sz w:val="20"/>
          <w:szCs w:val="20"/>
          <w:color w:val="231F20"/>
        </w:rPr>
        <w:t>party development and demand</w:t>
      </w:r>
      <w:r>
        <w:rPr>
          <w:rFonts w:ascii="Arial" w:cs="Arial" w:eastAsia="Arial" w:hAnsi="Arial"/>
          <w:sz w:val="20"/>
          <w:szCs w:val="20"/>
          <w:color w:val="231F20"/>
        </w:rPr>
        <w:t>-</w:t>
      </w:r>
      <w:r>
        <w:rPr>
          <w:rFonts w:ascii="Times New Roman" w:cs="Times New Roman" w:eastAsia="Times New Roman" w:hAnsi="Times New Roman"/>
          <w:sz w:val="20"/>
          <w:szCs w:val="20"/>
          <w:color w:val="231F20"/>
        </w:rPr>
        <w:t>aligned acquisitions and our willingness to divest of excess inventory is expected to support stable cash flow generation.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Long-standing track record, experienced management, and engaged associates driving customer loyalty</w:t>
      </w:r>
    </w:p>
    <w:p>
      <w:pPr>
        <w:spacing w:after="0" w:line="13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20"/>
          <w:szCs w:val="20"/>
          <w:color w:val="231F20"/>
        </w:rPr>
        <w:t>We have been a pioneer in the vacation ownership industry since 1984, when Marriott International became the first major hospitality company to introduce a lodging-branded vacation ownership product. Since our early days, we have sought to create a culture that emphasizes authentic care for associates.</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Our seasoned management team is led by Matthew E. Avril, who became our Chief Executive Officer on February 16, 2026. He previously served as our interim President and Chief Executive Officer since November 2025 and has been a member of our Board of Directors since March 2025. Mr. Avril has over 30 years of executive leadership experience in the hospitality and vacation ownership industry, including serving as Chief Executive Officer of Diamond Resorts International, Inc. (a hospitality and vacation ownership company) from November 2016 to March 2017. Prior to that, he was Chief Executive Officer-elect for Vistana Signature Experiences, Inc. (a vacation ownership business) from February 2015 to May 2016, after his retirement as President, Hotel Group for Starwood Hotels &amp; Resorts Worldwide, Inc., (a publicly traded hotel and leisure company) – a position he held from September 2008 to December 2012. Mr. Avril has served in a number of executive leadership positions with Starwood and held various senior leadership positions with Vistana.</w:t>
      </w:r>
    </w:p>
    <w:p>
      <w:pPr>
        <w:spacing w:after="0" w:line="9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9"/>
          <w:szCs w:val="19"/>
          <w:color w:val="231F20"/>
        </w:rPr>
        <w:t>Additionally, Michael A. Flaskey joined as our President and Chief Operating Officer on February 16, 2026. He is a seasoned vacation and hospitality executive with more than 25 years of leadership experience. Most recently, Mr. Flaskey served as Chief Executive Officer and a member of the Board of Directors of Hornblower Group (a leading maritime hospitality company) from August 2024 to January 2026. Prior to that he spent more than a decade leading Diamond Group International, including serving as Chief Executive Officer from 2017 to 2021, where he led a transformation that ultimately culminated in the sale of the company to Hilton Grand Vacations. Mr. Flaskey has served in senior executive leadership roles with Starwood Vacation Ownership and Fairfield Resorts (now Travel + Leisure), where he developed deep expertise across brand, sales, marketing, operations and resort management functions.</w:t>
      </w:r>
    </w:p>
    <w:p>
      <w:pPr>
        <w:spacing w:after="0" w:line="74"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231F20"/>
        </w:rPr>
        <w:t>William J. Shaw, the Chairman of our Board of Directors (the “Board”), is the former Vice Chairman, President and Chief Operating Officer of Marriott International and spent nearly 37 years with Marriott International.</w:t>
      </w:r>
    </w:p>
    <w:p>
      <w:pPr>
        <w:spacing w:after="0" w:line="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Our management team has extensive public company, vacation ownership, and hospitality experience, enabling effective responses to changing market conditions and consumer preferences. This expertise in a highly regulated industry supports the expansion of existing offerings and the development of new products. In addition, we believe our ability and willingness to attract and integrate talent from both within and outside the industry, including executive talent that can expand the experience of our leadership team, enhances our capacity to innovate and adapt.</w:t>
      </w:r>
    </w:p>
    <w:p>
      <w:pPr>
        <w:spacing w:after="0" w:line="69" w:lineRule="exact"/>
        <w:rPr>
          <w:sz w:val="20"/>
          <w:szCs w:val="20"/>
          <w:color w:val="auto"/>
        </w:rPr>
      </w:pPr>
    </w:p>
    <w:p>
      <w:pPr>
        <w:jc w:val="both"/>
        <w:ind w:right="180"/>
        <w:spacing w:after="0" w:line="273" w:lineRule="auto"/>
        <w:rPr>
          <w:sz w:val="20"/>
          <w:szCs w:val="20"/>
          <w:color w:val="auto"/>
        </w:rPr>
      </w:pPr>
      <w:r>
        <w:rPr>
          <w:rFonts w:ascii="Times New Roman" w:cs="Times New Roman" w:eastAsia="Times New Roman" w:hAnsi="Times New Roman"/>
          <w:sz w:val="20"/>
          <w:szCs w:val="20"/>
          <w:color w:val="231F20"/>
        </w:rPr>
        <w:t>We believe our associates deliver high</w:t>
      </w:r>
      <w:r>
        <w:rPr>
          <w:rFonts w:ascii="Arial" w:cs="Arial" w:eastAsia="Arial" w:hAnsi="Arial"/>
          <w:sz w:val="20"/>
          <w:szCs w:val="20"/>
          <w:color w:val="231F20"/>
        </w:rPr>
        <w:t>-</w:t>
      </w:r>
      <w:r>
        <w:rPr>
          <w:rFonts w:ascii="Times New Roman" w:cs="Times New Roman" w:eastAsia="Times New Roman" w:hAnsi="Times New Roman"/>
          <w:sz w:val="20"/>
          <w:szCs w:val="20"/>
          <w:color w:val="231F20"/>
        </w:rPr>
        <w:t>quality customer service that strengthens our competitive position. We leverage associate engagement and a strong corporate culture to consistently deliver positive customer experiences across sales, marketing, exchange, management, and resort operations.</w:t>
      </w:r>
    </w:p>
    <w:p>
      <w:pPr>
        <w:sectPr>
          <w:pgSz w:w="11880" w:h="15480" w:orient="portrait"/>
          <w:cols w:equalWidth="0" w:num="1">
            <w:col w:w="9700"/>
          </w:cols>
          <w:pgMar w:left="1080" w:top="829" w:right="1100" w:bottom="0"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9700"/>
          </w:cols>
          <w:pgMar w:left="1080" w:top="829" w:right="110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231F20"/>
        </w:rPr>
        <w:t>VACATION OWNERSHIP SEGMENT</w:t>
      </w:r>
    </w:p>
    <w:p>
      <w:pPr>
        <w:spacing w:after="0" w:line="1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Our Vacation Ownership segment develops, markets, sells, finances, rents, and manages vacation ownership and related products under our licensed brands. Our vacation ownership resorts typically combine many of the comforts of home, such as spacious accommodations with one, two and three bedroom options, living and dining areas, in-unit kitchens and laundry facilities, with resort amenities such as large feature swimming pools, restaurants and bars, convenience stores, fitness facilities and spas, as well as sports and recreation facilities appropriate for each resort’s unique location.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As of December 31, 2025, our Vacation Ownership segment had 120 resorts and approximately 700,000 owner families.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Vacation Ownership segment represented 95% of our consolidated revenue for 2025.</w:t>
      </w:r>
    </w:p>
    <w:p>
      <w:pPr>
        <w:spacing w:after="0" w:line="61"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ind w:right="83"/>
              <w:spacing w:after="0"/>
              <w:rPr>
                <w:sz w:val="20"/>
                <w:szCs w:val="20"/>
                <w:color w:val="auto"/>
              </w:rPr>
            </w:pPr>
            <w:r>
              <w:rPr>
                <w:rFonts w:ascii="Times New Roman" w:cs="Times New Roman" w:eastAsia="Times New Roman" w:hAnsi="Times New Roman"/>
                <w:sz w:val="18"/>
                <w:szCs w:val="18"/>
                <w:b w:val="1"/>
                <w:bCs w:val="1"/>
                <w:color w:val="231F20"/>
                <w:w w:val="99"/>
              </w:rPr>
              <w:t>2025</w:t>
            </w:r>
          </w:p>
        </w:tc>
      </w:tr>
      <w:tr>
        <w:trPr>
          <w:trHeight w:val="180"/>
        </w:trPr>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jc w:val="center"/>
              <w:ind w:right="83"/>
              <w:spacing w:after="0" w:line="180" w:lineRule="exact"/>
              <w:rPr>
                <w:sz w:val="20"/>
                <w:szCs w:val="20"/>
                <w:color w:val="auto"/>
              </w:rPr>
            </w:pPr>
            <w:r>
              <w:rPr>
                <w:rFonts w:ascii="Times New Roman" w:cs="Times New Roman" w:eastAsia="Times New Roman" w:hAnsi="Times New Roman"/>
                <w:sz w:val="18"/>
                <w:szCs w:val="18"/>
                <w:b w:val="1"/>
                <w:bCs w:val="1"/>
                <w:color w:val="231F20"/>
              </w:rPr>
              <w:t>Vacation Ownership</w:t>
            </w:r>
          </w:p>
        </w:tc>
      </w:tr>
      <w:tr>
        <w:trPr>
          <w:trHeight w:val="239"/>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80" w:type="dxa"/>
            <w:vAlign w:val="bottom"/>
            <w:tcBorders>
              <w:bottom w:val="single" w:sz="8" w:color="231F20"/>
            </w:tcBorders>
          </w:tcPr>
          <w:p>
            <w:pPr>
              <w:spacing w:after="0"/>
              <w:rPr>
                <w:sz w:val="20"/>
                <w:szCs w:val="20"/>
                <w:color w:val="auto"/>
              </w:rPr>
            </w:pPr>
          </w:p>
        </w:tc>
        <w:tc>
          <w:tcPr>
            <w:tcW w:w="1820" w:type="dxa"/>
            <w:vAlign w:val="bottom"/>
            <w:tcBorders>
              <w:bottom w:val="single" w:sz="8" w:color="231F20"/>
            </w:tcBorders>
          </w:tcPr>
          <w:p>
            <w:pPr>
              <w:jc w:val="center"/>
              <w:ind w:right="83"/>
              <w:spacing w:after="0"/>
              <w:rPr>
                <w:sz w:val="20"/>
                <w:szCs w:val="20"/>
                <w:color w:val="auto"/>
              </w:rPr>
            </w:pPr>
            <w:r>
              <w:rPr>
                <w:rFonts w:ascii="Times New Roman" w:cs="Times New Roman" w:eastAsia="Times New Roman" w:hAnsi="Times New Roman"/>
                <w:sz w:val="18"/>
                <w:szCs w:val="18"/>
                <w:b w:val="1"/>
                <w:bCs w:val="1"/>
                <w:color w:val="231F20"/>
              </w:rPr>
              <w:t>Segment Revenues</w:t>
            </w:r>
          </w:p>
        </w:tc>
      </w:tr>
      <w:tr>
        <w:trPr>
          <w:trHeight w:val="277"/>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Sale of vacation ownership products </w:t>
            </w:r>
            <w:r>
              <w:rPr>
                <w:rFonts w:ascii="Times New Roman" w:cs="Times New Roman" w:eastAsia="Times New Roman" w:hAnsi="Times New Roman"/>
                <w:sz w:val="20"/>
                <w:szCs w:val="20"/>
                <w:color w:val="B8BABC"/>
              </w:rPr>
              <w:t>.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1,464</w:t>
            </w:r>
          </w:p>
        </w:tc>
      </w:tr>
      <w:tr>
        <w:trPr>
          <w:trHeight w:val="300"/>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Resort management and other services </w:t>
            </w:r>
            <w:r>
              <w:rPr>
                <w:rFonts w:ascii="Times New Roman" w:cs="Times New Roman" w:eastAsia="Times New Roman" w:hAnsi="Times New Roman"/>
                <w:sz w:val="20"/>
                <w:szCs w:val="20"/>
                <w:color w:val="B8BABC"/>
              </w:rPr>
              <w:t>. . . . . . . . . . . . . . . . . . . . . . . . . . . .</w:t>
            </w:r>
          </w:p>
        </w:tc>
        <w:tc>
          <w:tcPr>
            <w:tcW w:w="1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633</w:t>
            </w:r>
          </w:p>
        </w:tc>
      </w:tr>
      <w:tr>
        <w:trPr>
          <w:trHeight w:val="300"/>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Rental </w:t>
            </w:r>
            <w:r>
              <w:rPr>
                <w:rFonts w:ascii="Times New Roman" w:cs="Times New Roman" w:eastAsia="Times New Roman" w:hAnsi="Times New Roman"/>
                <w:sz w:val="20"/>
                <w:szCs w:val="20"/>
                <w:color w:val="B8BABC"/>
              </w:rPr>
              <w:t>. . . . . . . . . . . . . . . . . . . . . . . . . . . . . . . . . . . . . . . . . . . . . . . . . . . . .</w:t>
            </w:r>
          </w:p>
        </w:tc>
        <w:tc>
          <w:tcPr>
            <w:tcW w:w="1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615</w:t>
            </w:r>
          </w:p>
        </w:tc>
      </w:tr>
      <w:tr>
        <w:trPr>
          <w:trHeight w:val="300"/>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Financing  </w:t>
            </w:r>
            <w:r>
              <w:rPr>
                <w:rFonts w:ascii="Times New Roman" w:cs="Times New Roman" w:eastAsia="Times New Roman" w:hAnsi="Times New Roman"/>
                <w:sz w:val="20"/>
                <w:szCs w:val="20"/>
                <w:color w:val="B8BABC"/>
              </w:rPr>
              <w:t>. . . . . . . . . . . . . . . . . . . . . . . . . . . . . . . . . . . . . . . . . . . . . . . . . .</w:t>
            </w:r>
          </w:p>
        </w:tc>
        <w:tc>
          <w:tcPr>
            <w:tcW w:w="1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360</w:t>
            </w:r>
          </w:p>
        </w:tc>
      </w:tr>
      <w:tr>
        <w:trPr>
          <w:trHeight w:val="303"/>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Cost reimbursements </w:t>
            </w:r>
            <w:r>
              <w:rPr>
                <w:rFonts w:ascii="Times New Roman" w:cs="Times New Roman" w:eastAsia="Times New Roman" w:hAnsi="Times New Roman"/>
                <w:sz w:val="20"/>
                <w:szCs w:val="20"/>
                <w:color w:val="B8BABC"/>
              </w:rPr>
              <w:t>. . . . . . . . . . . . . . . . . . . . . . . . . . . . . . . . . . . . . . . . . .</w:t>
            </w:r>
          </w:p>
        </w:tc>
        <w:tc>
          <w:tcPr>
            <w:tcW w:w="180" w:type="dxa"/>
            <w:vAlign w:val="bottom"/>
            <w:tcBorders>
              <w:bottom w:val="single" w:sz="8" w:color="231F20"/>
            </w:tcBorders>
          </w:tcPr>
          <w:p>
            <w:pPr>
              <w:spacing w:after="0"/>
              <w:rPr>
                <w:sz w:val="24"/>
                <w:szCs w:val="24"/>
                <w:color w:val="auto"/>
              </w:rPr>
            </w:pPr>
          </w:p>
        </w:tc>
        <w:tc>
          <w:tcPr>
            <w:tcW w:w="1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1,733</w:t>
            </w:r>
          </w:p>
        </w:tc>
      </w:tr>
      <w:tr>
        <w:trPr>
          <w:trHeight w:val="260"/>
        </w:trPr>
        <w:tc>
          <w:tcPr>
            <w:tcW w:w="59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231F20"/>
              </w:rPr>
              <w:t xml:space="preserve">TOTAL REVENUES </w:t>
            </w:r>
            <w:r>
              <w:rPr>
                <w:rFonts w:ascii="Times New Roman" w:cs="Times New Roman" w:eastAsia="Times New Roman" w:hAnsi="Times New Roman"/>
                <w:sz w:val="20"/>
                <w:szCs w:val="20"/>
                <w:b w:val="1"/>
                <w:bCs w:val="1"/>
                <w:color w:val="B8BABC"/>
              </w:rPr>
              <w:t>. . . . . . . . . . . . . . . . . . . . . . . . . . . . . . . . . . . . . .</w:t>
            </w: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4,805</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820" w:type="dxa"/>
            <w:vAlign w:val="bottom"/>
            <w:tcBorders>
              <w:bottom w:val="single" w:sz="8" w:color="231F20"/>
            </w:tcBorders>
          </w:tcPr>
          <w:p>
            <w:pPr>
              <w:spacing w:after="0" w:line="20" w:lineRule="exact"/>
              <w:rPr>
                <w:sz w:val="1"/>
                <w:szCs w:val="1"/>
                <w:color w:val="auto"/>
              </w:rPr>
            </w:pPr>
          </w:p>
        </w:tc>
      </w:tr>
    </w:tbl>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Brands</w:t>
      </w:r>
    </w:p>
    <w:p>
      <w:pPr>
        <w:spacing w:after="0" w:line="122" w:lineRule="exact"/>
        <w:rPr>
          <w:sz w:val="20"/>
          <w:szCs w:val="20"/>
          <w:color w:val="auto"/>
        </w:rPr>
      </w:pPr>
    </w:p>
    <w:p>
      <w:pPr>
        <w:ind w:right="100"/>
        <w:spacing w:after="0" w:line="303" w:lineRule="auto"/>
        <w:rPr>
          <w:sz w:val="20"/>
          <w:szCs w:val="20"/>
          <w:color w:val="auto"/>
        </w:rPr>
      </w:pPr>
      <w:r>
        <w:rPr>
          <w:rFonts w:ascii="Times New Roman" w:cs="Times New Roman" w:eastAsia="Times New Roman" w:hAnsi="Times New Roman"/>
          <w:sz w:val="19"/>
          <w:szCs w:val="19"/>
          <w:color w:val="231F20"/>
        </w:rPr>
        <w:t>Founded as a single</w:t>
      </w:r>
      <w:r>
        <w:rPr>
          <w:rFonts w:ascii="Arial" w:cs="Arial" w:eastAsia="Arial" w:hAnsi="Arial"/>
          <w:sz w:val="19"/>
          <w:szCs w:val="19"/>
          <w:color w:val="231F20"/>
        </w:rPr>
        <w:t>-</w:t>
      </w:r>
      <w:r>
        <w:rPr>
          <w:rFonts w:ascii="Times New Roman" w:cs="Times New Roman" w:eastAsia="Times New Roman" w:hAnsi="Times New Roman"/>
          <w:sz w:val="19"/>
          <w:szCs w:val="19"/>
          <w:color w:val="231F20"/>
        </w:rPr>
        <w:t>brand hospitality company, Marriott Vacations Worldwide has evolved into a multi</w:t>
      </w:r>
      <w:r>
        <w:rPr>
          <w:rFonts w:ascii="Arial" w:cs="Arial" w:eastAsia="Arial" w:hAnsi="Arial"/>
          <w:sz w:val="19"/>
          <w:szCs w:val="19"/>
          <w:color w:val="231F20"/>
        </w:rPr>
        <w:t>-</w:t>
      </w:r>
      <w:r>
        <w:rPr>
          <w:rFonts w:ascii="Times New Roman" w:cs="Times New Roman" w:eastAsia="Times New Roman" w:hAnsi="Times New Roman"/>
          <w:sz w:val="19"/>
          <w:szCs w:val="19"/>
          <w:color w:val="231F20"/>
        </w:rPr>
        <w:t>branded organization with a diversified portfolio of vacation and leisure destinations. The Company designs, develops, manages, and maintains properties operating primarily in the upper</w:t>
      </w:r>
      <w:r>
        <w:rPr>
          <w:rFonts w:ascii="Arial" w:cs="Arial" w:eastAsia="Arial" w:hAnsi="Arial"/>
          <w:sz w:val="19"/>
          <w:szCs w:val="19"/>
          <w:color w:val="231F20"/>
        </w:rPr>
        <w:t>-</w:t>
      </w:r>
      <w:r>
        <w:rPr>
          <w:rFonts w:ascii="Times New Roman" w:cs="Times New Roman" w:eastAsia="Times New Roman" w:hAnsi="Times New Roman"/>
          <w:sz w:val="19"/>
          <w:szCs w:val="19"/>
          <w:color w:val="231F20"/>
        </w:rPr>
        <w:t>upscale and luxury segments of the hospitality industry.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Brands Licensed from Marriott International</w:t>
      </w:r>
    </w:p>
    <w:p>
      <w:pPr>
        <w:spacing w:after="0" w:line="134" w:lineRule="exact"/>
        <w:rPr>
          <w:sz w:val="20"/>
          <w:szCs w:val="20"/>
          <w:color w:val="auto"/>
        </w:rPr>
      </w:pPr>
    </w:p>
    <w:p>
      <w:pPr>
        <w:ind w:right="40"/>
        <w:spacing w:after="0" w:line="309" w:lineRule="auto"/>
        <w:rPr>
          <w:sz w:val="20"/>
          <w:szCs w:val="20"/>
          <w:color w:val="auto"/>
        </w:rPr>
      </w:pPr>
      <w:r>
        <w:rPr>
          <w:rFonts w:ascii="Times New Roman" w:cs="Times New Roman" w:eastAsia="Times New Roman" w:hAnsi="Times New Roman"/>
          <w:sz w:val="19"/>
          <w:szCs w:val="19"/>
          <w:color w:val="231F20"/>
        </w:rPr>
        <w:t>We offer vacation ownership products in the upper upscale segment through the following brands, which provide timeshare villas and other accommodations across the United States, the Caribbean, Mexico, Europe, Asia and Australia:</w:t>
      </w:r>
    </w:p>
    <w:p>
      <w:pPr>
        <w:spacing w:after="0" w:line="37" w:lineRule="exact"/>
        <w:rPr>
          <w:sz w:val="20"/>
          <w:szCs w:val="20"/>
          <w:color w:val="auto"/>
        </w:rPr>
      </w:pPr>
    </w:p>
    <w:p>
      <w:pPr>
        <w:ind w:left="440"/>
        <w:spacing w:after="0"/>
        <w:tabs>
          <w:tab w:leader="none" w:pos="3880" w:val="left"/>
          <w:tab w:leader="none" w:pos="7440" w:val="left"/>
        </w:tabs>
        <w:rPr>
          <w:sz w:val="20"/>
          <w:szCs w:val="20"/>
          <w:color w:val="auto"/>
        </w:rPr>
      </w:pPr>
      <w:r>
        <w:rPr>
          <w:rFonts w:ascii="Times New Roman" w:cs="Times New Roman" w:eastAsia="Times New Roman" w:hAnsi="Times New Roman"/>
          <w:sz w:val="20"/>
          <w:szCs w:val="20"/>
          <w:color w:val="231F20"/>
        </w:rPr>
        <w:t>Marriott Vacation Club</w:t>
      </w:r>
      <w:r>
        <w:rPr>
          <w:sz w:val="20"/>
          <w:szCs w:val="20"/>
          <w:color w:val="auto"/>
        </w:rPr>
        <w:tab/>
      </w:r>
      <w:r>
        <w:rPr>
          <w:rFonts w:ascii="Times New Roman" w:cs="Times New Roman" w:eastAsia="Times New Roman" w:hAnsi="Times New Roman"/>
          <w:sz w:val="20"/>
          <w:szCs w:val="20"/>
          <w:color w:val="231F20"/>
        </w:rPr>
        <w:t>Sheraton Vacation Club</w:t>
      </w:r>
      <w:r>
        <w:rPr>
          <w:sz w:val="20"/>
          <w:szCs w:val="20"/>
          <w:color w:val="auto"/>
        </w:rPr>
        <w:tab/>
      </w:r>
      <w:r>
        <w:rPr>
          <w:rFonts w:ascii="Times New Roman" w:cs="Times New Roman" w:eastAsia="Times New Roman" w:hAnsi="Times New Roman"/>
          <w:sz w:val="20"/>
          <w:szCs w:val="20"/>
          <w:color w:val="231F20"/>
        </w:rPr>
        <w:t>Westin Vacation Club</w:t>
      </w:r>
    </w:p>
    <w:p>
      <w:pPr>
        <w:spacing w:after="0" w:line="19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20"/>
          <w:szCs w:val="20"/>
          <w:color w:val="231F20"/>
        </w:rPr>
        <w:t>In addition, we operate a portfolio of luxury tier vacation ownership resorts in the United States, the Caribbean, and the United Kingdom under brands that generally feature longer duration VOIs, ranging from three to thirteen weeks. These brands include:</w:t>
      </w:r>
    </w:p>
    <w:p>
      <w:pPr>
        <w:spacing w:after="0" w:line="15" w:lineRule="exact"/>
        <w:rPr>
          <w:sz w:val="20"/>
          <w:szCs w:val="20"/>
          <w:color w:val="auto"/>
        </w:rPr>
      </w:pPr>
    </w:p>
    <w:p>
      <w:pPr>
        <w:ind w:left="1040"/>
        <w:spacing w:after="0"/>
        <w:tabs>
          <w:tab w:leader="none" w:pos="6440" w:val="left"/>
        </w:tabs>
        <w:rPr>
          <w:sz w:val="20"/>
          <w:szCs w:val="20"/>
          <w:color w:val="auto"/>
        </w:rPr>
      </w:pPr>
      <w:r>
        <w:rPr>
          <w:rFonts w:ascii="Times New Roman" w:cs="Times New Roman" w:eastAsia="Times New Roman" w:hAnsi="Times New Roman"/>
          <w:sz w:val="20"/>
          <w:szCs w:val="20"/>
          <w:color w:val="231F20"/>
        </w:rPr>
        <w:t>Grand Residences by Marriott</w:t>
      </w:r>
      <w:r>
        <w:rPr>
          <w:sz w:val="20"/>
          <w:szCs w:val="20"/>
          <w:color w:val="auto"/>
        </w:rPr>
        <w:tab/>
      </w:r>
      <w:r>
        <w:rPr>
          <w:rFonts w:ascii="Times New Roman" w:cs="Times New Roman" w:eastAsia="Times New Roman" w:hAnsi="Times New Roman"/>
          <w:sz w:val="19"/>
          <w:szCs w:val="19"/>
          <w:color w:val="231F20"/>
        </w:rPr>
        <w:t>St. Regis Residence Club</w:t>
      </w:r>
    </w:p>
    <w:p>
      <w:pPr>
        <w:spacing w:after="0" w:line="70" w:lineRule="exact"/>
        <w:rPr>
          <w:sz w:val="20"/>
          <w:szCs w:val="20"/>
          <w:color w:val="auto"/>
        </w:rPr>
      </w:pPr>
    </w:p>
    <w:p>
      <w:pPr>
        <w:ind w:left="1360"/>
        <w:spacing w:after="0"/>
        <w:tabs>
          <w:tab w:leader="none" w:pos="6540" w:val="left"/>
        </w:tabs>
        <w:rPr>
          <w:sz w:val="20"/>
          <w:szCs w:val="20"/>
          <w:color w:val="auto"/>
        </w:rPr>
      </w:pPr>
      <w:r>
        <w:rPr>
          <w:rFonts w:ascii="Times New Roman" w:cs="Times New Roman" w:eastAsia="Times New Roman" w:hAnsi="Times New Roman"/>
          <w:sz w:val="20"/>
          <w:szCs w:val="20"/>
          <w:color w:val="231F20"/>
        </w:rPr>
        <w:t>The Ritz-Carlton Club</w:t>
      </w:r>
      <w:r>
        <w:rPr>
          <w:sz w:val="20"/>
          <w:szCs w:val="20"/>
          <w:color w:val="auto"/>
        </w:rPr>
        <w:tab/>
      </w:r>
      <w:r>
        <w:rPr>
          <w:rFonts w:ascii="Times New Roman" w:cs="Times New Roman" w:eastAsia="Times New Roman" w:hAnsi="Times New Roman"/>
          <w:sz w:val="19"/>
          <w:szCs w:val="19"/>
          <w:color w:val="231F20"/>
        </w:rPr>
        <w:t>The Luxury Collection</w:t>
      </w:r>
    </w:p>
    <w:p>
      <w:pPr>
        <w:spacing w:after="0" w:line="19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231F20"/>
        </w:rPr>
        <w:t>Our luxury tier whole ownership residential offerings include residential condominiums co-located with The Ritz-Carlton Club resorts in the United States. On-site management and services at both The Ritz-Carlton Club and The Ritz-Carlton Residences are provided by The Ritz-Carlton Hotel Company.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Brand Licensed from Hyatt</w:t>
      </w:r>
    </w:p>
    <w:p>
      <w:pPr>
        <w:spacing w:after="0" w:line="13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20"/>
          <w:szCs w:val="20"/>
          <w:color w:val="231F20"/>
        </w:rPr>
        <w:t>Hyatt Vacation Club is a collection of upper upscale vacation ownership resorts offering timeshare villas located in the United States and Mexico.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Products and Services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Points-Based Vacation Ownership Products</w:t>
      </w:r>
    </w:p>
    <w:p>
      <w:pPr>
        <w:spacing w:after="0" w:line="13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231F20"/>
        </w:rPr>
        <w:t>We sell the majority of our products through points-based ownership programs affiliated with the Marriott and Hyatt brands. Our points-based systems and exchange networks enable owners and members to access a large variety of different vacation experiences. While the structural characteristics of each of our points-based programs differ, in each program, owners receive an annual allotment of points representing owners’ usage rights, and owners can use these points to access vacation ownership units across multiple destinations within their program’s portfolio of resort locations. Each program permits shorter or longer stays than a traditional weeks-based vacation ownership product and provides for flexibility with respect to check-in days and size of accommodations. In addition to traditional resort stays, the programs enable our owners to exchange their points for a wide variety of innovative vacation experiences, which may include cruises, airline travel, guided tours, safaris and other unique vacation alternatives. Owners who are members of our</w:t>
      </w:r>
    </w:p>
    <w:p>
      <w:pPr>
        <w:sectPr>
          <w:pgSz w:w="11880" w:h="15480" w:orient="portrait"/>
          <w:cols w:equalWidth="0" w:num="1">
            <w:col w:w="9720"/>
          </w:cols>
          <w:pgMar w:left="1080" w:top="831" w:right="108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9720"/>
          </w:cols>
          <w:pgMar w:left="1080" w:top="831" w:right="1080" w:bottom="0" w:gutter="0" w:footer="0" w:header="0"/>
          <w:type w:val="continuous"/>
        </w:sectPr>
      </w:pPr>
    </w:p>
    <w:bookmarkStart w:id="12" w:name="page13"/>
    <w:bookmarkEnd w:id="12"/>
    <w:p>
      <w:pPr>
        <w:ind w:right="220"/>
        <w:spacing w:after="0" w:line="260" w:lineRule="auto"/>
        <w:rPr>
          <w:sz w:val="20"/>
          <w:szCs w:val="20"/>
          <w:color w:val="auto"/>
        </w:rPr>
      </w:pPr>
      <w:r>
        <w:rPr>
          <w:rFonts w:ascii="Times New Roman" w:cs="Times New Roman" w:eastAsia="Times New Roman" w:hAnsi="Times New Roman"/>
          <w:sz w:val="20"/>
          <w:szCs w:val="20"/>
          <w:color w:val="231F20"/>
        </w:rPr>
        <w:t>points-based programs typically pay annual fees in exchange for the ability to participate in the program. In addition to points-based ownership programs that allow owners to access multiple destinations within a single program, we offer points programs at certain resorts, such as in St. John and Hawaii, that allow owners to access only that particular site using points in a similar fashion to the other points-based products.</w:t>
      </w:r>
    </w:p>
    <w:p>
      <w:pPr>
        <w:spacing w:after="0" w:line="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Our points programs allow owners to bank and borrow their annual point allotments, access other locations through the applicable internal exchange programs that we operate, and access Interval International’s network of more than 3,200 affiliated resorts. Owners who are Marriott Bonvoy or World of Hyatt customer loyalty program members can exchange their vacation ownership usage rights for Marriott Bonvoy points or World of Hyatt points, as applicable, which can be used to access participating hotels or redeemed for airline miles or other merchandise or rewards offered through such customer loyalty programs. Through our exchange networks and points systems, owners can also use points toward vacation experiences such as a bicycle tour, a culinary journey, an adventure cruise or a once-in-a-lifetime trip to a major sporting event. Our points-based products offer usage in perpetuity or for a specified term of years and may consist of real estate interests or a contractual right-to-use.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Weeks-Based Vacation Ownership Products</w:t>
      </w:r>
    </w:p>
    <w:p>
      <w:pPr>
        <w:spacing w:after="0" w:line="13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231F20"/>
        </w:rPr>
        <w:t>We continue to sell weeks-based vacation ownership products in select markets, including in countries where legal and tax constraints currently limit our ability to include those locations in one of our existing points-based programs. Our products include multi-week VOIs in specific Grand Residences by Marriott, St. Regis Residence Club, The Luxury Collection Residence Club, and The Ritz-Carlton Club resorts. Our weeks-based vacation ownership products in the United States and select Caribbean locations are typically sold as fee simple deeded real estate interests at a specific resort representing an ownership interest in perpetuity, except where restricted by leasehold or other structural limitations. We sell VOIs as a contractual right-to-use product subject to a finite term in Asia Pacific and Europe.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Global Exchange Opportunities</w:t>
      </w:r>
    </w:p>
    <w:p>
      <w:pPr>
        <w:spacing w:after="0" w:line="134"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19"/>
          <w:szCs w:val="19"/>
          <w:color w:val="231F20"/>
        </w:rPr>
        <w:t>Most of our vacation ownership products, including our Marriott and Hyatt -branded products, are affiliated with the Interval Network, the high-quality membership brand that serves as the gateway to premium vacation experiences.</w:t>
      </w:r>
    </w:p>
    <w:p>
      <w:pPr>
        <w:spacing w:after="0" w:line="3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231F20"/>
        </w:rPr>
        <w:t>In 2022, we launched Abound by Marriott Vacations, an owner benefit and exchange program which affiliates the Marriott Vacation Club-, Sheraton Vacation Club- and Westin Vacation Club- brands, which allows us to offer similar benefits to owners of our products under these brands. Under this program, owners of Marriott Vacation Club, Sheraton Vacation Club and Westin Vacation Club branded VOIs can access resorts under the Marriott Vacation Club, Sheraton Vacation Club and Westin Vacation Club brands using a common currency. The program harmonized fee structures and owner benefit levels between these brands and has allowed us to sell various products at our sales centers.</w:t>
      </w:r>
    </w:p>
    <w:p>
      <w:pPr>
        <w:spacing w:after="0" w:line="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We offer our existing Marriott Vacation Club owners who hold weeks-based products the opportunity to participate, on a voluntary basis, in an exchange program through which many vacation experiences are offered. All existing owners, whether or not they elect to participate in the Abound by Marriott Vacations exchange program, retain their existing rights and privileges of vacation ownership. Owners who elect to participate in the exchange program receive the ability to trade their weeks-based VOI usage for vacation club points usage each year, typically subject to payment of an initial enrollment fee and annual club dues.</w:t>
      </w:r>
    </w:p>
    <w:p>
      <w:pPr>
        <w:spacing w:after="0" w:line="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VSN provides Westin Vacation Club and Sheraton Vacation Club owners access to its affiliated resorts as well as the opportunity to exchange their points through the Marriott Bonvoy program for access to Marriott vacation ownership resorts, through the Interval International network, or for a cruise. Based on the point value of the home resort interest owned, customers can choose other VSN affiliated resorts, the type of villa, the date of travel and the length of stay. VSN members have a home resort priority period in which they have exclusive reservation rights for the related resort or points program without competition from other network members. During this home resort priority period, they can reserve occupancy based on the season and unit type purchased.</w:t>
      </w:r>
    </w:p>
    <w:p>
      <w:pPr>
        <w:spacing w:after="0" w:line="9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231F20"/>
        </w:rPr>
        <w:t>Hyatt Vacation Club provides its owners exchange rights through Interval International. Eligible members may redeem their club points for World of Hyatt points, which may be redeemed at participating Hyatt-branded vacation ownership and hotel properties. In late 2023, we launched the BEYOND program for Hyatt Vacation Club. This program is designed to give owners of Hyatt Vacation Club Platinum or Hyatt Vacation Club Portfolio the opportunity for flexible access to exciting global travel experiences such as cruises, guided tours, and more, while enjoying their ownership benefits and Hyatt Vacation Club resorts.</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9720"/>
          </w:cols>
          <w:pgMar w:left="1080" w:top="838" w:right="108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231F20"/>
        </w:rPr>
        <w:t>Sources of Revenue</w:t>
      </w:r>
    </w:p>
    <w:p>
      <w:pPr>
        <w:spacing w:after="0" w:line="13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20"/>
          <w:szCs w:val="20"/>
          <w:color w:val="231F20"/>
        </w:rPr>
        <w:t>We generate most of our revenues from four primary sources: (1) selling vacation ownership products; (2) managing vacation ownership resorts, clubs, and owners’ associations; (3) financing consumer purchases of vacation ownership products; and (4) renting vacation ownership inventory.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Sale of Vacation Ownership Products</w:t>
      </w:r>
    </w:p>
    <w:p>
      <w:pPr>
        <w:spacing w:after="0" w:line="13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231F20"/>
        </w:rPr>
        <w:t>Our principal source of revenue is the sale of VOIs. Our remaining sources of revenue either support and/or are derived from the sale of VOIs (such as financing revenue) or are a result of the development and sale of VOIs (such as resort management and other services revenue).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Resort Management and Other Services</w:t>
      </w:r>
    </w:p>
    <w:p>
      <w:pPr>
        <w:spacing w:after="0" w:line="13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231F20"/>
        </w:rPr>
        <w:t>We generate revenue from fees we earn for managing each of our resorts. In addition, we earn revenue for providing ancillary offerings, including food and beverage, retail, and golf and spa offerings at our resorts. We also receive annual fees, club dues, and certain transaction-based fees from owners and other third parties, including exchange service providers with which we are associated.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Financing</w:t>
      </w:r>
    </w:p>
    <w:p>
      <w:pPr>
        <w:spacing w:after="0" w:line="134"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9"/>
          <w:szCs w:val="19"/>
          <w:color w:val="231F20"/>
        </w:rPr>
        <w:t>We offer financing to qualified customers for the purchase of most types of our vacation ownership products. As a result, we earn interest income on loans that we provide to purchasers of our VOIs, as well as loan servicing and other fees.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Rental</w:t>
      </w:r>
    </w:p>
    <w:p>
      <w:pPr>
        <w:spacing w:after="0" w:line="13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231F20"/>
        </w:rPr>
        <w:t>We generate revenue from rentals of inventory that we hold for sale as interests in our vacation ownership programs or as residences, or inventory that we control because our owners have elected alternative usage options permitted under our vacation ownership programs. By using Marriott.com and other direct booking channels to rent available inventory, we are able to reach potential new members who may already have an affinity for and loyalty to the Marriott, Sheraton, Westin and Ritz-Carlton brands and introduce them to our products. Similarly, by using Hyatt.com and other direct booking channels to rent available inventory, we are able to reach potential new members who may already have an affinity for and loyalty to the Hyatt brand and introduce them to our products.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Marketing and Sales Activities</w:t>
      </w:r>
    </w:p>
    <w:p>
      <w:pPr>
        <w:spacing w:after="0" w:line="1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We sell our upper upscale tier vacation ownership products under our brands primarily through our worldwide network of resort-based sales centers and certain off-site sales locations. Our VOIs are currently marketed for sale throughout the United States and in 30 countries and territories around the world, targeting customers who vacation regularly with a focus on family, relaxation and recreational activities. In 2025, 90% of our vacation ownership contract sales originated in North America and 90% of our vacation ownership contract sales originated at sales centers that are co-located with one of our resorts. We maintain a range of different off-site sales centers, including our central telesales organization based in Orlando, offsite galleries in Singapore and Japan, and our network of third-party brokers in Latin America and Europe. We have approximately 90 global sales locations focused on the sale of VOIs. We utilize a number of marketing channels to attract qualified customers to our sales locations, including digital and social media marketing.</w:t>
      </w:r>
    </w:p>
    <w:p>
      <w:pPr>
        <w:spacing w:after="0" w:line="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We solicit our existing owners primarily while they are staying in our resorts, but also offer our owners the opportunity to make additional purchases through direct phone sales, owner events and inquiries from our central customer service centers located in Salt Lake City, Utah, Orlando, Florida, and Mexico City, Mexico. In 2025, approximately 70% of our vacation ownership contract sales were to our existing owners. In addition, we are concentrating on growing our high-quality tour flow and VPGs cost effectively through new and existing marketing channels.</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We also market to existing Marriott and Hyatt customer loyalty program members and travelers who are staying in locations where we have resorts affiliated with those brands. We market extensively to guests in Marriott International or Hyatt hotels that are located near one of our sales locations. We also market through call transfer arrangements with Marriott International pursuant to which callers to certain reservation centers are asked if they would like to be transferred to one of our representatives who can tell them about our products. In addition, we operate other local marketing venues in various high-traffic areas. A significant part of our direct marketing activities is focused on members in the Marriott and Hyatt customer loyalty program databases and our in-house databases of qualified prospective customers. We offer guests who do not buy a VOI during their initial tour the opportunity to purchase a return package for a future stay at our resorts. These return guests have historically and consistently been nearly twice as likely to purchase a VOI as a first-time visitor.</w:t>
      </w:r>
    </w:p>
    <w:p>
      <w:pPr>
        <w:sectPr>
          <w:pgSz w:w="11880" w:h="15480" w:orient="portrait"/>
          <w:cols w:equalWidth="0" w:num="1">
            <w:col w:w="9700"/>
          </w:cols>
          <w:pgMar w:left="1080" w:top="831" w:right="1100" w:bottom="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9700"/>
          </w:cols>
          <w:pgMar w:left="1080" w:top="831" w:right="1100" w:bottom="0" w:gutter="0" w:footer="0" w:header="0"/>
          <w:type w:val="continuous"/>
        </w:sectPr>
      </w:pPr>
    </w:p>
    <w:bookmarkStart w:id="14" w:name="page15"/>
    <w:bookmarkEnd w:id="14"/>
    <w:p>
      <w:pPr>
        <w:spacing w:after="0" w:line="253" w:lineRule="auto"/>
        <w:rPr>
          <w:sz w:val="20"/>
          <w:szCs w:val="20"/>
          <w:color w:val="auto"/>
        </w:rPr>
      </w:pPr>
      <w:r>
        <w:rPr>
          <w:rFonts w:ascii="Times New Roman" w:cs="Times New Roman" w:eastAsia="Times New Roman" w:hAnsi="Times New Roman"/>
          <w:sz w:val="20"/>
          <w:szCs w:val="20"/>
          <w:color w:val="231F20"/>
        </w:rPr>
        <w:t>Our sales tours are designed to provide our guests with an overview of our company and our products, as well as a customized presentation to explain how our products and services can meet their vacationing needs. The vacation experience we provide today is not just about a visit to a resort. It can be a bicycle tour, a culinary journey, an adventure cruise, or a once-in-a-lifetime trip to a major sporting event. That is why our sales force is highly trained in a consultative sales approach designed to enable us to meet customers’ needs on an individual basis. We hire our sales executives based on stringent selection criteria. After they are hired, they spend a minimum of four weeks in product and sales training, of which the final week is typically site-driven and tailored to the learning needs of each respective site and new hire. We manage our sales executives’ consistency of presentation and professionalism using a variety of sales tools and technology and through a post-presentation survey of our guests that measures many aspects of each guest’s interactions during the sales process.</w:t>
      </w:r>
    </w:p>
    <w:p>
      <w:pPr>
        <w:spacing w:after="0" w:line="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We believe consumers place a great deal of trust in our brands and the strength of these brands is important to our ability to attract qualified prospects in the marketplace. We maintain a presence on the www.marriott.com, www.ritzcarlton.com and www.hyatt.com websites. Our proprietary websites include www.marriottvacationsworldwide.com, www.marriottvacationclubs.com, www.ritzcarltonclub.com, www.theresidenceclub.com, www.grandresidenceclub.com and www.hyattvacationclub.com.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Inventory and Development Activities</w:t>
      </w:r>
    </w:p>
    <w:p>
      <w:pPr>
        <w:spacing w:after="0" w:line="13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231F20"/>
        </w:rPr>
        <w:t>We secure inventory by developing or acquiring inventory in strategic markets, reacquiring previously sold inventory in the secondary market, reacquiring inventory as a result of owner loan or maintenance fee defaults, or building additional phases at our existing resorts. We proactively buy back previously sold VOIs under our repurchase programs at lower costs than would be required to develop new inventory. Efficient use of our capital is also achieved through our points-based business model, which allows us to supply many sales locations with new inventory sourced from a small number of resort locations.</w:t>
      </w:r>
    </w:p>
    <w:p>
      <w:pPr>
        <w:spacing w:after="0" w:line="8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We may selectively pursue growth opportunities by targeting high-quality inventory that allows us to selectively add desirable new destinations to our system with new on-site sales locations in ways that optimize the timing of our capital investments. These capital efficient vacation ownership transaction structures may include working with third parties to develop new inventory or to convert previously built units to be sold to us close to when we need such inventory to support growth in VOI sales.</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231F20"/>
        </w:rPr>
        <w:t>Approximately 25% of our Vacation Ownership segment resorts are co-located with same-branded or affiliated hotel properties. Co-location can provide several advantages from development, operations, customer experience and marketing perspectives, including sharing amenities, infrastructure and staff, integration of services, and other cost efficiencies. The larger campus of an integrated vacation ownership and hotel resort often can afford our owners more varied and elaborate amenities than those that would generally be available at a stand-alone resort. Shared infrastructure can also reduce our overall development costs for our resorts on a per unit basis. Integration of services and sharing staff and other expenses can lower overhead and operating costs for our resorts. Our on-site access to hotel customers, including customer loyalty program members, who are visiting co-located hotels also provides us with a cost-effective marketing channel for our vacation ownership products.</w:t>
      </w:r>
    </w:p>
    <w:p>
      <w:pPr>
        <w:spacing w:after="0" w:line="8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231F20"/>
        </w:rPr>
        <w:t>Co-located resorts require cooperation and coordination among all parties and are subject to cost sharing and integration agreements among us, the applicable owners’ association and managers and owners of the co-located hotel. Our license agreements with Marriott International and Hyatt allow for the development of co-located properties in the future, and we intend to opportunistically pursue co-located projects with them.</w:t>
      </w:r>
    </w:p>
    <w:p>
      <w:pPr>
        <w:spacing w:after="0" w:line="8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color w:val="231F20"/>
        </w:rPr>
        <w:t>Owners generally can offer their VOIs for resale on the secondary market, which can create pricing pressure on the sale of developer inventory. However, owners who purchase VOIs on the secondary market typically do not receive all of the benefits that owners who purchase products directly from us receive. When an owner purchases a VOI directly from us or a resale on the secondary market, the owner receives certain entitlements that are tied to the underlying VOI, such as the right to reserve a resort unit that underlies their VOI in order to occupy that unit or exchange its use for use of a unit at another resort through an external exchange service provider, as well as benefits that are incidental to the purchase of the VOI. However, the purchaser on the secondary market may not be entitled to receive certain ancillary benefits such as full access to our internal exchange programs or the right to trade their usage rights for customer loyalty program points. Additionally, many of our VOIs provide us with a right of first refusal on secondary market sales. We monitor sales that occur in the secondary market and exercise our right of first refusal when it is advantageous for us to do so, whether due to pricing, desire for the particular inventory, or other factors. All owners, whether they purchase directly from us or on the secondary market, are responsible for the annual maintenance fees, property taxes and any assessments that are levied by the relevant owners’ association, as well as any exchange service membership dues or service fees.</w:t>
      </w:r>
    </w:p>
    <w:p>
      <w:pPr>
        <w:sectPr>
          <w:pgSz w:w="11880" w:h="15480" w:orient="portrait"/>
          <w:cols w:equalWidth="0" w:num="1">
            <w:col w:w="9720"/>
          </w:cols>
          <w:pgMar w:left="1080" w:top="838" w:right="1080" w:bottom="0"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9720"/>
          </w:cols>
          <w:pgMar w:left="1080" w:top="838" w:right="108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231F20"/>
        </w:rPr>
        <w:t>Management Activities</w:t>
      </w:r>
    </w:p>
    <w:p>
      <w:pPr>
        <w:spacing w:after="0" w:line="1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We enter into a management agreement with the owners’ association or other governing body at our resorts and, when a trust holds interests in resorts, with the trust’s governing body. In exchange for a management fee, we typically provide owner account management (reservations and usage selection), housekeeping, check-in, maintenance and billing and collections services. The management fee is typically based on either a percentage of the budgeted costs to operate the applicable resort or a fixed fee arrangement. We earn these fees independent of usage or occupancy. We also receive revenues that represent reimbursement for certain costs we incur under our management agreements, which costs are principally payroll-related costs at the locations where we employ the associates providing on-site services (such as housekeeping or landscaping), costs associated with property refurbishments (including those where we act as the project manager), and insurance costs. Cost reimbursements consist of actual expenses with no added margin.</w:t>
      </w:r>
    </w:p>
    <w:p>
      <w:pPr>
        <w:spacing w:after="0" w:line="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The terms of our management agreements generally range from three to ten years and are generally subject to periodic renewal for one to five year terms. Many of these agreements renew automatically unless either party provides advance notice of termination before the expiration of the term. When our management agreement for a branded resort is not renewed or is terminated, the resort loses the ability to use our relevant brand and trademarks. The owners at such resorts also lose their ability to trade their vacation ownership usage rights for customer loyalty program points and to access other resorts and other vacation travel options through our internal exchange programs.</w:t>
      </w:r>
    </w:p>
    <w:p>
      <w:pPr>
        <w:spacing w:after="0" w:line="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231F20"/>
        </w:rPr>
        <w:t>In certain locations, affiliates of Marriott International or other third parties manage the on-site operations for properties in our portfolio under separate management agreements with us. We provide owners’ association governance and vacation ownership program management services for these properties, including preparing association budgets, facilitating association meetings, billing and collecting maintenance fees, and supporting reservations, vacation experience planning and other off-site member services. We and the on-site property manager typically split the management fees for these resorts.</w:t>
      </w:r>
    </w:p>
    <w:p>
      <w:pPr>
        <w:spacing w:after="0" w:line="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Each management agreement requires the owners’ association, trust association or other governing body to provide sufficient funds to pay for the vacation ownership program and operating costs. To satisfy this requirement, owners of VOIs pay an annual maintenance fee. This fee represents the owner’s allocable share of the costs of operating and maintaining the resorts or interests in the timeshare plan in which they hold a VOI, including management fees and expenses, taxes (in some locations), insurance, and other related costs, and the costs of providing program services (such as reservation services). This fee includes a management fee payable to us for providing management services as well as an assessment for funds to be deposited into a capital asset reserve fund and used to renovate, refurbish and replace furnishings, common areas and other resort assets (such as parking lots or roofs) as needed over time. As the owner of completed but unsold vacation ownership inventory, we also pay maintenance fees in accordance with the legal requirements of the jurisdictions applicable to such resorts and programs. We may enter into subsidy agreements with the owners’ associations under which we agree to pay costs that otherwise would be covered by annual maintenance fees associated with VOIs or units that have not yet been built or committed to a timeshare plan.</w:t>
      </w:r>
    </w:p>
    <w:p>
      <w:pPr>
        <w:spacing w:after="0" w:line="9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If an owner defaults in payment of maintenance fees or other assessments, the owners’ association typically has the right to foreclose on or revoke the defaulting owner’s VOI. We have arrangements with the majority of our vacation ownership property owners’ associations in North America to assist in reselling foreclosed or revoked VOIs in exchange for a fee, or to reacquire such foreclosed or revoked VOIs from the owners’ associations. These arrangements are generally cancellable within 30 to 45 days notice.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Consumer Financing</w:t>
      </w:r>
    </w:p>
    <w:p>
      <w:pPr>
        <w:spacing w:after="0" w:line="13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We offer purchase money financing for purchasers of our vacation ownership products who meet our underwriting guidelines. By offering or eliminating financing incentives, we have been able to increase or decrease the volume of our financing activities depending on market conditions. We do not provide financing to buyers of our residential products. We generally do not face competition in our consumer financing business to finance sales of vacation ownership products.</w:t>
      </w:r>
    </w:p>
    <w:p>
      <w:pPr>
        <w:spacing w:after="0" w:line="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For financing on the majority of our VOIs, we require a minimum down payment of 10% of the purchase price, although down payments and interest rates are typically higher for applicants with credit scores below certain levels and for purchasers who do not have credit scores, such as non-U.S. resident purchasers. Existing customers may apply any or all of their existing ownership interests as part of the down payment for additional VOIs (also referred to as an equity upgrade). Interest rates are fixed and a loan fully amortizes over the life of the loan. We do not impose any prepayment penalties.</w:t>
      </w:r>
    </w:p>
    <w:p>
      <w:pPr>
        <w:sectPr>
          <w:pgSz w:w="11880" w:h="15480" w:orient="portrait"/>
          <w:cols w:equalWidth="0" w:num="1">
            <w:col w:w="9720"/>
          </w:cols>
          <w:pgMar w:left="1080" w:top="83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9720"/>
          </w:cols>
          <w:pgMar w:left="1080" w:top="831" w:right="1080" w:bottom="0" w:gutter="0" w:footer="0" w:header="0"/>
          <w:type w:val="continuous"/>
        </w:sectPr>
      </w:pPr>
    </w:p>
    <w:bookmarkStart w:id="16" w:name="page17"/>
    <w:bookmarkEnd w:id="16"/>
    <w:p>
      <w:pPr>
        <w:ind w:right="60"/>
        <w:spacing w:after="0" w:line="254" w:lineRule="auto"/>
        <w:rPr>
          <w:sz w:val="20"/>
          <w:szCs w:val="20"/>
          <w:color w:val="auto"/>
        </w:rPr>
      </w:pPr>
      <w:r>
        <w:rPr>
          <w:rFonts w:ascii="Times New Roman" w:cs="Times New Roman" w:eastAsia="Times New Roman" w:hAnsi="Times New Roman"/>
          <w:sz w:val="20"/>
          <w:szCs w:val="20"/>
          <w:color w:val="231F20"/>
        </w:rPr>
        <w:t>In our vacation ownership business, in many of our markets, we perform a credit investigation or other review or inquiry to determine the purchaser’s credit history before originating a loan. The interest rates on the loans we provide are based primarily upon the purchaser’s credit score, the size of the purchase, and the term of the loan. We base our financing terms largely on a purchaser’s Fair Isaac Corporation credit score (“FICO”), which is a branded version of a consumer credit score widely used in the United States by banks and lending institutions. FICO scores range from 300 to 850 and are calculated based on information obtained from one or more of the three major U.S. credit reporting agencies that compile and report on a consumer’s credit history. We use other information to determine minimum down payments and interest rates applicable to loans made to purchasers who do not have a credit score or who do not reside within the United States, such as regional historical default rates and currency fluctuation risk.</w:t>
      </w:r>
    </w:p>
    <w:p>
      <w:pPr>
        <w:spacing w:after="0" w:line="89"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20"/>
          <w:szCs w:val="20"/>
          <w:color w:val="231F20"/>
        </w:rPr>
        <w:t>The table below provides information related to loans originated by us for vacation ownership products, including any refinancing by purchasers who upgraded a prior purchase, during each of the last three fiscal years.</w:t>
      </w:r>
    </w:p>
    <w:p>
      <w:pPr>
        <w:ind w:left="6720"/>
        <w:spacing w:after="0"/>
        <w:rPr>
          <w:sz w:val="20"/>
          <w:szCs w:val="20"/>
          <w:color w:val="auto"/>
        </w:rPr>
      </w:pPr>
      <w:r>
        <w:rPr>
          <w:rFonts w:ascii="Times New Roman" w:cs="Times New Roman" w:eastAsia="Times New Roman" w:hAnsi="Times New Roman"/>
          <w:sz w:val="20"/>
          <w:szCs w:val="20"/>
          <w:b w:val="1"/>
          <w:bCs w:val="1"/>
          <w:color w:val="231F20"/>
        </w:rPr>
        <w:t>Fiscal Years</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4720" w:type="dxa"/>
            <w:vAlign w:val="bottom"/>
          </w:tcPr>
          <w:p>
            <w:pPr>
              <w:spacing w:after="0"/>
              <w:rPr>
                <w:sz w:val="20"/>
                <w:szCs w:val="20"/>
                <w:color w:val="auto"/>
              </w:rPr>
            </w:pPr>
          </w:p>
        </w:tc>
        <w:tc>
          <w:tcPr>
            <w:tcW w:w="1620" w:type="dxa"/>
            <w:vAlign w:val="bottom"/>
            <w:tcBorders>
              <w:top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2025</w:t>
            </w:r>
          </w:p>
        </w:tc>
        <w:tc>
          <w:tcPr>
            <w:tcW w:w="60" w:type="dxa"/>
            <w:vAlign w:val="bottom"/>
            <w:tcBorders>
              <w:top w:val="single" w:sz="8" w:color="231F20"/>
            </w:tcBorders>
          </w:tcPr>
          <w:p>
            <w:pPr>
              <w:spacing w:after="0"/>
              <w:rPr>
                <w:sz w:val="20"/>
                <w:szCs w:val="20"/>
                <w:color w:val="auto"/>
              </w:rPr>
            </w:pPr>
          </w:p>
        </w:tc>
        <w:tc>
          <w:tcPr>
            <w:tcW w:w="1600" w:type="dxa"/>
            <w:vAlign w:val="bottom"/>
            <w:tcBorders>
              <w:top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60" w:type="dxa"/>
            <w:vAlign w:val="bottom"/>
            <w:tcBorders>
              <w:top w:val="single" w:sz="8" w:color="231F20"/>
            </w:tcBorders>
          </w:tcPr>
          <w:p>
            <w:pPr>
              <w:spacing w:after="0"/>
              <w:rPr>
                <w:sz w:val="20"/>
                <w:szCs w:val="20"/>
                <w:color w:val="auto"/>
              </w:rPr>
            </w:pPr>
          </w:p>
        </w:tc>
        <w:tc>
          <w:tcPr>
            <w:tcW w:w="1600" w:type="dxa"/>
            <w:vAlign w:val="bottom"/>
            <w:tcBorders>
              <w:top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2023</w:t>
            </w:r>
          </w:p>
        </w:tc>
      </w:tr>
      <w:tr>
        <w:trPr>
          <w:trHeight w:val="262"/>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Financing propensity </w:t>
            </w:r>
            <w:r>
              <w:rPr>
                <w:rFonts w:ascii="Times New Roman" w:cs="Times New Roman" w:eastAsia="Times New Roman" w:hAnsi="Times New Roman"/>
                <w:sz w:val="20"/>
                <w:szCs w:val="20"/>
                <w:color w:val="B8BABC"/>
              </w:rPr>
              <w:t>. . . . . . . . . . . . . . . . . . . . . . . . . . . . .</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57%</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56%</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58%</w:t>
            </w:r>
          </w:p>
        </w:tc>
      </w:tr>
      <w:tr>
        <w:trPr>
          <w:trHeight w:val="285"/>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Average loan amount </w:t>
            </w:r>
            <w:r>
              <w:rPr>
                <w:rFonts w:ascii="Times New Roman" w:cs="Times New Roman" w:eastAsia="Times New Roman" w:hAnsi="Times New Roman"/>
                <w:sz w:val="20"/>
                <w:szCs w:val="20"/>
                <w:color w:val="B8BABC"/>
              </w:rPr>
              <w:t>. . . . . . . . . . . . . . . . . . . . . . . . . . . . .</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$30,900</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$30,400</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$28,600</w:t>
            </w:r>
          </w:p>
        </w:tc>
      </w:tr>
      <w:tr>
        <w:trPr>
          <w:trHeight w:val="285"/>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Average interest rate </w:t>
            </w:r>
            <w:r>
              <w:rPr>
                <w:rFonts w:ascii="Times New Roman" w:cs="Times New Roman" w:eastAsia="Times New Roman" w:hAnsi="Times New Roman"/>
                <w:sz w:val="20"/>
                <w:szCs w:val="20"/>
                <w:color w:val="B8BABC"/>
              </w:rPr>
              <w:t>. . . . . . . . . . . . . . . . . . . . . . . . . . . . . .</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12.8%</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6"/>
              </w:rPr>
              <w:t>13.0%</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13.1%</w:t>
            </w:r>
          </w:p>
        </w:tc>
      </w:tr>
      <w:tr>
        <w:trPr>
          <w:trHeight w:val="285"/>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Average term (years) </w:t>
            </w:r>
            <w:r>
              <w:rPr>
                <w:rFonts w:ascii="Times New Roman" w:cs="Times New Roman" w:eastAsia="Times New Roman" w:hAnsi="Times New Roman"/>
                <w:sz w:val="20"/>
                <w:szCs w:val="20"/>
                <w:color w:val="B8BABC"/>
              </w:rPr>
              <w:t>. . . . . . . . . . . . . . . . . . . . . . . . . . . . .</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11</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11</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12</w:t>
            </w:r>
          </w:p>
        </w:tc>
      </w:tr>
      <w:tr>
        <w:trPr>
          <w:trHeight w:val="285"/>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Average monthly mortgage payment </w:t>
            </w:r>
            <w:r>
              <w:rPr>
                <w:rFonts w:ascii="Times New Roman" w:cs="Times New Roman" w:eastAsia="Times New Roman" w:hAnsi="Times New Roman"/>
                <w:sz w:val="20"/>
                <w:szCs w:val="20"/>
                <w:color w:val="B8BABC"/>
              </w:rPr>
              <w:t>. . . . . . . . . . . . . . . . .</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$505</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$492</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$454</w:t>
            </w:r>
          </w:p>
        </w:tc>
      </w:tr>
      <w:tr>
        <w:trPr>
          <w:trHeight w:val="310"/>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231F20"/>
                <w:w w:val="99"/>
              </w:rPr>
              <w:t>Average FICO score</w:t>
            </w:r>
            <w:r>
              <w:rPr>
                <w:rFonts w:ascii="Times New Roman" w:cs="Times New Roman" w:eastAsia="Times New Roman" w:hAnsi="Times New Roman"/>
                <w:sz w:val="26"/>
                <w:szCs w:val="26"/>
                <w:color w:val="231F20"/>
                <w:w w:val="99"/>
                <w:vertAlign w:val="superscript"/>
              </w:rPr>
              <w:t>(1)</w:t>
            </w:r>
            <w:r>
              <w:rPr>
                <w:rFonts w:ascii="Times New Roman" w:cs="Times New Roman" w:eastAsia="Times New Roman" w:hAnsi="Times New Roman"/>
                <w:sz w:val="20"/>
                <w:szCs w:val="20"/>
                <w:color w:val="231F20"/>
                <w:w w:val="99"/>
              </w:rPr>
              <w:t xml:space="preserve">  </w:t>
            </w:r>
            <w:r>
              <w:rPr>
                <w:rFonts w:ascii="Times New Roman" w:cs="Times New Roman" w:eastAsia="Times New Roman" w:hAnsi="Times New Roman"/>
                <w:sz w:val="20"/>
                <w:szCs w:val="20"/>
                <w:color w:val="B8BABC"/>
                <w:w w:val="99"/>
              </w:rPr>
              <w:t>. . . . . . . . . . . . . . . . . . . . . . . . . . . .</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740</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737</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735</w:t>
            </w:r>
          </w:p>
        </w:tc>
      </w:tr>
      <w:tr>
        <w:trPr>
          <w:trHeight w:val="285"/>
        </w:trPr>
        <w:tc>
          <w:tcPr>
            <w:tcW w:w="4720" w:type="dxa"/>
            <w:vAlign w:val="bottom"/>
          </w:tcPr>
          <w:p>
            <w:pPr>
              <w:spacing w:after="0" w:line="285" w:lineRule="exact"/>
              <w:rPr>
                <w:sz w:val="20"/>
                <w:szCs w:val="20"/>
                <w:color w:val="auto"/>
              </w:rPr>
            </w:pPr>
            <w:r>
              <w:rPr>
                <w:rFonts w:ascii="Times New Roman" w:cs="Times New Roman" w:eastAsia="Times New Roman" w:hAnsi="Times New Roman"/>
                <w:sz w:val="20"/>
                <w:szCs w:val="20"/>
                <w:color w:val="231F20"/>
                <w:w w:val="99"/>
              </w:rPr>
              <w:t>% of purchasers with FICO score over 700</w:t>
            </w:r>
            <w:r>
              <w:rPr>
                <w:rFonts w:ascii="Times New Roman" w:cs="Times New Roman" w:eastAsia="Times New Roman" w:hAnsi="Times New Roman"/>
                <w:sz w:val="26"/>
                <w:szCs w:val="26"/>
                <w:color w:val="231F20"/>
                <w:w w:val="99"/>
                <w:vertAlign w:val="superscript"/>
              </w:rPr>
              <w:t>(1)</w:t>
            </w:r>
            <w:r>
              <w:rPr>
                <w:rFonts w:ascii="Times New Roman" w:cs="Times New Roman" w:eastAsia="Times New Roman" w:hAnsi="Times New Roman"/>
                <w:sz w:val="20"/>
                <w:szCs w:val="20"/>
                <w:color w:val="231F20"/>
                <w:w w:val="99"/>
              </w:rPr>
              <w:t xml:space="preserve"> </w:t>
            </w:r>
            <w:r>
              <w:rPr>
                <w:rFonts w:ascii="Times New Roman" w:cs="Times New Roman" w:eastAsia="Times New Roman" w:hAnsi="Times New Roman"/>
                <w:sz w:val="20"/>
                <w:szCs w:val="20"/>
                <w:color w:val="B8BABC"/>
                <w:w w:val="99"/>
              </w:rPr>
              <w:t>. . . . . . . . . . .</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76%</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74%</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72%</w:t>
            </w:r>
          </w:p>
        </w:tc>
      </w:tr>
      <w:tr>
        <w:trPr>
          <w:trHeight w:val="285"/>
        </w:trPr>
        <w:tc>
          <w:tcPr>
            <w:tcW w:w="4720" w:type="dxa"/>
            <w:vAlign w:val="bottom"/>
          </w:tcPr>
          <w:p>
            <w:pPr>
              <w:spacing w:after="0" w:line="285" w:lineRule="exact"/>
              <w:rPr>
                <w:sz w:val="20"/>
                <w:szCs w:val="20"/>
                <w:color w:val="auto"/>
              </w:rPr>
            </w:pPr>
            <w:r>
              <w:rPr>
                <w:rFonts w:ascii="Times New Roman" w:cs="Times New Roman" w:eastAsia="Times New Roman" w:hAnsi="Times New Roman"/>
                <w:sz w:val="20"/>
                <w:szCs w:val="20"/>
                <w:color w:val="231F20"/>
                <w:w w:val="99"/>
              </w:rPr>
              <w:t>% of purchasers with FICO score over 650</w:t>
            </w:r>
            <w:r>
              <w:rPr>
                <w:rFonts w:ascii="Times New Roman" w:cs="Times New Roman" w:eastAsia="Times New Roman" w:hAnsi="Times New Roman"/>
                <w:sz w:val="26"/>
                <w:szCs w:val="26"/>
                <w:color w:val="231F20"/>
                <w:w w:val="99"/>
                <w:vertAlign w:val="superscript"/>
              </w:rPr>
              <w:t>(1)</w:t>
            </w:r>
            <w:r>
              <w:rPr>
                <w:rFonts w:ascii="Times New Roman" w:cs="Times New Roman" w:eastAsia="Times New Roman" w:hAnsi="Times New Roman"/>
                <w:sz w:val="20"/>
                <w:szCs w:val="20"/>
                <w:color w:val="231F20"/>
                <w:w w:val="99"/>
              </w:rPr>
              <w:t xml:space="preserve"> </w:t>
            </w:r>
            <w:r>
              <w:rPr>
                <w:rFonts w:ascii="Times New Roman" w:cs="Times New Roman" w:eastAsia="Times New Roman" w:hAnsi="Times New Roman"/>
                <w:sz w:val="20"/>
                <w:szCs w:val="20"/>
                <w:color w:val="B8BABC"/>
                <w:w w:val="99"/>
              </w:rPr>
              <w:t>. . . . . . . . . . .</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91%</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91%</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89%</w:t>
            </w:r>
          </w:p>
        </w:tc>
      </w:tr>
      <w:tr>
        <w:trPr>
          <w:trHeight w:val="350"/>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231F20"/>
                <w:w w:val="99"/>
              </w:rPr>
              <w:t>% of purchasers with FICO score over 600</w:t>
            </w:r>
            <w:r>
              <w:rPr>
                <w:rFonts w:ascii="Times New Roman" w:cs="Times New Roman" w:eastAsia="Times New Roman" w:hAnsi="Times New Roman"/>
                <w:sz w:val="26"/>
                <w:szCs w:val="26"/>
                <w:color w:val="231F20"/>
                <w:w w:val="99"/>
                <w:vertAlign w:val="superscript"/>
              </w:rPr>
              <w:t>(1)</w:t>
            </w:r>
            <w:r>
              <w:rPr>
                <w:rFonts w:ascii="Times New Roman" w:cs="Times New Roman" w:eastAsia="Times New Roman" w:hAnsi="Times New Roman"/>
                <w:sz w:val="20"/>
                <w:szCs w:val="20"/>
                <w:color w:val="231F20"/>
                <w:w w:val="99"/>
              </w:rPr>
              <w:t xml:space="preserve"> </w:t>
            </w:r>
            <w:r>
              <w:rPr>
                <w:rFonts w:ascii="Times New Roman" w:cs="Times New Roman" w:eastAsia="Times New Roman" w:hAnsi="Times New Roman"/>
                <w:sz w:val="20"/>
                <w:szCs w:val="20"/>
                <w:color w:val="B8BABC"/>
                <w:w w:val="99"/>
              </w:rPr>
              <w:t>. . . . . . . . . . .</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98%</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98%</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97%</w:t>
            </w:r>
          </w:p>
        </w:tc>
      </w:tr>
    </w:tbl>
    <w:p>
      <w:pPr>
        <w:spacing w:after="0" w:line="28" w:lineRule="exact"/>
        <w:rPr>
          <w:sz w:val="20"/>
          <w:szCs w:val="20"/>
          <w:color w:val="auto"/>
        </w:rPr>
      </w:pPr>
    </w:p>
    <w:p>
      <w:pPr>
        <w:ind w:left="360" w:right="280" w:hanging="360"/>
        <w:spacing w:after="0" w:line="229" w:lineRule="auto"/>
        <w:tabs>
          <w:tab w:leader="none" w:pos="360" w:val="left"/>
        </w:tabs>
        <w:numPr>
          <w:ilvl w:val="0"/>
          <w:numId w:val="4"/>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FICO scores of our customers who were U.S. citizens or residents who financed a vacation ownership purchase and for whom FICO scores were available.</w:t>
      </w:r>
    </w:p>
    <w:p>
      <w:pPr>
        <w:spacing w:after="0" w:line="9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231F20"/>
        </w:rPr>
        <w:t>In the event of a default, we generally have the right to foreclose on or revoke the defaulting owner’s VOI. We typically resell interests that we reacquire through foreclosure or revocation or place such interests into one of our points-based programs.</w:t>
      </w:r>
    </w:p>
    <w:p>
      <w:pPr>
        <w:spacing w:after="0" w:line="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We securitize the majority of the consumer loans we originate in our vacation ownership business. Historically, we have sold these loans to institutional investors in the asset-backed securities (“ABS”) market on a non-recourse basis. These vacation ownership notes receivable securitizations provide funding for us at interest rates similar to those available to companies with investment grade credit ratings, and transfer the economic risks and a significant portion of the benefits of the consumer loans we originate to third parties. In a vacation ownership notes receivable securitization, several classes of debt securities issued by a special purpose entity are generally collateralized by a single pool of transferred assets, which consist of vacation ownership notes receivable. During 2025, we completed two securitization transactions, which are discussed in detail in Footnote 14 “Securitized Debt” to our Financial Statements. On an ongoing basis, we have the ability to use our warehouse credit facility (“Warehouse Credit Facility”) to securitize eligible consumer loans derived from certain branded vacation ownership sales. Those loans may later be transferred to term securitization transactions in the ABS market, which we intend to continue to complete at least twice a year. Since 2000, we have issued approximately $10.7 billion of debt securities in securitization transactions in the ABS market, excluding amounts securitized through warehouse credit facilities or private bank transactions. We retain the servicing and collection responsibilities for the loans we securitize, for which we receive a servicing fee.</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9720"/>
          </w:cols>
          <w:pgMar w:left="1080" w:top="838" w:right="108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231F20"/>
        </w:rPr>
        <w:t>Our Resorts</w:t>
      </w:r>
    </w:p>
    <w:p>
      <w:pPr>
        <w:spacing w:after="0" w:line="137" w:lineRule="exact"/>
        <w:rPr>
          <w:sz w:val="20"/>
          <w:szCs w:val="20"/>
          <w:color w:val="auto"/>
        </w:rPr>
      </w:pPr>
    </w:p>
    <w:p>
      <w:pPr>
        <w:ind w:right="560"/>
        <w:spacing w:after="0" w:line="260" w:lineRule="auto"/>
        <w:rPr>
          <w:sz w:val="20"/>
          <w:szCs w:val="20"/>
          <w:color w:val="auto"/>
        </w:rPr>
      </w:pPr>
      <w:r>
        <w:rPr>
          <w:rFonts w:ascii="Times New Roman" w:cs="Times New Roman" w:eastAsia="Times New Roman" w:hAnsi="Times New Roman"/>
          <w:sz w:val="20"/>
          <w:szCs w:val="20"/>
          <w:color w:val="231F20"/>
        </w:rPr>
        <w:t>As of December 31, 2025, our vacation ownership portfolio consisted of 120 properties with over 22,000 vacation ownership villas, also referred to as units, and over 31,000 keys in the following locations. A “key” is the lowest increment for reporting occupancy statistics based upon the mix of non-lock-off and lock-off villas. Lock-off villas represent two keys and non-lock-off villas represent one key.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Vacation Ownership</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Mainland U.S. and Hawaii</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 of</w:t>
            </w:r>
          </w:p>
        </w:tc>
        <w:tc>
          <w:tcPr>
            <w:tcW w:w="60" w:type="dxa"/>
            <w:vAlign w:val="bottom"/>
          </w:tcPr>
          <w:p>
            <w:pPr>
              <w:spacing w:after="0"/>
              <w:rPr>
                <w:sz w:val="17"/>
                <w:szCs w:val="17"/>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231F20"/>
                <w:w w:val="98"/>
              </w:rPr>
              <w:t># of</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 of</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231F20"/>
              </w:rPr>
              <w:t># of</w:t>
            </w: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 of</w:t>
            </w:r>
          </w:p>
        </w:tc>
        <w:tc>
          <w:tcPr>
            <w:tcW w:w="6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 of</w:t>
            </w:r>
          </w:p>
        </w:tc>
      </w:tr>
      <w:tr>
        <w:trPr>
          <w:trHeight w:val="239"/>
        </w:trPr>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Borders>
              <w:bottom w:val="single" w:sz="8" w:color="231F20"/>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231F20"/>
                <w:w w:val="99"/>
              </w:rPr>
              <w:t>Resorts</w:t>
            </w:r>
          </w:p>
        </w:tc>
        <w:tc>
          <w:tcPr>
            <w:tcW w:w="60" w:type="dxa"/>
            <w:vAlign w:val="bottom"/>
          </w:tcPr>
          <w:p>
            <w:pPr>
              <w:spacing w:after="0"/>
              <w:rPr>
                <w:sz w:val="20"/>
                <w:szCs w:val="20"/>
                <w:color w:val="auto"/>
              </w:rPr>
            </w:pPr>
          </w:p>
        </w:tc>
        <w:tc>
          <w:tcPr>
            <w:tcW w:w="70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Keys</w:t>
            </w:r>
          </w:p>
        </w:tc>
        <w:tc>
          <w:tcPr>
            <w:tcW w:w="170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Resorts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ind w:left="140"/>
              <w:spacing w:after="0"/>
              <w:rPr>
                <w:sz w:val="20"/>
                <w:szCs w:val="20"/>
                <w:color w:val="auto"/>
              </w:rPr>
            </w:pPr>
            <w:r>
              <w:rPr>
                <w:rFonts w:ascii="Times New Roman" w:cs="Times New Roman" w:eastAsia="Times New Roman" w:hAnsi="Times New Roman"/>
                <w:sz w:val="18"/>
                <w:szCs w:val="18"/>
                <w:b w:val="1"/>
                <w:bCs w:val="1"/>
                <w:color w:val="231F20"/>
              </w:rPr>
              <w:t>Keys</w:t>
            </w:r>
          </w:p>
        </w:tc>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Resorts</w:t>
            </w:r>
          </w:p>
        </w:tc>
        <w:tc>
          <w:tcPr>
            <w:tcW w:w="60" w:type="dxa"/>
            <w:vAlign w:val="bottom"/>
          </w:tcPr>
          <w:p>
            <w:pPr>
              <w:spacing w:after="0"/>
              <w:rPr>
                <w:sz w:val="20"/>
                <w:szCs w:val="20"/>
                <w:color w:val="auto"/>
              </w:rPr>
            </w:pPr>
          </w:p>
        </w:tc>
        <w:tc>
          <w:tcPr>
            <w:tcW w:w="720" w:type="dxa"/>
            <w:vAlign w:val="bottom"/>
            <w:tcBorders>
              <w:bottom w:val="single" w:sz="8" w:color="231F20"/>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231F20"/>
                <w:w w:val="99"/>
              </w:rPr>
              <w:t>Keys</w:t>
            </w:r>
          </w:p>
        </w:tc>
      </w:tr>
      <w:tr>
        <w:trPr>
          <w:trHeight w:val="277"/>
        </w:trPr>
        <w:tc>
          <w:tcPr>
            <w:tcW w:w="1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B8BABC"/>
              </w:rPr>
              <w:t>. . . . . . . . .</w:t>
            </w:r>
            <w:r>
              <w:rPr>
                <w:rFonts w:ascii="Times New Roman" w:cs="Times New Roman" w:eastAsia="Times New Roman" w:hAnsi="Times New Roman"/>
                <w:sz w:val="20"/>
                <w:szCs w:val="20"/>
                <w:color w:val="231F20"/>
              </w:rPr>
              <w:t>Arizona</w:t>
            </w:r>
          </w:p>
        </w:tc>
        <w:tc>
          <w:tcPr>
            <w:tcW w:w="640" w:type="dxa"/>
            <w:vAlign w:val="bottom"/>
            <w:gridSpan w:val="2"/>
          </w:tcPr>
          <w:p>
            <w:pPr>
              <w:jc w:val="center"/>
              <w:ind w:left="81"/>
              <w:spacing w:after="0"/>
              <w:rPr>
                <w:sz w:val="20"/>
                <w:szCs w:val="20"/>
                <w:color w:val="auto"/>
              </w:rPr>
            </w:pPr>
            <w:r>
              <w:rPr>
                <w:rFonts w:ascii="Times New Roman" w:cs="Times New Roman" w:eastAsia="Times New Roman" w:hAnsi="Times New Roman"/>
                <w:sz w:val="20"/>
                <w:szCs w:val="20"/>
                <w:color w:val="231F20"/>
                <w:w w:val="99"/>
              </w:rPr>
              <w:t>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231F20"/>
                <w:w w:val="97"/>
              </w:rPr>
              <w:t>1,190</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w:t>
            </w:r>
            <w:r>
              <w:rPr>
                <w:rFonts w:ascii="Times New Roman" w:cs="Times New Roman" w:eastAsia="Times New Roman" w:hAnsi="Times New Roman"/>
                <w:sz w:val="20"/>
                <w:szCs w:val="20"/>
                <w:color w:val="231F20"/>
              </w:rPr>
              <w:t>Missouri</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2</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231F20"/>
                <w:w w:val="99"/>
              </w:rPr>
              <w:t>320</w:t>
            </w:r>
          </w:p>
        </w:tc>
        <w:tc>
          <w:tcPr>
            <w:tcW w:w="40" w:type="dxa"/>
            <w:vAlign w:val="bottom"/>
          </w:tcPr>
          <w:p>
            <w:pPr>
              <w:spacing w:after="0"/>
              <w:rPr>
                <w:sz w:val="24"/>
                <w:szCs w:val="24"/>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B8BABC"/>
              </w:rPr>
              <w:t>. . . . . . . . . . . .</w:t>
            </w:r>
            <w:r>
              <w:rPr>
                <w:rFonts w:ascii="Times New Roman" w:cs="Times New Roman" w:eastAsia="Times New Roman" w:hAnsi="Times New Roman"/>
                <w:sz w:val="20"/>
                <w:szCs w:val="20"/>
                <w:color w:val="231F20"/>
              </w:rPr>
              <w:t>Texas</w:t>
            </w:r>
          </w:p>
        </w:tc>
        <w:tc>
          <w:tcPr>
            <w:tcW w:w="640" w:type="dxa"/>
            <w:vAlign w:val="bottom"/>
          </w:tcPr>
          <w:p>
            <w:pPr>
              <w:jc w:val="center"/>
              <w:ind w:left="4"/>
              <w:spacing w:after="0"/>
              <w:rPr>
                <w:sz w:val="20"/>
                <w:szCs w:val="20"/>
                <w:color w:val="auto"/>
              </w:rPr>
            </w:pPr>
            <w:r>
              <w:rPr>
                <w:rFonts w:ascii="Times New Roman" w:cs="Times New Roman" w:eastAsia="Times New Roman" w:hAnsi="Times New Roman"/>
                <w:sz w:val="20"/>
                <w:szCs w:val="20"/>
                <w:color w:val="231F20"/>
                <w:w w:val="99"/>
              </w:rPr>
              <w:t>1</w:t>
            </w:r>
          </w:p>
        </w:tc>
        <w:tc>
          <w:tcPr>
            <w:tcW w:w="60" w:type="dxa"/>
            <w:vAlign w:val="bottom"/>
          </w:tcPr>
          <w:p>
            <w:pPr>
              <w:spacing w:after="0"/>
              <w:rPr>
                <w:sz w:val="24"/>
                <w:szCs w:val="24"/>
                <w:color w:val="auto"/>
              </w:rPr>
            </w:pP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9"/>
              </w:rPr>
              <w:t>195</w:t>
            </w:r>
          </w:p>
        </w:tc>
        <w:tc>
          <w:tcPr>
            <w:tcW w:w="60" w:type="dxa"/>
            <w:vAlign w:val="bottom"/>
          </w:tcPr>
          <w:p>
            <w:pPr>
              <w:spacing w:after="0"/>
              <w:rPr>
                <w:sz w:val="24"/>
                <w:szCs w:val="24"/>
                <w:color w:val="auto"/>
              </w:rPr>
            </w:pPr>
          </w:p>
        </w:tc>
      </w:tr>
      <w:tr>
        <w:trPr>
          <w:trHeight w:val="300"/>
        </w:trPr>
        <w:tc>
          <w:tcPr>
            <w:tcW w:w="1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w w:val="99"/>
              </w:rPr>
              <w:t xml:space="preserve">California </w:t>
            </w:r>
            <w:r>
              <w:rPr>
                <w:rFonts w:ascii="Times New Roman" w:cs="Times New Roman" w:eastAsia="Times New Roman" w:hAnsi="Times New Roman"/>
                <w:sz w:val="20"/>
                <w:szCs w:val="20"/>
                <w:color w:val="B8BABC"/>
                <w:w w:val="99"/>
              </w:rPr>
              <w:t>. . . . . . . .</w:t>
            </w:r>
          </w:p>
        </w:tc>
        <w:tc>
          <w:tcPr>
            <w:tcW w:w="640" w:type="dxa"/>
            <w:vAlign w:val="bottom"/>
            <w:gridSpan w:val="2"/>
          </w:tcPr>
          <w:p>
            <w:pPr>
              <w:jc w:val="center"/>
              <w:ind w:left="101"/>
              <w:spacing w:after="0"/>
              <w:rPr>
                <w:sz w:val="20"/>
                <w:szCs w:val="20"/>
                <w:color w:val="auto"/>
              </w:rPr>
            </w:pPr>
            <w:r>
              <w:rPr>
                <w:rFonts w:ascii="Times New Roman" w:cs="Times New Roman" w:eastAsia="Times New Roman" w:hAnsi="Times New Roman"/>
                <w:sz w:val="20"/>
                <w:szCs w:val="20"/>
                <w:color w:val="231F20"/>
                <w:w w:val="99"/>
              </w:rPr>
              <w:t>17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231F20"/>
                <w:w w:val="97"/>
              </w:rPr>
              <w:t>6,248</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Nevada </w:t>
            </w:r>
            <w:r>
              <w:rPr>
                <w:rFonts w:ascii="Times New Roman" w:cs="Times New Roman" w:eastAsia="Times New Roman" w:hAnsi="Times New Roman"/>
                <w:sz w:val="20"/>
                <w:szCs w:val="20"/>
                <w:color w:val="B8BABC"/>
              </w:rPr>
              <w:t>. . . . . . . .</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2</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231F20"/>
              </w:rPr>
              <w:t>1,174</w:t>
            </w:r>
          </w:p>
        </w:tc>
        <w:tc>
          <w:tcPr>
            <w:tcW w:w="40" w:type="dxa"/>
            <w:vAlign w:val="bottom"/>
          </w:tcPr>
          <w:p>
            <w:pPr>
              <w:spacing w:after="0"/>
              <w:rPr>
                <w:sz w:val="24"/>
                <w:szCs w:val="24"/>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 xml:space="preserve">Utah </w:t>
            </w:r>
            <w:r>
              <w:rPr>
                <w:rFonts w:ascii="Times New Roman" w:cs="Times New Roman" w:eastAsia="Times New Roman" w:hAnsi="Times New Roman"/>
                <w:sz w:val="20"/>
                <w:szCs w:val="20"/>
                <w:color w:val="B8BABC"/>
              </w:rPr>
              <w:t>. . . . . . . . . . . . .</w:t>
            </w:r>
          </w:p>
        </w:tc>
        <w:tc>
          <w:tcPr>
            <w:tcW w:w="640" w:type="dxa"/>
            <w:vAlign w:val="bottom"/>
          </w:tcPr>
          <w:p>
            <w:pPr>
              <w:jc w:val="center"/>
              <w:ind w:left="4"/>
              <w:spacing w:after="0"/>
              <w:rPr>
                <w:sz w:val="20"/>
                <w:szCs w:val="20"/>
                <w:color w:val="auto"/>
              </w:rPr>
            </w:pPr>
            <w:r>
              <w:rPr>
                <w:rFonts w:ascii="Times New Roman" w:cs="Times New Roman" w:eastAsia="Times New Roman" w:hAnsi="Times New Roman"/>
                <w:sz w:val="20"/>
                <w:szCs w:val="20"/>
                <w:color w:val="231F20"/>
                <w:w w:val="99"/>
              </w:rPr>
              <w:t>2</w:t>
            </w:r>
          </w:p>
        </w:tc>
        <w:tc>
          <w:tcPr>
            <w:tcW w:w="60" w:type="dxa"/>
            <w:vAlign w:val="bottom"/>
          </w:tcPr>
          <w:p>
            <w:pPr>
              <w:spacing w:after="0"/>
              <w:rPr>
                <w:sz w:val="24"/>
                <w:szCs w:val="24"/>
                <w:color w:val="auto"/>
              </w:rPr>
            </w:pP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9"/>
              </w:rPr>
              <w:t>634</w:t>
            </w:r>
          </w:p>
        </w:tc>
        <w:tc>
          <w:tcPr>
            <w:tcW w:w="60" w:type="dxa"/>
            <w:vAlign w:val="bottom"/>
          </w:tcPr>
          <w:p>
            <w:pPr>
              <w:spacing w:after="0"/>
              <w:rPr>
                <w:sz w:val="24"/>
                <w:szCs w:val="24"/>
                <w:color w:val="auto"/>
              </w:rPr>
            </w:pPr>
          </w:p>
        </w:tc>
      </w:tr>
      <w:tr>
        <w:trPr>
          <w:trHeight w:val="300"/>
        </w:trPr>
        <w:tc>
          <w:tcPr>
            <w:tcW w:w="1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rPr>
              <w:t xml:space="preserve">Colorado </w:t>
            </w:r>
            <w:r>
              <w:rPr>
                <w:rFonts w:ascii="Times New Roman" w:cs="Times New Roman" w:eastAsia="Times New Roman" w:hAnsi="Times New Roman"/>
                <w:sz w:val="20"/>
                <w:szCs w:val="20"/>
                <w:color w:val="B8BABC"/>
              </w:rPr>
              <w:t>. . . . . . . .</w:t>
            </w:r>
          </w:p>
        </w:tc>
        <w:tc>
          <w:tcPr>
            <w:tcW w:w="640" w:type="dxa"/>
            <w:vAlign w:val="bottom"/>
            <w:gridSpan w:val="2"/>
          </w:tcPr>
          <w:p>
            <w:pPr>
              <w:jc w:val="center"/>
              <w:ind w:left="101"/>
              <w:spacing w:after="0"/>
              <w:rPr>
                <w:sz w:val="20"/>
                <w:szCs w:val="20"/>
                <w:color w:val="auto"/>
              </w:rPr>
            </w:pPr>
            <w:r>
              <w:rPr>
                <w:rFonts w:ascii="Times New Roman" w:cs="Times New Roman" w:eastAsia="Times New Roman" w:hAnsi="Times New Roman"/>
                <w:sz w:val="20"/>
                <w:szCs w:val="20"/>
                <w:color w:val="231F20"/>
                <w:w w:val="99"/>
              </w:rPr>
              <w:t>13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231F20"/>
                <w:w w:val="99"/>
              </w:rPr>
              <w:t>971</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New Jersey </w:t>
            </w:r>
            <w:r>
              <w:rPr>
                <w:rFonts w:ascii="Times New Roman" w:cs="Times New Roman" w:eastAsia="Times New Roman" w:hAnsi="Times New Roman"/>
                <w:sz w:val="20"/>
                <w:szCs w:val="20"/>
                <w:color w:val="B8BABC"/>
              </w:rPr>
              <w:t>. . . . .</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1</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231F20"/>
                <w:w w:val="99"/>
              </w:rPr>
              <w:t>180</w:t>
            </w:r>
          </w:p>
        </w:tc>
        <w:tc>
          <w:tcPr>
            <w:tcW w:w="40" w:type="dxa"/>
            <w:vAlign w:val="bottom"/>
          </w:tcPr>
          <w:p>
            <w:pPr>
              <w:spacing w:after="0"/>
              <w:rPr>
                <w:sz w:val="24"/>
                <w:szCs w:val="24"/>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 xml:space="preserve">Virginia </w:t>
            </w:r>
            <w:r>
              <w:rPr>
                <w:rFonts w:ascii="Times New Roman" w:cs="Times New Roman" w:eastAsia="Times New Roman" w:hAnsi="Times New Roman"/>
                <w:sz w:val="20"/>
                <w:szCs w:val="20"/>
                <w:color w:val="B8BABC"/>
              </w:rPr>
              <w:t>. . . . . . . . . .</w:t>
            </w:r>
          </w:p>
        </w:tc>
        <w:tc>
          <w:tcPr>
            <w:tcW w:w="640" w:type="dxa"/>
            <w:vAlign w:val="bottom"/>
          </w:tcPr>
          <w:p>
            <w:pPr>
              <w:jc w:val="center"/>
              <w:ind w:left="4"/>
              <w:spacing w:after="0"/>
              <w:rPr>
                <w:sz w:val="20"/>
                <w:szCs w:val="20"/>
                <w:color w:val="auto"/>
              </w:rPr>
            </w:pPr>
            <w:r>
              <w:rPr>
                <w:rFonts w:ascii="Times New Roman" w:cs="Times New Roman" w:eastAsia="Times New Roman" w:hAnsi="Times New Roman"/>
                <w:sz w:val="20"/>
                <w:szCs w:val="20"/>
                <w:color w:val="231F20"/>
                <w:w w:val="99"/>
              </w:rPr>
              <w:t>1</w:t>
            </w:r>
          </w:p>
        </w:tc>
        <w:tc>
          <w:tcPr>
            <w:tcW w:w="60" w:type="dxa"/>
            <w:vAlign w:val="bottom"/>
          </w:tcPr>
          <w:p>
            <w:pPr>
              <w:spacing w:after="0"/>
              <w:rPr>
                <w:sz w:val="24"/>
                <w:szCs w:val="24"/>
                <w:color w:val="auto"/>
              </w:rPr>
            </w:pPr>
          </w:p>
        </w:tc>
        <w:tc>
          <w:tcPr>
            <w:tcW w:w="72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231F20"/>
                <w:w w:val="99"/>
              </w:rPr>
              <w:t>276</w:t>
            </w:r>
          </w:p>
        </w:tc>
        <w:tc>
          <w:tcPr>
            <w:tcW w:w="60" w:type="dxa"/>
            <w:vAlign w:val="bottom"/>
          </w:tcPr>
          <w:p>
            <w:pPr>
              <w:spacing w:after="0"/>
              <w:rPr>
                <w:sz w:val="24"/>
                <w:szCs w:val="24"/>
                <w:color w:val="auto"/>
              </w:rPr>
            </w:pPr>
          </w:p>
        </w:tc>
      </w:tr>
      <w:tr>
        <w:trPr>
          <w:trHeight w:val="300"/>
        </w:trPr>
        <w:tc>
          <w:tcPr>
            <w:tcW w:w="1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rPr>
              <w:t xml:space="preserve">Florida </w:t>
            </w:r>
            <w:r>
              <w:rPr>
                <w:rFonts w:ascii="Times New Roman" w:cs="Times New Roman" w:eastAsia="Times New Roman" w:hAnsi="Times New Roman"/>
                <w:sz w:val="20"/>
                <w:szCs w:val="20"/>
                <w:color w:val="B8BABC"/>
              </w:rPr>
              <w:t>. . . . . . . . . .</w:t>
            </w:r>
          </w:p>
        </w:tc>
        <w:tc>
          <w:tcPr>
            <w:tcW w:w="640" w:type="dxa"/>
            <w:vAlign w:val="bottom"/>
            <w:gridSpan w:val="2"/>
          </w:tcPr>
          <w:p>
            <w:pPr>
              <w:jc w:val="center"/>
              <w:ind w:left="101"/>
              <w:spacing w:after="0"/>
              <w:rPr>
                <w:sz w:val="20"/>
                <w:szCs w:val="20"/>
                <w:color w:val="auto"/>
              </w:rPr>
            </w:pPr>
            <w:r>
              <w:rPr>
                <w:rFonts w:ascii="Times New Roman" w:cs="Times New Roman" w:eastAsia="Times New Roman" w:hAnsi="Times New Roman"/>
                <w:sz w:val="20"/>
                <w:szCs w:val="20"/>
                <w:color w:val="231F20"/>
                <w:w w:val="99"/>
              </w:rPr>
              <w:t>23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231F20"/>
                <w:w w:val="97"/>
              </w:rPr>
              <w:t>8,005</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New Mexico </w:t>
            </w:r>
            <w:r>
              <w:rPr>
                <w:rFonts w:ascii="Times New Roman" w:cs="Times New Roman" w:eastAsia="Times New Roman" w:hAnsi="Times New Roman"/>
                <w:sz w:val="20"/>
                <w:szCs w:val="20"/>
                <w:color w:val="B8BABC"/>
              </w:rPr>
              <w:t>. . . .</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1</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231F20"/>
                <w:w w:val="99"/>
              </w:rPr>
              <w:t>16</w:t>
            </w:r>
          </w:p>
        </w:tc>
        <w:tc>
          <w:tcPr>
            <w:tcW w:w="40" w:type="dxa"/>
            <w:vAlign w:val="bottom"/>
          </w:tcPr>
          <w:p>
            <w:pPr>
              <w:spacing w:after="0"/>
              <w:rPr>
                <w:sz w:val="24"/>
                <w:szCs w:val="24"/>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 xml:space="preserve">Washington, D.C. </w:t>
            </w:r>
            <w:r>
              <w:rPr>
                <w:rFonts w:ascii="Times New Roman" w:cs="Times New Roman" w:eastAsia="Times New Roman" w:hAnsi="Times New Roman"/>
                <w:sz w:val="20"/>
                <w:szCs w:val="20"/>
                <w:color w:val="B8BABC"/>
              </w:rPr>
              <w:t>. .</w:t>
            </w:r>
          </w:p>
        </w:tc>
        <w:tc>
          <w:tcPr>
            <w:tcW w:w="640" w:type="dxa"/>
            <w:vAlign w:val="bottom"/>
          </w:tcPr>
          <w:p>
            <w:pPr>
              <w:jc w:val="center"/>
              <w:ind w:left="4"/>
              <w:spacing w:after="0"/>
              <w:rPr>
                <w:sz w:val="20"/>
                <w:szCs w:val="20"/>
                <w:color w:val="auto"/>
              </w:rPr>
            </w:pPr>
            <w:r>
              <w:rPr>
                <w:rFonts w:ascii="Times New Roman" w:cs="Times New Roman" w:eastAsia="Times New Roman" w:hAnsi="Times New Roman"/>
                <w:sz w:val="20"/>
                <w:szCs w:val="20"/>
                <w:color w:val="231F20"/>
                <w:w w:val="99"/>
              </w:rPr>
              <w:t>1</w:t>
            </w:r>
          </w:p>
        </w:tc>
        <w:tc>
          <w:tcPr>
            <w:tcW w:w="60" w:type="dxa"/>
            <w:vAlign w:val="bottom"/>
          </w:tcPr>
          <w:p>
            <w:pPr>
              <w:spacing w:after="0"/>
              <w:rPr>
                <w:sz w:val="24"/>
                <w:szCs w:val="24"/>
                <w:color w:val="auto"/>
              </w:rPr>
            </w:pPr>
          </w:p>
        </w:tc>
        <w:tc>
          <w:tcPr>
            <w:tcW w:w="7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231F20"/>
                <w:w w:val="99"/>
              </w:rPr>
              <w:t>71</w:t>
            </w:r>
          </w:p>
        </w:tc>
        <w:tc>
          <w:tcPr>
            <w:tcW w:w="60" w:type="dxa"/>
            <w:vAlign w:val="bottom"/>
          </w:tcPr>
          <w:p>
            <w:pPr>
              <w:spacing w:after="0"/>
              <w:rPr>
                <w:sz w:val="24"/>
                <w:szCs w:val="24"/>
                <w:color w:val="auto"/>
              </w:rPr>
            </w:pPr>
          </w:p>
        </w:tc>
      </w:tr>
      <w:tr>
        <w:trPr>
          <w:trHeight w:val="300"/>
        </w:trPr>
        <w:tc>
          <w:tcPr>
            <w:tcW w:w="1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rPr>
              <w:t xml:space="preserve">Hawaii </w:t>
            </w:r>
            <w:r>
              <w:rPr>
                <w:rFonts w:ascii="Times New Roman" w:cs="Times New Roman" w:eastAsia="Times New Roman" w:hAnsi="Times New Roman"/>
                <w:sz w:val="20"/>
                <w:szCs w:val="20"/>
                <w:color w:val="B8BABC"/>
              </w:rPr>
              <w:t>. . . . . . . . . .</w:t>
            </w:r>
          </w:p>
        </w:tc>
        <w:tc>
          <w:tcPr>
            <w:tcW w:w="640" w:type="dxa"/>
            <w:vAlign w:val="bottom"/>
            <w:gridSpan w:val="2"/>
          </w:tcPr>
          <w:p>
            <w:pPr>
              <w:jc w:val="center"/>
              <w:ind w:left="101"/>
              <w:spacing w:after="0"/>
              <w:rPr>
                <w:sz w:val="20"/>
                <w:szCs w:val="20"/>
                <w:color w:val="auto"/>
              </w:rPr>
            </w:pPr>
            <w:r>
              <w:rPr>
                <w:rFonts w:ascii="Times New Roman" w:cs="Times New Roman" w:eastAsia="Times New Roman" w:hAnsi="Times New Roman"/>
                <w:sz w:val="20"/>
                <w:szCs w:val="20"/>
                <w:color w:val="231F20"/>
                <w:w w:val="99"/>
              </w:rPr>
              <w:t>13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231F20"/>
                <w:w w:val="97"/>
              </w:rPr>
              <w:t>4,894</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New York </w:t>
            </w:r>
            <w:r>
              <w:rPr>
                <w:rFonts w:ascii="Times New Roman" w:cs="Times New Roman" w:eastAsia="Times New Roman" w:hAnsi="Times New Roman"/>
                <w:sz w:val="20"/>
                <w:szCs w:val="20"/>
                <w:color w:val="B8BABC"/>
              </w:rPr>
              <w:t>. . . . . .</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2</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231F20"/>
                <w:w w:val="99"/>
              </w:rPr>
              <w:t>228</w:t>
            </w: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0"/>
        </w:trPr>
        <w:tc>
          <w:tcPr>
            <w:tcW w:w="1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rPr>
              <w:t xml:space="preserve">Massachusetts </w:t>
            </w:r>
            <w:r>
              <w:rPr>
                <w:rFonts w:ascii="Times New Roman" w:cs="Times New Roman" w:eastAsia="Times New Roman" w:hAnsi="Times New Roman"/>
                <w:sz w:val="20"/>
                <w:szCs w:val="20"/>
                <w:color w:val="B8BABC"/>
              </w:rPr>
              <w:t>. . . .</w:t>
            </w:r>
          </w:p>
        </w:tc>
        <w:tc>
          <w:tcPr>
            <w:tcW w:w="640" w:type="dxa"/>
            <w:vAlign w:val="bottom"/>
            <w:gridSpan w:val="2"/>
          </w:tcPr>
          <w:p>
            <w:pPr>
              <w:jc w:val="center"/>
              <w:ind w:left="81"/>
              <w:spacing w:after="0"/>
              <w:rPr>
                <w:sz w:val="20"/>
                <w:szCs w:val="20"/>
                <w:color w:val="auto"/>
              </w:rPr>
            </w:pPr>
            <w:r>
              <w:rPr>
                <w:rFonts w:ascii="Times New Roman" w:cs="Times New Roman" w:eastAsia="Times New Roman" w:hAnsi="Times New Roman"/>
                <w:sz w:val="20"/>
                <w:szCs w:val="20"/>
                <w:color w:val="231F20"/>
                <w:w w:val="99"/>
              </w:rPr>
              <w:t>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231F20"/>
                <w:w w:val="99"/>
              </w:rPr>
              <w:t>84</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South Carolina </w:t>
            </w:r>
            <w:r>
              <w:rPr>
                <w:rFonts w:ascii="Times New Roman" w:cs="Times New Roman" w:eastAsia="Times New Roman" w:hAnsi="Times New Roman"/>
                <w:sz w:val="20"/>
                <w:szCs w:val="20"/>
                <w:color w:val="B8BABC"/>
              </w:rPr>
              <w:t>. .</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10</w:t>
            </w: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231F20"/>
              </w:rPr>
              <w:t>1,865</w:t>
            </w: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92"/>
        </w:trPr>
        <w:tc>
          <w:tcPr>
            <w:tcW w:w="4900" w:type="dxa"/>
            <w:vAlign w:val="bottom"/>
            <w:gridSpan w:val="10"/>
          </w:tcPr>
          <w:p>
            <w:pPr>
              <w:jc w:val="right"/>
              <w:ind w:right="1460"/>
              <w:spacing w:after="0"/>
              <w:rPr>
                <w:sz w:val="20"/>
                <w:szCs w:val="20"/>
                <w:color w:val="auto"/>
              </w:rPr>
            </w:pPr>
            <w:r>
              <w:rPr>
                <w:rFonts w:ascii="Times New Roman" w:cs="Times New Roman" w:eastAsia="Times New Roman" w:hAnsi="Times New Roman"/>
                <w:sz w:val="20"/>
                <w:szCs w:val="20"/>
                <w:i w:val="1"/>
                <w:iCs w:val="1"/>
                <w:color w:val="231F20"/>
                <w:w w:val="99"/>
              </w:rPr>
              <w:t>Caribbean, Mexico, and Central America</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7"/>
        </w:trPr>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231F20"/>
                <w:w w:val="98"/>
              </w:rPr>
              <w:t># of</w:t>
            </w:r>
          </w:p>
        </w:tc>
        <w:tc>
          <w:tcPr>
            <w:tcW w:w="60" w:type="dxa"/>
            <w:vAlign w:val="bottom"/>
          </w:tcPr>
          <w:p>
            <w:pPr>
              <w:spacing w:after="0"/>
              <w:rPr>
                <w:sz w:val="24"/>
                <w:szCs w:val="24"/>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31F20"/>
                <w:w w:val="98"/>
              </w:rPr>
              <w:t># of</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 of</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231F20"/>
              </w:rPr>
              <w:t># of</w:t>
            </w: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31F20"/>
                <w:w w:val="98"/>
              </w:rPr>
              <w:t># of</w:t>
            </w:r>
          </w:p>
        </w:tc>
        <w:tc>
          <w:tcPr>
            <w:tcW w:w="6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31F20"/>
                <w:w w:val="98"/>
              </w:rPr>
              <w:t># of</w:t>
            </w:r>
          </w:p>
        </w:tc>
      </w:tr>
      <w:tr>
        <w:trPr>
          <w:trHeight w:val="239"/>
        </w:trPr>
        <w:tc>
          <w:tcPr>
            <w:tcW w:w="1620" w:type="dxa"/>
            <w:vAlign w:val="bottom"/>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Resorts</w:t>
            </w:r>
          </w:p>
        </w:tc>
        <w:tc>
          <w:tcPr>
            <w:tcW w:w="60" w:type="dxa"/>
            <w:vAlign w:val="bottom"/>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600" w:type="dxa"/>
            <w:vAlign w:val="bottom"/>
            <w:tcBorders>
              <w:bottom w:val="single" w:sz="8" w:color="231F20"/>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231F20"/>
                <w:w w:val="99"/>
              </w:rPr>
              <w:t>Keys</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Resorts</w:t>
            </w:r>
          </w:p>
        </w:tc>
        <w:tc>
          <w:tcPr>
            <w:tcW w:w="20" w:type="dxa"/>
            <w:vAlign w:val="bottom"/>
            <w:tcBorders>
              <w:bottom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bottom w:val="single" w:sz="8" w:color="231F20"/>
            </w:tcBorders>
          </w:tcPr>
          <w:p>
            <w:pPr>
              <w:ind w:left="160"/>
              <w:spacing w:after="0"/>
              <w:rPr>
                <w:sz w:val="20"/>
                <w:szCs w:val="20"/>
                <w:color w:val="auto"/>
              </w:rPr>
            </w:pPr>
            <w:r>
              <w:rPr>
                <w:rFonts w:ascii="Times New Roman" w:cs="Times New Roman" w:eastAsia="Times New Roman" w:hAnsi="Times New Roman"/>
                <w:sz w:val="18"/>
                <w:szCs w:val="18"/>
                <w:b w:val="1"/>
                <w:bCs w:val="1"/>
                <w:color w:val="231F20"/>
              </w:rPr>
              <w:t>Keys</w:t>
            </w:r>
          </w:p>
        </w:tc>
        <w:tc>
          <w:tcPr>
            <w:tcW w:w="40" w:type="dxa"/>
            <w:vAlign w:val="bottom"/>
            <w:tcBorders>
              <w:bottom w:val="single" w:sz="8" w:color="231F20"/>
            </w:tcBorders>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6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Resorts</w:t>
            </w:r>
          </w:p>
        </w:tc>
        <w:tc>
          <w:tcPr>
            <w:tcW w:w="60" w:type="dxa"/>
            <w:vAlign w:val="bottom"/>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6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Keys</w:t>
            </w:r>
          </w:p>
        </w:tc>
        <w:tc>
          <w:tcPr>
            <w:tcW w:w="60" w:type="dxa"/>
            <w:vAlign w:val="bottom"/>
          </w:tcPr>
          <w:p>
            <w:pPr>
              <w:spacing w:after="0"/>
              <w:rPr>
                <w:sz w:val="20"/>
                <w:szCs w:val="20"/>
                <w:color w:val="auto"/>
              </w:rPr>
            </w:pPr>
          </w:p>
        </w:tc>
      </w:tr>
      <w:tr>
        <w:trPr>
          <w:trHeight w:val="262"/>
        </w:trPr>
        <w:tc>
          <w:tcPr>
            <w:tcW w:w="1620" w:type="dxa"/>
            <w:vAlign w:val="bottom"/>
          </w:tcPr>
          <w:p>
            <w:pPr>
              <w:ind w:left="60"/>
              <w:spacing w:after="0"/>
              <w:rPr>
                <w:sz w:val="20"/>
                <w:szCs w:val="20"/>
                <w:color w:val="auto"/>
              </w:rPr>
            </w:pPr>
            <w:r>
              <w:rPr>
                <w:rFonts w:ascii="Times New Roman" w:cs="Times New Roman" w:eastAsia="Times New Roman" w:hAnsi="Times New Roman"/>
                <w:sz w:val="20"/>
                <w:szCs w:val="20"/>
                <w:color w:val="B8BABC"/>
              </w:rPr>
              <w:t>. . . . . . . . . .</w:t>
            </w:r>
            <w:r>
              <w:rPr>
                <w:rFonts w:ascii="Times New Roman" w:cs="Times New Roman" w:eastAsia="Times New Roman" w:hAnsi="Times New Roman"/>
                <w:sz w:val="20"/>
                <w:szCs w:val="20"/>
                <w:color w:val="231F20"/>
              </w:rPr>
              <w:t>Aruba</w:t>
            </w:r>
          </w:p>
        </w:tc>
        <w:tc>
          <w:tcPr>
            <w:tcW w:w="60" w:type="dxa"/>
            <w:vAlign w:val="bottom"/>
          </w:tcPr>
          <w:p>
            <w:pPr>
              <w:spacing w:after="0"/>
              <w:rPr>
                <w:sz w:val="22"/>
                <w:szCs w:val="22"/>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1,211</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w:t>
            </w:r>
            <w:r>
              <w:rPr>
                <w:rFonts w:ascii="Times New Roman" w:cs="Times New Roman" w:eastAsia="Times New Roman" w:hAnsi="Times New Roman"/>
                <w:sz w:val="20"/>
                <w:szCs w:val="20"/>
                <w:color w:val="231F20"/>
              </w:rPr>
              <w:t>PuertoRico</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1</w:t>
            </w:r>
          </w:p>
        </w:tc>
        <w:tc>
          <w:tcPr>
            <w:tcW w:w="760" w:type="dxa"/>
            <w:vAlign w:val="bottom"/>
            <w:gridSpan w:val="4"/>
          </w:tcPr>
          <w:p>
            <w:pPr>
              <w:jc w:val="center"/>
              <w:ind w:left="40"/>
              <w:spacing w:after="0"/>
              <w:rPr>
                <w:sz w:val="20"/>
                <w:szCs w:val="20"/>
                <w:color w:val="auto"/>
              </w:rPr>
            </w:pPr>
            <w:r>
              <w:rPr>
                <w:rFonts w:ascii="Times New Roman" w:cs="Times New Roman" w:eastAsia="Times New Roman" w:hAnsi="Times New Roman"/>
                <w:sz w:val="20"/>
                <w:szCs w:val="20"/>
                <w:color w:val="231F20"/>
                <w:w w:val="99"/>
              </w:rPr>
              <w:t>164</w:t>
            </w:r>
          </w:p>
        </w:tc>
        <w:tc>
          <w:tcPr>
            <w:tcW w:w="40" w:type="dxa"/>
            <w:vAlign w:val="bottom"/>
          </w:tcPr>
          <w:p>
            <w:pPr>
              <w:spacing w:after="0"/>
              <w:rPr>
                <w:sz w:val="22"/>
                <w:szCs w:val="22"/>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20"/>
                <w:szCs w:val="20"/>
                <w:color w:val="B8BABC"/>
              </w:rPr>
              <w:t>. . . . . . . . . .</w:t>
            </w:r>
            <w:r>
              <w:rPr>
                <w:rFonts w:ascii="Times New Roman" w:cs="Times New Roman" w:eastAsia="Times New Roman" w:hAnsi="Times New Roman"/>
                <w:sz w:val="20"/>
                <w:szCs w:val="20"/>
                <w:color w:val="231F20"/>
              </w:rPr>
              <w:t>Mexico</w:t>
            </w:r>
          </w:p>
        </w:tc>
        <w:tc>
          <w:tcPr>
            <w:tcW w:w="6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4</w:t>
            </w:r>
          </w:p>
        </w:tc>
        <w:tc>
          <w:tcPr>
            <w:tcW w:w="60" w:type="dxa"/>
            <w:vAlign w:val="bottom"/>
          </w:tcPr>
          <w:p>
            <w:pPr>
              <w:spacing w:after="0"/>
              <w:rPr>
                <w:sz w:val="22"/>
                <w:szCs w:val="22"/>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1,295</w:t>
            </w:r>
          </w:p>
        </w:tc>
        <w:tc>
          <w:tcPr>
            <w:tcW w:w="60" w:type="dxa"/>
            <w:vAlign w:val="bottom"/>
          </w:tcPr>
          <w:p>
            <w:pPr>
              <w:spacing w:after="0"/>
              <w:rPr>
                <w:sz w:val="22"/>
                <w:szCs w:val="22"/>
                <w:color w:val="auto"/>
              </w:rPr>
            </w:pPr>
          </w:p>
        </w:tc>
      </w:tr>
      <w:tr>
        <w:trPr>
          <w:trHeight w:val="285"/>
        </w:trPr>
        <w:tc>
          <w:tcPr>
            <w:tcW w:w="1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rPr>
              <w:t xml:space="preserve">Bahamas </w:t>
            </w:r>
            <w:r>
              <w:rPr>
                <w:rFonts w:ascii="Times New Roman" w:cs="Times New Roman" w:eastAsia="Times New Roman" w:hAnsi="Times New Roman"/>
                <w:sz w:val="20"/>
                <w:szCs w:val="20"/>
                <w:color w:val="B8BABC"/>
              </w:rPr>
              <w:t>. . . . . . .</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382</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U.S. Virgin Islands</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3</w:t>
            </w:r>
          </w:p>
        </w:tc>
        <w:tc>
          <w:tcPr>
            <w:tcW w:w="760" w:type="dxa"/>
            <w:vAlign w:val="bottom"/>
            <w:gridSpan w:val="4"/>
          </w:tcPr>
          <w:p>
            <w:pPr>
              <w:jc w:val="center"/>
              <w:ind w:left="40"/>
              <w:spacing w:after="0"/>
              <w:rPr>
                <w:sz w:val="20"/>
                <w:szCs w:val="20"/>
                <w:color w:val="auto"/>
              </w:rPr>
            </w:pPr>
            <w:r>
              <w:rPr>
                <w:rFonts w:ascii="Times New Roman" w:cs="Times New Roman" w:eastAsia="Times New Roman" w:hAnsi="Times New Roman"/>
                <w:sz w:val="20"/>
                <w:szCs w:val="20"/>
                <w:color w:val="231F20"/>
                <w:w w:val="99"/>
              </w:rPr>
              <w:t>513</w:t>
            </w: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5"/>
        </w:trPr>
        <w:tc>
          <w:tcPr>
            <w:tcW w:w="1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rPr>
              <w:t xml:space="preserve">Costa Rica </w:t>
            </w:r>
            <w:r>
              <w:rPr>
                <w:rFonts w:ascii="Times New Roman" w:cs="Times New Roman" w:eastAsia="Times New Roman" w:hAnsi="Times New Roman"/>
                <w:sz w:val="20"/>
                <w:szCs w:val="20"/>
                <w:color w:val="B8BABC"/>
              </w:rPr>
              <w:t>. . . . . .</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48</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West Indies </w:t>
            </w:r>
            <w:r>
              <w:rPr>
                <w:rFonts w:ascii="Times New Roman" w:cs="Times New Roman" w:eastAsia="Times New Roman" w:hAnsi="Times New Roman"/>
                <w:sz w:val="20"/>
                <w:szCs w:val="20"/>
                <w:color w:val="B8BABC"/>
              </w:rPr>
              <w:t>. . . . . .</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1</w:t>
            </w:r>
          </w:p>
        </w:tc>
        <w:tc>
          <w:tcPr>
            <w:tcW w:w="760" w:type="dxa"/>
            <w:vAlign w:val="bottom"/>
            <w:gridSpan w:val="4"/>
          </w:tcPr>
          <w:p>
            <w:pPr>
              <w:jc w:val="center"/>
              <w:ind w:left="60"/>
              <w:spacing w:after="0"/>
              <w:rPr>
                <w:sz w:val="20"/>
                <w:szCs w:val="20"/>
                <w:color w:val="auto"/>
              </w:rPr>
            </w:pPr>
            <w:r>
              <w:rPr>
                <w:rFonts w:ascii="Times New Roman" w:cs="Times New Roman" w:eastAsia="Times New Roman" w:hAnsi="Times New Roman"/>
                <w:sz w:val="20"/>
                <w:szCs w:val="20"/>
                <w:color w:val="231F20"/>
                <w:w w:val="99"/>
              </w:rPr>
              <w:t>88</w:t>
            </w: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Europe and Asia Pacific</w:t>
      </w:r>
    </w:p>
    <w:p>
      <w:pPr>
        <w:sectPr>
          <w:pgSz w:w="11880" w:h="15480" w:orient="portrait"/>
          <w:cols w:equalWidth="0" w:num="1">
            <w:col w:w="9760"/>
          </w:cols>
          <w:pgMar w:left="1080" w:top="831" w:right="1040" w:bottom="0" w:gutter="0" w:footer="0" w:header="0"/>
        </w:sectPr>
      </w:pPr>
    </w:p>
    <w:p>
      <w:pPr>
        <w:spacing w:after="0" w:line="11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 of</w:t>
            </w:r>
          </w:p>
        </w:tc>
        <w:tc>
          <w:tcPr>
            <w:tcW w:w="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 of</w:t>
            </w:r>
          </w:p>
        </w:tc>
      </w:tr>
      <w:tr>
        <w:trPr>
          <w:trHeight w:val="239"/>
        </w:trPr>
        <w:tc>
          <w:tcPr>
            <w:tcW w:w="1560" w:type="dxa"/>
            <w:vAlign w:val="bottom"/>
          </w:tcPr>
          <w:p>
            <w:pPr>
              <w:spacing w:after="0"/>
              <w:rPr>
                <w:sz w:val="20"/>
                <w:szCs w:val="20"/>
                <w:color w:val="auto"/>
              </w:rPr>
            </w:pPr>
          </w:p>
        </w:tc>
        <w:tc>
          <w:tcPr>
            <w:tcW w:w="7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Resorts</w:t>
            </w:r>
          </w:p>
        </w:tc>
        <w:tc>
          <w:tcPr>
            <w:tcW w:w="60" w:type="dxa"/>
            <w:vAlign w:val="bottom"/>
          </w:tcPr>
          <w:p>
            <w:pPr>
              <w:spacing w:after="0"/>
              <w:rPr>
                <w:sz w:val="20"/>
                <w:szCs w:val="20"/>
                <w:color w:val="auto"/>
              </w:rPr>
            </w:pPr>
          </w:p>
        </w:tc>
        <w:tc>
          <w:tcPr>
            <w:tcW w:w="7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Keys</w:t>
            </w:r>
          </w:p>
        </w:tc>
      </w:tr>
      <w:tr>
        <w:trPr>
          <w:trHeight w:val="277"/>
        </w:trPr>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w:t>
            </w:r>
            <w:r>
              <w:rPr>
                <w:rFonts w:ascii="Times New Roman" w:cs="Times New Roman" w:eastAsia="Times New Roman" w:hAnsi="Times New Roman"/>
                <w:sz w:val="20"/>
                <w:szCs w:val="20"/>
                <w:color w:val="231F20"/>
              </w:rPr>
              <w:t>France</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202</w:t>
            </w:r>
          </w:p>
        </w:tc>
      </w:tr>
      <w:tr>
        <w:trPr>
          <w:trHeight w:val="300"/>
        </w:trPr>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Spain </w:t>
            </w:r>
            <w:r>
              <w:rPr>
                <w:rFonts w:ascii="Times New Roman" w:cs="Times New Roman" w:eastAsia="Times New Roman" w:hAnsi="Times New Roman"/>
                <w:sz w:val="20"/>
                <w:szCs w:val="20"/>
                <w:color w:val="B8BABC"/>
              </w:rPr>
              <w:t>. . . . . . . . . .</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3</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715</w:t>
            </w:r>
          </w:p>
        </w:tc>
      </w:tr>
      <w:tr>
        <w:trPr>
          <w:trHeight w:val="300"/>
        </w:trPr>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United Kingdom </w:t>
            </w:r>
            <w:r>
              <w:rPr>
                <w:rFonts w:ascii="Times New Roman" w:cs="Times New Roman" w:eastAsia="Times New Roman" w:hAnsi="Times New Roman"/>
                <w:sz w:val="20"/>
                <w:szCs w:val="20"/>
                <w:color w:val="B8BABC"/>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49</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Brands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 of</w:t>
            </w:r>
          </w:p>
        </w:tc>
        <w:tc>
          <w:tcPr>
            <w:tcW w:w="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 of</w:t>
            </w:r>
          </w:p>
        </w:tc>
      </w:tr>
      <w:tr>
        <w:trPr>
          <w:trHeight w:val="239"/>
        </w:trPr>
        <w:tc>
          <w:tcPr>
            <w:tcW w:w="1660" w:type="dxa"/>
            <w:vAlign w:val="bottom"/>
          </w:tcPr>
          <w:p>
            <w:pPr>
              <w:spacing w:after="0"/>
              <w:rPr>
                <w:sz w:val="20"/>
                <w:szCs w:val="20"/>
                <w:color w:val="auto"/>
              </w:rPr>
            </w:pPr>
          </w:p>
        </w:tc>
        <w:tc>
          <w:tcPr>
            <w:tcW w:w="7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Resorts</w:t>
            </w:r>
          </w:p>
        </w:tc>
        <w:tc>
          <w:tcPr>
            <w:tcW w:w="60" w:type="dxa"/>
            <w:vAlign w:val="bottom"/>
          </w:tcPr>
          <w:p>
            <w:pPr>
              <w:spacing w:after="0"/>
              <w:rPr>
                <w:sz w:val="20"/>
                <w:szCs w:val="20"/>
                <w:color w:val="auto"/>
              </w:rPr>
            </w:pPr>
          </w:p>
        </w:tc>
        <w:tc>
          <w:tcPr>
            <w:tcW w:w="7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Keys</w:t>
            </w:r>
          </w:p>
        </w:tc>
      </w:tr>
      <w:tr>
        <w:trPr>
          <w:trHeight w:val="277"/>
        </w:trPr>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w:t>
            </w:r>
            <w:r>
              <w:rPr>
                <w:rFonts w:ascii="Times New Roman" w:cs="Times New Roman" w:eastAsia="Times New Roman" w:hAnsi="Times New Roman"/>
                <w:sz w:val="20"/>
                <w:szCs w:val="20"/>
                <w:color w:val="231F20"/>
              </w:rPr>
              <w:t>Indonesia</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161</w:t>
            </w:r>
          </w:p>
        </w:tc>
      </w:tr>
      <w:tr>
        <w:trPr>
          <w:trHeight w:val="300"/>
        </w:trPr>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Thailand  </w:t>
            </w:r>
            <w:r>
              <w:rPr>
                <w:rFonts w:ascii="Times New Roman" w:cs="Times New Roman" w:eastAsia="Times New Roman" w:hAnsi="Times New Roman"/>
                <w:sz w:val="20"/>
                <w:szCs w:val="20"/>
                <w:color w:val="B8BABC"/>
              </w:rPr>
              <w:t>. . . . . . . .</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4</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384</w:t>
            </w:r>
          </w:p>
        </w:tc>
      </w:tr>
      <w:tr>
        <w:trPr>
          <w:trHeight w:val="300"/>
        </w:trPr>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Australia </w:t>
            </w:r>
            <w:r>
              <w:rPr>
                <w:rFonts w:ascii="Times New Roman" w:cs="Times New Roman" w:eastAsia="Times New Roman" w:hAnsi="Times New Roman"/>
                <w:sz w:val="20"/>
                <w:szCs w:val="20"/>
                <w:color w:val="B8BABC"/>
              </w:rPr>
              <w:t>. . . . . . . .</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77</w:t>
            </w:r>
          </w:p>
        </w:tc>
      </w:tr>
    </w:tbl>
    <w:p>
      <w:pPr>
        <w:spacing w:after="0" w:line="200" w:lineRule="exact"/>
        <w:rPr>
          <w:sz w:val="20"/>
          <w:szCs w:val="20"/>
          <w:color w:val="auto"/>
        </w:rPr>
      </w:pPr>
    </w:p>
    <w:p>
      <w:pPr>
        <w:spacing w:after="0" w:line="335" w:lineRule="exact"/>
        <w:rPr>
          <w:sz w:val="20"/>
          <w:szCs w:val="20"/>
          <w:color w:val="auto"/>
        </w:rPr>
      </w:pPr>
    </w:p>
    <w:p>
      <w:pPr>
        <w:jc w:val="right"/>
        <w:ind w:right="440"/>
        <w:spacing w:after="0"/>
        <w:tabs>
          <w:tab w:leader="none" w:pos="700" w:val="left"/>
        </w:tabs>
        <w:rPr>
          <w:sz w:val="20"/>
          <w:szCs w:val="20"/>
          <w:color w:val="auto"/>
        </w:rPr>
      </w:pPr>
      <w:r>
        <w:rPr>
          <w:rFonts w:ascii="Times New Roman" w:cs="Times New Roman" w:eastAsia="Times New Roman" w:hAnsi="Times New Roman"/>
          <w:sz w:val="18"/>
          <w:szCs w:val="18"/>
          <w:b w:val="1"/>
          <w:bCs w:val="1"/>
          <w:color w:val="231F20"/>
        </w:rPr>
        <w:t># of Resorts</w:t>
      </w:r>
      <w:r>
        <w:rPr>
          <w:sz w:val="20"/>
          <w:szCs w:val="20"/>
          <w:color w:val="auto"/>
        </w:rPr>
        <w:tab/>
      </w:r>
      <w:r>
        <w:rPr>
          <w:rFonts w:ascii="Times New Roman" w:cs="Times New Roman" w:eastAsia="Times New Roman" w:hAnsi="Times New Roman"/>
          <w:sz w:val="18"/>
          <w:szCs w:val="18"/>
          <w:b w:val="1"/>
          <w:bCs w:val="1"/>
          <w:color w:val="231F20"/>
        </w:rPr>
        <w:t># of Keys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22860</wp:posOffset>
            </wp:positionV>
            <wp:extent cx="2076450" cy="12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2076450" cy="12700"/>
                    </a:xfrm>
                    <a:prstGeom prst="rect">
                      <a:avLst/>
                    </a:prstGeom>
                    <a:noFill/>
                  </pic:spPr>
                </pic:pic>
              </a:graphicData>
            </a:graphic>
          </wp:anchor>
        </w:drawing>
      </w:r>
    </w:p>
    <w:p>
      <w:pPr>
        <w:spacing w:after="0" w:line="73" w:lineRule="exact"/>
        <w:rPr>
          <w:sz w:val="20"/>
          <w:szCs w:val="20"/>
          <w:color w:val="auto"/>
        </w:rPr>
      </w:pPr>
    </w:p>
    <w:p>
      <w:pPr>
        <w:sectPr>
          <w:pgSz w:w="11880" w:h="15480" w:orient="portrait"/>
          <w:cols w:equalWidth="0" w:num="2">
            <w:col w:w="3100" w:space="160"/>
            <w:col w:w="6500"/>
          </w:cols>
          <w:pgMar w:left="1080" w:top="831" w:right="1040" w:bottom="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65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Marriott Vacation Club </w:t>
            </w:r>
            <w:r>
              <w:rPr>
                <w:rFonts w:ascii="Times New Roman" w:cs="Times New Roman" w:eastAsia="Times New Roman" w:hAnsi="Times New Roman"/>
                <w:sz w:val="20"/>
                <w:szCs w:val="20"/>
                <w:color w:val="B8BABC"/>
              </w:rPr>
              <w:t>. . . . . . . . . . . . . . . . . . . . . . . . . . . . . . . . . . . . . . . . . . . . .</w:t>
            </w:r>
          </w:p>
        </w:tc>
        <w:tc>
          <w:tcPr>
            <w:tcW w:w="960" w:type="dxa"/>
            <w:vAlign w:val="bottom"/>
          </w:tcPr>
          <w:p>
            <w:pPr>
              <w:jc w:val="center"/>
              <w:ind w:left="540"/>
              <w:spacing w:after="0"/>
              <w:rPr>
                <w:sz w:val="20"/>
                <w:szCs w:val="20"/>
                <w:color w:val="auto"/>
              </w:rPr>
            </w:pPr>
            <w:r>
              <w:rPr>
                <w:rFonts w:ascii="Times New Roman" w:cs="Times New Roman" w:eastAsia="Times New Roman" w:hAnsi="Times New Roman"/>
                <w:sz w:val="20"/>
                <w:szCs w:val="20"/>
                <w:color w:val="231F20"/>
                <w:w w:val="99"/>
              </w:rPr>
              <w:t>65</w:t>
            </w:r>
          </w:p>
        </w:tc>
        <w:tc>
          <w:tcPr>
            <w:tcW w:w="2300" w:type="dxa"/>
            <w:vAlign w:val="bottom"/>
            <w:gridSpan w:val="3"/>
          </w:tcPr>
          <w:p>
            <w:pPr>
              <w:jc w:val="center"/>
              <w:ind w:left="601"/>
              <w:spacing w:after="0"/>
              <w:rPr>
                <w:sz w:val="20"/>
                <w:szCs w:val="20"/>
                <w:color w:val="auto"/>
              </w:rPr>
            </w:pPr>
            <w:r>
              <w:rPr>
                <w:rFonts w:ascii="Times New Roman" w:cs="Times New Roman" w:eastAsia="Times New Roman" w:hAnsi="Times New Roman"/>
                <w:sz w:val="20"/>
                <w:szCs w:val="20"/>
                <w:color w:val="231F20"/>
              </w:rPr>
              <w:t>19,076</w:t>
            </w:r>
          </w:p>
        </w:tc>
      </w:tr>
      <w:tr>
        <w:trPr>
          <w:trHeight w:val="300"/>
        </w:trPr>
        <w:tc>
          <w:tcPr>
            <w:tcW w:w="65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Sheraton Vacation Club </w:t>
            </w:r>
            <w:r>
              <w:rPr>
                <w:rFonts w:ascii="Times New Roman" w:cs="Times New Roman" w:eastAsia="Times New Roman" w:hAnsi="Times New Roman"/>
                <w:sz w:val="20"/>
                <w:szCs w:val="20"/>
                <w:color w:val="B8BABC"/>
              </w:rPr>
              <w:t>. . . . . . . . . . . . . . . . . . . . . . . . . . . . . . . . . . . . . . . . . . . .</w:t>
            </w:r>
          </w:p>
        </w:tc>
        <w:tc>
          <w:tcPr>
            <w:tcW w:w="960" w:type="dxa"/>
            <w:vAlign w:val="bottom"/>
          </w:tcPr>
          <w:p>
            <w:pPr>
              <w:jc w:val="center"/>
              <w:ind w:left="520"/>
              <w:spacing w:after="0"/>
              <w:rPr>
                <w:sz w:val="20"/>
                <w:szCs w:val="20"/>
                <w:color w:val="auto"/>
              </w:rPr>
            </w:pPr>
            <w:r>
              <w:rPr>
                <w:rFonts w:ascii="Times New Roman" w:cs="Times New Roman" w:eastAsia="Times New Roman" w:hAnsi="Times New Roman"/>
                <w:sz w:val="20"/>
                <w:szCs w:val="20"/>
                <w:color w:val="231F20"/>
                <w:w w:val="99"/>
              </w:rPr>
              <w:t>9</w:t>
            </w:r>
          </w:p>
        </w:tc>
        <w:tc>
          <w:tcPr>
            <w:tcW w:w="2300" w:type="dxa"/>
            <w:vAlign w:val="bottom"/>
            <w:gridSpan w:val="3"/>
          </w:tcPr>
          <w:p>
            <w:pPr>
              <w:jc w:val="center"/>
              <w:ind w:left="601"/>
              <w:spacing w:after="0"/>
              <w:rPr>
                <w:sz w:val="20"/>
                <w:szCs w:val="20"/>
                <w:color w:val="auto"/>
              </w:rPr>
            </w:pPr>
            <w:r>
              <w:rPr>
                <w:rFonts w:ascii="Times New Roman" w:cs="Times New Roman" w:eastAsia="Times New Roman" w:hAnsi="Times New Roman"/>
                <w:sz w:val="20"/>
                <w:szCs w:val="20"/>
                <w:color w:val="231F20"/>
                <w:w w:val="97"/>
              </w:rPr>
              <w:t>4,377</w:t>
            </w:r>
          </w:p>
        </w:tc>
      </w:tr>
      <w:tr>
        <w:trPr>
          <w:trHeight w:val="300"/>
        </w:trPr>
        <w:tc>
          <w:tcPr>
            <w:tcW w:w="65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Westin Vacation Club </w:t>
            </w:r>
            <w:r>
              <w:rPr>
                <w:rFonts w:ascii="Times New Roman" w:cs="Times New Roman" w:eastAsia="Times New Roman" w:hAnsi="Times New Roman"/>
                <w:sz w:val="20"/>
                <w:szCs w:val="20"/>
                <w:color w:val="B8BABC"/>
              </w:rPr>
              <w:t>. . . . . . . . . . . . . . . . . . . . . . . . . . . . . . . . . . . . . . . . . . . . . .</w:t>
            </w:r>
          </w:p>
        </w:tc>
        <w:tc>
          <w:tcPr>
            <w:tcW w:w="960" w:type="dxa"/>
            <w:vAlign w:val="bottom"/>
          </w:tcPr>
          <w:p>
            <w:pPr>
              <w:jc w:val="center"/>
              <w:ind w:left="540"/>
              <w:spacing w:after="0"/>
              <w:rPr>
                <w:sz w:val="20"/>
                <w:szCs w:val="20"/>
                <w:color w:val="auto"/>
              </w:rPr>
            </w:pPr>
            <w:r>
              <w:rPr>
                <w:rFonts w:ascii="Times New Roman" w:cs="Times New Roman" w:eastAsia="Times New Roman" w:hAnsi="Times New Roman"/>
                <w:sz w:val="20"/>
                <w:szCs w:val="20"/>
                <w:color w:val="231F20"/>
                <w:w w:val="99"/>
              </w:rPr>
              <w:t>12</w:t>
            </w:r>
          </w:p>
        </w:tc>
        <w:tc>
          <w:tcPr>
            <w:tcW w:w="2300" w:type="dxa"/>
            <w:vAlign w:val="bottom"/>
            <w:gridSpan w:val="3"/>
          </w:tcPr>
          <w:p>
            <w:pPr>
              <w:jc w:val="center"/>
              <w:ind w:left="601"/>
              <w:spacing w:after="0"/>
              <w:rPr>
                <w:sz w:val="20"/>
                <w:szCs w:val="20"/>
                <w:color w:val="auto"/>
              </w:rPr>
            </w:pPr>
            <w:r>
              <w:rPr>
                <w:rFonts w:ascii="Times New Roman" w:cs="Times New Roman" w:eastAsia="Times New Roman" w:hAnsi="Times New Roman"/>
                <w:sz w:val="20"/>
                <w:szCs w:val="20"/>
                <w:color w:val="231F20"/>
                <w:w w:val="97"/>
              </w:rPr>
              <w:t>4,334</w:t>
            </w:r>
          </w:p>
        </w:tc>
      </w:tr>
      <w:tr>
        <w:trPr>
          <w:trHeight w:val="300"/>
        </w:trPr>
        <w:tc>
          <w:tcPr>
            <w:tcW w:w="65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Grand Residences by Marriott </w:t>
            </w:r>
            <w:r>
              <w:rPr>
                <w:rFonts w:ascii="Times New Roman" w:cs="Times New Roman" w:eastAsia="Times New Roman" w:hAnsi="Times New Roman"/>
                <w:sz w:val="20"/>
                <w:szCs w:val="20"/>
                <w:color w:val="B8BABC"/>
              </w:rPr>
              <w:t>. . . . . . . . . . . . . . . . . . . . . . . . . . . . . . . . . . . . . . .</w:t>
            </w:r>
          </w:p>
        </w:tc>
        <w:tc>
          <w:tcPr>
            <w:tcW w:w="960" w:type="dxa"/>
            <w:vAlign w:val="bottom"/>
          </w:tcPr>
          <w:p>
            <w:pPr>
              <w:jc w:val="center"/>
              <w:ind w:left="520"/>
              <w:spacing w:after="0"/>
              <w:rPr>
                <w:sz w:val="20"/>
                <w:szCs w:val="20"/>
                <w:color w:val="auto"/>
              </w:rPr>
            </w:pPr>
            <w:r>
              <w:rPr>
                <w:rFonts w:ascii="Times New Roman" w:cs="Times New Roman" w:eastAsia="Times New Roman" w:hAnsi="Times New Roman"/>
                <w:sz w:val="20"/>
                <w:szCs w:val="20"/>
                <w:color w:val="231F20"/>
                <w:w w:val="99"/>
              </w:rPr>
              <w:t>2</w:t>
            </w:r>
          </w:p>
        </w:tc>
        <w:tc>
          <w:tcPr>
            <w:tcW w:w="2300" w:type="dxa"/>
            <w:vAlign w:val="bottom"/>
            <w:gridSpan w:val="3"/>
          </w:tcPr>
          <w:p>
            <w:pPr>
              <w:jc w:val="center"/>
              <w:ind w:left="621"/>
              <w:spacing w:after="0"/>
              <w:rPr>
                <w:sz w:val="20"/>
                <w:szCs w:val="20"/>
                <w:color w:val="auto"/>
              </w:rPr>
            </w:pPr>
            <w:r>
              <w:rPr>
                <w:rFonts w:ascii="Times New Roman" w:cs="Times New Roman" w:eastAsia="Times New Roman" w:hAnsi="Times New Roman"/>
                <w:sz w:val="20"/>
                <w:szCs w:val="20"/>
                <w:color w:val="231F20"/>
                <w:w w:val="99"/>
              </w:rPr>
              <w:t>381</w:t>
            </w:r>
          </w:p>
        </w:tc>
      </w:tr>
      <w:tr>
        <w:trPr>
          <w:trHeight w:val="300"/>
        </w:trPr>
        <w:tc>
          <w:tcPr>
            <w:tcW w:w="65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The Ritz-Carlton Club  </w:t>
            </w:r>
            <w:r>
              <w:rPr>
                <w:rFonts w:ascii="Times New Roman" w:cs="Times New Roman" w:eastAsia="Times New Roman" w:hAnsi="Times New Roman"/>
                <w:sz w:val="20"/>
                <w:szCs w:val="20"/>
                <w:color w:val="B8BABC"/>
              </w:rPr>
              <w:t>. . . . . . . . . . . . . . . . . . . . . . . . . . . . . . . . . . . . . . . . . . . . .</w:t>
            </w:r>
          </w:p>
        </w:tc>
        <w:tc>
          <w:tcPr>
            <w:tcW w:w="960" w:type="dxa"/>
            <w:vAlign w:val="bottom"/>
          </w:tcPr>
          <w:p>
            <w:pPr>
              <w:jc w:val="center"/>
              <w:ind w:left="520"/>
              <w:spacing w:after="0"/>
              <w:rPr>
                <w:sz w:val="20"/>
                <w:szCs w:val="20"/>
                <w:color w:val="auto"/>
              </w:rPr>
            </w:pPr>
            <w:r>
              <w:rPr>
                <w:rFonts w:ascii="Times New Roman" w:cs="Times New Roman" w:eastAsia="Times New Roman" w:hAnsi="Times New Roman"/>
                <w:sz w:val="20"/>
                <w:szCs w:val="20"/>
                <w:color w:val="231F20"/>
                <w:w w:val="99"/>
              </w:rPr>
              <w:t>5</w:t>
            </w:r>
          </w:p>
        </w:tc>
        <w:tc>
          <w:tcPr>
            <w:tcW w:w="2300" w:type="dxa"/>
            <w:vAlign w:val="bottom"/>
            <w:gridSpan w:val="3"/>
          </w:tcPr>
          <w:p>
            <w:pPr>
              <w:jc w:val="center"/>
              <w:ind w:left="621"/>
              <w:spacing w:after="0"/>
              <w:rPr>
                <w:sz w:val="20"/>
                <w:szCs w:val="20"/>
                <w:color w:val="auto"/>
              </w:rPr>
            </w:pPr>
            <w:r>
              <w:rPr>
                <w:rFonts w:ascii="Times New Roman" w:cs="Times New Roman" w:eastAsia="Times New Roman" w:hAnsi="Times New Roman"/>
                <w:sz w:val="20"/>
                <w:szCs w:val="20"/>
                <w:color w:val="231F20"/>
                <w:w w:val="99"/>
              </w:rPr>
              <w:t>259</w:t>
            </w:r>
          </w:p>
        </w:tc>
      </w:tr>
      <w:tr>
        <w:trPr>
          <w:trHeight w:val="300"/>
        </w:trPr>
        <w:tc>
          <w:tcPr>
            <w:tcW w:w="65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St. Regis Residence Club and The Luxury Collection </w:t>
            </w:r>
            <w:r>
              <w:rPr>
                <w:rFonts w:ascii="Times New Roman" w:cs="Times New Roman" w:eastAsia="Times New Roman" w:hAnsi="Times New Roman"/>
                <w:sz w:val="20"/>
                <w:szCs w:val="20"/>
                <w:color w:val="B8BABC"/>
              </w:rPr>
              <w:t>. . . . . . . . . . . . . . . . . . . . .</w:t>
            </w:r>
          </w:p>
        </w:tc>
        <w:tc>
          <w:tcPr>
            <w:tcW w:w="960" w:type="dxa"/>
            <w:vAlign w:val="bottom"/>
          </w:tcPr>
          <w:p>
            <w:pPr>
              <w:jc w:val="center"/>
              <w:ind w:left="520"/>
              <w:spacing w:after="0"/>
              <w:rPr>
                <w:sz w:val="20"/>
                <w:szCs w:val="20"/>
                <w:color w:val="auto"/>
              </w:rPr>
            </w:pPr>
            <w:r>
              <w:rPr>
                <w:rFonts w:ascii="Times New Roman" w:cs="Times New Roman" w:eastAsia="Times New Roman" w:hAnsi="Times New Roman"/>
                <w:sz w:val="20"/>
                <w:szCs w:val="20"/>
                <w:color w:val="231F20"/>
                <w:w w:val="99"/>
              </w:rPr>
              <w:t>3</w:t>
            </w:r>
          </w:p>
        </w:tc>
        <w:tc>
          <w:tcPr>
            <w:tcW w:w="2300" w:type="dxa"/>
            <w:vAlign w:val="bottom"/>
            <w:gridSpan w:val="3"/>
          </w:tcPr>
          <w:p>
            <w:pPr>
              <w:jc w:val="center"/>
              <w:ind w:left="601"/>
              <w:spacing w:after="0"/>
              <w:rPr>
                <w:sz w:val="20"/>
                <w:szCs w:val="20"/>
                <w:color w:val="auto"/>
              </w:rPr>
            </w:pPr>
            <w:r>
              <w:rPr>
                <w:rFonts w:ascii="Times New Roman" w:cs="Times New Roman" w:eastAsia="Times New Roman" w:hAnsi="Times New Roman"/>
                <w:sz w:val="20"/>
                <w:szCs w:val="20"/>
                <w:color w:val="231F20"/>
                <w:w w:val="99"/>
              </w:rPr>
              <w:t>83</w:t>
            </w:r>
          </w:p>
        </w:tc>
      </w:tr>
      <w:tr>
        <w:trPr>
          <w:trHeight w:val="300"/>
        </w:trPr>
        <w:tc>
          <w:tcPr>
            <w:tcW w:w="65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Hyatt Vacation Club </w:t>
            </w:r>
            <w:r>
              <w:rPr>
                <w:rFonts w:ascii="Times New Roman" w:cs="Times New Roman" w:eastAsia="Times New Roman" w:hAnsi="Times New Roman"/>
                <w:sz w:val="20"/>
                <w:szCs w:val="20"/>
                <w:color w:val="B8BABC"/>
              </w:rPr>
              <w:t>. . . . . . . . . . . . . . . . . . . . . . . . . . . . . . . . . . . . . . . . . . . . . . .</w:t>
            </w:r>
          </w:p>
        </w:tc>
        <w:tc>
          <w:tcPr>
            <w:tcW w:w="960" w:type="dxa"/>
            <w:vAlign w:val="bottom"/>
          </w:tcPr>
          <w:p>
            <w:pPr>
              <w:jc w:val="center"/>
              <w:ind w:left="540"/>
              <w:spacing w:after="0"/>
              <w:rPr>
                <w:sz w:val="20"/>
                <w:szCs w:val="20"/>
                <w:color w:val="auto"/>
              </w:rPr>
            </w:pPr>
            <w:r>
              <w:rPr>
                <w:rFonts w:ascii="Times New Roman" w:cs="Times New Roman" w:eastAsia="Times New Roman" w:hAnsi="Times New Roman"/>
                <w:sz w:val="20"/>
                <w:szCs w:val="20"/>
                <w:color w:val="231F20"/>
                <w:w w:val="99"/>
              </w:rPr>
              <w:t>22</w:t>
            </w:r>
          </w:p>
        </w:tc>
        <w:tc>
          <w:tcPr>
            <w:tcW w:w="2300" w:type="dxa"/>
            <w:vAlign w:val="bottom"/>
            <w:gridSpan w:val="3"/>
          </w:tcPr>
          <w:p>
            <w:pPr>
              <w:jc w:val="center"/>
              <w:ind w:left="601"/>
              <w:spacing w:after="0"/>
              <w:rPr>
                <w:sz w:val="20"/>
                <w:szCs w:val="20"/>
                <w:color w:val="auto"/>
              </w:rPr>
            </w:pPr>
            <w:r>
              <w:rPr>
                <w:rFonts w:ascii="Times New Roman" w:cs="Times New Roman" w:eastAsia="Times New Roman" w:hAnsi="Times New Roman"/>
                <w:sz w:val="20"/>
                <w:szCs w:val="20"/>
                <w:color w:val="231F20"/>
                <w:w w:val="97"/>
              </w:rPr>
              <w:t>2,672</w:t>
            </w:r>
          </w:p>
        </w:tc>
      </w:tr>
      <w:tr>
        <w:trPr>
          <w:trHeight w:val="303"/>
        </w:trPr>
        <w:tc>
          <w:tcPr>
            <w:tcW w:w="65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 . . . . . . . . . . . . . . . . . .</w:t>
            </w:r>
          </w:p>
        </w:tc>
        <w:tc>
          <w:tcPr>
            <w:tcW w:w="960" w:type="dxa"/>
            <w:vAlign w:val="bottom"/>
            <w:tcBorders>
              <w:bottom w:val="single" w:sz="8" w:color="231F20"/>
            </w:tcBorders>
          </w:tcPr>
          <w:p>
            <w:pPr>
              <w:jc w:val="center"/>
              <w:ind w:left="520"/>
              <w:spacing w:after="0"/>
              <w:rPr>
                <w:sz w:val="20"/>
                <w:szCs w:val="20"/>
                <w:color w:val="auto"/>
              </w:rPr>
            </w:pPr>
            <w:r>
              <w:rPr>
                <w:rFonts w:ascii="Times New Roman" w:cs="Times New Roman" w:eastAsia="Times New Roman" w:hAnsi="Times New Roman"/>
                <w:sz w:val="20"/>
                <w:szCs w:val="20"/>
                <w:color w:val="231F20"/>
                <w:w w:val="99"/>
              </w:rPr>
              <w:t>2</w:t>
            </w:r>
          </w:p>
        </w:tc>
        <w:tc>
          <w:tcPr>
            <w:tcW w:w="64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458</w:t>
            </w:r>
          </w:p>
        </w:tc>
      </w:tr>
      <w:tr>
        <w:trPr>
          <w:trHeight w:val="277"/>
        </w:trPr>
        <w:tc>
          <w:tcPr>
            <w:tcW w:w="6500" w:type="dxa"/>
            <w:vAlign w:val="bottom"/>
          </w:tcPr>
          <w:p>
            <w:pPr>
              <w:spacing w:after="0"/>
              <w:rPr>
                <w:sz w:val="24"/>
                <w:szCs w:val="24"/>
                <w:color w:val="auto"/>
              </w:rPr>
            </w:pPr>
          </w:p>
        </w:tc>
        <w:tc>
          <w:tcPr>
            <w:tcW w:w="960" w:type="dxa"/>
            <w:vAlign w:val="bottom"/>
          </w:tcPr>
          <w:p>
            <w:pPr>
              <w:jc w:val="center"/>
              <w:ind w:left="520"/>
              <w:spacing w:after="0"/>
              <w:rPr>
                <w:sz w:val="20"/>
                <w:szCs w:val="20"/>
                <w:color w:val="auto"/>
              </w:rPr>
            </w:pPr>
            <w:r>
              <w:rPr>
                <w:rFonts w:ascii="Times New Roman" w:cs="Times New Roman" w:eastAsia="Times New Roman" w:hAnsi="Times New Roman"/>
                <w:sz w:val="20"/>
                <w:szCs w:val="20"/>
                <w:color w:val="231F20"/>
                <w:w w:val="99"/>
              </w:rPr>
              <w:t>120</w:t>
            </w:r>
          </w:p>
        </w:tc>
        <w:tc>
          <w:tcPr>
            <w:tcW w:w="2300" w:type="dxa"/>
            <w:vAlign w:val="bottom"/>
            <w:gridSpan w:val="3"/>
          </w:tcPr>
          <w:p>
            <w:pPr>
              <w:jc w:val="center"/>
              <w:ind w:left="601"/>
              <w:spacing w:after="0"/>
              <w:rPr>
                <w:sz w:val="20"/>
                <w:szCs w:val="20"/>
                <w:color w:val="auto"/>
              </w:rPr>
            </w:pPr>
            <w:r>
              <w:rPr>
                <w:rFonts w:ascii="Times New Roman" w:cs="Times New Roman" w:eastAsia="Times New Roman" w:hAnsi="Times New Roman"/>
                <w:sz w:val="20"/>
                <w:szCs w:val="20"/>
                <w:color w:val="231F20"/>
              </w:rPr>
              <w:t>31,640</w:t>
            </w:r>
          </w:p>
        </w:tc>
      </w:tr>
      <w:tr>
        <w:trPr>
          <w:trHeight w:val="492"/>
        </w:trPr>
        <w:tc>
          <w:tcPr>
            <w:tcW w:w="6500" w:type="dxa"/>
            <w:vAlign w:val="bottom"/>
          </w:tcPr>
          <w:p>
            <w:pPr>
              <w:spacing w:after="0"/>
              <w:rPr>
                <w:sz w:val="20"/>
                <w:szCs w:val="20"/>
                <w:color w:val="auto"/>
              </w:rPr>
            </w:pPr>
            <w:r>
              <w:rPr>
                <w:rFonts w:ascii="Times New Roman" w:cs="Times New Roman" w:eastAsia="Times New Roman" w:hAnsi="Times New Roman"/>
                <w:sz w:val="20"/>
                <w:szCs w:val="20"/>
                <w:i w:val="1"/>
                <w:iCs w:val="1"/>
                <w:color w:val="231F20"/>
              </w:rPr>
              <w:t>Hotels</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86"/>
        </w:trPr>
        <w:tc>
          <w:tcPr>
            <w:tcW w:w="6500" w:type="dxa"/>
            <w:vAlign w:val="bottom"/>
          </w:tcPr>
          <w:p>
            <w:pPr>
              <w:spacing w:after="0"/>
              <w:rPr>
                <w:sz w:val="24"/>
                <w:szCs w:val="24"/>
                <w:color w:val="auto"/>
              </w:rPr>
            </w:pPr>
          </w:p>
        </w:tc>
        <w:tc>
          <w:tcPr>
            <w:tcW w:w="960" w:type="dxa"/>
            <w:vAlign w:val="bottom"/>
            <w:tcBorders>
              <w:bottom w:val="single" w:sz="8" w:color="231F20"/>
            </w:tcBorders>
          </w:tcPr>
          <w:p>
            <w:pPr>
              <w:spacing w:after="0"/>
              <w:rPr>
                <w:sz w:val="24"/>
                <w:szCs w:val="24"/>
                <w:color w:val="auto"/>
              </w:rPr>
            </w:pPr>
          </w:p>
        </w:tc>
        <w:tc>
          <w:tcPr>
            <w:tcW w:w="2300" w:type="dxa"/>
            <w:vAlign w:val="bottom"/>
            <w:tcBorders>
              <w:bottom w:val="single" w:sz="8" w:color="231F20"/>
            </w:tcBorders>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231F20"/>
                <w:w w:val="99"/>
              </w:rPr>
              <w:t>Location</w:t>
            </w:r>
          </w:p>
        </w:tc>
      </w:tr>
      <w:tr>
        <w:trPr>
          <w:trHeight w:val="277"/>
        </w:trPr>
        <w:tc>
          <w:tcPr>
            <w:tcW w:w="65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Sheraton Kauai Resort </w:t>
            </w:r>
            <w:r>
              <w:rPr>
                <w:rFonts w:ascii="Times New Roman" w:cs="Times New Roman" w:eastAsia="Times New Roman" w:hAnsi="Times New Roman"/>
                <w:sz w:val="20"/>
                <w:szCs w:val="20"/>
                <w:color w:val="B8BABC"/>
              </w:rPr>
              <w:t>. . . . . . . . . . . . . . . . . . . . . . . . . . . . . . . . . . . . . . . . . . . . .</w:t>
            </w:r>
          </w:p>
        </w:tc>
        <w:tc>
          <w:tcPr>
            <w:tcW w:w="960" w:type="dxa"/>
            <w:vAlign w:val="bottom"/>
          </w:tcPr>
          <w:p>
            <w:pPr>
              <w:spacing w:after="0"/>
              <w:rPr>
                <w:sz w:val="24"/>
                <w:szCs w:val="24"/>
                <w:color w:val="auto"/>
              </w:rPr>
            </w:pPr>
          </w:p>
        </w:tc>
        <w:tc>
          <w:tcPr>
            <w:tcW w:w="2300" w:type="dxa"/>
            <w:vAlign w:val="bottom"/>
            <w:gridSpan w:val="3"/>
          </w:tcPr>
          <w:p>
            <w:pPr>
              <w:jc w:val="center"/>
              <w:ind w:right="860"/>
              <w:spacing w:after="0"/>
              <w:rPr>
                <w:sz w:val="20"/>
                <w:szCs w:val="20"/>
                <w:color w:val="auto"/>
              </w:rPr>
            </w:pPr>
            <w:r>
              <w:rPr>
                <w:rFonts w:ascii="Times New Roman" w:cs="Times New Roman" w:eastAsia="Times New Roman" w:hAnsi="Times New Roman"/>
                <w:sz w:val="20"/>
                <w:szCs w:val="20"/>
                <w:color w:val="231F20"/>
                <w:w w:val="98"/>
              </w:rPr>
              <w:t>Kauai, HI</w:t>
            </w:r>
          </w:p>
        </w:tc>
      </w:tr>
      <w:tr>
        <w:trPr>
          <w:trHeight w:val="340"/>
        </w:trPr>
        <w:tc>
          <w:tcPr>
            <w:tcW w:w="65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The Westin Resort &amp; Spa, Cancun</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 . . . . . .</w:t>
            </w:r>
          </w:p>
        </w:tc>
        <w:tc>
          <w:tcPr>
            <w:tcW w:w="960" w:type="dxa"/>
            <w:vAlign w:val="bottom"/>
          </w:tcPr>
          <w:p>
            <w:pPr>
              <w:spacing w:after="0"/>
              <w:rPr>
                <w:sz w:val="24"/>
                <w:szCs w:val="24"/>
                <w:color w:val="auto"/>
              </w:rPr>
            </w:pPr>
          </w:p>
        </w:tc>
        <w:tc>
          <w:tcPr>
            <w:tcW w:w="2300" w:type="dxa"/>
            <w:vAlign w:val="bottom"/>
            <w:gridSpan w:val="3"/>
          </w:tcPr>
          <w:p>
            <w:pPr>
              <w:jc w:val="center"/>
              <w:ind w:right="860"/>
              <w:spacing w:after="0"/>
              <w:rPr>
                <w:sz w:val="20"/>
                <w:szCs w:val="20"/>
                <w:color w:val="auto"/>
              </w:rPr>
            </w:pPr>
            <w:r>
              <w:rPr>
                <w:rFonts w:ascii="Times New Roman" w:cs="Times New Roman" w:eastAsia="Times New Roman" w:hAnsi="Times New Roman"/>
                <w:sz w:val="20"/>
                <w:szCs w:val="20"/>
                <w:color w:val="231F20"/>
              </w:rPr>
              <w:t>Cancun, Mexico</w:t>
            </w:r>
          </w:p>
        </w:tc>
      </w:tr>
      <w:tr>
        <w:trPr>
          <w:trHeight w:val="260"/>
        </w:trPr>
        <w:tc>
          <w:tcPr>
            <w:tcW w:w="65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Hyatt Highlands Inn </w:t>
            </w:r>
            <w:r>
              <w:rPr>
                <w:rFonts w:ascii="Times New Roman" w:cs="Times New Roman" w:eastAsia="Times New Roman" w:hAnsi="Times New Roman"/>
                <w:sz w:val="20"/>
                <w:szCs w:val="20"/>
                <w:color w:val="B8BABC"/>
              </w:rPr>
              <w:t>. . . . . . . . . . . . . . . . . . . . . . . . . . . . . . . . . . . . . . . . . . . . . .</w:t>
            </w:r>
          </w:p>
        </w:tc>
        <w:tc>
          <w:tcPr>
            <w:tcW w:w="960" w:type="dxa"/>
            <w:vAlign w:val="bottom"/>
          </w:tcPr>
          <w:p>
            <w:pPr>
              <w:spacing w:after="0"/>
              <w:rPr>
                <w:sz w:val="22"/>
                <w:szCs w:val="22"/>
                <w:color w:val="auto"/>
              </w:rPr>
            </w:pPr>
          </w:p>
        </w:tc>
        <w:tc>
          <w:tcPr>
            <w:tcW w:w="2300" w:type="dxa"/>
            <w:vAlign w:val="bottom"/>
            <w:gridSpan w:val="3"/>
          </w:tcPr>
          <w:p>
            <w:pPr>
              <w:jc w:val="center"/>
              <w:ind w:right="860"/>
              <w:spacing w:after="0"/>
              <w:rPr>
                <w:sz w:val="20"/>
                <w:szCs w:val="20"/>
                <w:color w:val="auto"/>
              </w:rPr>
            </w:pPr>
            <w:r>
              <w:rPr>
                <w:rFonts w:ascii="Times New Roman" w:cs="Times New Roman" w:eastAsia="Times New Roman" w:hAnsi="Times New Roman"/>
                <w:sz w:val="20"/>
                <w:szCs w:val="20"/>
                <w:color w:val="231F20"/>
              </w:rPr>
              <w:t>Carmel, CA</w:t>
            </w:r>
          </w:p>
        </w:tc>
      </w:tr>
      <w:tr>
        <w:trPr>
          <w:trHeight w:val="461"/>
        </w:trPr>
        <w:tc>
          <w:tcPr>
            <w:tcW w:w="6500" w:type="dxa"/>
            <w:vAlign w:val="bottom"/>
          </w:tcPr>
          <w:p>
            <w:pPr>
              <w:spacing w:after="0"/>
              <w:rPr>
                <w:sz w:val="20"/>
                <w:szCs w:val="20"/>
                <w:color w:val="auto"/>
              </w:rPr>
            </w:pP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We sold this hotel in January 2026.</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200" w:lineRule="exact"/>
        <w:rPr>
          <w:sz w:val="20"/>
          <w:szCs w:val="20"/>
          <w:color w:val="auto"/>
        </w:rPr>
      </w:pPr>
    </w:p>
    <w:p>
      <w:pPr>
        <w:sectPr>
          <w:pgSz w:w="11880" w:h="15480" w:orient="portrait"/>
          <w:cols w:equalWidth="0" w:num="1">
            <w:col w:w="9760"/>
          </w:cols>
          <w:pgMar w:left="1080" w:top="831" w:right="1040" w:bottom="0" w:gutter="0" w:footer="0" w:header="0"/>
          <w:type w:val="continuous"/>
        </w:sectPr>
      </w:pP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9760"/>
          </w:cols>
          <w:pgMar w:left="1080" w:top="831" w:right="104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231F20"/>
        </w:rPr>
        <w:t>EXCHANGE &amp; THIRD-PARTY MANAGEMENT SEGMENT</w:t>
      </w:r>
    </w:p>
    <w:p>
      <w:pPr>
        <w:spacing w:after="0" w:line="13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231F20"/>
        </w:rPr>
        <w:t>Our Exchange &amp; Third-Party Management segment is comprised of the Interval International and Aqua-Aston businesses. The Interval International business offers a variety of membership programs and travel related products to approximately 1.5 million members globally and the Aqua-Aston business provides property management and rental services to property owners at 23 resorts and lodging properties. The segment revenue generally is fee-based and derived from membership, exchange and rental transactions, property and owners’ association management, and other related products and services. The Exchange &amp; Third-Party Management segment represented 4% of our consolidated revenue for 2025.</w:t>
      </w:r>
    </w:p>
    <w:p>
      <w:pPr>
        <w:spacing w:after="0" w:line="40"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Pr>
          <w:p>
            <w:pPr>
              <w:jc w:val="center"/>
              <w:ind w:right="44"/>
              <w:spacing w:after="0"/>
              <w:rPr>
                <w:sz w:val="20"/>
                <w:szCs w:val="20"/>
                <w:color w:val="auto"/>
              </w:rPr>
            </w:pPr>
            <w:r>
              <w:rPr>
                <w:rFonts w:ascii="Times New Roman" w:cs="Times New Roman" w:eastAsia="Times New Roman" w:hAnsi="Times New Roman"/>
                <w:sz w:val="18"/>
                <w:szCs w:val="18"/>
                <w:b w:val="1"/>
                <w:bCs w:val="1"/>
                <w:color w:val="231F20"/>
                <w:w w:val="99"/>
              </w:rPr>
              <w:t>2025</w:t>
            </w:r>
          </w:p>
        </w:tc>
      </w:tr>
      <w:tr>
        <w:trPr>
          <w:trHeight w:val="180"/>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tcPr>
          <w:p>
            <w:pPr>
              <w:jc w:val="center"/>
              <w:ind w:right="64"/>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Exchange &amp; Third-Party Management</w:t>
            </w:r>
          </w:p>
        </w:tc>
      </w:tr>
      <w:tr>
        <w:trPr>
          <w:trHeight w:val="239"/>
        </w:trPr>
        <w:tc>
          <w:tcPr>
            <w:tcW w:w="3300" w:type="dxa"/>
            <w:vAlign w:val="bottom"/>
          </w:tcPr>
          <w:p>
            <w:pPr>
              <w:jc w:val="right"/>
              <w:ind w:right="2264"/>
              <w:spacing w:after="0"/>
              <w:rPr>
                <w:sz w:val="20"/>
                <w:szCs w:val="20"/>
                <w:color w:val="auto"/>
              </w:rPr>
            </w:pPr>
            <w:r>
              <w:rPr>
                <w:rFonts w:ascii="Times New Roman" w:cs="Times New Roman" w:eastAsia="Times New Roman" w:hAnsi="Times New Roman"/>
                <w:sz w:val="16"/>
                <w:szCs w:val="16"/>
                <w:b w:val="1"/>
                <w:bCs w:val="1"/>
                <w:i w:val="1"/>
                <w:iCs w:val="1"/>
                <w:color w:val="231F20"/>
                <w:w w:val="98"/>
              </w:rPr>
              <w:t>($ in millions)</w:t>
            </w:r>
          </w:p>
        </w:tc>
        <w:tc>
          <w:tcPr>
            <w:tcW w:w="160" w:type="dxa"/>
            <w:vAlign w:val="bottom"/>
            <w:tcBorders>
              <w:bottom w:val="single" w:sz="8" w:color="231F20"/>
            </w:tcBorders>
          </w:tcPr>
          <w:p>
            <w:pPr>
              <w:spacing w:after="0"/>
              <w:rPr>
                <w:sz w:val="20"/>
                <w:szCs w:val="20"/>
                <w:color w:val="auto"/>
              </w:rPr>
            </w:pPr>
          </w:p>
        </w:tc>
        <w:tc>
          <w:tcPr>
            <w:tcW w:w="3180" w:type="dxa"/>
            <w:vAlign w:val="bottom"/>
            <w:tcBorders>
              <w:bottom w:val="single" w:sz="8" w:color="231F20"/>
            </w:tcBorders>
          </w:tcPr>
          <w:p>
            <w:pPr>
              <w:jc w:val="center"/>
              <w:ind w:right="44"/>
              <w:spacing w:after="0"/>
              <w:rPr>
                <w:sz w:val="20"/>
                <w:szCs w:val="20"/>
                <w:color w:val="auto"/>
              </w:rPr>
            </w:pPr>
            <w:r>
              <w:rPr>
                <w:rFonts w:ascii="Times New Roman" w:cs="Times New Roman" w:eastAsia="Times New Roman" w:hAnsi="Times New Roman"/>
                <w:sz w:val="18"/>
                <w:szCs w:val="18"/>
                <w:b w:val="1"/>
                <w:bCs w:val="1"/>
                <w:color w:val="231F20"/>
              </w:rPr>
              <w:t>Segment Revenues</w:t>
            </w:r>
          </w:p>
        </w:tc>
      </w:tr>
      <w:tr>
        <w:trPr>
          <w:trHeight w:val="277"/>
        </w:trPr>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and exchange </w:t>
            </w:r>
            <w:r>
              <w:rPr>
                <w:rFonts w:ascii="Times New Roman" w:cs="Times New Roman" w:eastAsia="Times New Roman" w:hAnsi="Times New Roman"/>
                <w:sz w:val="20"/>
                <w:szCs w:val="20"/>
                <w:color w:val="B8BABC"/>
              </w:rPr>
              <w:t>.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170</w:t>
            </w:r>
          </w:p>
        </w:tc>
      </w:tr>
      <w:tr>
        <w:trPr>
          <w:trHeight w:val="300"/>
        </w:trPr>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Rental </w:t>
            </w:r>
            <w:r>
              <w:rPr>
                <w:rFonts w:ascii="Times New Roman" w:cs="Times New Roman" w:eastAsia="Times New Roman" w:hAnsi="Times New Roman"/>
                <w:sz w:val="20"/>
                <w:szCs w:val="20"/>
                <w:color w:val="B8BABC"/>
                <w:w w:val="99"/>
              </w:rPr>
              <w:t>. . . . . . . . . . . . . . . . . . . . . . . . . . .</w:t>
            </w:r>
          </w:p>
        </w:tc>
        <w:tc>
          <w:tcPr>
            <w:tcW w:w="160" w:type="dxa"/>
            <w:vAlign w:val="bottom"/>
          </w:tcPr>
          <w:p>
            <w:pPr>
              <w:spacing w:after="0"/>
              <w:rPr>
                <w:sz w:val="24"/>
                <w:szCs w:val="24"/>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w:t>
            </w:r>
          </w:p>
        </w:tc>
      </w:tr>
      <w:tr>
        <w:trPr>
          <w:trHeight w:val="303"/>
        </w:trPr>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reimbursements </w:t>
            </w:r>
            <w:r>
              <w:rPr>
                <w:rFonts w:ascii="Times New Roman" w:cs="Times New Roman" w:eastAsia="Times New Roman" w:hAnsi="Times New Roman"/>
                <w:sz w:val="20"/>
                <w:szCs w:val="20"/>
                <w:color w:val="B8BABC"/>
              </w:rPr>
              <w:t>. . . . . . . . . . . . . . .</w:t>
            </w:r>
          </w:p>
        </w:tc>
        <w:tc>
          <w:tcPr>
            <w:tcW w:w="160" w:type="dxa"/>
            <w:vAlign w:val="bottom"/>
            <w:tcBorders>
              <w:bottom w:val="single" w:sz="8" w:color="231F20"/>
            </w:tcBorders>
          </w:tcPr>
          <w:p>
            <w:pPr>
              <w:spacing w:after="0"/>
              <w:rPr>
                <w:sz w:val="24"/>
                <w:szCs w:val="24"/>
                <w:color w:val="auto"/>
              </w:rPr>
            </w:pPr>
          </w:p>
        </w:tc>
        <w:tc>
          <w:tcPr>
            <w:tcW w:w="3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w:t>
            </w:r>
          </w:p>
        </w:tc>
      </w:tr>
      <w:tr>
        <w:trPr>
          <w:trHeight w:val="260"/>
        </w:trPr>
        <w:tc>
          <w:tcPr>
            <w:tcW w:w="3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TOTAL REVENUES </w:t>
            </w:r>
            <w:r>
              <w:rPr>
                <w:rFonts w:ascii="Times New Roman" w:cs="Times New Roman" w:eastAsia="Times New Roman" w:hAnsi="Times New Roman"/>
                <w:sz w:val="20"/>
                <w:szCs w:val="20"/>
                <w:b w:val="1"/>
                <w:bCs w:val="1"/>
                <w:color w:val="B8BABC"/>
              </w:rPr>
              <w:t>. . . . . . . . . . .</w:t>
            </w: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213</w:t>
            </w:r>
          </w:p>
        </w:tc>
      </w:tr>
      <w:tr>
        <w:trPr>
          <w:trHeight w:val="20"/>
        </w:trPr>
        <w:tc>
          <w:tcPr>
            <w:tcW w:w="33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3180" w:type="dxa"/>
            <w:vAlign w:val="bottom"/>
            <w:tcBorders>
              <w:bottom w:val="single" w:sz="8" w:color="231F20"/>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Membership Programs, Products and Services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 xml:space="preserve">Exchange Products - </w:t>
      </w:r>
      <w:r>
        <w:rPr>
          <w:rFonts w:ascii="Times New Roman" w:cs="Times New Roman" w:eastAsia="Times New Roman" w:hAnsi="Times New Roman"/>
          <w:sz w:val="20"/>
          <w:szCs w:val="20"/>
          <w:b w:val="1"/>
          <w:bCs w:val="1"/>
          <w:i w:val="1"/>
          <w:iCs w:val="1"/>
          <w:color w:val="231F20"/>
        </w:rPr>
        <w:t>Interval Network</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Interval International’s principal membership program is the Interval Network, which is comprised of more than 3,200 affiliated resorts in over 90 countries and territories. The Interval Network allows its members to exchange their VOI for a stay at another resort destination or during a different time period, or another travel product. A membership in the Interval Network also provides a comprehensive package of value-added products and services to members. Generally, individuals are enrolled in the Interval Network at the point of sale by resort developers in connection with their purchase of VOIs. Members may also self-enroll when they purchase a VOI through resale or an owners’ association at a resort that participates in the Interval Network.</w:t>
      </w:r>
    </w:p>
    <w:p>
      <w:pPr>
        <w:spacing w:after="0" w:line="9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231F20"/>
        </w:rPr>
        <w:t>Additionally, Interval International has relationships with resort developers that incorporate the Interval Network membership fee into certain annual fees they charge to owners of VOIs at their resorts or vacation ownership clubs. As a result, membership in the Interval Network for those owners is automatically renewed through the term of the resort’s or club’s participation in the Interval Network, so long as the owners are in good standing with the applicable resort or vacation ownership club. We sometimes refer to these members as corporate members and other members as traditional members. As of December 31, 2025, approximately 40% of total Interval Network members were traditional members and approximately 60% were corporate members.</w:t>
      </w:r>
    </w:p>
    <w:p>
      <w:pPr>
        <w:spacing w:after="0" w:line="9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Members of the Interval Network are offered the ability to exchange points or usage rights in their VOI for accommodations generally of comparable trading value to those relinquished, based on factors including location, quality, seasonality, unit attributes and time of relinquishment prior to occupancy. Members also have the ability to exchange their VOI for a cruise vacation or hotel stay, which requires payment of an exchange transaction fee and a supplemental fee, which vary based on the cruise vacation or hotel stay selected and the VOI relinquished to the Interval Network.</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Getaways</w:t>
      </w:r>
    </w:p>
    <w:p>
      <w:pPr>
        <w:spacing w:after="0" w:line="1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We also offer additional vacation rental opportunities at attractive rates to members of the Interval Network, as well as to members of certain other membership programs provided by Interval International or through third-party membership programs. These opportunities are offered as “Getaways” and allow members to rent resort accommodations for a fee, plus applicable taxes. Resort accommodations available as Getaways consist of seasonal oversupply of vacation ownership accommodations within the Interval Network, as well as resort accommodations that are specifically sourced for use as Getaways.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Sales and Operational Support for Interval Network Resorts</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Interval International has established multi-year relationships with resort developers, including leading independent developers, as well as owners’ associations and our related branded vacation ownership programs, under affiliation agreements, which typically provide for continued resort participation in the Interval Network following the end of the agreement’s term. Resort developers promote membership in our exchange programs and related value-added services as an important benefit of owning a VOI.</w:t>
      </w:r>
    </w:p>
    <w:p>
      <w:pPr>
        <w:sectPr>
          <w:pgSz w:w="11880" w:h="15480" w:orient="portrait"/>
          <w:cols w:equalWidth="0" w:num="1">
            <w:col w:w="9720"/>
          </w:cols>
          <w:pgMar w:left="1080" w:top="831" w:right="108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9720"/>
          </w:cols>
          <w:pgMar w:left="1080" w:top="831" w:right="1080" w:bottom="0" w:gutter="0" w:footer="0" w:header="0"/>
          <w:type w:val="continuous"/>
        </w:sectPr>
      </w:pPr>
    </w:p>
    <w:bookmarkStart w:id="19" w:name="page20"/>
    <w:bookmarkEnd w:id="19"/>
    <w:p>
      <w:pPr>
        <w:ind w:right="140"/>
        <w:spacing w:after="0" w:line="256" w:lineRule="auto"/>
        <w:rPr>
          <w:sz w:val="20"/>
          <w:szCs w:val="20"/>
          <w:color w:val="auto"/>
        </w:rPr>
      </w:pPr>
      <w:r>
        <w:rPr>
          <w:rFonts w:ascii="Times New Roman" w:cs="Times New Roman" w:eastAsia="Times New Roman" w:hAnsi="Times New Roman"/>
          <w:sz w:val="20"/>
          <w:szCs w:val="20"/>
          <w:color w:val="231F20"/>
        </w:rPr>
        <w:t>Our business development personnel proactively seek to establish strong relationships with developers and owners’ associations, providing input on consumer preferences and industry trends based upon years of experience. We believe that we have established a strong reputation within the vacation ownership industry as being highly responsive to the needs of resort developers, owners’ associations, management companies and owners of VOIs. In addition, we sponsor, participate in and attend numerous industry conferences around the world to provide potential and existing industry participants with opportunities to network and learn more about vacation ownership.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Third-Party Management</w:t>
      </w:r>
    </w:p>
    <w:p>
      <w:pPr>
        <w:spacing w:after="0" w:line="13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231F20"/>
        </w:rPr>
        <w:t>We provide management services for hotels, condominium resorts, and other third-party vacation property owners through our Aqua-Aston business. Our services may include day-to-day operations of the properties, maintenance of the properties, preparation of reports and budgets, owners’ association administration, quality assurance and employee training. As of December 31, 2025, we provided third-party management services to 23 properties.</w:t>
      </w:r>
    </w:p>
    <w:p>
      <w:pPr>
        <w:spacing w:after="0" w:line="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231F20"/>
        </w:rPr>
        <w:t>Our Aqua-Aston business, which is concentrated in Hawaii, provides management and rental services for individual condominium owners, hotel owners, and owners’ associations. Generally, owners’ association management services, including administrative, fiscal and quality assurance services, are provided pursuant to exclusive agreements with terms typically ranging from one to fifteen years or more, many of which are automatically renewable. Revenue is derived principally from fees for management of the hotel, condominium resort, or owners’ association as well as related rental services. Management fees consist of a base management fee and, in some instances for hotels or condominium resorts, an incentive management fee which is generally a percentage of operating profits or improvement in operating profits. Service fee revenue is based on the services provided internally or through third-party providers to owners, including reservation, sales and marketing, property accounting and information technology services. We offer a variety of leisure accommodations to visitors from around the world through various consumer websites, including www.aquaaston.com, www.aquaresorts.com, www.mauicondo.com, and others.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CORPORATE AND OTHER</w:t>
      </w:r>
    </w:p>
    <w:p>
      <w:pPr>
        <w:spacing w:after="0" w:line="1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relating to owners’ associations consolidated under the relevant accounting guidance (“Consolidated Property Owners’ Associations”), which are not included in operating segment resource allocation decision-making.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Seasonality</w:t>
      </w:r>
    </w:p>
    <w:p>
      <w:pPr>
        <w:spacing w:after="0" w:line="13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Our revenue is influenced by the seasonal nature of travel. Within our Vacation Ownership segment, our sale of vacation ownership business experiences a modest impact from seasonality, with higher sales volumes during the traditional vacation periods. Business at properties in some locations may experience a greater impact from seasonality than those in other locations.</w:t>
      </w:r>
    </w:p>
    <w:p>
      <w:pPr>
        <w:spacing w:after="0" w:line="8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20"/>
          <w:szCs w:val="20"/>
          <w:color w:val="231F20"/>
        </w:rPr>
        <w:t>Within our Exchange &amp; Third-Party Management segment, we recognize exchange and non-refundable Getaways revenue based on confirmation of the vacation; revenue is generally higher in the first quarter and lower in the fourth quarter. Remaining rental revenue is recognized based on occupancy.</w:t>
      </w:r>
    </w:p>
    <w:p>
      <w:pPr>
        <w:spacing w:after="0" w:line="7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20"/>
          <w:szCs w:val="20"/>
          <w:color w:val="231F20"/>
        </w:rPr>
        <w:t>Refer to “Liquidity and Capital Resources” within Part I, Item 7. “Management’s Discussion and Analysis of Financial Condition and Results of Operations” for information regarding the seasonality of our cash flow.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13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231F20"/>
        </w:rPr>
        <w:t>Competition in the vacation ownership industry is driven primarily by the quality, number and location of vacation ownership resorts, the quality and capability of the related property management program, trust in the brand, pricing of product offerings, cost of ownership (e.g., ongoing maintenance and other fees) and the availability of program benefits, such as exchange programs and access to affiliated hotel networks. We believe that our focus on offering distinctive vacation experiences, combined with our financial strength, well-established and diverse market presence, strong brands, expertise and well-managed and maintained properties, will enable us to remain competitive. Vacation ownership is a vacation option that is positioned and sold as an attractive alternative to vacation rentals (such as hotels, resorts and condominium rentals) and second home ownership. The various segments within the vacation ownership industry can be differentiated by the quality level of the accommodations, range of services and ancillary offerings, and price. Our brands operate in the upper upscale and luxury tiers of the vacation ownership segment of the industry and the upper upscale and luxury tiers of the whole ownership segment (also referred to as the residential segment) of the industry.</w:t>
      </w:r>
    </w:p>
    <w:p>
      <w:pPr>
        <w:sectPr>
          <w:pgSz w:w="11880" w:h="15480" w:orient="portrait"/>
          <w:cols w:equalWidth="0" w:num="1">
            <w:col w:w="9720"/>
          </w:cols>
          <w:pgMar w:left="1080" w:top="838" w:right="1080" w:bottom="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9720"/>
          </w:cols>
          <w:pgMar w:left="1080" w:top="838" w:right="1080" w:bottom="0" w:gutter="0" w:footer="0" w:header="0"/>
          <w:type w:val="continuous"/>
        </w:sectPr>
      </w:pPr>
    </w:p>
    <w:bookmarkStart w:id="20" w:name="page21"/>
    <w:bookmarkEnd w:id="20"/>
    <w:p>
      <w:pPr>
        <w:ind w:right="100"/>
        <w:spacing w:after="0" w:line="254" w:lineRule="auto"/>
        <w:rPr>
          <w:sz w:val="20"/>
          <w:szCs w:val="20"/>
          <w:color w:val="auto"/>
        </w:rPr>
      </w:pPr>
      <w:r>
        <w:rPr>
          <w:rFonts w:ascii="Times New Roman" w:cs="Times New Roman" w:eastAsia="Times New Roman" w:hAnsi="Times New Roman"/>
          <w:sz w:val="20"/>
          <w:szCs w:val="20"/>
          <w:color w:val="231F20"/>
        </w:rPr>
        <w:t>Our competitors in the vacation ownership industry range from small vacation ownership companies to large branded hospitality companies that operate or license vacation ownership businesses. In North America, we typically compete with companies that sell upper upscale tier vacation ownership products under a lodging or entertainment brand umbrella, such as Hilton Grand Vacations Club and Disney Vacation Club, as well as numerous regional vacation ownership operators. In addition, the vacation ownership industry competes generally with other vacation rental options (such as hotels, resorts and condominium rentals) offered by the lodging industry as well as alternative lodging marketplaces such as Airbnb and VRBO, which offer rentals of homes and condominiums. Innovations that impact the industry may also lead to new products and services that could disrupt our business model and create new and stronger competitors.</w:t>
      </w:r>
    </w:p>
    <w:p>
      <w:pPr>
        <w:spacing w:after="0" w:line="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Outside North America, we operate vacation ownership resorts in two primary regions, Asia Pacific and Europe. In both regions, we are one of the largest lodging-branded vacation ownership companies operating in the upper upscale tier, with regional operators dominating the competitive landscape. Where possible, our vacation ownership properties in these regions are co-located with Marriott International branded hotels. In Asia Pacific, our owner base is derived primarily from the Asia Pacific region. In Europe, our owner base is derived primarily from the North America, Europe and Middle East regions.</w:t>
      </w:r>
    </w:p>
    <w:p>
      <w:pPr>
        <w:spacing w:after="0" w:line="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231F20"/>
        </w:rPr>
        <w:t>Recent and potential future consolidation in the vacation ownership industry may increase competition. Consolidation may create competitors that enjoy significant advantages resulting from, among other things, a lower cost of, and greater access to, capital and enhanced operating efficiencies.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Interval International exchange business principally competes for developer and consumer market share with Travel</w:t>
      </w:r>
    </w:p>
    <w:p>
      <w:pPr>
        <w:spacing w:after="0" w:line="15" w:lineRule="exact"/>
        <w:rPr>
          <w:sz w:val="20"/>
          <w:szCs w:val="20"/>
          <w:color w:val="auto"/>
        </w:rPr>
      </w:pPr>
    </w:p>
    <w:p>
      <w:pPr>
        <w:ind w:right="60"/>
        <w:spacing w:after="0" w:line="258" w:lineRule="auto"/>
        <w:tabs>
          <w:tab w:leader="none" w:pos="163" w:val="left"/>
        </w:tabs>
        <w:numPr>
          <w:ilvl w:val="0"/>
          <w:numId w:val="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Leisure Co.’s subsidiary, RCI. This business also faces increasing competition from points</w:t>
      </w:r>
      <w:r>
        <w:rPr>
          <w:rFonts w:ascii="Arial" w:cs="Arial" w:eastAsia="Arial" w:hAnsi="Arial"/>
          <w:sz w:val="20"/>
          <w:szCs w:val="20"/>
          <w:color w:val="231F20"/>
        </w:rPr>
        <w:t>-</w:t>
      </w:r>
      <w:r>
        <w:rPr>
          <w:rFonts w:ascii="Times New Roman" w:cs="Times New Roman" w:eastAsia="Times New Roman" w:hAnsi="Times New Roman"/>
          <w:sz w:val="20"/>
          <w:szCs w:val="20"/>
          <w:color w:val="231F20"/>
        </w:rPr>
        <w:t>based vacation clubs and large resort developers, which operate their own internal exchange systems to facilitate exchanges for owners of VOIs at their resorts as they increase in size and scope. Increased consolidation in the industry enhances this competition. In addition, vacation clubs and resort developers may have direct exchange relationships with other developers.</w:t>
      </w:r>
    </w:p>
    <w:p>
      <w:pPr>
        <w:spacing w:after="0" w:line="8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We believe that developers and owners’ associations generally choose to affiliate with an exchange network based on the quality of resorts participating in the network; the level of service provided to members; the range and level of support services; the flexibility of the exchange program; the demographics of the membership base; the costs for annual membership and exchanges; and the continuity of management and its strategic relationships within the industry.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Regulation</w:t>
      </w:r>
    </w:p>
    <w:p>
      <w:pPr>
        <w:spacing w:after="0" w:line="1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Our business is heavily regulated and the cost of compliance has a significant impact on our results of operations. We are subject to a wide variety of complex international, national, federal, state and local laws, regulations and policies in jurisdictions around the world. We have proactively worked with industry trade associations, including ARDA, to encourage the enactment of responsible consumer-protection legislation and state regulation that enhance the reputation and respectability of the overall vacation ownership industry. We believe that, over time, our vacation ownership products and services helped improve the public perception of the vacation ownership industry.</w:t>
      </w:r>
    </w:p>
    <w:p>
      <w:pPr>
        <w:spacing w:after="0" w:line="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Some laws, regulations and policies may impact multiple areas of our business, such as securities, anti-discrimination, anti-fraud, access for those with disabilities, data protection and security, artificial intelligence, anti-corruption and bribery laws and regulations or government economic sanctions, including applicable regulations of the Consumer Financial Protection Bureau (the “CFPB”), the U.S. Department of the Treasury’s Office of Foreign Asset Control and the U.S. Foreign Corrupt Practices Act (the “FCPA”). The FCPA and similar anti-corruption and bribery laws in other jurisdictions generally prohibit companies and their intermediaries from making improper payments to government officials for the purpose of obtaining or generating business. The collection, use and protection of personal data of our customers, as well as the sharing of our customer data with affiliates and third parties, are governed by privacy, security, and artificial intelligence laws and regulations enacted in the United States, individual states, and other jurisdictions around the world. Other laws, regulations and policies primarily affect one of five areas of our business: real estate development activities; marketing and sales activities; lending activities; resort management activities; and exchange and travel activities.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Real Estate Development Regulation</w:t>
      </w:r>
    </w:p>
    <w:p>
      <w:pPr>
        <w:spacing w:after="0" w:line="13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Our real estate development activities are regulated under a number of different timeshare, condominium and land sales disclosure statutes in many jurisdictions. We are generally subject to laws and regulations applicable to real estate development, subdivision, and construction activities, such as laws relating to zoning, land use restrictions, environmental regulation, accessibility, title transfers, title insurance, and taxation. In the United States, these include, with respect to some of our products, the Fair Housing Act and the Americans with Disabilities Act. In addition, we are</w:t>
      </w:r>
    </w:p>
    <w:p>
      <w:pPr>
        <w:sectPr>
          <w:pgSz w:w="11880" w:h="15480" w:orient="portrait"/>
          <w:cols w:equalWidth="0" w:num="1">
            <w:col w:w="9700"/>
          </w:cols>
          <w:pgMar w:left="1080" w:top="838" w:right="110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9700"/>
          </w:cols>
          <w:pgMar w:left="1080" w:top="838" w:right="1100" w:bottom="0" w:gutter="0" w:footer="0" w:header="0"/>
          <w:type w:val="continuous"/>
        </w:sectPr>
      </w:pPr>
    </w:p>
    <w:bookmarkStart w:id="21" w:name="page22"/>
    <w:bookmarkEnd w:id="21"/>
    <w:p>
      <w:pPr>
        <w:ind w:right="200"/>
        <w:spacing w:after="0" w:line="281" w:lineRule="auto"/>
        <w:rPr>
          <w:sz w:val="20"/>
          <w:szCs w:val="20"/>
          <w:color w:val="auto"/>
        </w:rPr>
      </w:pPr>
      <w:r>
        <w:rPr>
          <w:rFonts w:ascii="Times New Roman" w:cs="Times New Roman" w:eastAsia="Times New Roman" w:hAnsi="Times New Roman"/>
          <w:sz w:val="20"/>
          <w:szCs w:val="20"/>
          <w:color w:val="231F20"/>
        </w:rPr>
        <w:t>subject to laws in some jurisdictions that impose liability on property developers for construction defects discovered or repairs made by future owners of property developed by the developer.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Marketing and Sales Regulation</w:t>
      </w:r>
    </w:p>
    <w:p>
      <w:pPr>
        <w:spacing w:after="0" w:line="13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Our marketing and sales activities are closely regulated pursuant to laws and regulations enacted specifically for the vacation ownership and land sales industries, as well as a wide variety of laws and regulations that govern our marketing and sales activities in the jurisdictions in which we carry out such activities. These laws and regulations include the USA PATRIOT Act, Foreign Investment In Real Property Tax Act, the Federal Interstate Land Sales Full Disclosure Act and fair housing statutes, U.S. Federal Trade Commission (the “FTC”) and state “Little FTC Acts” and other laws and regulations governing unfair, deceptive or abusive acts or practices, including unfair or deceptive trade practices and unfair competition, state attorney general regulations, anti-fraud laws, anti-discrimination, prize, gift and sweepstakes laws, real estate, title agency or insurance, travel insurance and other licensing or registration laws and regulations, anti-money laundering, consumer information privacy and security, breach notification, information sharing and telemarketing laws, home solicitation sales laws, tour operator laws, lodging certificate and seller of travel laws, securities laws, and other consumer protection laws.</w:t>
      </w:r>
    </w:p>
    <w:p>
      <w:pPr>
        <w:spacing w:after="0" w:line="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Many jurisdictions, including those in the United States, Asia Pacific, Mexico, Europe, and Central America, require that we file detailed registration or offering statements with regulatory authorities disclosing certain information regarding the VOIs and other real estate interests we market and sell, such as information concerning the interests being offered, any projects, resorts or programs to which the interests relate, applicable condominium or vacation ownership plans, evidence of title, details regarding our business, the purchaser’s rights and obligations with respect to such interests, and a description of the manner in which we intend to offer and advertise such interests. Regulation outside the United States includes jurisdictions in which our clubs and resorts operate, such as the European Union, Singapore and Mexico, among others. Among other things, the European and Singaporean regulations: (1) require delivery of specified disclosure (some of which must be provided in a specific format or language) to purchasers; (2) require a specified “cooling off” rescission period after a purchase contract is signed; and (3) prohibit any advance payments during the “cooling off” rescission period.</w:t>
      </w:r>
    </w:p>
    <w:p>
      <w:pPr>
        <w:spacing w:after="0" w:line="9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231F20"/>
        </w:rPr>
        <w:t>We must obtain the approval of numerous governmental authorities for our marketing and sales activities. Changes in circumstances or applicable law may necessitate the application for or modification of existing approvals. Currently, we are permitted to market and sell vacation ownership products in all 50 states and the District of Columbia in the United States and numerous countries in North and South America, the Caribbean, Europe, Asia and the Middle East. Our Marriott Vacation Club Destinations, Australia points-based program is subject to regulation as a “managed investment scheme” by the Australian Securities &amp; Investments Commission. In some countries, our vacation ownership products are marketed by third-party brokers.</w:t>
      </w:r>
    </w:p>
    <w:p>
      <w:pPr>
        <w:spacing w:after="0" w:line="9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20"/>
          <w:szCs w:val="20"/>
          <w:color w:val="231F20"/>
        </w:rPr>
        <w:t>Laws in many jurisdictions in which we sell VOIs grant the purchaser of a VOI the right to cancel a purchase contract during a specified rescission period following the later of the date the contract was signed or the date the purchaser received the last of the documents we are required to provide.</w:t>
      </w:r>
    </w:p>
    <w:p>
      <w:pPr>
        <w:spacing w:after="0" w:line="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231F20"/>
        </w:rPr>
        <w:t>Many jurisdictions regulate telemarketing operations, including requiring adherence to the federal Telephone Consumer Protection Act and similar “do not call” legislation. These measures significantly increase the costs and reduce the efficiencies associated with telemarketing. While we continue to be subject to telemarketing risks and potential liability, we believe that our exposure to adverse effects from telemarketing legislation and enforcement is mitigated in some instances by the use of permission-based marketing, under which we obtain the permission of prospective purchasers to contact them in the future. We participate in various programs and follow certain procedures that we believe help reduce the possibility that we contact individuals who have requested to be placed on federal or state “do not call” lists, including subscribing to the federal and certain state “do not call” lists, and maintaining an internal “do not call” list.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Lending Regulation</w:t>
      </w:r>
    </w:p>
    <w:p>
      <w:pPr>
        <w:spacing w:after="0" w:line="134"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9"/>
          <w:szCs w:val="19"/>
          <w:color w:val="231F20"/>
        </w:rPr>
        <w:t>Our lending activities are subject to a number of laws and regulations, including those of applicable supervisory, regulatory and enforcement agencies such as, in the United States, the CFPB, the FTC, and the Financial Crimes Enforcement Network. These laws and regulations, some of which contain exceptions applicable to the timeshare industry or may not apply to some of our products, may include, among others, the Real Estate Settlement Procedures Act and Regulation X, the Truth In Lending Act and Regulation Z, the Federal Trade Commission Act, the Equal Credit Opportunity Act and Regulation B, the Fair Credit Reporting Act, the Fair Housing Act and implementing regulations, the Fair Debt Collection Practices Act, the Electronic Funds Transfer Act and Regulation E, unfair, deceptive or abusive acts or practices regulations and the Consumer Protection Act, the USA PATRIOT Act, the Right to Financial Privacy Act, the Gramm-Leach-Bliley Act, the Servicemembers Civil Relief Act and the Bank Secrecy Act. Our lending</w:t>
      </w:r>
    </w:p>
    <w:p>
      <w:pPr>
        <w:sectPr>
          <w:pgSz w:w="11880" w:h="15480" w:orient="portrait"/>
          <w:cols w:equalWidth="0" w:num="1">
            <w:col w:w="9720"/>
          </w:cols>
          <w:pgMar w:left="1080" w:top="838" w:right="1080" w:bottom="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9720"/>
          </w:cols>
          <w:pgMar w:left="1080" w:top="838" w:right="1080" w:bottom="0" w:gutter="0" w:footer="0" w:header="0"/>
          <w:type w:val="continuous"/>
        </w:sectPr>
      </w:pPr>
    </w:p>
    <w:bookmarkStart w:id="22" w:name="page23"/>
    <w:bookmarkEnd w:id="22"/>
    <w:p>
      <w:pPr>
        <w:spacing w:after="0" w:line="260" w:lineRule="auto"/>
        <w:rPr>
          <w:sz w:val="20"/>
          <w:szCs w:val="20"/>
          <w:color w:val="auto"/>
        </w:rPr>
      </w:pPr>
      <w:r>
        <w:rPr>
          <w:rFonts w:ascii="Times New Roman" w:cs="Times New Roman" w:eastAsia="Times New Roman" w:hAnsi="Times New Roman"/>
          <w:sz w:val="20"/>
          <w:szCs w:val="20"/>
          <w:color w:val="231F20"/>
        </w:rPr>
        <w:t>activities are also subject to the laws and regulations of other jurisdictions, including, among others, laws and regulations related to consumer loans, retail installment contracts, mortgage lending, usury, fair debt collection practices, consumer debt collection practices, mortgage disclosure, lender or mortgage loan originator licensing and registration and anti-money laundering.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Resort Management Regulation</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Our resort management activities are subject to laws and regulations regarding community association management, timeshare and condominium management (including real estate broker licensing), public lodging, food and beverage services (including liquor licensing), labor, employment, health care, health and safety, accessibility, anti-discrimination, immigration, gaming, certain communication devices, transient rentals, structural audits of improvements and reserve accounts associated with such improvements, and the environment (including climate change). In addition, many jurisdictions in which we manage our resorts have statutory provisions that limit the duration of the initial and renewal terms of our management agreements for owners’ associations or permit the owners’ association for a resort to terminate our management agreement under certain circumstances (for example, upon a super-majority vote of the owners), even if we are not in default under the agreement.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Exchange and Travel Regulations</w:t>
      </w:r>
    </w:p>
    <w:p>
      <w:pPr>
        <w:spacing w:after="0" w:line="134"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20"/>
          <w:szCs w:val="20"/>
          <w:color w:val="231F20"/>
        </w:rPr>
        <w:t>Many jurisdictions regulate businesses engaged in timeshare exchange activity, typically requiring annual filing of prescribed disclosures with regulatory agencies. Such disclosure must be provided to persons enrolling in a timeshare exchange program prior to completion of enrollment. The disclosure generally provides information on the terms and conditions of membership as well as audited key operating statistics of the exchange program.</w:t>
      </w:r>
    </w:p>
    <w:p>
      <w:pPr>
        <w:spacing w:after="0" w:line="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231F20"/>
        </w:rPr>
        <w:t>In connection with our exchange businesses, we also offer other travel-related products and services that are subject to regulation in certain jurisdictions, including requirements that we register as a “seller of travel” and comply with applicable bonding and disclosure requirements. Additionally, operation of our travel membership programs can trigger requirements that we register as a discount buying organization. Other products and services we offer (e.g., travel insurance) are subject to regulations imposed on our suppliers, and as a result we are subject to travel reseller requirements and licensing in certain jurisdictions.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Environmental Compliance and Awareness</w:t>
      </w:r>
    </w:p>
    <w:p>
      <w:pPr>
        <w:spacing w:after="0" w:line="13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231F20"/>
        </w:rPr>
        <w:t>Our property management and development activities are subject to national, state and local laws and regulations that govern the discharge of materials into the environment or otherwise relate to protecting the environment. These laws and regulations include requirements that address health and safety; the use, management and disposal of hazardous substances and wastes; and emission or discharge of wastes or other materials. We believe that our management and development of properties comply, in all material respects, with applicable environmental laws and regulations. Our compliance with such requirements has not had a material impact on our capital expenditures, earnings or competitive position, nor do we anticipate that such compliance will have a material impact in the future.</w:t>
      </w:r>
    </w:p>
    <w:p>
      <w:pPr>
        <w:spacing w:after="0" w:line="90"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231F20"/>
        </w:rPr>
        <w:t>We do not exercise complete control over all resorts and properties that we manage; rather, our control over these properties is generally limited by the terms of the applicable management agreements. As a result, our ability to achieve some or all of our corporate responsibility initiatives or goals may be limited without additional support or action by the owners of resorts and properties we manage.</w:t>
      </w:r>
    </w:p>
    <w:p>
      <w:pPr>
        <w:spacing w:after="0" w:line="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231F20"/>
        </w:rPr>
        <w:t>We take our commitment to protecting the environment seriously. In such work, we balance our role as stewards of the funds of the owners’ associations we manage and the role of steward of the environments where we do business. For example, we have collaborated with Audubon International to further the “greening” of our Marriott Vacation Club resorts in the U.S. through our initiatives such as the Audubon Green Leaf Eco-Rating Program for Hotels. We have more than 20 years of energy conservation experience that we have put to use in implementing our environmental strategy across each of our segments. This strategy includes further reducing energy and water consumption, expanding our portfolio of green resorts, educating and inspiring associates and guests to support the environment, and embracing innovation.</w:t>
      </w:r>
    </w:p>
    <w:p>
      <w:pPr>
        <w:sectPr>
          <w:pgSz w:w="11880" w:h="15480" w:orient="portrait"/>
          <w:cols w:equalWidth="0" w:num="1">
            <w:col w:w="9700"/>
          </w:cols>
          <w:pgMar w:left="1080" w:top="83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9700"/>
          </w:cols>
          <w:pgMar w:left="1080" w:top="838" w:right="110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231F20"/>
        </w:rPr>
        <w:t>Human Capital</w:t>
      </w:r>
    </w:p>
    <w:p>
      <w:pPr>
        <w:spacing w:after="0" w:line="137"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20"/>
          <w:szCs w:val="20"/>
          <w:color w:val="231F20"/>
        </w:rPr>
        <w:t>We believe that attracting, engaging, and retaining talented associates and cultivating their career development at our locations around the world helps us remain a leader in our industry. With that focus in mind, we implement programs and initiatives rooted in our Core Values: Caring Culture, Integrity First, Excellence Always, Customer Obsessed, and Better Together. Our approach is thoughtfully designed to attract, engage, and retain our associates and promote their career development by:</w:t>
      </w:r>
    </w:p>
    <w:p>
      <w:pPr>
        <w:spacing w:after="0" w:line="84" w:lineRule="exact"/>
        <w:rPr>
          <w:sz w:val="20"/>
          <w:szCs w:val="20"/>
          <w:color w:val="auto"/>
        </w:rPr>
      </w:pPr>
    </w:p>
    <w:p>
      <w:pPr>
        <w:ind w:left="540" w:hanging="360"/>
        <w:spacing w:after="0"/>
        <w:tabs>
          <w:tab w:leader="none" w:pos="54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offering competitive, fair, and transparent compensation and benefits;</w:t>
      </w:r>
    </w:p>
    <w:p>
      <w:pPr>
        <w:spacing w:after="0" w:line="70" w:lineRule="exact"/>
        <w:rPr>
          <w:rFonts w:ascii="Times New Roman" w:cs="Times New Roman" w:eastAsia="Times New Roman" w:hAnsi="Times New Roman"/>
          <w:sz w:val="20"/>
          <w:szCs w:val="20"/>
          <w:color w:val="231F20"/>
        </w:rPr>
      </w:pPr>
    </w:p>
    <w:p>
      <w:pPr>
        <w:ind w:left="540" w:hanging="360"/>
        <w:spacing w:after="0"/>
        <w:tabs>
          <w:tab w:leader="none" w:pos="54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supporting the overall well-being of our associates physically, mentally, and socially;</w:t>
      </w:r>
    </w:p>
    <w:p>
      <w:pPr>
        <w:spacing w:after="0" w:line="70" w:lineRule="exact"/>
        <w:rPr>
          <w:rFonts w:ascii="Times New Roman" w:cs="Times New Roman" w:eastAsia="Times New Roman" w:hAnsi="Times New Roman"/>
          <w:sz w:val="20"/>
          <w:szCs w:val="20"/>
          <w:color w:val="231F20"/>
        </w:rPr>
      </w:pPr>
    </w:p>
    <w:p>
      <w:pPr>
        <w:ind w:left="540" w:hanging="360"/>
        <w:spacing w:after="0"/>
        <w:tabs>
          <w:tab w:leader="none" w:pos="54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creating opportunities for associate growth, career development, recognition, training, and education; and</w:t>
      </w:r>
    </w:p>
    <w:p>
      <w:pPr>
        <w:spacing w:after="0" w:line="70" w:lineRule="exact"/>
        <w:rPr>
          <w:rFonts w:ascii="Times New Roman" w:cs="Times New Roman" w:eastAsia="Times New Roman" w:hAnsi="Times New Roman"/>
          <w:sz w:val="20"/>
          <w:szCs w:val="20"/>
          <w:color w:val="231F20"/>
        </w:rPr>
      </w:pPr>
    </w:p>
    <w:p>
      <w:pPr>
        <w:ind w:left="540" w:right="840" w:hanging="360"/>
        <w:spacing w:after="0" w:line="281" w:lineRule="auto"/>
        <w:tabs>
          <w:tab w:leader="none" w:pos="54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fostering an inclusive workplace that promotes equal opportunity employment, where all individuals are respected.</w:t>
      </w:r>
    </w:p>
    <w:p>
      <w:pPr>
        <w:spacing w:after="0" w:line="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In 2025, we were recognized as a Mercer Best Employer in five out of our six eligible countries (United States, United Kingdom, France, Mexico, and Spain) as part of Mercer’s robust assessment that identifies organizations that have transformed their people practices to drive better business results. As part of the Mercer Best Employers 2025 assessment, we conducted an associate survey that achieved a 92% response rate and an 81% overall engagement score, which demonstrated a strong level of overall associate engagement. The survey results identified several areas of strength, including a welcoming and positive company culture, strong and supportive supervisors, a focus on sustainability and taking care of the community, and a company-wide commitment to fostering a culture of inclusion. We believe that our distinction as a Mercer Best Employer and our strengths identified by current associates demonstrate the incredible care we have for each other and for the associate experience and will make us an employer of choice for potential future associates.</w:t>
      </w:r>
    </w:p>
    <w:p>
      <w:pPr>
        <w:spacing w:after="0" w:line="9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We believe the success of our commitment to our associates is reflected in our employee tenure, which is approximately eight years on a global basis, and recognition by Fortune of our Company in its ranking of the World’s Most Admired Companies for 2025, as well as our fifteenth place ranking in the hospitality industry in Newsweek’s list of “America’s Most Responsible Companies for 2025” and being named in Newsweek’s list of “America’s Greatest Workplaces for Inclusion and Diversity for 2025.”</w:t>
      </w:r>
    </w:p>
    <w:p>
      <w:pPr>
        <w:spacing w:after="0" w:line="84" w:lineRule="exact"/>
        <w:rPr>
          <w:sz w:val="20"/>
          <w:szCs w:val="20"/>
          <w:color w:val="auto"/>
        </w:rPr>
      </w:pPr>
    </w:p>
    <w:p>
      <w:pPr>
        <w:ind w:right="900"/>
        <w:spacing w:after="0" w:line="281" w:lineRule="auto"/>
        <w:rPr>
          <w:sz w:val="20"/>
          <w:szCs w:val="20"/>
          <w:color w:val="auto"/>
        </w:rPr>
      </w:pPr>
      <w:r>
        <w:rPr>
          <w:rFonts w:ascii="Times New Roman" w:cs="Times New Roman" w:eastAsia="Times New Roman" w:hAnsi="Times New Roman"/>
          <w:sz w:val="20"/>
          <w:szCs w:val="20"/>
          <w:color w:val="231F20"/>
        </w:rPr>
        <w:t>As of December 31, 2025, we had a global workforce consisting of approximately 21,100 associates, of which approximately 16,200 (77%) were based in the United States.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Inclusive Culture</w:t>
      </w:r>
    </w:p>
    <w:p>
      <w:pPr>
        <w:spacing w:after="0" w:line="13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231F20"/>
        </w:rPr>
        <w:t>Grounded in our culture of caring and collaboration, we strive to empower both our customers and our associates to live their most fulfilling lives. For example, we develop and offer programs like our Veterans Associate Network (VAN), which provides a supportive and empowering community for associates who currently serve or have served in the U.S. Armed Forces.</w:t>
      </w:r>
    </w:p>
    <w:p>
      <w:pPr>
        <w:spacing w:after="0" w:line="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231F20"/>
        </w:rPr>
        <w:t>We continue to receive positive feedback from our associates about our inclusive work environment, as our Inclusive Culture Index was the highest rated workplace topic on our 2025 annual associate engagement survey. In the survey, 88% of our associates reported positive perceptions when responding to questions about leaders’ support for inclusion, service to customers with diverse backgrounds, respect and well-being of all people as a Company priority, a work environment that is accepting of diverse backgrounds and ways of thinking, and a company culture in which persons of all backgrounds are encouraged to pursue their career aspirations. We believe that these results demonstrate the value of championing an inclusive culture.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Associate Development</w:t>
      </w:r>
    </w:p>
    <w:p>
      <w:pPr>
        <w:spacing w:after="0" w:line="13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0"/>
          <w:szCs w:val="20"/>
          <w:color w:val="231F20"/>
        </w:rPr>
        <w:t>We seek to support our associates with their growth and development by creating a work environment that embraces learning and provides opportunities for associate career development through training and education. Our functional training teams provide our associates with the skills they need to deliver exceptional experiences for our customers and our Global Talent Development team creates and deploys skill development programs and resources for our associates. Our various learning programs are one of the many features that make our Company a desirable place to start and cultivate a fulfilling career, with increased opportunities for growth.</w:t>
      </w:r>
    </w:p>
    <w:p>
      <w:pPr>
        <w:spacing w:after="0" w:line="8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231F20"/>
        </w:rPr>
        <w:t>Our Company also strives to provide leaders with the opportunity to develop their leadership skills and create a positive work environment for all associates. We offer leadership development programming that provides associates with tools, resources, and practices that we believe are important to becoming successful leaders and strengthening our diverse</w:t>
      </w:r>
    </w:p>
    <w:p>
      <w:pPr>
        <w:sectPr>
          <w:pgSz w:w="11880" w:h="15480" w:orient="portrait"/>
          <w:cols w:equalWidth="0" w:num="1">
            <w:col w:w="9720"/>
          </w:cols>
          <w:pgMar w:left="1080" w:top="831" w:right="108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9720"/>
          </w:cols>
          <w:pgMar w:left="1080" w:top="831" w:right="1080" w:bottom="0" w:gutter="0" w:footer="0" w:header="0"/>
          <w:type w:val="continuous"/>
        </w:sectPr>
      </w:pPr>
    </w:p>
    <w:bookmarkStart w:id="24" w:name="page25"/>
    <w:bookmarkEnd w:id="24"/>
    <w:p>
      <w:pPr>
        <w:ind w:right="100"/>
        <w:spacing w:after="0" w:line="260" w:lineRule="auto"/>
        <w:rPr>
          <w:sz w:val="20"/>
          <w:szCs w:val="20"/>
          <w:color w:val="auto"/>
        </w:rPr>
      </w:pPr>
      <w:r>
        <w:rPr>
          <w:rFonts w:ascii="Times New Roman" w:cs="Times New Roman" w:eastAsia="Times New Roman" w:hAnsi="Times New Roman"/>
          <w:sz w:val="20"/>
          <w:szCs w:val="20"/>
          <w:color w:val="231F20"/>
        </w:rPr>
        <w:t>talent pipeline. We believe that leaders have great influence over the development of associates; as such, we seek to equip leaders with the skills they need to support their associates. Our Company also offers tuition reimbursement to our associates, supporting them in achieving their future career aspirations. We believe these efforts help us continue to support current and future leaders.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Collective Bargaining Agreements</w:t>
      </w:r>
    </w:p>
    <w:p>
      <w:pPr>
        <w:spacing w:after="0" w:line="134"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20"/>
          <w:szCs w:val="20"/>
          <w:color w:val="231F20"/>
        </w:rPr>
        <w:t>We are party to collective bargaining agreements in the United States, Spain, and Mexico, primarily with regard to employees working in food service, laundry, and hospitality and tourism.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Human Rights</w:t>
      </w:r>
    </w:p>
    <w:p>
      <w:pPr>
        <w:spacing w:after="0" w:line="134" w:lineRule="exact"/>
        <w:rPr>
          <w:sz w:val="20"/>
          <w:szCs w:val="20"/>
          <w:color w:val="auto"/>
        </w:rPr>
      </w:pPr>
    </w:p>
    <w:p>
      <w:pPr>
        <w:jc w:val="both"/>
        <w:ind w:right="380"/>
        <w:spacing w:after="0" w:line="260" w:lineRule="auto"/>
        <w:rPr>
          <w:sz w:val="20"/>
          <w:szCs w:val="20"/>
          <w:color w:val="auto"/>
        </w:rPr>
      </w:pPr>
      <w:r>
        <w:rPr>
          <w:rFonts w:ascii="Times New Roman" w:cs="Times New Roman" w:eastAsia="Times New Roman" w:hAnsi="Times New Roman"/>
          <w:sz w:val="20"/>
          <w:szCs w:val="20"/>
          <w:color w:val="231F20"/>
        </w:rPr>
        <w:t>We maintain a Human Rights Policy that aligns with government, business, and public concerns about issues such as human trafficking and the exploitation of children. We support programs and partnerships that help at-risk youth and their families prepare for and find meaningful employment. Our Human Rights Policy is available on our website at www.marriottvacationsworldwide.com under the “Our Values” tab.</w:t>
      </w:r>
    </w:p>
    <w:p>
      <w:pPr>
        <w:spacing w:after="0" w:line="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We also have a human trafficking awareness training course that promotes our Human Rights Policy and core values. We recognize the risks associated with human trafficking in our properties and have implemented training for our property-based associates to be able to recognize and report suspected cases of human trafficking. Our training in the U.S., U.S. Virgin Islands, and Puerto Rico was developed based upon best practices established by federal law enforcement agencies.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13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Our investor relations website address is www.ir.marriottvacationsworldwide.com. Our Annual Reports on Form 10-K, Quarterly Reports on Form 10-Q, Current Reports on Form 8-K, proxy statements, and any and all amendments thereto are available free of charge through our investor relations website as soon as reasonably practicable after they are filed or furnished to the Securities and Exchange Commission (the “SEC”). These materials are also accessible on the SEC’s website at www.sec.gov.</w:t>
      </w:r>
    </w:p>
    <w:p>
      <w:pPr>
        <w:spacing w:after="0" w:line="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We also routinely post important information, including news releases, announcements and other statements about our business and results of operations, that may be deemed material to investors on our investor relations website. We use our website as a means of disclosing material, nonpublic information and for complying with our disclosure obligations under Regulation FD. Investors should monitor our investor relations website in addition to following our press releases, filings with the SEC, public conference calls and webcasts.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Information About Our Executive Officers</w:t>
      </w:r>
    </w:p>
    <w:p>
      <w:pPr>
        <w:spacing w:after="0" w:line="137"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20"/>
          <w:szCs w:val="20"/>
          <w:color w:val="231F20"/>
        </w:rPr>
        <w:t>Set forth below is certain information with respect to our executive officers. The information set forth below is as of February 27, 2026, except where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103505</wp:posOffset>
            </wp:positionV>
            <wp:extent cx="486410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4864100" cy="25400"/>
                    </a:xfrm>
                    <a:prstGeom prst="rect">
                      <a:avLst/>
                    </a:prstGeom>
                    <a:noFill/>
                  </pic:spPr>
                </pic:pic>
              </a:graphicData>
            </a:graphic>
          </wp:anchor>
        </w:drawing>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1620" w:type="dxa"/>
            <w:vAlign w:val="bottom"/>
            <w:tcBorders>
              <w:top w:val="single" w:sz="8" w:color="231F20"/>
              <w:left w:val="single" w:sz="8" w:color="231F20"/>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20"/>
                <w:szCs w:val="20"/>
                <w:b w:val="1"/>
                <w:bCs w:val="1"/>
                <w:color w:val="231F20"/>
              </w:rPr>
              <w:t>Name and Title</w:t>
            </w:r>
          </w:p>
        </w:tc>
        <w:tc>
          <w:tcPr>
            <w:tcW w:w="500" w:type="dxa"/>
            <w:vAlign w:val="bottom"/>
            <w:tcBorders>
              <w:top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Age</w:t>
            </w:r>
          </w:p>
        </w:tc>
        <w:tc>
          <w:tcPr>
            <w:tcW w:w="7620" w:type="dxa"/>
            <w:vAlign w:val="bottom"/>
            <w:tcBorders>
              <w:top w:val="single" w:sz="8" w:color="231F20"/>
              <w:bottom w:val="single" w:sz="8" w:color="231F20"/>
              <w:right w:val="single" w:sz="8" w:color="231F20"/>
            </w:tcBorders>
          </w:tcPr>
          <w:p>
            <w:pPr>
              <w:ind w:left="2920"/>
              <w:spacing w:after="0"/>
              <w:rPr>
                <w:sz w:val="20"/>
                <w:szCs w:val="20"/>
                <w:color w:val="auto"/>
              </w:rPr>
            </w:pPr>
            <w:r>
              <w:rPr>
                <w:rFonts w:ascii="Times New Roman" w:cs="Times New Roman" w:eastAsia="Times New Roman" w:hAnsi="Times New Roman"/>
                <w:sz w:val="20"/>
                <w:szCs w:val="20"/>
                <w:b w:val="1"/>
                <w:bCs w:val="1"/>
                <w:color w:val="231F20"/>
              </w:rPr>
              <w:t>Business Experience</w:t>
            </w:r>
          </w:p>
        </w:tc>
        <w:tc>
          <w:tcPr>
            <w:tcW w:w="0" w:type="dxa"/>
            <w:vAlign w:val="bottom"/>
          </w:tcPr>
          <w:p>
            <w:pPr>
              <w:spacing w:after="0"/>
              <w:rPr>
                <w:sz w:val="1"/>
                <w:szCs w:val="1"/>
                <w:color w:val="auto"/>
              </w:rPr>
            </w:pPr>
          </w:p>
        </w:tc>
      </w:tr>
      <w:tr>
        <w:trPr>
          <w:trHeight w:val="291"/>
        </w:trPr>
        <w:tc>
          <w:tcPr>
            <w:tcW w:w="1620" w:type="dxa"/>
            <w:vAlign w:val="bottom"/>
            <w:tcBorders>
              <w:left w:val="single" w:sz="8" w:color="231F20"/>
              <w:right w:val="single" w:sz="8" w:color="231F20"/>
            </w:tcBorders>
          </w:tcPr>
          <w:p>
            <w:pPr>
              <w:spacing w:after="0"/>
              <w:rPr>
                <w:sz w:val="24"/>
                <w:szCs w:val="24"/>
                <w:color w:val="auto"/>
              </w:rPr>
            </w:pPr>
          </w:p>
        </w:tc>
        <w:tc>
          <w:tcPr>
            <w:tcW w:w="500" w:type="dxa"/>
            <w:vAlign w:val="bottom"/>
            <w:tcBorders>
              <w:right w:val="single" w:sz="8" w:color="231F20"/>
            </w:tcBorders>
          </w:tcPr>
          <w:p>
            <w:pPr>
              <w:spacing w:after="0"/>
              <w:rPr>
                <w:sz w:val="24"/>
                <w:szCs w:val="24"/>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Matthew E. Avril was appointed as our Chief Executive Officer effective February 16, 2026.</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He previously served as our interim President and Chief Executive Officer from November</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10, 2025 until his appointment as Chief Executive Officer. Mr. Avril has been a member of</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our Board since March 2025. Mr. Avril was a self-employed consultant from March 2017 to</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November 2025. He previously served as Chief Executive Officer of Diamond Resorts</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International, Inc., a hospitality and vacation ownership company, from November 2016 to</w:t>
            </w:r>
          </w:p>
        </w:tc>
        <w:tc>
          <w:tcPr>
            <w:tcW w:w="0" w:type="dxa"/>
            <w:vAlign w:val="bottom"/>
          </w:tcPr>
          <w:p>
            <w:pPr>
              <w:spacing w:after="0"/>
              <w:rPr>
                <w:sz w:val="1"/>
                <w:szCs w:val="1"/>
                <w:color w:val="auto"/>
              </w:rPr>
            </w:pPr>
          </w:p>
        </w:tc>
      </w:tr>
      <w:tr>
        <w:trPr>
          <w:trHeight w:val="260"/>
        </w:trPr>
        <w:tc>
          <w:tcPr>
            <w:tcW w:w="1620" w:type="dxa"/>
            <w:vAlign w:val="bottom"/>
            <w:tcBorders>
              <w:left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Matthew E. Avril</w:t>
            </w:r>
          </w:p>
        </w:tc>
        <w:tc>
          <w:tcPr>
            <w:tcW w:w="500" w:type="dxa"/>
            <w:vAlign w:val="bottom"/>
            <w:tcBorders>
              <w:right w:val="single" w:sz="8" w:color="231F20"/>
            </w:tcBorders>
          </w:tcPr>
          <w:p>
            <w:pPr>
              <w:spacing w:after="0"/>
              <w:rPr>
                <w:sz w:val="22"/>
                <w:szCs w:val="22"/>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March 2017. Prior to that, Mr. Avril served as Chief Executive Officer-elect for Vistana</w:t>
            </w:r>
          </w:p>
        </w:tc>
        <w:tc>
          <w:tcPr>
            <w:tcW w:w="0" w:type="dxa"/>
            <w:vAlign w:val="bottom"/>
          </w:tcPr>
          <w:p>
            <w:pPr>
              <w:spacing w:after="0"/>
              <w:rPr>
                <w:sz w:val="1"/>
                <w:szCs w:val="1"/>
                <w:color w:val="auto"/>
              </w:rPr>
            </w:pPr>
          </w:p>
        </w:tc>
      </w:tr>
      <w:tr>
        <w:trPr>
          <w:trHeight w:val="220"/>
        </w:trPr>
        <w:tc>
          <w:tcPr>
            <w:tcW w:w="1620" w:type="dxa"/>
            <w:vAlign w:val="bottom"/>
            <w:tcBorders>
              <w:left w:val="single" w:sz="8" w:color="231F20"/>
              <w:right w:val="single" w:sz="8" w:color="231F20"/>
            </w:tcBorders>
            <w:vMerge w:val="restart"/>
          </w:tcPr>
          <w:p>
            <w:pPr>
              <w:ind w:left="60"/>
              <w:spacing w:after="0"/>
              <w:rPr>
                <w:sz w:val="20"/>
                <w:szCs w:val="20"/>
                <w:color w:val="auto"/>
              </w:rPr>
            </w:pPr>
            <w:r>
              <w:rPr>
                <w:rFonts w:ascii="Times New Roman" w:cs="Times New Roman" w:eastAsia="Times New Roman" w:hAnsi="Times New Roman"/>
                <w:sz w:val="20"/>
                <w:szCs w:val="20"/>
                <w:color w:val="231F20"/>
              </w:rPr>
              <w:t>Chief Executive</w:t>
            </w:r>
          </w:p>
        </w:tc>
        <w:tc>
          <w:tcPr>
            <w:tcW w:w="500" w:type="dxa"/>
            <w:vAlign w:val="bottom"/>
            <w:tcBorders>
              <w:right w:val="single" w:sz="8" w:color="231F20"/>
            </w:tcBorders>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65</w:t>
            </w:r>
          </w:p>
        </w:tc>
        <w:tc>
          <w:tcPr>
            <w:tcW w:w="7620" w:type="dxa"/>
            <w:vAlign w:val="bottom"/>
            <w:tcBorders>
              <w:right w:val="single" w:sz="8" w:color="231F20"/>
            </w:tcBorders>
          </w:tcPr>
          <w:p>
            <w:pPr>
              <w:ind w:left="40"/>
              <w:spacing w:after="0" w:line="220" w:lineRule="exact"/>
              <w:rPr>
                <w:sz w:val="20"/>
                <w:szCs w:val="20"/>
                <w:color w:val="auto"/>
              </w:rPr>
            </w:pPr>
            <w:r>
              <w:rPr>
                <w:rFonts w:ascii="Times New Roman" w:cs="Times New Roman" w:eastAsia="Times New Roman" w:hAnsi="Times New Roman"/>
                <w:sz w:val="20"/>
                <w:szCs w:val="20"/>
                <w:color w:val="231F20"/>
              </w:rPr>
              <w:t>Signature Experiences, Inc. (“Vistana”), a vacation ownership business, from February 2015</w:t>
            </w:r>
          </w:p>
        </w:tc>
        <w:tc>
          <w:tcPr>
            <w:tcW w:w="0" w:type="dxa"/>
            <w:vAlign w:val="bottom"/>
          </w:tcPr>
          <w:p>
            <w:pPr>
              <w:spacing w:after="0"/>
              <w:rPr>
                <w:sz w:val="1"/>
                <w:szCs w:val="1"/>
                <w:color w:val="auto"/>
              </w:rPr>
            </w:pPr>
          </w:p>
        </w:tc>
      </w:tr>
      <w:tr>
        <w:trPr>
          <w:trHeight w:val="200"/>
        </w:trPr>
        <w:tc>
          <w:tcPr>
            <w:tcW w:w="1620" w:type="dxa"/>
            <w:vAlign w:val="bottom"/>
            <w:tcBorders>
              <w:left w:val="single" w:sz="8" w:color="231F20"/>
              <w:right w:val="single" w:sz="8" w:color="231F20"/>
            </w:tcBorders>
            <w:vMerge w:val="continue"/>
          </w:tcPr>
          <w:p>
            <w:pPr>
              <w:spacing w:after="0"/>
              <w:rPr>
                <w:sz w:val="17"/>
                <w:szCs w:val="17"/>
                <w:color w:val="auto"/>
              </w:rPr>
            </w:pPr>
          </w:p>
        </w:tc>
        <w:tc>
          <w:tcPr>
            <w:tcW w:w="500" w:type="dxa"/>
            <w:vAlign w:val="bottom"/>
            <w:tcBorders>
              <w:right w:val="single" w:sz="8" w:color="231F20"/>
            </w:tcBorders>
            <w:vMerge w:val="continue"/>
          </w:tcPr>
          <w:p>
            <w:pPr>
              <w:spacing w:after="0"/>
              <w:rPr>
                <w:sz w:val="17"/>
                <w:szCs w:val="17"/>
                <w:color w:val="auto"/>
              </w:rPr>
            </w:pPr>
          </w:p>
        </w:tc>
        <w:tc>
          <w:tcPr>
            <w:tcW w:w="7620" w:type="dxa"/>
            <w:vAlign w:val="bottom"/>
            <w:tcBorders>
              <w:right w:val="single" w:sz="8" w:color="231F20"/>
            </w:tcBorders>
          </w:tcPr>
          <w:p>
            <w:pPr>
              <w:ind w:left="40"/>
              <w:spacing w:after="0" w:line="200" w:lineRule="exact"/>
              <w:rPr>
                <w:sz w:val="20"/>
                <w:szCs w:val="20"/>
                <w:color w:val="auto"/>
              </w:rPr>
            </w:pPr>
            <w:r>
              <w:rPr>
                <w:rFonts w:ascii="Times New Roman" w:cs="Times New Roman" w:eastAsia="Times New Roman" w:hAnsi="Times New Roman"/>
                <w:sz w:val="20"/>
                <w:szCs w:val="20"/>
                <w:color w:val="231F20"/>
              </w:rPr>
              <w:t>to May 2016, after his retirement as President, Hotel Group for Starwood Hotels &amp; Resorts</w:t>
            </w:r>
          </w:p>
        </w:tc>
        <w:tc>
          <w:tcPr>
            <w:tcW w:w="0" w:type="dxa"/>
            <w:vAlign w:val="bottom"/>
          </w:tcPr>
          <w:p>
            <w:pPr>
              <w:spacing w:after="0"/>
              <w:rPr>
                <w:sz w:val="1"/>
                <w:szCs w:val="1"/>
                <w:color w:val="auto"/>
              </w:rPr>
            </w:pPr>
          </w:p>
        </w:tc>
      </w:tr>
      <w:tr>
        <w:trPr>
          <w:trHeight w:val="280"/>
        </w:trPr>
        <w:tc>
          <w:tcPr>
            <w:tcW w:w="1620" w:type="dxa"/>
            <w:vAlign w:val="bottom"/>
            <w:tcBorders>
              <w:left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Officer</w:t>
            </w:r>
          </w:p>
        </w:tc>
        <w:tc>
          <w:tcPr>
            <w:tcW w:w="500" w:type="dxa"/>
            <w:vAlign w:val="bottom"/>
            <w:tcBorders>
              <w:right w:val="single" w:sz="8" w:color="231F20"/>
            </w:tcBorders>
          </w:tcPr>
          <w:p>
            <w:pPr>
              <w:spacing w:after="0"/>
              <w:rPr>
                <w:sz w:val="24"/>
                <w:szCs w:val="24"/>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Worldwide, Inc., a publicly traded hotel and leisure company (“Starwood”), a position he</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held from September 2008 to December 2012. Before that, from 2002 to 2008, he served in a</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number of executive leadership positions with Starwood, and from 1989 to 1998, held</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various senior leadership positions with Vistana including President and Managing Director</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of Operations. Mr. Avril previously served as a director and Chairman of the Board of</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Babcock &amp; Wilcox Enterprises, Inc., a public company focused on clean energy,</w:t>
            </w:r>
          </w:p>
        </w:tc>
        <w:tc>
          <w:tcPr>
            <w:tcW w:w="0" w:type="dxa"/>
            <w:vAlign w:val="bottom"/>
          </w:tcPr>
          <w:p>
            <w:pPr>
              <w:spacing w:after="0"/>
              <w:rPr>
                <w:sz w:val="1"/>
                <w:szCs w:val="1"/>
                <w:color w:val="auto"/>
              </w:rPr>
            </w:pPr>
          </w:p>
        </w:tc>
      </w:tr>
      <w:tr>
        <w:trPr>
          <w:trHeight w:val="260"/>
        </w:trPr>
        <w:tc>
          <w:tcPr>
            <w:tcW w:w="1620" w:type="dxa"/>
            <w:vAlign w:val="bottom"/>
            <w:tcBorders>
              <w:left w:val="single" w:sz="8" w:color="231F20"/>
              <w:right w:val="single" w:sz="8" w:color="231F20"/>
            </w:tcBorders>
          </w:tcPr>
          <w:p>
            <w:pPr>
              <w:spacing w:after="0"/>
              <w:rPr>
                <w:sz w:val="22"/>
                <w:szCs w:val="22"/>
                <w:color w:val="auto"/>
              </w:rPr>
            </w:pPr>
          </w:p>
        </w:tc>
        <w:tc>
          <w:tcPr>
            <w:tcW w:w="500" w:type="dxa"/>
            <w:vAlign w:val="bottom"/>
            <w:tcBorders>
              <w:right w:val="single" w:sz="8" w:color="231F20"/>
            </w:tcBorders>
          </w:tcPr>
          <w:p>
            <w:pPr>
              <w:spacing w:after="0"/>
              <w:rPr>
                <w:sz w:val="22"/>
                <w:szCs w:val="22"/>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environmental technologies, and industrial power generation, from 2018 to 2022.</w:t>
            </w:r>
          </w:p>
        </w:tc>
        <w:tc>
          <w:tcPr>
            <w:tcW w:w="0" w:type="dxa"/>
            <w:vAlign w:val="bottom"/>
          </w:tcPr>
          <w:p>
            <w:pPr>
              <w:spacing w:after="0"/>
              <w:rPr>
                <w:sz w:val="1"/>
                <w:szCs w:val="1"/>
                <w:color w:val="auto"/>
              </w:rPr>
            </w:pPr>
          </w:p>
        </w:tc>
      </w:tr>
      <w:tr>
        <w:trPr>
          <w:trHeight w:val="73"/>
        </w:trPr>
        <w:tc>
          <w:tcPr>
            <w:tcW w:w="1620" w:type="dxa"/>
            <w:vAlign w:val="bottom"/>
            <w:tcBorders>
              <w:left w:val="single" w:sz="8" w:color="231F20"/>
              <w:bottom w:val="single" w:sz="8" w:color="231F20"/>
              <w:right w:val="single" w:sz="8" w:color="231F20"/>
            </w:tcBorders>
          </w:tcPr>
          <w:p>
            <w:pPr>
              <w:spacing w:after="0"/>
              <w:rPr>
                <w:sz w:val="6"/>
                <w:szCs w:val="6"/>
                <w:color w:val="auto"/>
              </w:rPr>
            </w:pPr>
          </w:p>
        </w:tc>
        <w:tc>
          <w:tcPr>
            <w:tcW w:w="500" w:type="dxa"/>
            <w:vAlign w:val="bottom"/>
            <w:tcBorders>
              <w:bottom w:val="single" w:sz="8" w:color="231F20"/>
              <w:right w:val="single" w:sz="8" w:color="231F20"/>
            </w:tcBorders>
          </w:tcPr>
          <w:p>
            <w:pPr>
              <w:spacing w:after="0"/>
              <w:rPr>
                <w:sz w:val="6"/>
                <w:szCs w:val="6"/>
                <w:color w:val="auto"/>
              </w:rPr>
            </w:pPr>
          </w:p>
        </w:tc>
        <w:tc>
          <w:tcPr>
            <w:tcW w:w="762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-18415</wp:posOffset>
            </wp:positionV>
            <wp:extent cx="486410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4864100" cy="25400"/>
                    </a:xfrm>
                    <a:prstGeom prst="rect">
                      <a:avLst/>
                    </a:prstGeom>
                    <a:noFill/>
                  </pic:spPr>
                </pic:pic>
              </a:graphicData>
            </a:graphic>
          </wp:anchor>
        </w:drawing>
      </w:r>
    </w:p>
    <w:p>
      <w:pPr>
        <w:sectPr>
          <w:pgSz w:w="11880" w:h="15480" w:orient="portrait"/>
          <w:cols w:equalWidth="0" w:num="1">
            <w:col w:w="9740"/>
          </w:cols>
          <w:pgMar w:left="1080" w:top="83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9740"/>
          </w:cols>
          <w:pgMar w:left="1080" w:top="838" w:right="1060" w:bottom="0" w:gutter="0" w:footer="0" w:header="0"/>
          <w:type w:val="continuous"/>
        </w:sectPr>
      </w:pPr>
    </w:p>
    <w:bookmarkStart w:id="25" w:name="page26"/>
    <w:bookmarkEnd w:id="25"/>
    <w:tbl>
      <w:tblPr>
        <w:tblLayout w:type="fixed"/>
        <w:tblInd w:w="10" w:type="dxa"/>
        <w:tblCellMar>
          <w:top w:w="0" w:type="dxa"/>
          <w:left w:w="0" w:type="dxa"/>
          <w:bottom w:w="0" w:type="dxa"/>
          <w:right w:w="0" w:type="dxa"/>
        </w:tblCellMar>
      </w:tblPr>
      <w:tr>
        <w:trPr>
          <w:trHeight w:val="285"/>
        </w:trPr>
        <w:tc>
          <w:tcPr>
            <w:tcW w:w="1620" w:type="dxa"/>
            <w:vAlign w:val="bottom"/>
            <w:tcBorders>
              <w:top w:val="single" w:sz="8" w:color="231F20"/>
              <w:left w:val="single" w:sz="8" w:color="231F20"/>
              <w:bottom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20"/>
                <w:szCs w:val="20"/>
                <w:b w:val="1"/>
                <w:bCs w:val="1"/>
                <w:color w:val="231F20"/>
              </w:rPr>
              <w:t>Name and Title</w:t>
            </w:r>
          </w:p>
        </w:tc>
        <w:tc>
          <w:tcPr>
            <w:tcW w:w="500" w:type="dxa"/>
            <w:vAlign w:val="bottom"/>
            <w:tcBorders>
              <w:top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Age</w:t>
            </w:r>
          </w:p>
        </w:tc>
        <w:tc>
          <w:tcPr>
            <w:tcW w:w="7620" w:type="dxa"/>
            <w:vAlign w:val="bottom"/>
            <w:tcBorders>
              <w:top w:val="single" w:sz="8" w:color="231F20"/>
              <w:bottom w:val="single" w:sz="8" w:color="231F20"/>
              <w:right w:val="single" w:sz="8" w:color="231F20"/>
            </w:tcBorders>
          </w:tcPr>
          <w:p>
            <w:pPr>
              <w:ind w:left="2920"/>
              <w:spacing w:after="0"/>
              <w:rPr>
                <w:sz w:val="20"/>
                <w:szCs w:val="20"/>
                <w:color w:val="auto"/>
              </w:rPr>
            </w:pPr>
            <w:r>
              <w:rPr>
                <w:rFonts w:ascii="Times New Roman" w:cs="Times New Roman" w:eastAsia="Times New Roman" w:hAnsi="Times New Roman"/>
                <w:sz w:val="20"/>
                <w:szCs w:val="20"/>
                <w:b w:val="1"/>
                <w:bCs w:val="1"/>
                <w:color w:val="231F20"/>
              </w:rPr>
              <w:t>Business Experience</w:t>
            </w:r>
          </w:p>
        </w:tc>
        <w:tc>
          <w:tcPr>
            <w:tcW w:w="0" w:type="dxa"/>
            <w:vAlign w:val="bottom"/>
          </w:tcPr>
          <w:p>
            <w:pPr>
              <w:spacing w:after="0"/>
              <w:rPr>
                <w:sz w:val="1"/>
                <w:szCs w:val="1"/>
                <w:color w:val="auto"/>
              </w:rPr>
            </w:pPr>
          </w:p>
        </w:tc>
      </w:tr>
      <w:tr>
        <w:trPr>
          <w:trHeight w:val="291"/>
        </w:trPr>
        <w:tc>
          <w:tcPr>
            <w:tcW w:w="1620" w:type="dxa"/>
            <w:vAlign w:val="bottom"/>
            <w:tcBorders>
              <w:left w:val="single" w:sz="8" w:color="231F20"/>
              <w:right w:val="single" w:sz="8" w:color="231F20"/>
            </w:tcBorders>
          </w:tcPr>
          <w:p>
            <w:pPr>
              <w:spacing w:after="0"/>
              <w:rPr>
                <w:sz w:val="24"/>
                <w:szCs w:val="24"/>
                <w:color w:val="auto"/>
              </w:rPr>
            </w:pPr>
          </w:p>
        </w:tc>
        <w:tc>
          <w:tcPr>
            <w:tcW w:w="500" w:type="dxa"/>
            <w:vAlign w:val="bottom"/>
            <w:tcBorders>
              <w:right w:val="single" w:sz="8" w:color="231F20"/>
            </w:tcBorders>
          </w:tcPr>
          <w:p>
            <w:pPr>
              <w:spacing w:after="0"/>
              <w:rPr>
                <w:sz w:val="24"/>
                <w:szCs w:val="24"/>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Michael A. Flaskey was appointed as our President and Chief Operating Officer effective</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February 16, 2026. Mr. Flaskey served as Chief Executive Officer and a member of the</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Board of Directors of maritime hospitality company Hornblower Group from August 2024 to</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January 2026. Mr. Flaskey served as a Senior Advisor for McKinsey and Company, a private</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vMerge w:val="restart"/>
          </w:tcPr>
          <w:p>
            <w:pPr>
              <w:ind w:left="60"/>
              <w:spacing w:after="0"/>
              <w:rPr>
                <w:sz w:val="20"/>
                <w:szCs w:val="20"/>
                <w:color w:val="auto"/>
              </w:rPr>
            </w:pPr>
            <w:r>
              <w:rPr>
                <w:rFonts w:ascii="Times New Roman" w:cs="Times New Roman" w:eastAsia="Times New Roman" w:hAnsi="Times New Roman"/>
                <w:sz w:val="20"/>
                <w:szCs w:val="20"/>
                <w:color w:val="231F20"/>
              </w:rPr>
              <w:t>Michael A.</w:t>
            </w: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management consulting firm, between fall 2023 and August 2024. Between July 2021 and</w:t>
            </w:r>
          </w:p>
        </w:tc>
        <w:tc>
          <w:tcPr>
            <w:tcW w:w="0" w:type="dxa"/>
            <w:vAlign w:val="bottom"/>
          </w:tcPr>
          <w:p>
            <w:pPr>
              <w:spacing w:after="0"/>
              <w:rPr>
                <w:sz w:val="1"/>
                <w:szCs w:val="1"/>
                <w:color w:val="auto"/>
              </w:rPr>
            </w:pPr>
          </w:p>
        </w:tc>
      </w:tr>
      <w:tr>
        <w:trPr>
          <w:trHeight w:val="60"/>
        </w:trPr>
        <w:tc>
          <w:tcPr>
            <w:tcW w:w="1620" w:type="dxa"/>
            <w:vAlign w:val="bottom"/>
            <w:tcBorders>
              <w:left w:val="single" w:sz="8" w:color="231F20"/>
              <w:right w:val="single" w:sz="8" w:color="231F20"/>
            </w:tcBorders>
            <w:vMerge w:val="continue"/>
          </w:tcPr>
          <w:p>
            <w:pPr>
              <w:spacing w:after="0"/>
              <w:rPr>
                <w:sz w:val="5"/>
                <w:szCs w:val="5"/>
                <w:color w:val="auto"/>
              </w:rPr>
            </w:pPr>
          </w:p>
        </w:tc>
        <w:tc>
          <w:tcPr>
            <w:tcW w:w="500" w:type="dxa"/>
            <w:vAlign w:val="bottom"/>
            <w:tcBorders>
              <w:right w:val="single" w:sz="8" w:color="231F20"/>
            </w:tcBorders>
          </w:tcPr>
          <w:p>
            <w:pPr>
              <w:spacing w:after="0"/>
              <w:rPr>
                <w:sz w:val="5"/>
                <w:szCs w:val="5"/>
                <w:color w:val="auto"/>
              </w:rPr>
            </w:pPr>
          </w:p>
        </w:tc>
        <w:tc>
          <w:tcPr>
            <w:tcW w:w="762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20"/>
                <w:szCs w:val="20"/>
                <w:color w:val="231F20"/>
              </w:rPr>
              <w:t>July 2024, Mr. Flaskey was the Chief Executive Officer of Mike Flaskey Entertainment, a</w:t>
            </w:r>
          </w:p>
        </w:tc>
        <w:tc>
          <w:tcPr>
            <w:tcW w:w="0" w:type="dxa"/>
            <w:vAlign w:val="bottom"/>
          </w:tcPr>
          <w:p>
            <w:pPr>
              <w:spacing w:after="0"/>
              <w:rPr>
                <w:sz w:val="1"/>
                <w:szCs w:val="1"/>
                <w:color w:val="auto"/>
              </w:rPr>
            </w:pPr>
          </w:p>
        </w:tc>
      </w:tr>
      <w:tr>
        <w:trPr>
          <w:trHeight w:val="200"/>
        </w:trPr>
        <w:tc>
          <w:tcPr>
            <w:tcW w:w="1620" w:type="dxa"/>
            <w:vAlign w:val="bottom"/>
            <w:tcBorders>
              <w:left w:val="single" w:sz="8" w:color="231F20"/>
              <w:right w:val="single" w:sz="8" w:color="231F20"/>
            </w:tcBorders>
          </w:tcPr>
          <w:p>
            <w:pPr>
              <w:ind w:left="60"/>
              <w:spacing w:after="0" w:line="200" w:lineRule="exact"/>
              <w:rPr>
                <w:sz w:val="20"/>
                <w:szCs w:val="20"/>
                <w:color w:val="auto"/>
              </w:rPr>
            </w:pPr>
            <w:r>
              <w:rPr>
                <w:rFonts w:ascii="Times New Roman" w:cs="Times New Roman" w:eastAsia="Times New Roman" w:hAnsi="Times New Roman"/>
                <w:sz w:val="20"/>
                <w:szCs w:val="20"/>
                <w:color w:val="231F20"/>
              </w:rPr>
              <w:t>Flaskey</w:t>
            </w:r>
          </w:p>
        </w:tc>
        <w:tc>
          <w:tcPr>
            <w:tcW w:w="500" w:type="dxa"/>
            <w:vAlign w:val="bottom"/>
            <w:tcBorders>
              <w:right w:val="single" w:sz="8" w:color="231F20"/>
            </w:tcBorders>
          </w:tcPr>
          <w:p>
            <w:pPr>
              <w:spacing w:after="0"/>
              <w:rPr>
                <w:sz w:val="17"/>
                <w:szCs w:val="17"/>
                <w:color w:val="auto"/>
              </w:rPr>
            </w:pPr>
          </w:p>
        </w:tc>
        <w:tc>
          <w:tcPr>
            <w:tcW w:w="7620" w:type="dxa"/>
            <w:vAlign w:val="bottom"/>
            <w:tcBorders>
              <w:right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20" w:type="dxa"/>
            <w:vAlign w:val="bottom"/>
            <w:tcBorders>
              <w:left w:val="single" w:sz="8" w:color="231F20"/>
              <w:right w:val="single" w:sz="8" w:color="231F20"/>
            </w:tcBorders>
            <w:vMerge w:val="restart"/>
          </w:tcPr>
          <w:p>
            <w:pPr>
              <w:ind w:left="60"/>
              <w:spacing w:after="0"/>
              <w:rPr>
                <w:sz w:val="20"/>
                <w:szCs w:val="20"/>
                <w:color w:val="auto"/>
              </w:rPr>
            </w:pPr>
            <w:r>
              <w:rPr>
                <w:rFonts w:ascii="Times New Roman" w:cs="Times New Roman" w:eastAsia="Times New Roman" w:hAnsi="Times New Roman"/>
                <w:sz w:val="20"/>
                <w:szCs w:val="20"/>
                <w:color w:val="231F20"/>
              </w:rPr>
              <w:t>President and</w:t>
            </w:r>
          </w:p>
        </w:tc>
        <w:tc>
          <w:tcPr>
            <w:tcW w:w="50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58</w:t>
            </w:r>
          </w:p>
        </w:tc>
        <w:tc>
          <w:tcPr>
            <w:tcW w:w="7620" w:type="dxa"/>
            <w:vAlign w:val="bottom"/>
            <w:tcBorders>
              <w:right w:val="single" w:sz="8" w:color="231F20"/>
            </w:tcBorders>
          </w:tcPr>
          <w:p>
            <w:pPr>
              <w:ind w:left="40"/>
              <w:spacing w:after="0" w:line="220" w:lineRule="exact"/>
              <w:rPr>
                <w:sz w:val="20"/>
                <w:szCs w:val="20"/>
                <w:color w:val="auto"/>
              </w:rPr>
            </w:pPr>
            <w:r>
              <w:rPr>
                <w:rFonts w:ascii="Times New Roman" w:cs="Times New Roman" w:eastAsia="Times New Roman" w:hAnsi="Times New Roman"/>
                <w:sz w:val="20"/>
                <w:szCs w:val="20"/>
                <w:color w:val="231F20"/>
              </w:rPr>
              <w:t>private full-service sports, music and entertainment company, of which Mr. Flaskey is also</w:t>
            </w:r>
          </w:p>
        </w:tc>
        <w:tc>
          <w:tcPr>
            <w:tcW w:w="0" w:type="dxa"/>
            <w:vAlign w:val="bottom"/>
          </w:tcPr>
          <w:p>
            <w:pPr>
              <w:spacing w:after="0"/>
              <w:rPr>
                <w:sz w:val="1"/>
                <w:szCs w:val="1"/>
                <w:color w:val="auto"/>
              </w:rPr>
            </w:pPr>
          </w:p>
        </w:tc>
      </w:tr>
      <w:tr>
        <w:trPr>
          <w:trHeight w:val="200"/>
        </w:trPr>
        <w:tc>
          <w:tcPr>
            <w:tcW w:w="1620" w:type="dxa"/>
            <w:vAlign w:val="bottom"/>
            <w:tcBorders>
              <w:left w:val="single" w:sz="8" w:color="231F20"/>
              <w:right w:val="single" w:sz="8" w:color="231F20"/>
            </w:tcBorders>
            <w:vMerge w:val="continue"/>
          </w:tcPr>
          <w:p>
            <w:pPr>
              <w:spacing w:after="0"/>
              <w:rPr>
                <w:sz w:val="17"/>
                <w:szCs w:val="17"/>
                <w:color w:val="auto"/>
              </w:rPr>
            </w:pPr>
          </w:p>
        </w:tc>
        <w:tc>
          <w:tcPr>
            <w:tcW w:w="500" w:type="dxa"/>
            <w:vAlign w:val="bottom"/>
            <w:tcBorders>
              <w:right w:val="single" w:sz="8" w:color="231F20"/>
            </w:tcBorders>
            <w:vMerge w:val="continue"/>
          </w:tcPr>
          <w:p>
            <w:pPr>
              <w:spacing w:after="0"/>
              <w:rPr>
                <w:sz w:val="17"/>
                <w:szCs w:val="17"/>
                <w:color w:val="auto"/>
              </w:rPr>
            </w:pPr>
          </w:p>
        </w:tc>
        <w:tc>
          <w:tcPr>
            <w:tcW w:w="7620" w:type="dxa"/>
            <w:vAlign w:val="bottom"/>
            <w:tcBorders>
              <w:right w:val="single" w:sz="8" w:color="231F20"/>
            </w:tcBorders>
          </w:tcPr>
          <w:p>
            <w:pPr>
              <w:ind w:left="40"/>
              <w:spacing w:after="0" w:line="200" w:lineRule="exact"/>
              <w:rPr>
                <w:sz w:val="20"/>
                <w:szCs w:val="20"/>
                <w:color w:val="auto"/>
              </w:rPr>
            </w:pPr>
            <w:r>
              <w:rPr>
                <w:rFonts w:ascii="Times New Roman" w:cs="Times New Roman" w:eastAsia="Times New Roman" w:hAnsi="Times New Roman"/>
                <w:sz w:val="20"/>
                <w:szCs w:val="20"/>
                <w:color w:val="231F20"/>
              </w:rPr>
              <w:t>the founder and Chairman. Prior to that, he spent more than a decade at Diamond Resorts</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Chief Operating</w:t>
            </w: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International, including serving as Chief Executive Officer from 2017 to 2021, where he led</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Officer</w:t>
            </w: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20"/>
                <w:szCs w:val="20"/>
                <w:color w:val="231F20"/>
              </w:rPr>
              <w:t>the sale of the company to Hilton Grand Vacations. Earlier in his career, Mr. Flaskey held</w:t>
            </w:r>
          </w:p>
        </w:tc>
        <w:tc>
          <w:tcPr>
            <w:tcW w:w="0" w:type="dxa"/>
            <w:vAlign w:val="bottom"/>
          </w:tcPr>
          <w:p>
            <w:pPr>
              <w:spacing w:after="0"/>
              <w:rPr>
                <w:sz w:val="1"/>
                <w:szCs w:val="1"/>
                <w:color w:val="auto"/>
              </w:rPr>
            </w:pPr>
          </w:p>
        </w:tc>
      </w:tr>
      <w:tr>
        <w:trPr>
          <w:trHeight w:val="40"/>
        </w:trPr>
        <w:tc>
          <w:tcPr>
            <w:tcW w:w="1620" w:type="dxa"/>
            <w:vAlign w:val="bottom"/>
            <w:tcBorders>
              <w:left w:val="single" w:sz="8" w:color="231F20"/>
              <w:right w:val="single" w:sz="8" w:color="231F20"/>
            </w:tcBorders>
          </w:tcPr>
          <w:p>
            <w:pPr>
              <w:spacing w:after="0"/>
              <w:rPr>
                <w:sz w:val="3"/>
                <w:szCs w:val="3"/>
                <w:color w:val="auto"/>
              </w:rPr>
            </w:pPr>
          </w:p>
        </w:tc>
        <w:tc>
          <w:tcPr>
            <w:tcW w:w="500" w:type="dxa"/>
            <w:vAlign w:val="bottom"/>
            <w:tcBorders>
              <w:right w:val="single" w:sz="8" w:color="231F20"/>
            </w:tcBorders>
          </w:tcPr>
          <w:p>
            <w:pPr>
              <w:spacing w:after="0"/>
              <w:rPr>
                <w:sz w:val="3"/>
                <w:szCs w:val="3"/>
                <w:color w:val="auto"/>
              </w:rPr>
            </w:pPr>
          </w:p>
        </w:tc>
        <w:tc>
          <w:tcPr>
            <w:tcW w:w="7620" w:type="dxa"/>
            <w:vAlign w:val="bottom"/>
            <w:tcBorders>
              <w:right w:val="single" w:sz="8" w:color="231F20"/>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senior executive leadership roles with Starwood Vacation Ownership and Fairfield Resorts</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(now Wyndham Vacation Ownership, the vacation ownership business segment of Travel +</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Leisure Co.), where he developed deep expertise across brand, sales, marketing, operations</w:t>
            </w:r>
          </w:p>
        </w:tc>
        <w:tc>
          <w:tcPr>
            <w:tcW w:w="0" w:type="dxa"/>
            <w:vAlign w:val="bottom"/>
          </w:tcPr>
          <w:p>
            <w:pPr>
              <w:spacing w:after="0"/>
              <w:rPr>
                <w:sz w:val="1"/>
                <w:szCs w:val="1"/>
                <w:color w:val="auto"/>
              </w:rPr>
            </w:pPr>
          </w:p>
        </w:tc>
      </w:tr>
      <w:tr>
        <w:trPr>
          <w:trHeight w:val="260"/>
        </w:trPr>
        <w:tc>
          <w:tcPr>
            <w:tcW w:w="1620" w:type="dxa"/>
            <w:vAlign w:val="bottom"/>
            <w:tcBorders>
              <w:left w:val="single" w:sz="8" w:color="231F20"/>
              <w:right w:val="single" w:sz="8" w:color="231F20"/>
            </w:tcBorders>
          </w:tcPr>
          <w:p>
            <w:pPr>
              <w:spacing w:after="0"/>
              <w:rPr>
                <w:sz w:val="22"/>
                <w:szCs w:val="22"/>
                <w:color w:val="auto"/>
              </w:rPr>
            </w:pPr>
          </w:p>
        </w:tc>
        <w:tc>
          <w:tcPr>
            <w:tcW w:w="500" w:type="dxa"/>
            <w:vAlign w:val="bottom"/>
            <w:tcBorders>
              <w:right w:val="single" w:sz="8" w:color="231F20"/>
            </w:tcBorders>
          </w:tcPr>
          <w:p>
            <w:pPr>
              <w:spacing w:after="0"/>
              <w:rPr>
                <w:sz w:val="22"/>
                <w:szCs w:val="22"/>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and resort management functions.</w:t>
            </w:r>
          </w:p>
        </w:tc>
        <w:tc>
          <w:tcPr>
            <w:tcW w:w="0" w:type="dxa"/>
            <w:vAlign w:val="bottom"/>
          </w:tcPr>
          <w:p>
            <w:pPr>
              <w:spacing w:after="0"/>
              <w:rPr>
                <w:sz w:val="1"/>
                <w:szCs w:val="1"/>
                <w:color w:val="auto"/>
              </w:rPr>
            </w:pPr>
          </w:p>
        </w:tc>
      </w:tr>
      <w:tr>
        <w:trPr>
          <w:trHeight w:val="73"/>
        </w:trPr>
        <w:tc>
          <w:tcPr>
            <w:tcW w:w="1620" w:type="dxa"/>
            <w:vAlign w:val="bottom"/>
            <w:tcBorders>
              <w:left w:val="single" w:sz="8" w:color="231F20"/>
              <w:bottom w:val="single" w:sz="8" w:color="231F20"/>
              <w:right w:val="single" w:sz="8" w:color="231F20"/>
            </w:tcBorders>
          </w:tcPr>
          <w:p>
            <w:pPr>
              <w:spacing w:after="0"/>
              <w:rPr>
                <w:sz w:val="6"/>
                <w:szCs w:val="6"/>
                <w:color w:val="auto"/>
              </w:rPr>
            </w:pPr>
          </w:p>
        </w:tc>
        <w:tc>
          <w:tcPr>
            <w:tcW w:w="500" w:type="dxa"/>
            <w:vAlign w:val="bottom"/>
            <w:tcBorders>
              <w:bottom w:val="single" w:sz="8" w:color="231F20"/>
              <w:right w:val="single" w:sz="8" w:color="231F20"/>
            </w:tcBorders>
          </w:tcPr>
          <w:p>
            <w:pPr>
              <w:spacing w:after="0"/>
              <w:rPr>
                <w:sz w:val="6"/>
                <w:szCs w:val="6"/>
                <w:color w:val="auto"/>
              </w:rPr>
            </w:pPr>
          </w:p>
        </w:tc>
        <w:tc>
          <w:tcPr>
            <w:tcW w:w="762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351"/>
        </w:trPr>
        <w:tc>
          <w:tcPr>
            <w:tcW w:w="1620" w:type="dxa"/>
            <w:vAlign w:val="bottom"/>
            <w:tcBorders>
              <w:left w:val="single" w:sz="8" w:color="231F20"/>
              <w:right w:val="single" w:sz="8" w:color="231F20"/>
            </w:tcBorders>
          </w:tcPr>
          <w:p>
            <w:pPr>
              <w:spacing w:after="0"/>
              <w:rPr>
                <w:sz w:val="24"/>
                <w:szCs w:val="24"/>
                <w:color w:val="auto"/>
              </w:rPr>
            </w:pPr>
          </w:p>
        </w:tc>
        <w:tc>
          <w:tcPr>
            <w:tcW w:w="500" w:type="dxa"/>
            <w:vAlign w:val="bottom"/>
            <w:tcBorders>
              <w:right w:val="single" w:sz="8" w:color="231F20"/>
            </w:tcBorders>
          </w:tcPr>
          <w:p>
            <w:pPr>
              <w:spacing w:after="0"/>
              <w:rPr>
                <w:sz w:val="24"/>
                <w:szCs w:val="24"/>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Jason P. Marino has served as our Executive Vice President and Chief Financial Officer since</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September 30, 2023. Mr. Marino served as Senior Vice President, Strategy, Financial</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Jason P. Marino</w:t>
            </w: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Planning &amp; Analysis (“FP&amp;A”) and Operational Finance - Vacation Ownership for the</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vMerge w:val="restart"/>
          </w:tcPr>
          <w:p>
            <w:pPr>
              <w:ind w:left="60"/>
              <w:spacing w:after="0"/>
              <w:rPr>
                <w:sz w:val="20"/>
                <w:szCs w:val="20"/>
                <w:color w:val="auto"/>
              </w:rPr>
            </w:pPr>
            <w:r>
              <w:rPr>
                <w:rFonts w:ascii="Times New Roman" w:cs="Times New Roman" w:eastAsia="Times New Roman" w:hAnsi="Times New Roman"/>
                <w:sz w:val="20"/>
                <w:szCs w:val="20"/>
                <w:color w:val="231F20"/>
              </w:rPr>
              <w:t>Executive Vice</w:t>
            </w: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Company from December 2021 to September 2023. He served as the Company’s Senior Vice</w:t>
            </w:r>
          </w:p>
        </w:tc>
        <w:tc>
          <w:tcPr>
            <w:tcW w:w="0" w:type="dxa"/>
            <w:vAlign w:val="bottom"/>
          </w:tcPr>
          <w:p>
            <w:pPr>
              <w:spacing w:after="0"/>
              <w:rPr>
                <w:sz w:val="1"/>
                <w:szCs w:val="1"/>
                <w:color w:val="auto"/>
              </w:rPr>
            </w:pPr>
          </w:p>
        </w:tc>
      </w:tr>
      <w:tr>
        <w:trPr>
          <w:trHeight w:val="60"/>
        </w:trPr>
        <w:tc>
          <w:tcPr>
            <w:tcW w:w="1620" w:type="dxa"/>
            <w:vAlign w:val="bottom"/>
            <w:tcBorders>
              <w:left w:val="single" w:sz="8" w:color="231F20"/>
              <w:right w:val="single" w:sz="8" w:color="231F20"/>
            </w:tcBorders>
            <w:vMerge w:val="continue"/>
          </w:tcPr>
          <w:p>
            <w:pPr>
              <w:spacing w:after="0"/>
              <w:rPr>
                <w:sz w:val="5"/>
                <w:szCs w:val="5"/>
                <w:color w:val="auto"/>
              </w:rPr>
            </w:pPr>
          </w:p>
        </w:tc>
        <w:tc>
          <w:tcPr>
            <w:tcW w:w="50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50</w:t>
            </w:r>
          </w:p>
        </w:tc>
        <w:tc>
          <w:tcPr>
            <w:tcW w:w="762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20"/>
                <w:szCs w:val="20"/>
                <w:color w:val="231F20"/>
              </w:rPr>
              <w:t>President of Strategy and FP&amp;A from June 2019 to December 2021 and Vice President -</w:t>
            </w:r>
          </w:p>
        </w:tc>
        <w:tc>
          <w:tcPr>
            <w:tcW w:w="0" w:type="dxa"/>
            <w:vAlign w:val="bottom"/>
          </w:tcPr>
          <w:p>
            <w:pPr>
              <w:spacing w:after="0"/>
              <w:rPr>
                <w:sz w:val="1"/>
                <w:szCs w:val="1"/>
                <w:color w:val="auto"/>
              </w:rPr>
            </w:pPr>
          </w:p>
        </w:tc>
      </w:tr>
      <w:tr>
        <w:trPr>
          <w:trHeight w:val="200"/>
        </w:trPr>
        <w:tc>
          <w:tcPr>
            <w:tcW w:w="1620" w:type="dxa"/>
            <w:vAlign w:val="bottom"/>
            <w:tcBorders>
              <w:left w:val="single" w:sz="8" w:color="231F20"/>
              <w:right w:val="single" w:sz="8" w:color="231F20"/>
            </w:tcBorders>
          </w:tcPr>
          <w:p>
            <w:pPr>
              <w:ind w:left="60"/>
              <w:spacing w:after="0" w:line="200" w:lineRule="exact"/>
              <w:rPr>
                <w:sz w:val="20"/>
                <w:szCs w:val="20"/>
                <w:color w:val="auto"/>
              </w:rPr>
            </w:pPr>
            <w:r>
              <w:rPr>
                <w:rFonts w:ascii="Times New Roman" w:cs="Times New Roman" w:eastAsia="Times New Roman" w:hAnsi="Times New Roman"/>
                <w:sz w:val="20"/>
                <w:szCs w:val="20"/>
                <w:color w:val="231F20"/>
              </w:rPr>
              <w:t>President and</w:t>
            </w:r>
          </w:p>
        </w:tc>
        <w:tc>
          <w:tcPr>
            <w:tcW w:w="500" w:type="dxa"/>
            <w:vAlign w:val="bottom"/>
            <w:tcBorders>
              <w:right w:val="single" w:sz="8" w:color="231F20"/>
            </w:tcBorders>
            <w:vMerge w:val="continue"/>
          </w:tcPr>
          <w:p>
            <w:pPr>
              <w:spacing w:after="0"/>
              <w:rPr>
                <w:sz w:val="17"/>
                <w:szCs w:val="17"/>
                <w:color w:val="auto"/>
              </w:rPr>
            </w:pPr>
          </w:p>
        </w:tc>
        <w:tc>
          <w:tcPr>
            <w:tcW w:w="7620" w:type="dxa"/>
            <w:vAlign w:val="bottom"/>
            <w:tcBorders>
              <w:right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20" w:type="dxa"/>
            <w:vAlign w:val="bottom"/>
            <w:tcBorders>
              <w:left w:val="single" w:sz="8" w:color="231F20"/>
              <w:right w:val="single" w:sz="8" w:color="231F20"/>
            </w:tcBorders>
          </w:tcPr>
          <w:p>
            <w:pPr>
              <w:ind w:left="60"/>
              <w:spacing w:after="0" w:line="200" w:lineRule="exact"/>
              <w:rPr>
                <w:sz w:val="20"/>
                <w:szCs w:val="20"/>
                <w:color w:val="auto"/>
              </w:rPr>
            </w:pPr>
            <w:r>
              <w:rPr>
                <w:rFonts w:ascii="Times New Roman" w:cs="Times New Roman" w:eastAsia="Times New Roman" w:hAnsi="Times New Roman"/>
                <w:sz w:val="20"/>
                <w:szCs w:val="20"/>
                <w:color w:val="231F20"/>
              </w:rPr>
              <w:t>Chief Financial</w:t>
            </w:r>
          </w:p>
        </w:tc>
        <w:tc>
          <w:tcPr>
            <w:tcW w:w="500" w:type="dxa"/>
            <w:vAlign w:val="bottom"/>
            <w:tcBorders>
              <w:right w:val="single" w:sz="8" w:color="231F20"/>
            </w:tcBorders>
          </w:tcPr>
          <w:p>
            <w:pPr>
              <w:spacing w:after="0"/>
              <w:rPr>
                <w:sz w:val="17"/>
                <w:szCs w:val="17"/>
                <w:color w:val="auto"/>
              </w:rPr>
            </w:pPr>
          </w:p>
        </w:tc>
        <w:tc>
          <w:tcPr>
            <w:tcW w:w="7620" w:type="dxa"/>
            <w:vAlign w:val="bottom"/>
            <w:tcBorders>
              <w:right w:val="single" w:sz="8" w:color="231F20"/>
            </w:tcBorders>
          </w:tcPr>
          <w:p>
            <w:pPr>
              <w:ind w:left="40"/>
              <w:spacing w:after="0" w:line="200" w:lineRule="exact"/>
              <w:rPr>
                <w:sz w:val="20"/>
                <w:szCs w:val="20"/>
                <w:color w:val="auto"/>
              </w:rPr>
            </w:pPr>
            <w:r>
              <w:rPr>
                <w:rFonts w:ascii="Times New Roman" w:cs="Times New Roman" w:eastAsia="Times New Roman" w:hAnsi="Times New Roman"/>
                <w:sz w:val="20"/>
                <w:szCs w:val="20"/>
                <w:color w:val="231F20"/>
              </w:rPr>
              <w:t>Corporate Finance from May 2014 to June 2019. Prior to joining the Company in 2014, Mr.</w:t>
            </w:r>
          </w:p>
        </w:tc>
        <w:tc>
          <w:tcPr>
            <w:tcW w:w="0" w:type="dxa"/>
            <w:vAlign w:val="bottom"/>
          </w:tcPr>
          <w:p>
            <w:pPr>
              <w:spacing w:after="0"/>
              <w:rPr>
                <w:sz w:val="1"/>
                <w:szCs w:val="1"/>
                <w:color w:val="auto"/>
              </w:rPr>
            </w:pPr>
          </w:p>
        </w:tc>
      </w:tr>
      <w:tr>
        <w:trPr>
          <w:trHeight w:val="260"/>
        </w:trPr>
        <w:tc>
          <w:tcPr>
            <w:tcW w:w="1620" w:type="dxa"/>
            <w:vAlign w:val="bottom"/>
            <w:tcBorders>
              <w:left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Officer</w:t>
            </w:r>
          </w:p>
        </w:tc>
        <w:tc>
          <w:tcPr>
            <w:tcW w:w="500" w:type="dxa"/>
            <w:vAlign w:val="bottom"/>
            <w:tcBorders>
              <w:right w:val="single" w:sz="8" w:color="231F20"/>
            </w:tcBorders>
          </w:tcPr>
          <w:p>
            <w:pPr>
              <w:spacing w:after="0"/>
              <w:rPr>
                <w:sz w:val="22"/>
                <w:szCs w:val="22"/>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Marino worked at Cantor Commercial Real Estate, L.P. and in the investment banking</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spacing w:after="0"/>
              <w:rPr>
                <w:sz w:val="20"/>
                <w:szCs w:val="20"/>
                <w:color w:val="auto"/>
              </w:rPr>
            </w:pP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divisions of Cantor Fitzgerald, Credit Suisse Securities (USA) LLC and Bear, Stearns &amp; Co.</w:t>
            </w:r>
          </w:p>
        </w:tc>
        <w:tc>
          <w:tcPr>
            <w:tcW w:w="0" w:type="dxa"/>
            <w:vAlign w:val="bottom"/>
          </w:tcPr>
          <w:p>
            <w:pPr>
              <w:spacing w:after="0"/>
              <w:rPr>
                <w:sz w:val="1"/>
                <w:szCs w:val="1"/>
                <w:color w:val="auto"/>
              </w:rPr>
            </w:pPr>
          </w:p>
        </w:tc>
      </w:tr>
      <w:tr>
        <w:trPr>
          <w:trHeight w:val="260"/>
        </w:trPr>
        <w:tc>
          <w:tcPr>
            <w:tcW w:w="1620" w:type="dxa"/>
            <w:vAlign w:val="bottom"/>
            <w:tcBorders>
              <w:left w:val="single" w:sz="8" w:color="231F20"/>
              <w:right w:val="single" w:sz="8" w:color="231F20"/>
            </w:tcBorders>
          </w:tcPr>
          <w:p>
            <w:pPr>
              <w:spacing w:after="0"/>
              <w:rPr>
                <w:sz w:val="22"/>
                <w:szCs w:val="22"/>
                <w:color w:val="auto"/>
              </w:rPr>
            </w:pPr>
          </w:p>
        </w:tc>
        <w:tc>
          <w:tcPr>
            <w:tcW w:w="500" w:type="dxa"/>
            <w:vAlign w:val="bottom"/>
            <w:tcBorders>
              <w:right w:val="single" w:sz="8" w:color="231F20"/>
            </w:tcBorders>
          </w:tcPr>
          <w:p>
            <w:pPr>
              <w:spacing w:after="0"/>
              <w:rPr>
                <w:sz w:val="22"/>
                <w:szCs w:val="22"/>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Inc., holding positions of increasing responsibility.</w:t>
            </w:r>
          </w:p>
        </w:tc>
        <w:tc>
          <w:tcPr>
            <w:tcW w:w="0" w:type="dxa"/>
            <w:vAlign w:val="bottom"/>
          </w:tcPr>
          <w:p>
            <w:pPr>
              <w:spacing w:after="0"/>
              <w:rPr>
                <w:sz w:val="1"/>
                <w:szCs w:val="1"/>
                <w:color w:val="auto"/>
              </w:rPr>
            </w:pPr>
          </w:p>
        </w:tc>
      </w:tr>
      <w:tr>
        <w:trPr>
          <w:trHeight w:val="133"/>
        </w:trPr>
        <w:tc>
          <w:tcPr>
            <w:tcW w:w="1620" w:type="dxa"/>
            <w:vAlign w:val="bottom"/>
            <w:tcBorders>
              <w:left w:val="single" w:sz="8" w:color="231F20"/>
              <w:bottom w:val="single" w:sz="8" w:color="231F20"/>
              <w:right w:val="single" w:sz="8" w:color="231F20"/>
            </w:tcBorders>
          </w:tcPr>
          <w:p>
            <w:pPr>
              <w:spacing w:after="0"/>
              <w:rPr>
                <w:sz w:val="11"/>
                <w:szCs w:val="11"/>
                <w:color w:val="auto"/>
              </w:rPr>
            </w:pPr>
          </w:p>
        </w:tc>
        <w:tc>
          <w:tcPr>
            <w:tcW w:w="500" w:type="dxa"/>
            <w:vAlign w:val="bottom"/>
            <w:tcBorders>
              <w:bottom w:val="single" w:sz="8" w:color="231F20"/>
              <w:right w:val="single" w:sz="8" w:color="231F20"/>
            </w:tcBorders>
          </w:tcPr>
          <w:p>
            <w:pPr>
              <w:spacing w:after="0"/>
              <w:rPr>
                <w:sz w:val="11"/>
                <w:szCs w:val="11"/>
                <w:color w:val="auto"/>
              </w:rPr>
            </w:pPr>
          </w:p>
        </w:tc>
        <w:tc>
          <w:tcPr>
            <w:tcW w:w="7620" w:type="dxa"/>
            <w:vAlign w:val="bottom"/>
            <w:tcBorders>
              <w:bottom w:val="single" w:sz="8" w:color="231F20"/>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329"/>
        </w:trPr>
        <w:tc>
          <w:tcPr>
            <w:tcW w:w="1620" w:type="dxa"/>
            <w:vAlign w:val="bottom"/>
            <w:tcBorders>
              <w:left w:val="single" w:sz="8" w:color="231F20"/>
              <w:right w:val="single" w:sz="8" w:color="231F20"/>
            </w:tcBorders>
          </w:tcPr>
          <w:p>
            <w:pPr>
              <w:spacing w:after="0"/>
              <w:rPr>
                <w:sz w:val="24"/>
                <w:szCs w:val="24"/>
                <w:color w:val="auto"/>
              </w:rPr>
            </w:pPr>
          </w:p>
        </w:tc>
        <w:tc>
          <w:tcPr>
            <w:tcW w:w="500" w:type="dxa"/>
            <w:vAlign w:val="bottom"/>
            <w:tcBorders>
              <w:right w:val="single" w:sz="8" w:color="231F20"/>
            </w:tcBorders>
          </w:tcPr>
          <w:p>
            <w:pPr>
              <w:spacing w:after="0"/>
              <w:rPr>
                <w:sz w:val="24"/>
                <w:szCs w:val="24"/>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Raman T. Bukkapatnam has served as our Executive Vice President and Chief Information</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Raman T.</w:t>
            </w: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Officer since July 10, 2023. Prior to joining the Company, Mr. Bukkapatnam served as Vice</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Bukkapatnam</w:t>
            </w: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President, Global Technology at Nike, Inc., a global provider of athletic footwear and</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vMerge w:val="restart"/>
          </w:tcPr>
          <w:p>
            <w:pPr>
              <w:ind w:left="60"/>
              <w:spacing w:after="0"/>
              <w:rPr>
                <w:sz w:val="20"/>
                <w:szCs w:val="20"/>
                <w:color w:val="auto"/>
              </w:rPr>
            </w:pPr>
            <w:r>
              <w:rPr>
                <w:rFonts w:ascii="Times New Roman" w:cs="Times New Roman" w:eastAsia="Times New Roman" w:hAnsi="Times New Roman"/>
                <w:sz w:val="20"/>
                <w:szCs w:val="20"/>
                <w:color w:val="231F20"/>
              </w:rPr>
              <w:t>Executive Vice</w:t>
            </w:r>
          </w:p>
        </w:tc>
        <w:tc>
          <w:tcPr>
            <w:tcW w:w="50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59</w:t>
            </w: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apparel, from August 2020 to July 2023. Prior to Nike, Mr. Bukkapatnam had a more than 20</w:t>
            </w:r>
          </w:p>
        </w:tc>
        <w:tc>
          <w:tcPr>
            <w:tcW w:w="0" w:type="dxa"/>
            <w:vAlign w:val="bottom"/>
          </w:tcPr>
          <w:p>
            <w:pPr>
              <w:spacing w:after="0"/>
              <w:rPr>
                <w:sz w:val="1"/>
                <w:szCs w:val="1"/>
                <w:color w:val="auto"/>
              </w:rPr>
            </w:pPr>
          </w:p>
        </w:tc>
      </w:tr>
      <w:tr>
        <w:trPr>
          <w:trHeight w:val="40"/>
        </w:trPr>
        <w:tc>
          <w:tcPr>
            <w:tcW w:w="1620" w:type="dxa"/>
            <w:vAlign w:val="bottom"/>
            <w:tcBorders>
              <w:left w:val="single" w:sz="8" w:color="231F20"/>
              <w:right w:val="single" w:sz="8" w:color="231F20"/>
            </w:tcBorders>
            <w:vMerge w:val="continue"/>
          </w:tcPr>
          <w:p>
            <w:pPr>
              <w:spacing w:after="0"/>
              <w:rPr>
                <w:sz w:val="3"/>
                <w:szCs w:val="3"/>
                <w:color w:val="auto"/>
              </w:rPr>
            </w:pPr>
          </w:p>
        </w:tc>
        <w:tc>
          <w:tcPr>
            <w:tcW w:w="500" w:type="dxa"/>
            <w:vAlign w:val="bottom"/>
            <w:tcBorders>
              <w:right w:val="single" w:sz="8" w:color="231F20"/>
            </w:tcBorders>
            <w:vMerge w:val="continue"/>
          </w:tcPr>
          <w:p>
            <w:pPr>
              <w:spacing w:after="0"/>
              <w:rPr>
                <w:sz w:val="3"/>
                <w:szCs w:val="3"/>
                <w:color w:val="auto"/>
              </w:rPr>
            </w:pPr>
          </w:p>
        </w:tc>
        <w:tc>
          <w:tcPr>
            <w:tcW w:w="762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20"/>
                <w:szCs w:val="20"/>
                <w:color w:val="231F20"/>
              </w:rPr>
              <w:t>year career at Starbucks Corporation, a roaster, marketer and retailer of specialty coffee,</w:t>
            </w:r>
          </w:p>
        </w:tc>
        <w:tc>
          <w:tcPr>
            <w:tcW w:w="0" w:type="dxa"/>
            <w:vAlign w:val="bottom"/>
          </w:tcPr>
          <w:p>
            <w:pPr>
              <w:spacing w:after="0"/>
              <w:rPr>
                <w:sz w:val="1"/>
                <w:szCs w:val="1"/>
                <w:color w:val="auto"/>
              </w:rPr>
            </w:pPr>
          </w:p>
        </w:tc>
      </w:tr>
      <w:tr>
        <w:trPr>
          <w:trHeight w:val="200"/>
        </w:trPr>
        <w:tc>
          <w:tcPr>
            <w:tcW w:w="1620" w:type="dxa"/>
            <w:vAlign w:val="bottom"/>
            <w:tcBorders>
              <w:left w:val="single" w:sz="8" w:color="231F20"/>
              <w:right w:val="single" w:sz="8" w:color="231F20"/>
            </w:tcBorders>
          </w:tcPr>
          <w:p>
            <w:pPr>
              <w:ind w:left="60"/>
              <w:spacing w:after="0" w:line="200" w:lineRule="exact"/>
              <w:rPr>
                <w:sz w:val="20"/>
                <w:szCs w:val="20"/>
                <w:color w:val="auto"/>
              </w:rPr>
            </w:pPr>
            <w:r>
              <w:rPr>
                <w:rFonts w:ascii="Times New Roman" w:cs="Times New Roman" w:eastAsia="Times New Roman" w:hAnsi="Times New Roman"/>
                <w:sz w:val="20"/>
                <w:szCs w:val="20"/>
                <w:color w:val="231F20"/>
              </w:rPr>
              <w:t>President and</w:t>
            </w:r>
          </w:p>
        </w:tc>
        <w:tc>
          <w:tcPr>
            <w:tcW w:w="500" w:type="dxa"/>
            <w:vAlign w:val="bottom"/>
            <w:tcBorders>
              <w:right w:val="single" w:sz="8" w:color="231F20"/>
            </w:tcBorders>
            <w:vMerge w:val="continue"/>
          </w:tcPr>
          <w:p>
            <w:pPr>
              <w:spacing w:after="0"/>
              <w:rPr>
                <w:sz w:val="17"/>
                <w:szCs w:val="17"/>
                <w:color w:val="auto"/>
              </w:rPr>
            </w:pPr>
          </w:p>
        </w:tc>
        <w:tc>
          <w:tcPr>
            <w:tcW w:w="7620" w:type="dxa"/>
            <w:vAlign w:val="bottom"/>
            <w:tcBorders>
              <w:right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20" w:type="dxa"/>
            <w:vAlign w:val="bottom"/>
            <w:tcBorders>
              <w:left w:val="single" w:sz="8" w:color="231F20"/>
              <w:right w:val="single" w:sz="8" w:color="231F20"/>
            </w:tcBorders>
          </w:tcPr>
          <w:p>
            <w:pPr>
              <w:ind w:left="60"/>
              <w:spacing w:after="0" w:line="200" w:lineRule="exact"/>
              <w:rPr>
                <w:sz w:val="20"/>
                <w:szCs w:val="20"/>
                <w:color w:val="auto"/>
              </w:rPr>
            </w:pPr>
            <w:r>
              <w:rPr>
                <w:rFonts w:ascii="Times New Roman" w:cs="Times New Roman" w:eastAsia="Times New Roman" w:hAnsi="Times New Roman"/>
                <w:sz w:val="20"/>
                <w:szCs w:val="20"/>
                <w:color w:val="231F20"/>
              </w:rPr>
              <w:t>Chief Information</w:t>
            </w:r>
          </w:p>
        </w:tc>
        <w:tc>
          <w:tcPr>
            <w:tcW w:w="500" w:type="dxa"/>
            <w:vAlign w:val="bottom"/>
            <w:tcBorders>
              <w:right w:val="single" w:sz="8" w:color="231F20"/>
            </w:tcBorders>
          </w:tcPr>
          <w:p>
            <w:pPr>
              <w:spacing w:after="0"/>
              <w:rPr>
                <w:sz w:val="17"/>
                <w:szCs w:val="17"/>
                <w:color w:val="auto"/>
              </w:rPr>
            </w:pPr>
          </w:p>
        </w:tc>
        <w:tc>
          <w:tcPr>
            <w:tcW w:w="7620" w:type="dxa"/>
            <w:vAlign w:val="bottom"/>
            <w:tcBorders>
              <w:right w:val="single" w:sz="8" w:color="231F20"/>
            </w:tcBorders>
          </w:tcPr>
          <w:p>
            <w:pPr>
              <w:ind w:left="40"/>
              <w:spacing w:after="0" w:line="200" w:lineRule="exact"/>
              <w:rPr>
                <w:sz w:val="20"/>
                <w:szCs w:val="20"/>
                <w:color w:val="auto"/>
              </w:rPr>
            </w:pPr>
            <w:r>
              <w:rPr>
                <w:rFonts w:ascii="Times New Roman" w:cs="Times New Roman" w:eastAsia="Times New Roman" w:hAnsi="Times New Roman"/>
                <w:sz w:val="20"/>
                <w:szCs w:val="20"/>
                <w:color w:val="231F20"/>
              </w:rPr>
              <w:t>serving in multiple leadership roles including Vice President, Global Technology, Supply</w:t>
            </w:r>
          </w:p>
        </w:tc>
        <w:tc>
          <w:tcPr>
            <w:tcW w:w="0" w:type="dxa"/>
            <w:vAlign w:val="bottom"/>
          </w:tcPr>
          <w:p>
            <w:pPr>
              <w:spacing w:after="0"/>
              <w:rPr>
                <w:sz w:val="1"/>
                <w:szCs w:val="1"/>
                <w:color w:val="auto"/>
              </w:rPr>
            </w:pPr>
          </w:p>
        </w:tc>
      </w:tr>
      <w:tr>
        <w:trPr>
          <w:trHeight w:val="280"/>
        </w:trPr>
        <w:tc>
          <w:tcPr>
            <w:tcW w:w="1620" w:type="dxa"/>
            <w:vAlign w:val="bottom"/>
            <w:tcBorders>
              <w:left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Officer</w:t>
            </w:r>
          </w:p>
        </w:tc>
        <w:tc>
          <w:tcPr>
            <w:tcW w:w="500" w:type="dxa"/>
            <w:vAlign w:val="bottom"/>
            <w:tcBorders>
              <w:right w:val="single" w:sz="8" w:color="231F20"/>
            </w:tcBorders>
          </w:tcPr>
          <w:p>
            <w:pPr>
              <w:spacing w:after="0"/>
              <w:rPr>
                <w:sz w:val="24"/>
                <w:szCs w:val="24"/>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Chain Analytics, Data Engineering, and Store Development, from March 1999 to August</w:t>
            </w:r>
          </w:p>
        </w:tc>
        <w:tc>
          <w:tcPr>
            <w:tcW w:w="0" w:type="dxa"/>
            <w:vAlign w:val="bottom"/>
          </w:tcPr>
          <w:p>
            <w:pPr>
              <w:spacing w:after="0"/>
              <w:rPr>
                <w:sz w:val="1"/>
                <w:szCs w:val="1"/>
                <w:color w:val="auto"/>
              </w:rPr>
            </w:pPr>
          </w:p>
        </w:tc>
      </w:tr>
      <w:tr>
        <w:trPr>
          <w:trHeight w:val="260"/>
        </w:trPr>
        <w:tc>
          <w:tcPr>
            <w:tcW w:w="1620" w:type="dxa"/>
            <w:vAlign w:val="bottom"/>
            <w:tcBorders>
              <w:left w:val="single" w:sz="8" w:color="231F20"/>
              <w:right w:val="single" w:sz="8" w:color="231F20"/>
            </w:tcBorders>
          </w:tcPr>
          <w:p>
            <w:pPr>
              <w:spacing w:after="0"/>
              <w:rPr>
                <w:sz w:val="22"/>
                <w:szCs w:val="22"/>
                <w:color w:val="auto"/>
              </w:rPr>
            </w:pPr>
          </w:p>
        </w:tc>
        <w:tc>
          <w:tcPr>
            <w:tcW w:w="500" w:type="dxa"/>
            <w:vAlign w:val="bottom"/>
            <w:tcBorders>
              <w:right w:val="single" w:sz="8" w:color="231F20"/>
            </w:tcBorders>
          </w:tcPr>
          <w:p>
            <w:pPr>
              <w:spacing w:after="0"/>
              <w:rPr>
                <w:sz w:val="22"/>
                <w:szCs w:val="22"/>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2020.</w:t>
            </w:r>
          </w:p>
        </w:tc>
        <w:tc>
          <w:tcPr>
            <w:tcW w:w="0" w:type="dxa"/>
            <w:vAlign w:val="bottom"/>
          </w:tcPr>
          <w:p>
            <w:pPr>
              <w:spacing w:after="0"/>
              <w:rPr>
                <w:sz w:val="1"/>
                <w:szCs w:val="1"/>
                <w:color w:val="auto"/>
              </w:rPr>
            </w:pPr>
          </w:p>
        </w:tc>
      </w:tr>
      <w:tr>
        <w:trPr>
          <w:trHeight w:val="111"/>
        </w:trPr>
        <w:tc>
          <w:tcPr>
            <w:tcW w:w="1620" w:type="dxa"/>
            <w:vAlign w:val="bottom"/>
            <w:tcBorders>
              <w:left w:val="single" w:sz="8" w:color="231F20"/>
              <w:bottom w:val="single" w:sz="8" w:color="231F20"/>
              <w:right w:val="single" w:sz="8" w:color="231F20"/>
            </w:tcBorders>
          </w:tcPr>
          <w:p>
            <w:pPr>
              <w:spacing w:after="0"/>
              <w:rPr>
                <w:sz w:val="9"/>
                <w:szCs w:val="9"/>
                <w:color w:val="auto"/>
              </w:rPr>
            </w:pPr>
          </w:p>
        </w:tc>
        <w:tc>
          <w:tcPr>
            <w:tcW w:w="500" w:type="dxa"/>
            <w:vAlign w:val="bottom"/>
            <w:tcBorders>
              <w:bottom w:val="single" w:sz="8" w:color="231F20"/>
              <w:right w:val="single" w:sz="8" w:color="231F20"/>
            </w:tcBorders>
          </w:tcPr>
          <w:p>
            <w:pPr>
              <w:spacing w:after="0"/>
              <w:rPr>
                <w:sz w:val="9"/>
                <w:szCs w:val="9"/>
                <w:color w:val="auto"/>
              </w:rPr>
            </w:pPr>
          </w:p>
        </w:tc>
        <w:tc>
          <w:tcPr>
            <w:tcW w:w="7620" w:type="dxa"/>
            <w:vAlign w:val="bottom"/>
            <w:tcBorders>
              <w:bottom w:val="single" w:sz="8" w:color="231F20"/>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1620" w:type="dxa"/>
            <w:vAlign w:val="bottom"/>
            <w:tcBorders>
              <w:left w:val="single" w:sz="8" w:color="231F20"/>
              <w:right w:val="single" w:sz="8" w:color="231F20"/>
            </w:tcBorders>
            <w:vMerge w:val="restart"/>
          </w:tcPr>
          <w:p>
            <w:pPr>
              <w:ind w:left="60"/>
              <w:spacing w:after="0"/>
              <w:rPr>
                <w:sz w:val="20"/>
                <w:szCs w:val="20"/>
                <w:color w:val="auto"/>
              </w:rPr>
            </w:pPr>
            <w:r>
              <w:rPr>
                <w:rFonts w:ascii="Times New Roman" w:cs="Times New Roman" w:eastAsia="Times New Roman" w:hAnsi="Times New Roman"/>
                <w:sz w:val="20"/>
                <w:szCs w:val="20"/>
                <w:color w:val="231F20"/>
              </w:rPr>
              <w:t>Stephanie S.</w:t>
            </w:r>
          </w:p>
        </w:tc>
        <w:tc>
          <w:tcPr>
            <w:tcW w:w="500" w:type="dxa"/>
            <w:vAlign w:val="bottom"/>
            <w:tcBorders>
              <w:right w:val="single" w:sz="8" w:color="231F20"/>
            </w:tcBorders>
          </w:tcPr>
          <w:p>
            <w:pPr>
              <w:spacing w:after="0"/>
              <w:rPr>
                <w:sz w:val="24"/>
                <w:szCs w:val="24"/>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Stephanie S. Butera has served as our Executive Vice President and Chief Operating Officer,</w:t>
            </w:r>
          </w:p>
        </w:tc>
        <w:tc>
          <w:tcPr>
            <w:tcW w:w="0" w:type="dxa"/>
            <w:vAlign w:val="bottom"/>
          </w:tcPr>
          <w:p>
            <w:pPr>
              <w:spacing w:after="0"/>
              <w:rPr>
                <w:sz w:val="1"/>
                <w:szCs w:val="1"/>
                <w:color w:val="auto"/>
              </w:rPr>
            </w:pPr>
          </w:p>
        </w:tc>
      </w:tr>
      <w:tr>
        <w:trPr>
          <w:trHeight w:val="40"/>
        </w:trPr>
        <w:tc>
          <w:tcPr>
            <w:tcW w:w="1620" w:type="dxa"/>
            <w:vAlign w:val="bottom"/>
            <w:tcBorders>
              <w:left w:val="single" w:sz="8" w:color="231F20"/>
              <w:right w:val="single" w:sz="8" w:color="231F20"/>
            </w:tcBorders>
            <w:vMerge w:val="continue"/>
          </w:tcPr>
          <w:p>
            <w:pPr>
              <w:spacing w:after="0"/>
              <w:rPr>
                <w:sz w:val="3"/>
                <w:szCs w:val="3"/>
                <w:color w:val="auto"/>
              </w:rPr>
            </w:pPr>
          </w:p>
        </w:tc>
        <w:tc>
          <w:tcPr>
            <w:tcW w:w="500" w:type="dxa"/>
            <w:vAlign w:val="bottom"/>
            <w:tcBorders>
              <w:right w:val="single" w:sz="8" w:color="231F20"/>
            </w:tcBorders>
          </w:tcPr>
          <w:p>
            <w:pPr>
              <w:spacing w:after="0"/>
              <w:rPr>
                <w:sz w:val="3"/>
                <w:szCs w:val="3"/>
                <w:color w:val="auto"/>
              </w:rPr>
            </w:pPr>
          </w:p>
        </w:tc>
        <w:tc>
          <w:tcPr>
            <w:tcW w:w="762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20"/>
                <w:szCs w:val="20"/>
                <w:color w:val="231F20"/>
              </w:rPr>
              <w:t>Hyatt Vacation Ownership since January 2023. She served as our Senior Vice President and</w:t>
            </w:r>
          </w:p>
        </w:tc>
        <w:tc>
          <w:tcPr>
            <w:tcW w:w="0" w:type="dxa"/>
            <w:vAlign w:val="bottom"/>
          </w:tcPr>
          <w:p>
            <w:pPr>
              <w:spacing w:after="0"/>
              <w:rPr>
                <w:sz w:val="1"/>
                <w:szCs w:val="1"/>
                <w:color w:val="auto"/>
              </w:rPr>
            </w:pPr>
          </w:p>
        </w:tc>
      </w:tr>
      <w:tr>
        <w:trPr>
          <w:trHeight w:val="200"/>
        </w:trPr>
        <w:tc>
          <w:tcPr>
            <w:tcW w:w="1620" w:type="dxa"/>
            <w:vAlign w:val="bottom"/>
            <w:tcBorders>
              <w:left w:val="single" w:sz="8" w:color="231F20"/>
              <w:right w:val="single" w:sz="8" w:color="231F20"/>
            </w:tcBorders>
          </w:tcPr>
          <w:p>
            <w:pPr>
              <w:ind w:left="60"/>
              <w:spacing w:after="0" w:line="200" w:lineRule="exact"/>
              <w:rPr>
                <w:sz w:val="20"/>
                <w:szCs w:val="20"/>
                <w:color w:val="auto"/>
              </w:rPr>
            </w:pPr>
            <w:r>
              <w:rPr>
                <w:rFonts w:ascii="Times New Roman" w:cs="Times New Roman" w:eastAsia="Times New Roman" w:hAnsi="Times New Roman"/>
                <w:sz w:val="20"/>
                <w:szCs w:val="20"/>
                <w:color w:val="231F20"/>
              </w:rPr>
              <w:t>Butera</w:t>
            </w:r>
          </w:p>
        </w:tc>
        <w:tc>
          <w:tcPr>
            <w:tcW w:w="500" w:type="dxa"/>
            <w:vAlign w:val="bottom"/>
            <w:tcBorders>
              <w:right w:val="single" w:sz="8" w:color="231F20"/>
            </w:tcBorders>
          </w:tcPr>
          <w:p>
            <w:pPr>
              <w:spacing w:after="0"/>
              <w:rPr>
                <w:sz w:val="17"/>
                <w:szCs w:val="17"/>
                <w:color w:val="auto"/>
              </w:rPr>
            </w:pPr>
          </w:p>
        </w:tc>
        <w:tc>
          <w:tcPr>
            <w:tcW w:w="7620" w:type="dxa"/>
            <w:vAlign w:val="bottom"/>
            <w:tcBorders>
              <w:right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vMerge w:val="restart"/>
          </w:tcPr>
          <w:p>
            <w:pPr>
              <w:ind w:left="60"/>
              <w:spacing w:after="0"/>
              <w:rPr>
                <w:sz w:val="20"/>
                <w:szCs w:val="20"/>
                <w:color w:val="auto"/>
              </w:rPr>
            </w:pPr>
            <w:r>
              <w:rPr>
                <w:rFonts w:ascii="Times New Roman" w:cs="Times New Roman" w:eastAsia="Times New Roman" w:hAnsi="Times New Roman"/>
                <w:sz w:val="20"/>
                <w:szCs w:val="20"/>
                <w:color w:val="231F20"/>
              </w:rPr>
              <w:t>Executive Vice</w:t>
            </w: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Chief Operating Officer, Hyatt Vacation Ownership from April 2021 to December 2022.</w:t>
            </w:r>
          </w:p>
        </w:tc>
        <w:tc>
          <w:tcPr>
            <w:tcW w:w="0" w:type="dxa"/>
            <w:vAlign w:val="bottom"/>
          </w:tcPr>
          <w:p>
            <w:pPr>
              <w:spacing w:after="0"/>
              <w:rPr>
                <w:sz w:val="1"/>
                <w:szCs w:val="1"/>
                <w:color w:val="auto"/>
              </w:rPr>
            </w:pPr>
          </w:p>
        </w:tc>
      </w:tr>
      <w:tr>
        <w:trPr>
          <w:trHeight w:val="80"/>
        </w:trPr>
        <w:tc>
          <w:tcPr>
            <w:tcW w:w="1620" w:type="dxa"/>
            <w:vAlign w:val="bottom"/>
            <w:tcBorders>
              <w:left w:val="single" w:sz="8" w:color="231F20"/>
              <w:right w:val="single" w:sz="8" w:color="231F20"/>
            </w:tcBorders>
            <w:vMerge w:val="continue"/>
          </w:tcPr>
          <w:p>
            <w:pPr>
              <w:spacing w:after="0"/>
              <w:rPr>
                <w:sz w:val="6"/>
                <w:szCs w:val="6"/>
                <w:color w:val="auto"/>
              </w:rPr>
            </w:pPr>
          </w:p>
        </w:tc>
        <w:tc>
          <w:tcPr>
            <w:tcW w:w="500" w:type="dxa"/>
            <w:vAlign w:val="bottom"/>
            <w:tcBorders>
              <w:right w:val="single" w:sz="8" w:color="231F20"/>
            </w:tcBorders>
          </w:tcPr>
          <w:p>
            <w:pPr>
              <w:spacing w:after="0"/>
              <w:rPr>
                <w:sz w:val="6"/>
                <w:szCs w:val="6"/>
                <w:color w:val="auto"/>
              </w:rPr>
            </w:pPr>
          </w:p>
        </w:tc>
        <w:tc>
          <w:tcPr>
            <w:tcW w:w="762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20"/>
                <w:szCs w:val="20"/>
                <w:color w:val="231F20"/>
              </w:rPr>
              <w:t>Prior to leading Hyatt Vacation Ownership, Ms. Butera held a number of leadership positions</w:t>
            </w:r>
          </w:p>
        </w:tc>
        <w:tc>
          <w:tcPr>
            <w:tcW w:w="0" w:type="dxa"/>
            <w:vAlign w:val="bottom"/>
          </w:tcPr>
          <w:p>
            <w:pPr>
              <w:spacing w:after="0"/>
              <w:rPr>
                <w:sz w:val="1"/>
                <w:szCs w:val="1"/>
                <w:color w:val="auto"/>
              </w:rPr>
            </w:pPr>
          </w:p>
        </w:tc>
      </w:tr>
      <w:tr>
        <w:trPr>
          <w:trHeight w:val="160"/>
        </w:trPr>
        <w:tc>
          <w:tcPr>
            <w:tcW w:w="1620" w:type="dxa"/>
            <w:vAlign w:val="bottom"/>
            <w:tcBorders>
              <w:left w:val="single" w:sz="8" w:color="231F20"/>
              <w:right w:val="single" w:sz="8" w:color="231F20"/>
            </w:tcBorders>
            <w:vMerge w:val="restart"/>
          </w:tcPr>
          <w:p>
            <w:pPr>
              <w:ind w:left="60"/>
              <w:spacing w:after="0" w:line="200" w:lineRule="exact"/>
              <w:rPr>
                <w:sz w:val="20"/>
                <w:szCs w:val="20"/>
                <w:color w:val="auto"/>
              </w:rPr>
            </w:pPr>
            <w:r>
              <w:rPr>
                <w:rFonts w:ascii="Times New Roman" w:cs="Times New Roman" w:eastAsia="Times New Roman" w:hAnsi="Times New Roman"/>
                <w:sz w:val="20"/>
                <w:szCs w:val="20"/>
                <w:color w:val="231F20"/>
              </w:rPr>
              <w:t>President and</w:t>
            </w:r>
          </w:p>
        </w:tc>
        <w:tc>
          <w:tcPr>
            <w:tcW w:w="50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54</w:t>
            </w:r>
          </w:p>
        </w:tc>
        <w:tc>
          <w:tcPr>
            <w:tcW w:w="7620" w:type="dxa"/>
            <w:vAlign w:val="bottom"/>
            <w:tcBorders>
              <w:right w:val="single" w:sz="8" w:color="231F20"/>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620" w:type="dxa"/>
            <w:vAlign w:val="bottom"/>
            <w:tcBorders>
              <w:left w:val="single" w:sz="8" w:color="231F20"/>
              <w:right w:val="single" w:sz="8" w:color="231F20"/>
            </w:tcBorders>
            <w:vMerge w:val="continue"/>
          </w:tcPr>
          <w:p>
            <w:pPr>
              <w:spacing w:after="0"/>
              <w:rPr>
                <w:sz w:val="3"/>
                <w:szCs w:val="3"/>
                <w:color w:val="auto"/>
              </w:rPr>
            </w:pPr>
          </w:p>
        </w:tc>
        <w:tc>
          <w:tcPr>
            <w:tcW w:w="500" w:type="dxa"/>
            <w:vAlign w:val="bottom"/>
            <w:tcBorders>
              <w:right w:val="single" w:sz="8" w:color="231F20"/>
            </w:tcBorders>
            <w:vMerge w:val="continue"/>
          </w:tcPr>
          <w:p>
            <w:pPr>
              <w:spacing w:after="0"/>
              <w:rPr>
                <w:sz w:val="3"/>
                <w:szCs w:val="3"/>
                <w:color w:val="auto"/>
              </w:rPr>
            </w:pPr>
          </w:p>
        </w:tc>
        <w:tc>
          <w:tcPr>
            <w:tcW w:w="762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20"/>
                <w:szCs w:val="20"/>
                <w:color w:val="231F20"/>
              </w:rPr>
              <w:t>with the Company, serving as Vice President, Asset Management for The Ritz-Carlton</w:t>
            </w:r>
          </w:p>
        </w:tc>
        <w:tc>
          <w:tcPr>
            <w:tcW w:w="0" w:type="dxa"/>
            <w:vAlign w:val="bottom"/>
          </w:tcPr>
          <w:p>
            <w:pPr>
              <w:spacing w:after="0"/>
              <w:rPr>
                <w:sz w:val="1"/>
                <w:szCs w:val="1"/>
                <w:color w:val="auto"/>
              </w:rPr>
            </w:pPr>
          </w:p>
        </w:tc>
      </w:tr>
      <w:tr>
        <w:trPr>
          <w:trHeight w:val="200"/>
        </w:trPr>
        <w:tc>
          <w:tcPr>
            <w:tcW w:w="1620" w:type="dxa"/>
            <w:vAlign w:val="bottom"/>
            <w:tcBorders>
              <w:left w:val="single" w:sz="8" w:color="231F20"/>
              <w:right w:val="single" w:sz="8" w:color="231F20"/>
            </w:tcBorders>
          </w:tcPr>
          <w:p>
            <w:pPr>
              <w:ind w:left="60"/>
              <w:spacing w:after="0" w:line="200" w:lineRule="exact"/>
              <w:rPr>
                <w:sz w:val="20"/>
                <w:szCs w:val="20"/>
                <w:color w:val="auto"/>
              </w:rPr>
            </w:pPr>
            <w:r>
              <w:rPr>
                <w:rFonts w:ascii="Times New Roman" w:cs="Times New Roman" w:eastAsia="Times New Roman" w:hAnsi="Times New Roman"/>
                <w:sz w:val="20"/>
                <w:szCs w:val="20"/>
                <w:color w:val="231F20"/>
              </w:rPr>
              <w:t>Chief Operating</w:t>
            </w:r>
          </w:p>
        </w:tc>
        <w:tc>
          <w:tcPr>
            <w:tcW w:w="500" w:type="dxa"/>
            <w:vAlign w:val="bottom"/>
            <w:tcBorders>
              <w:right w:val="single" w:sz="8" w:color="231F20"/>
            </w:tcBorders>
            <w:vMerge w:val="continue"/>
          </w:tcPr>
          <w:p>
            <w:pPr>
              <w:spacing w:after="0"/>
              <w:rPr>
                <w:sz w:val="17"/>
                <w:szCs w:val="17"/>
                <w:color w:val="auto"/>
              </w:rPr>
            </w:pPr>
          </w:p>
        </w:tc>
        <w:tc>
          <w:tcPr>
            <w:tcW w:w="7620" w:type="dxa"/>
            <w:vAlign w:val="bottom"/>
            <w:tcBorders>
              <w:right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620" w:type="dxa"/>
            <w:vAlign w:val="bottom"/>
            <w:tcBorders>
              <w:left w:val="single" w:sz="8" w:color="231F20"/>
              <w:right w:val="single" w:sz="8" w:color="231F20"/>
            </w:tcBorders>
          </w:tcPr>
          <w:p>
            <w:pPr>
              <w:ind w:left="60"/>
              <w:spacing w:after="0" w:line="200" w:lineRule="exact"/>
              <w:rPr>
                <w:sz w:val="20"/>
                <w:szCs w:val="20"/>
                <w:color w:val="auto"/>
              </w:rPr>
            </w:pPr>
            <w:r>
              <w:rPr>
                <w:rFonts w:ascii="Times New Roman" w:cs="Times New Roman" w:eastAsia="Times New Roman" w:hAnsi="Times New Roman"/>
                <w:sz w:val="20"/>
                <w:szCs w:val="20"/>
                <w:color w:val="231F20"/>
              </w:rPr>
              <w:t>Officer, Hyatt</w:t>
            </w:r>
          </w:p>
        </w:tc>
        <w:tc>
          <w:tcPr>
            <w:tcW w:w="500" w:type="dxa"/>
            <w:vAlign w:val="bottom"/>
            <w:tcBorders>
              <w:right w:val="single" w:sz="8" w:color="231F20"/>
            </w:tcBorders>
          </w:tcPr>
          <w:p>
            <w:pPr>
              <w:spacing w:after="0"/>
              <w:rPr>
                <w:sz w:val="17"/>
                <w:szCs w:val="17"/>
                <w:color w:val="auto"/>
              </w:rPr>
            </w:pPr>
          </w:p>
        </w:tc>
        <w:tc>
          <w:tcPr>
            <w:tcW w:w="7620" w:type="dxa"/>
            <w:vAlign w:val="bottom"/>
            <w:tcBorders>
              <w:right w:val="single" w:sz="8" w:color="231F20"/>
            </w:tcBorders>
          </w:tcPr>
          <w:p>
            <w:pPr>
              <w:ind w:left="40"/>
              <w:spacing w:after="0" w:line="200" w:lineRule="exact"/>
              <w:rPr>
                <w:sz w:val="20"/>
                <w:szCs w:val="20"/>
                <w:color w:val="auto"/>
              </w:rPr>
            </w:pPr>
            <w:r>
              <w:rPr>
                <w:rFonts w:ascii="Times New Roman" w:cs="Times New Roman" w:eastAsia="Times New Roman" w:hAnsi="Times New Roman"/>
                <w:sz w:val="20"/>
                <w:szCs w:val="20"/>
                <w:color w:val="231F20"/>
              </w:rPr>
              <w:t>Destination Club from August 2014 to October 2018, before moving into the position of</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Vacation</w:t>
            </w: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Senior Vice President, Vacation Ownership for the Americas, Florida, Mexico, and</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Ownership</w:t>
            </w: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20"/>
                <w:szCs w:val="20"/>
                <w:color w:val="231F20"/>
              </w:rPr>
              <w:t>Caribbean from October 2018 to April 2021. Ms. Butera joined the Company in 1999.</w:t>
            </w:r>
          </w:p>
        </w:tc>
        <w:tc>
          <w:tcPr>
            <w:tcW w:w="0" w:type="dxa"/>
            <w:vAlign w:val="bottom"/>
          </w:tcPr>
          <w:p>
            <w:pPr>
              <w:spacing w:after="0"/>
              <w:rPr>
                <w:sz w:val="1"/>
                <w:szCs w:val="1"/>
                <w:color w:val="auto"/>
              </w:rPr>
            </w:pPr>
          </w:p>
        </w:tc>
      </w:tr>
      <w:tr>
        <w:trPr>
          <w:trHeight w:val="60"/>
        </w:trPr>
        <w:tc>
          <w:tcPr>
            <w:tcW w:w="1620" w:type="dxa"/>
            <w:vAlign w:val="bottom"/>
            <w:tcBorders>
              <w:left w:val="single" w:sz="8" w:color="231F20"/>
              <w:right w:val="single" w:sz="8" w:color="231F20"/>
            </w:tcBorders>
          </w:tcPr>
          <w:p>
            <w:pPr>
              <w:spacing w:after="0"/>
              <w:rPr>
                <w:sz w:val="5"/>
                <w:szCs w:val="5"/>
                <w:color w:val="auto"/>
              </w:rPr>
            </w:pPr>
          </w:p>
        </w:tc>
        <w:tc>
          <w:tcPr>
            <w:tcW w:w="500" w:type="dxa"/>
            <w:vAlign w:val="bottom"/>
            <w:tcBorders>
              <w:right w:val="single" w:sz="8" w:color="231F20"/>
            </w:tcBorders>
          </w:tcPr>
          <w:p>
            <w:pPr>
              <w:spacing w:after="0"/>
              <w:rPr>
                <w:sz w:val="5"/>
                <w:szCs w:val="5"/>
                <w:color w:val="auto"/>
              </w:rPr>
            </w:pPr>
          </w:p>
        </w:tc>
        <w:tc>
          <w:tcPr>
            <w:tcW w:w="7620" w:type="dxa"/>
            <w:vAlign w:val="bottom"/>
            <w:tcBorders>
              <w:right w:val="single" w:sz="8" w:color="231F2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1620" w:type="dxa"/>
            <w:vAlign w:val="bottom"/>
            <w:tcBorders>
              <w:left w:val="single" w:sz="8" w:color="231F20"/>
              <w:bottom w:val="single" w:sz="8" w:color="231F20"/>
              <w:right w:val="single" w:sz="8" w:color="231F20"/>
            </w:tcBorders>
          </w:tcPr>
          <w:p>
            <w:pPr>
              <w:spacing w:after="0"/>
              <w:rPr>
                <w:sz w:val="9"/>
                <w:szCs w:val="9"/>
                <w:color w:val="auto"/>
              </w:rPr>
            </w:pPr>
          </w:p>
        </w:tc>
        <w:tc>
          <w:tcPr>
            <w:tcW w:w="500" w:type="dxa"/>
            <w:vAlign w:val="bottom"/>
            <w:tcBorders>
              <w:bottom w:val="single" w:sz="8" w:color="231F20"/>
              <w:right w:val="single" w:sz="8" w:color="231F20"/>
            </w:tcBorders>
          </w:tcPr>
          <w:p>
            <w:pPr>
              <w:spacing w:after="0"/>
              <w:rPr>
                <w:sz w:val="9"/>
                <w:szCs w:val="9"/>
                <w:color w:val="auto"/>
              </w:rPr>
            </w:pPr>
          </w:p>
        </w:tc>
        <w:tc>
          <w:tcPr>
            <w:tcW w:w="7620" w:type="dxa"/>
            <w:vAlign w:val="bottom"/>
            <w:tcBorders>
              <w:bottom w:val="single" w:sz="8" w:color="231F20"/>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1620" w:type="dxa"/>
            <w:vAlign w:val="bottom"/>
            <w:tcBorders>
              <w:left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John D. Fitzgerald</w:t>
            </w:r>
          </w:p>
        </w:tc>
        <w:tc>
          <w:tcPr>
            <w:tcW w:w="500" w:type="dxa"/>
            <w:vAlign w:val="bottom"/>
            <w:tcBorders>
              <w:right w:val="single" w:sz="8" w:color="231F20"/>
            </w:tcBorders>
          </w:tcPr>
          <w:p>
            <w:pPr>
              <w:spacing w:after="0"/>
              <w:rPr>
                <w:sz w:val="24"/>
                <w:szCs w:val="24"/>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John D. Fitzgerald has served as our Executive Vice President and Chief Marketing, Sales</w:t>
            </w:r>
          </w:p>
        </w:tc>
        <w:tc>
          <w:tcPr>
            <w:tcW w:w="0" w:type="dxa"/>
            <w:vAlign w:val="bottom"/>
          </w:tcPr>
          <w:p>
            <w:pPr>
              <w:spacing w:after="0"/>
              <w:rPr>
                <w:sz w:val="1"/>
                <w:szCs w:val="1"/>
                <w:color w:val="auto"/>
              </w:rPr>
            </w:pPr>
          </w:p>
        </w:tc>
      </w:tr>
      <w:tr>
        <w:trPr>
          <w:trHeight w:val="240"/>
        </w:trPr>
        <w:tc>
          <w:tcPr>
            <w:tcW w:w="1620" w:type="dxa"/>
            <w:vAlign w:val="bottom"/>
            <w:tcBorders>
              <w:left w:val="single" w:sz="8" w:color="231F20"/>
              <w:right w:val="single" w:sz="8" w:color="231F20"/>
            </w:tcBorders>
            <w:vMerge w:val="restart"/>
          </w:tcPr>
          <w:p>
            <w:pPr>
              <w:ind w:left="60"/>
              <w:spacing w:after="0"/>
              <w:rPr>
                <w:sz w:val="20"/>
                <w:szCs w:val="20"/>
                <w:color w:val="auto"/>
              </w:rPr>
            </w:pPr>
            <w:r>
              <w:rPr>
                <w:rFonts w:ascii="Times New Roman" w:cs="Times New Roman" w:eastAsia="Times New Roman" w:hAnsi="Times New Roman"/>
                <w:sz w:val="20"/>
                <w:szCs w:val="20"/>
                <w:color w:val="231F20"/>
              </w:rPr>
              <w:t>Executive Vice</w:t>
            </w:r>
          </w:p>
        </w:tc>
        <w:tc>
          <w:tcPr>
            <w:tcW w:w="500" w:type="dxa"/>
            <w:vAlign w:val="bottom"/>
            <w:tcBorders>
              <w:right w:val="single" w:sz="8" w:color="231F20"/>
            </w:tcBorders>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and Service Officer since June 2025. Prior to that time, he served as our Executive Vice</w:t>
            </w:r>
          </w:p>
        </w:tc>
        <w:tc>
          <w:tcPr>
            <w:tcW w:w="0" w:type="dxa"/>
            <w:vAlign w:val="bottom"/>
          </w:tcPr>
          <w:p>
            <w:pPr>
              <w:spacing w:after="0"/>
              <w:rPr>
                <w:sz w:val="1"/>
                <w:szCs w:val="1"/>
                <w:color w:val="auto"/>
              </w:rPr>
            </w:pPr>
          </w:p>
        </w:tc>
      </w:tr>
      <w:tr>
        <w:trPr>
          <w:trHeight w:val="120"/>
        </w:trPr>
        <w:tc>
          <w:tcPr>
            <w:tcW w:w="1620" w:type="dxa"/>
            <w:vAlign w:val="bottom"/>
            <w:tcBorders>
              <w:left w:val="single" w:sz="8" w:color="231F20"/>
              <w:right w:val="single" w:sz="8" w:color="231F20"/>
            </w:tcBorders>
            <w:vMerge w:val="continue"/>
          </w:tcPr>
          <w:p>
            <w:pPr>
              <w:spacing w:after="0"/>
              <w:rPr>
                <w:sz w:val="10"/>
                <w:szCs w:val="10"/>
                <w:color w:val="auto"/>
              </w:rPr>
            </w:pPr>
          </w:p>
        </w:tc>
        <w:tc>
          <w:tcPr>
            <w:tcW w:w="500" w:type="dxa"/>
            <w:vAlign w:val="bottom"/>
            <w:tcBorders>
              <w:right w:val="single" w:sz="8" w:color="231F20"/>
            </w:tcBorders>
          </w:tcPr>
          <w:p>
            <w:pPr>
              <w:spacing w:after="0"/>
              <w:rPr>
                <w:sz w:val="10"/>
                <w:szCs w:val="10"/>
                <w:color w:val="auto"/>
              </w:rPr>
            </w:pPr>
          </w:p>
        </w:tc>
        <w:tc>
          <w:tcPr>
            <w:tcW w:w="762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20"/>
                <w:szCs w:val="20"/>
                <w:color w:val="231F20"/>
              </w:rPr>
              <w:t>President and Chief Marketing and Sales Officer from January 2024 to June 2025 and Senior</w:t>
            </w:r>
          </w:p>
        </w:tc>
        <w:tc>
          <w:tcPr>
            <w:tcW w:w="0" w:type="dxa"/>
            <w:vAlign w:val="bottom"/>
          </w:tcPr>
          <w:p>
            <w:pPr>
              <w:spacing w:after="0"/>
              <w:rPr>
                <w:sz w:val="1"/>
                <w:szCs w:val="1"/>
                <w:color w:val="auto"/>
              </w:rPr>
            </w:pPr>
          </w:p>
        </w:tc>
      </w:tr>
      <w:tr>
        <w:trPr>
          <w:trHeight w:val="120"/>
        </w:trPr>
        <w:tc>
          <w:tcPr>
            <w:tcW w:w="1620" w:type="dxa"/>
            <w:vAlign w:val="bottom"/>
            <w:tcBorders>
              <w:left w:val="single" w:sz="8" w:color="231F20"/>
              <w:right w:val="single" w:sz="8" w:color="231F20"/>
            </w:tcBorders>
            <w:vMerge w:val="restart"/>
          </w:tcPr>
          <w:p>
            <w:pPr>
              <w:ind w:left="60"/>
              <w:spacing w:after="0"/>
              <w:rPr>
                <w:sz w:val="20"/>
                <w:szCs w:val="20"/>
                <w:color w:val="auto"/>
              </w:rPr>
            </w:pPr>
            <w:r>
              <w:rPr>
                <w:rFonts w:ascii="Times New Roman" w:cs="Times New Roman" w:eastAsia="Times New Roman" w:hAnsi="Times New Roman"/>
                <w:sz w:val="20"/>
                <w:szCs w:val="20"/>
                <w:color w:val="231F20"/>
              </w:rPr>
              <w:t>President and</w:t>
            </w:r>
          </w:p>
        </w:tc>
        <w:tc>
          <w:tcPr>
            <w:tcW w:w="50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58</w:t>
            </w:r>
          </w:p>
        </w:tc>
        <w:tc>
          <w:tcPr>
            <w:tcW w:w="7620" w:type="dxa"/>
            <w:vAlign w:val="bottom"/>
            <w:tcBorders>
              <w:right w:val="single" w:sz="8" w:color="231F2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620" w:type="dxa"/>
            <w:vAlign w:val="bottom"/>
            <w:tcBorders>
              <w:left w:val="single" w:sz="8" w:color="231F20"/>
              <w:right w:val="single" w:sz="8" w:color="231F20"/>
            </w:tcBorders>
            <w:vMerge w:val="continue"/>
          </w:tcPr>
          <w:p>
            <w:pPr>
              <w:spacing w:after="0"/>
              <w:rPr>
                <w:sz w:val="17"/>
                <w:szCs w:val="17"/>
                <w:color w:val="auto"/>
              </w:rPr>
            </w:pPr>
          </w:p>
        </w:tc>
        <w:tc>
          <w:tcPr>
            <w:tcW w:w="500" w:type="dxa"/>
            <w:vAlign w:val="bottom"/>
            <w:tcBorders>
              <w:right w:val="single" w:sz="8" w:color="231F20"/>
            </w:tcBorders>
            <w:vMerge w:val="continue"/>
          </w:tcPr>
          <w:p>
            <w:pPr>
              <w:spacing w:after="0"/>
              <w:rPr>
                <w:sz w:val="17"/>
                <w:szCs w:val="17"/>
                <w:color w:val="auto"/>
              </w:rPr>
            </w:pPr>
          </w:p>
        </w:tc>
        <w:tc>
          <w:tcPr>
            <w:tcW w:w="7620" w:type="dxa"/>
            <w:vAlign w:val="bottom"/>
            <w:tcBorders>
              <w:right w:val="single" w:sz="8" w:color="231F20"/>
            </w:tcBorders>
          </w:tcPr>
          <w:p>
            <w:pPr>
              <w:ind w:left="40"/>
              <w:spacing w:after="0" w:line="200" w:lineRule="exact"/>
              <w:rPr>
                <w:sz w:val="20"/>
                <w:szCs w:val="20"/>
                <w:color w:val="auto"/>
              </w:rPr>
            </w:pPr>
            <w:r>
              <w:rPr>
                <w:rFonts w:ascii="Times New Roman" w:cs="Times New Roman" w:eastAsia="Times New Roman" w:hAnsi="Times New Roman"/>
                <w:sz w:val="20"/>
                <w:szCs w:val="20"/>
                <w:color w:val="231F20"/>
              </w:rPr>
              <w:t>Vice President of Marketing from September 2017 to December 2023. Mr. Fitzgerald joined</w:t>
            </w:r>
          </w:p>
        </w:tc>
        <w:tc>
          <w:tcPr>
            <w:tcW w:w="0" w:type="dxa"/>
            <w:vAlign w:val="bottom"/>
          </w:tcPr>
          <w:p>
            <w:pPr>
              <w:spacing w:after="0"/>
              <w:rPr>
                <w:sz w:val="1"/>
                <w:szCs w:val="1"/>
                <w:color w:val="auto"/>
              </w:rPr>
            </w:pPr>
          </w:p>
        </w:tc>
      </w:tr>
      <w:tr>
        <w:trPr>
          <w:trHeight w:val="80"/>
        </w:trPr>
        <w:tc>
          <w:tcPr>
            <w:tcW w:w="1620" w:type="dxa"/>
            <w:vAlign w:val="bottom"/>
            <w:tcBorders>
              <w:left w:val="single" w:sz="8" w:color="231F20"/>
              <w:right w:val="single" w:sz="8" w:color="231F20"/>
            </w:tcBorders>
          </w:tcPr>
          <w:p>
            <w:pPr>
              <w:ind w:left="60"/>
              <w:spacing w:after="0" w:line="80" w:lineRule="exact"/>
              <w:rPr>
                <w:sz w:val="20"/>
                <w:szCs w:val="20"/>
                <w:color w:val="auto"/>
              </w:rPr>
            </w:pPr>
            <w:r>
              <w:rPr>
                <w:rFonts w:ascii="Times New Roman" w:cs="Times New Roman" w:eastAsia="Times New Roman" w:hAnsi="Times New Roman"/>
                <w:sz w:val="9"/>
                <w:szCs w:val="9"/>
                <w:color w:val="231F20"/>
              </w:rPr>
              <w:t>Chief Marketing,</w:t>
            </w:r>
          </w:p>
        </w:tc>
        <w:tc>
          <w:tcPr>
            <w:tcW w:w="500" w:type="dxa"/>
            <w:vAlign w:val="bottom"/>
            <w:tcBorders>
              <w:right w:val="single" w:sz="8" w:color="231F20"/>
            </w:tcBorders>
          </w:tcPr>
          <w:p>
            <w:pPr>
              <w:spacing w:after="0"/>
              <w:rPr>
                <w:sz w:val="6"/>
                <w:szCs w:val="6"/>
                <w:color w:val="auto"/>
              </w:rPr>
            </w:pPr>
          </w:p>
        </w:tc>
        <w:tc>
          <w:tcPr>
            <w:tcW w:w="762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20"/>
                <w:szCs w:val="20"/>
                <w:color w:val="231F20"/>
              </w:rPr>
              <w:t>the Company in January 1999 and has held a number of positions of increasing responsibility</w:t>
            </w:r>
          </w:p>
        </w:tc>
        <w:tc>
          <w:tcPr>
            <w:tcW w:w="0" w:type="dxa"/>
            <w:vAlign w:val="bottom"/>
          </w:tcPr>
          <w:p>
            <w:pPr>
              <w:spacing w:after="0"/>
              <w:rPr>
                <w:sz w:val="1"/>
                <w:szCs w:val="1"/>
                <w:color w:val="auto"/>
              </w:rPr>
            </w:pPr>
          </w:p>
        </w:tc>
      </w:tr>
      <w:tr>
        <w:trPr>
          <w:trHeight w:val="200"/>
        </w:trPr>
        <w:tc>
          <w:tcPr>
            <w:tcW w:w="1620" w:type="dxa"/>
            <w:vAlign w:val="bottom"/>
            <w:tcBorders>
              <w:left w:val="single" w:sz="8" w:color="231F20"/>
              <w:right w:val="single" w:sz="8" w:color="231F20"/>
            </w:tcBorders>
          </w:tcPr>
          <w:p>
            <w:pPr>
              <w:ind w:left="60"/>
              <w:spacing w:after="0" w:line="200" w:lineRule="exact"/>
              <w:rPr>
                <w:sz w:val="20"/>
                <w:szCs w:val="20"/>
                <w:color w:val="auto"/>
              </w:rPr>
            </w:pPr>
            <w:r>
              <w:rPr>
                <w:rFonts w:ascii="Times New Roman" w:cs="Times New Roman" w:eastAsia="Times New Roman" w:hAnsi="Times New Roman"/>
                <w:sz w:val="20"/>
                <w:szCs w:val="20"/>
                <w:color w:val="231F20"/>
              </w:rPr>
              <w:t>Sales and Service</w:t>
            </w:r>
          </w:p>
        </w:tc>
        <w:tc>
          <w:tcPr>
            <w:tcW w:w="500" w:type="dxa"/>
            <w:vAlign w:val="bottom"/>
            <w:tcBorders>
              <w:right w:val="single" w:sz="8" w:color="231F20"/>
            </w:tcBorders>
          </w:tcPr>
          <w:p>
            <w:pPr>
              <w:spacing w:after="0"/>
              <w:rPr>
                <w:sz w:val="17"/>
                <w:szCs w:val="17"/>
                <w:color w:val="auto"/>
              </w:rPr>
            </w:pPr>
          </w:p>
        </w:tc>
        <w:tc>
          <w:tcPr>
            <w:tcW w:w="7620" w:type="dxa"/>
            <w:vAlign w:val="bottom"/>
            <w:tcBorders>
              <w:right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620" w:type="dxa"/>
            <w:vAlign w:val="bottom"/>
            <w:tcBorders>
              <w:left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Officer</w:t>
            </w:r>
          </w:p>
        </w:tc>
        <w:tc>
          <w:tcPr>
            <w:tcW w:w="500" w:type="dxa"/>
            <w:vAlign w:val="bottom"/>
            <w:tcBorders>
              <w:right w:val="single" w:sz="8" w:color="231F20"/>
            </w:tcBorders>
          </w:tcPr>
          <w:p>
            <w:pPr>
              <w:spacing w:after="0"/>
              <w:rPr>
                <w:sz w:val="22"/>
                <w:szCs w:val="22"/>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during his tenure.</w:t>
            </w:r>
          </w:p>
        </w:tc>
        <w:tc>
          <w:tcPr>
            <w:tcW w:w="0" w:type="dxa"/>
            <w:vAlign w:val="bottom"/>
          </w:tcPr>
          <w:p>
            <w:pPr>
              <w:spacing w:after="0"/>
              <w:rPr>
                <w:sz w:val="1"/>
                <w:szCs w:val="1"/>
                <w:color w:val="auto"/>
              </w:rPr>
            </w:pPr>
          </w:p>
        </w:tc>
      </w:tr>
      <w:tr>
        <w:trPr>
          <w:trHeight w:val="111"/>
        </w:trPr>
        <w:tc>
          <w:tcPr>
            <w:tcW w:w="1620" w:type="dxa"/>
            <w:vAlign w:val="bottom"/>
            <w:tcBorders>
              <w:left w:val="single" w:sz="8" w:color="231F20"/>
              <w:bottom w:val="single" w:sz="8" w:color="231F20"/>
              <w:right w:val="single" w:sz="8" w:color="231F20"/>
            </w:tcBorders>
          </w:tcPr>
          <w:p>
            <w:pPr>
              <w:spacing w:after="0"/>
              <w:rPr>
                <w:sz w:val="9"/>
                <w:szCs w:val="9"/>
                <w:color w:val="auto"/>
              </w:rPr>
            </w:pPr>
          </w:p>
        </w:tc>
        <w:tc>
          <w:tcPr>
            <w:tcW w:w="500" w:type="dxa"/>
            <w:vAlign w:val="bottom"/>
            <w:tcBorders>
              <w:bottom w:val="single" w:sz="8" w:color="231F20"/>
              <w:right w:val="single" w:sz="8" w:color="231F20"/>
            </w:tcBorders>
          </w:tcPr>
          <w:p>
            <w:pPr>
              <w:spacing w:after="0"/>
              <w:rPr>
                <w:sz w:val="9"/>
                <w:szCs w:val="9"/>
                <w:color w:val="auto"/>
              </w:rPr>
            </w:pPr>
          </w:p>
        </w:tc>
        <w:tc>
          <w:tcPr>
            <w:tcW w:w="7620" w:type="dxa"/>
            <w:vAlign w:val="bottom"/>
            <w:tcBorders>
              <w:bottom w:val="single" w:sz="8" w:color="231F20"/>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2006600</wp:posOffset>
            </wp:positionH>
            <wp:positionV relativeFrom="page">
              <wp:posOffset>558800</wp:posOffset>
            </wp:positionV>
            <wp:extent cx="486410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4864100" cy="25400"/>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-7619365</wp:posOffset>
            </wp:positionV>
            <wp:extent cx="486410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4864100" cy="25400"/>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-5380990</wp:posOffset>
            </wp:positionV>
            <wp:extent cx="486410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4864100" cy="25400"/>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-3828415</wp:posOffset>
            </wp:positionV>
            <wp:extent cx="486410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4864100" cy="25400"/>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-2456815</wp:posOffset>
            </wp:positionV>
            <wp:extent cx="486410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4864100" cy="25400"/>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-1085215</wp:posOffset>
            </wp:positionV>
            <wp:extent cx="486410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4864100" cy="25400"/>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-18415</wp:posOffset>
            </wp:positionV>
            <wp:extent cx="486410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4864100" cy="25400"/>
                    </a:xfrm>
                    <a:prstGeom prst="rect">
                      <a:avLst/>
                    </a:prstGeom>
                    <a:noFill/>
                  </pic:spPr>
                </pic:pic>
              </a:graphicData>
            </a:graphic>
          </wp:anchor>
        </w:drawing>
      </w:r>
    </w:p>
    <w:p>
      <w:pPr>
        <w:sectPr>
          <w:pgSz w:w="11880" w:h="15480" w:orient="portrait"/>
          <w:cols w:equalWidth="0" w:num="1">
            <w:col w:w="9740"/>
          </w:cols>
          <w:pgMar w:left="1080" w:top="870"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9740"/>
          </w:cols>
          <w:pgMar w:left="1080" w:top="870" w:right="1060" w:bottom="0" w:gutter="0" w:footer="0" w:header="0"/>
          <w:type w:val="continuous"/>
        </w:sectPr>
      </w:pPr>
    </w:p>
    <w:bookmarkStart w:id="26" w:name="page27"/>
    <w:bookmarkEnd w:id="26"/>
    <w:tbl>
      <w:tblPr>
        <w:tblLayout w:type="fixed"/>
        <w:tblInd w:w="10" w:type="dxa"/>
        <w:tblCellMar>
          <w:top w:w="0" w:type="dxa"/>
          <w:left w:w="0" w:type="dxa"/>
          <w:bottom w:w="0" w:type="dxa"/>
          <w:right w:w="0" w:type="dxa"/>
        </w:tblCellMar>
      </w:tblPr>
      <w:tr>
        <w:trPr>
          <w:trHeight w:val="285"/>
        </w:trPr>
        <w:tc>
          <w:tcPr>
            <w:tcW w:w="1420" w:type="dxa"/>
            <w:vAlign w:val="bottom"/>
            <w:tcBorders>
              <w:top w:val="single" w:sz="8" w:color="231F20"/>
              <w:left w:val="single" w:sz="8" w:color="231F20"/>
              <w:bottom w:val="single" w:sz="8" w:color="231F20"/>
            </w:tcBorders>
          </w:tcPr>
          <w:p>
            <w:pPr>
              <w:ind w:left="60"/>
              <w:spacing w:after="0"/>
              <w:rPr>
                <w:sz w:val="20"/>
                <w:szCs w:val="20"/>
                <w:color w:val="auto"/>
              </w:rPr>
            </w:pPr>
            <w:r>
              <w:rPr>
                <w:rFonts w:ascii="Times New Roman" w:cs="Times New Roman" w:eastAsia="Times New Roman" w:hAnsi="Times New Roman"/>
                <w:sz w:val="20"/>
                <w:szCs w:val="20"/>
                <w:b w:val="1"/>
                <w:bCs w:val="1"/>
                <w:color w:val="231F20"/>
              </w:rPr>
              <w:t>Name and Title</w:t>
            </w:r>
          </w:p>
        </w:tc>
        <w:tc>
          <w:tcPr>
            <w:tcW w:w="200" w:type="dxa"/>
            <w:vAlign w:val="bottom"/>
            <w:tcBorders>
              <w:top w:val="single" w:sz="8" w:color="231F20"/>
              <w:bottom w:val="single" w:sz="8" w:color="231F20"/>
              <w:right w:val="single" w:sz="8" w:color="231F20"/>
            </w:tcBorders>
          </w:tcPr>
          <w:p>
            <w:pPr>
              <w:spacing w:after="0"/>
              <w:rPr>
                <w:sz w:val="24"/>
                <w:szCs w:val="24"/>
                <w:color w:val="auto"/>
              </w:rPr>
            </w:pPr>
          </w:p>
        </w:tc>
        <w:tc>
          <w:tcPr>
            <w:tcW w:w="500" w:type="dxa"/>
            <w:vAlign w:val="bottom"/>
            <w:tcBorders>
              <w:top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rPr>
              <w:t>Age</w:t>
            </w:r>
          </w:p>
        </w:tc>
        <w:tc>
          <w:tcPr>
            <w:tcW w:w="7620" w:type="dxa"/>
            <w:vAlign w:val="bottom"/>
            <w:tcBorders>
              <w:top w:val="single" w:sz="8" w:color="231F20"/>
              <w:bottom w:val="single" w:sz="8" w:color="231F20"/>
              <w:right w:val="single" w:sz="8" w:color="231F20"/>
            </w:tcBorders>
          </w:tcPr>
          <w:p>
            <w:pPr>
              <w:ind w:left="2920"/>
              <w:spacing w:after="0"/>
              <w:rPr>
                <w:sz w:val="20"/>
                <w:szCs w:val="20"/>
                <w:color w:val="auto"/>
              </w:rPr>
            </w:pPr>
            <w:r>
              <w:rPr>
                <w:rFonts w:ascii="Times New Roman" w:cs="Times New Roman" w:eastAsia="Times New Roman" w:hAnsi="Times New Roman"/>
                <w:sz w:val="20"/>
                <w:szCs w:val="20"/>
                <w:b w:val="1"/>
                <w:bCs w:val="1"/>
                <w:color w:val="231F20"/>
              </w:rPr>
              <w:t>Business Experience</w:t>
            </w:r>
          </w:p>
        </w:tc>
        <w:tc>
          <w:tcPr>
            <w:tcW w:w="0" w:type="dxa"/>
            <w:vAlign w:val="bottom"/>
          </w:tcPr>
          <w:p>
            <w:pPr>
              <w:spacing w:after="0"/>
              <w:rPr>
                <w:sz w:val="1"/>
                <w:szCs w:val="1"/>
                <w:color w:val="auto"/>
              </w:rPr>
            </w:pPr>
          </w:p>
        </w:tc>
      </w:tr>
      <w:tr>
        <w:trPr>
          <w:trHeight w:val="329"/>
        </w:trPr>
        <w:tc>
          <w:tcPr>
            <w:tcW w:w="1420" w:type="dxa"/>
            <w:vAlign w:val="bottom"/>
            <w:tcBorders>
              <w:left w:val="single" w:sz="8" w:color="231F20"/>
            </w:tcBorders>
          </w:tcPr>
          <w:p>
            <w:pPr>
              <w:spacing w:after="0"/>
              <w:rPr>
                <w:sz w:val="24"/>
                <w:szCs w:val="24"/>
                <w:color w:val="auto"/>
              </w:rPr>
            </w:pPr>
          </w:p>
        </w:tc>
        <w:tc>
          <w:tcPr>
            <w:tcW w:w="200" w:type="dxa"/>
            <w:vAlign w:val="bottom"/>
            <w:tcBorders>
              <w:right w:val="single" w:sz="8" w:color="231F20"/>
            </w:tcBorders>
          </w:tcPr>
          <w:p>
            <w:pPr>
              <w:spacing w:after="0"/>
              <w:rPr>
                <w:sz w:val="24"/>
                <w:szCs w:val="24"/>
                <w:color w:val="auto"/>
              </w:rPr>
            </w:pPr>
          </w:p>
        </w:tc>
        <w:tc>
          <w:tcPr>
            <w:tcW w:w="500" w:type="dxa"/>
            <w:vAlign w:val="bottom"/>
            <w:tcBorders>
              <w:right w:val="single" w:sz="8" w:color="231F20"/>
            </w:tcBorders>
          </w:tcPr>
          <w:p>
            <w:pPr>
              <w:spacing w:after="0"/>
              <w:rPr>
                <w:sz w:val="24"/>
                <w:szCs w:val="24"/>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Lori M. Gustafson has served as our Executive Vice President and Chief Membership and</w:t>
            </w:r>
          </w:p>
        </w:tc>
        <w:tc>
          <w:tcPr>
            <w:tcW w:w="0" w:type="dxa"/>
            <w:vAlign w:val="bottom"/>
          </w:tcPr>
          <w:p>
            <w:pPr>
              <w:spacing w:after="0"/>
              <w:rPr>
                <w:sz w:val="1"/>
                <w:szCs w:val="1"/>
                <w:color w:val="auto"/>
              </w:rPr>
            </w:pPr>
          </w:p>
        </w:tc>
      </w:tr>
      <w:tr>
        <w:trPr>
          <w:trHeight w:val="260"/>
        </w:trPr>
        <w:tc>
          <w:tcPr>
            <w:tcW w:w="1620" w:type="dxa"/>
            <w:vAlign w:val="bottom"/>
            <w:tcBorders>
              <w:left w:val="single" w:sz="8" w:color="231F20"/>
              <w:right w:val="single" w:sz="8" w:color="231F20"/>
            </w:tcBorders>
            <w:gridSpan w:val="2"/>
          </w:tcPr>
          <w:p>
            <w:pPr>
              <w:ind w:left="60"/>
              <w:spacing w:after="0"/>
              <w:rPr>
                <w:sz w:val="20"/>
                <w:szCs w:val="20"/>
                <w:color w:val="auto"/>
              </w:rPr>
            </w:pPr>
            <w:r>
              <w:rPr>
                <w:rFonts w:ascii="Times New Roman" w:cs="Times New Roman" w:eastAsia="Times New Roman" w:hAnsi="Times New Roman"/>
                <w:sz w:val="20"/>
                <w:szCs w:val="20"/>
                <w:color w:val="231F20"/>
              </w:rPr>
              <w:t>Lori M. Gustafson</w:t>
            </w:r>
          </w:p>
        </w:tc>
        <w:tc>
          <w:tcPr>
            <w:tcW w:w="500" w:type="dxa"/>
            <w:vAlign w:val="bottom"/>
            <w:tcBorders>
              <w:right w:val="single" w:sz="8" w:color="231F20"/>
            </w:tcBorders>
          </w:tcPr>
          <w:p>
            <w:pPr>
              <w:spacing w:after="0"/>
              <w:rPr>
                <w:sz w:val="22"/>
                <w:szCs w:val="22"/>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Commercial Services Officer since January 2024. Ms. Gustafson joined the Company in</w:t>
            </w:r>
          </w:p>
        </w:tc>
        <w:tc>
          <w:tcPr>
            <w:tcW w:w="0" w:type="dxa"/>
            <w:vAlign w:val="bottom"/>
          </w:tcPr>
          <w:p>
            <w:pPr>
              <w:spacing w:after="0"/>
              <w:rPr>
                <w:sz w:val="1"/>
                <w:szCs w:val="1"/>
                <w:color w:val="auto"/>
              </w:rPr>
            </w:pPr>
          </w:p>
        </w:tc>
      </w:tr>
      <w:tr>
        <w:trPr>
          <w:trHeight w:val="220"/>
        </w:trPr>
        <w:tc>
          <w:tcPr>
            <w:tcW w:w="1420" w:type="dxa"/>
            <w:vAlign w:val="bottom"/>
            <w:tcBorders>
              <w:left w:val="single" w:sz="8" w:color="231F20"/>
            </w:tcBorders>
            <w:vMerge w:val="restart"/>
          </w:tcPr>
          <w:p>
            <w:pPr>
              <w:ind w:left="60"/>
              <w:spacing w:after="0"/>
              <w:rPr>
                <w:sz w:val="20"/>
                <w:szCs w:val="20"/>
                <w:color w:val="auto"/>
              </w:rPr>
            </w:pPr>
            <w:r>
              <w:rPr>
                <w:rFonts w:ascii="Times New Roman" w:cs="Times New Roman" w:eastAsia="Times New Roman" w:hAnsi="Times New Roman"/>
                <w:sz w:val="20"/>
                <w:szCs w:val="20"/>
                <w:color w:val="231F20"/>
              </w:rPr>
              <w:t>Executive Vice</w:t>
            </w:r>
          </w:p>
        </w:tc>
        <w:tc>
          <w:tcPr>
            <w:tcW w:w="200" w:type="dxa"/>
            <w:vAlign w:val="bottom"/>
            <w:tcBorders>
              <w:right w:val="single" w:sz="8" w:color="231F20"/>
            </w:tcBorders>
          </w:tcPr>
          <w:p>
            <w:pPr>
              <w:spacing w:after="0"/>
              <w:rPr>
                <w:sz w:val="19"/>
                <w:szCs w:val="19"/>
                <w:color w:val="auto"/>
              </w:rPr>
            </w:pPr>
          </w:p>
        </w:tc>
        <w:tc>
          <w:tcPr>
            <w:tcW w:w="500" w:type="dxa"/>
            <w:vAlign w:val="bottom"/>
            <w:tcBorders>
              <w:right w:val="single" w:sz="8" w:color="231F20"/>
            </w:tcBorders>
          </w:tcPr>
          <w:p>
            <w:pPr>
              <w:spacing w:after="0"/>
              <w:rPr>
                <w:sz w:val="19"/>
                <w:szCs w:val="19"/>
                <w:color w:val="auto"/>
              </w:rPr>
            </w:pPr>
          </w:p>
        </w:tc>
        <w:tc>
          <w:tcPr>
            <w:tcW w:w="7620" w:type="dxa"/>
            <w:vAlign w:val="bottom"/>
            <w:tcBorders>
              <w:right w:val="single" w:sz="8" w:color="231F20"/>
            </w:tcBorders>
          </w:tcPr>
          <w:p>
            <w:pPr>
              <w:ind w:left="40"/>
              <w:spacing w:after="0" w:line="220" w:lineRule="exact"/>
              <w:rPr>
                <w:sz w:val="20"/>
                <w:szCs w:val="20"/>
                <w:color w:val="auto"/>
              </w:rPr>
            </w:pPr>
            <w:r>
              <w:rPr>
                <w:rFonts w:ascii="Times New Roman" w:cs="Times New Roman" w:eastAsia="Times New Roman" w:hAnsi="Times New Roman"/>
                <w:sz w:val="20"/>
                <w:szCs w:val="20"/>
                <w:color w:val="231F20"/>
              </w:rPr>
              <w:t>November 2020 and served as our Executive Vice President and Chief Brand and Digital</w:t>
            </w:r>
          </w:p>
        </w:tc>
        <w:tc>
          <w:tcPr>
            <w:tcW w:w="0" w:type="dxa"/>
            <w:vAlign w:val="bottom"/>
          </w:tcPr>
          <w:p>
            <w:pPr>
              <w:spacing w:after="0"/>
              <w:rPr>
                <w:sz w:val="1"/>
                <w:szCs w:val="1"/>
                <w:color w:val="auto"/>
              </w:rPr>
            </w:pPr>
          </w:p>
        </w:tc>
      </w:tr>
      <w:tr>
        <w:trPr>
          <w:trHeight w:val="100"/>
        </w:trPr>
        <w:tc>
          <w:tcPr>
            <w:tcW w:w="1420" w:type="dxa"/>
            <w:vAlign w:val="bottom"/>
            <w:tcBorders>
              <w:left w:val="single" w:sz="8" w:color="231F20"/>
            </w:tcBorders>
            <w:vMerge w:val="continue"/>
          </w:tcPr>
          <w:p>
            <w:pPr>
              <w:spacing w:after="0"/>
              <w:rPr>
                <w:sz w:val="8"/>
                <w:szCs w:val="8"/>
                <w:color w:val="auto"/>
              </w:rPr>
            </w:pPr>
          </w:p>
        </w:tc>
        <w:tc>
          <w:tcPr>
            <w:tcW w:w="200" w:type="dxa"/>
            <w:vAlign w:val="bottom"/>
            <w:tcBorders>
              <w:right w:val="single" w:sz="8" w:color="231F20"/>
            </w:tcBorders>
          </w:tcPr>
          <w:p>
            <w:pPr>
              <w:spacing w:after="0"/>
              <w:rPr>
                <w:sz w:val="8"/>
                <w:szCs w:val="8"/>
                <w:color w:val="auto"/>
              </w:rPr>
            </w:pPr>
          </w:p>
        </w:tc>
        <w:tc>
          <w:tcPr>
            <w:tcW w:w="500" w:type="dxa"/>
            <w:vAlign w:val="bottom"/>
            <w:tcBorders>
              <w:right w:val="single" w:sz="8" w:color="231F20"/>
            </w:tcBorders>
          </w:tcPr>
          <w:p>
            <w:pPr>
              <w:spacing w:after="0"/>
              <w:rPr>
                <w:sz w:val="8"/>
                <w:szCs w:val="8"/>
                <w:color w:val="auto"/>
              </w:rPr>
            </w:pPr>
          </w:p>
        </w:tc>
        <w:tc>
          <w:tcPr>
            <w:tcW w:w="762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20"/>
                <w:szCs w:val="20"/>
                <w:color w:val="231F20"/>
              </w:rPr>
              <w:t>Officer from November 2020 to December 2023. Prior to joining the Company, she held</w:t>
            </w:r>
          </w:p>
        </w:tc>
        <w:tc>
          <w:tcPr>
            <w:tcW w:w="0" w:type="dxa"/>
            <w:vAlign w:val="bottom"/>
          </w:tcPr>
          <w:p>
            <w:pPr>
              <w:spacing w:after="0"/>
              <w:rPr>
                <w:sz w:val="1"/>
                <w:szCs w:val="1"/>
                <w:color w:val="auto"/>
              </w:rPr>
            </w:pPr>
          </w:p>
        </w:tc>
      </w:tr>
      <w:tr>
        <w:trPr>
          <w:trHeight w:val="140"/>
        </w:trPr>
        <w:tc>
          <w:tcPr>
            <w:tcW w:w="1420" w:type="dxa"/>
            <w:vAlign w:val="bottom"/>
            <w:tcBorders>
              <w:left w:val="single" w:sz="8" w:color="231F20"/>
            </w:tcBorders>
            <w:vMerge w:val="restart"/>
          </w:tcPr>
          <w:p>
            <w:pPr>
              <w:ind w:left="60"/>
              <w:spacing w:after="0" w:line="200" w:lineRule="exact"/>
              <w:rPr>
                <w:sz w:val="20"/>
                <w:szCs w:val="20"/>
                <w:color w:val="auto"/>
              </w:rPr>
            </w:pPr>
            <w:r>
              <w:rPr>
                <w:rFonts w:ascii="Times New Roman" w:cs="Times New Roman" w:eastAsia="Times New Roman" w:hAnsi="Times New Roman"/>
                <w:sz w:val="20"/>
                <w:szCs w:val="20"/>
                <w:color w:val="231F20"/>
              </w:rPr>
              <w:t>President and</w:t>
            </w:r>
          </w:p>
        </w:tc>
        <w:tc>
          <w:tcPr>
            <w:tcW w:w="200" w:type="dxa"/>
            <w:vAlign w:val="bottom"/>
            <w:tcBorders>
              <w:right w:val="single" w:sz="8" w:color="231F20"/>
            </w:tcBorders>
          </w:tcPr>
          <w:p>
            <w:pPr>
              <w:spacing w:after="0"/>
              <w:rPr>
                <w:sz w:val="12"/>
                <w:szCs w:val="12"/>
                <w:color w:val="auto"/>
              </w:rPr>
            </w:pPr>
          </w:p>
        </w:tc>
        <w:tc>
          <w:tcPr>
            <w:tcW w:w="500" w:type="dxa"/>
            <w:vAlign w:val="bottom"/>
            <w:tcBorders>
              <w:right w:val="single" w:sz="8" w:color="231F20"/>
            </w:tcBorders>
          </w:tcPr>
          <w:p>
            <w:pPr>
              <w:spacing w:after="0"/>
              <w:rPr>
                <w:sz w:val="12"/>
                <w:szCs w:val="12"/>
                <w:color w:val="auto"/>
              </w:rPr>
            </w:pPr>
          </w:p>
        </w:tc>
        <w:tc>
          <w:tcPr>
            <w:tcW w:w="7620" w:type="dxa"/>
            <w:vAlign w:val="bottom"/>
            <w:tcBorders>
              <w:right w:val="single" w:sz="8" w:color="231F2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420" w:type="dxa"/>
            <w:vAlign w:val="bottom"/>
            <w:tcBorders>
              <w:left w:val="single" w:sz="8" w:color="231F20"/>
            </w:tcBorders>
            <w:vMerge w:val="continue"/>
          </w:tcPr>
          <w:p>
            <w:pPr>
              <w:spacing w:after="0"/>
              <w:rPr>
                <w:sz w:val="5"/>
                <w:szCs w:val="5"/>
                <w:color w:val="auto"/>
              </w:rPr>
            </w:pPr>
          </w:p>
        </w:tc>
        <w:tc>
          <w:tcPr>
            <w:tcW w:w="200" w:type="dxa"/>
            <w:vAlign w:val="bottom"/>
            <w:tcBorders>
              <w:right w:val="single" w:sz="8" w:color="231F20"/>
            </w:tcBorders>
          </w:tcPr>
          <w:p>
            <w:pPr>
              <w:spacing w:after="0"/>
              <w:rPr>
                <w:sz w:val="5"/>
                <w:szCs w:val="5"/>
                <w:color w:val="auto"/>
              </w:rPr>
            </w:pPr>
          </w:p>
        </w:tc>
        <w:tc>
          <w:tcPr>
            <w:tcW w:w="50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42</w:t>
            </w:r>
          </w:p>
        </w:tc>
        <w:tc>
          <w:tcPr>
            <w:tcW w:w="762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20"/>
                <w:szCs w:val="20"/>
                <w:color w:val="231F20"/>
              </w:rPr>
              <w:t>positions of increasing responsibility at Wyndham Destinations, the vacation ownership</w:t>
            </w:r>
          </w:p>
        </w:tc>
        <w:tc>
          <w:tcPr>
            <w:tcW w:w="0" w:type="dxa"/>
            <w:vAlign w:val="bottom"/>
          </w:tcPr>
          <w:p>
            <w:pPr>
              <w:spacing w:after="0"/>
              <w:rPr>
                <w:sz w:val="1"/>
                <w:szCs w:val="1"/>
                <w:color w:val="auto"/>
              </w:rPr>
            </w:pPr>
          </w:p>
        </w:tc>
      </w:tr>
      <w:tr>
        <w:trPr>
          <w:trHeight w:val="200"/>
        </w:trPr>
        <w:tc>
          <w:tcPr>
            <w:tcW w:w="1420" w:type="dxa"/>
            <w:vAlign w:val="bottom"/>
            <w:tcBorders>
              <w:left w:val="single" w:sz="8" w:color="231F20"/>
            </w:tcBorders>
          </w:tcPr>
          <w:p>
            <w:pPr>
              <w:ind w:left="60"/>
              <w:spacing w:after="0" w:line="200" w:lineRule="exact"/>
              <w:rPr>
                <w:sz w:val="20"/>
                <w:szCs w:val="20"/>
                <w:color w:val="auto"/>
              </w:rPr>
            </w:pPr>
            <w:r>
              <w:rPr>
                <w:rFonts w:ascii="Times New Roman" w:cs="Times New Roman" w:eastAsia="Times New Roman" w:hAnsi="Times New Roman"/>
                <w:sz w:val="20"/>
                <w:szCs w:val="20"/>
                <w:color w:val="231F20"/>
              </w:rPr>
              <w:t>Chief</w:t>
            </w:r>
          </w:p>
        </w:tc>
        <w:tc>
          <w:tcPr>
            <w:tcW w:w="200" w:type="dxa"/>
            <w:vAlign w:val="bottom"/>
            <w:tcBorders>
              <w:right w:val="single" w:sz="8" w:color="231F20"/>
            </w:tcBorders>
          </w:tcPr>
          <w:p>
            <w:pPr>
              <w:spacing w:after="0"/>
              <w:rPr>
                <w:sz w:val="17"/>
                <w:szCs w:val="17"/>
                <w:color w:val="auto"/>
              </w:rPr>
            </w:pPr>
          </w:p>
        </w:tc>
        <w:tc>
          <w:tcPr>
            <w:tcW w:w="500" w:type="dxa"/>
            <w:vAlign w:val="bottom"/>
            <w:tcBorders>
              <w:right w:val="single" w:sz="8" w:color="231F20"/>
            </w:tcBorders>
            <w:vMerge w:val="continue"/>
          </w:tcPr>
          <w:p>
            <w:pPr>
              <w:spacing w:after="0"/>
              <w:rPr>
                <w:sz w:val="17"/>
                <w:szCs w:val="17"/>
                <w:color w:val="auto"/>
              </w:rPr>
            </w:pPr>
          </w:p>
        </w:tc>
        <w:tc>
          <w:tcPr>
            <w:tcW w:w="7620" w:type="dxa"/>
            <w:vAlign w:val="bottom"/>
            <w:tcBorders>
              <w:right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20" w:type="dxa"/>
            <w:vAlign w:val="bottom"/>
            <w:tcBorders>
              <w:left w:val="single" w:sz="8" w:color="231F20"/>
            </w:tcBorders>
          </w:tcPr>
          <w:p>
            <w:pPr>
              <w:ind w:left="60"/>
              <w:spacing w:after="0" w:line="200" w:lineRule="exact"/>
              <w:rPr>
                <w:sz w:val="20"/>
                <w:szCs w:val="20"/>
                <w:color w:val="auto"/>
              </w:rPr>
            </w:pPr>
            <w:r>
              <w:rPr>
                <w:rFonts w:ascii="Times New Roman" w:cs="Times New Roman" w:eastAsia="Times New Roman" w:hAnsi="Times New Roman"/>
                <w:sz w:val="20"/>
                <w:szCs w:val="20"/>
                <w:color w:val="231F20"/>
                <w:w w:val="99"/>
              </w:rPr>
              <w:t>Membership and</w:t>
            </w:r>
          </w:p>
        </w:tc>
        <w:tc>
          <w:tcPr>
            <w:tcW w:w="200" w:type="dxa"/>
            <w:vAlign w:val="bottom"/>
            <w:tcBorders>
              <w:right w:val="single" w:sz="8" w:color="231F20"/>
            </w:tcBorders>
          </w:tcPr>
          <w:p>
            <w:pPr>
              <w:spacing w:after="0"/>
              <w:rPr>
                <w:sz w:val="17"/>
                <w:szCs w:val="17"/>
                <w:color w:val="auto"/>
              </w:rPr>
            </w:pPr>
          </w:p>
        </w:tc>
        <w:tc>
          <w:tcPr>
            <w:tcW w:w="500" w:type="dxa"/>
            <w:vAlign w:val="bottom"/>
            <w:tcBorders>
              <w:right w:val="single" w:sz="8" w:color="231F20"/>
            </w:tcBorders>
          </w:tcPr>
          <w:p>
            <w:pPr>
              <w:spacing w:after="0"/>
              <w:rPr>
                <w:sz w:val="17"/>
                <w:szCs w:val="17"/>
                <w:color w:val="auto"/>
              </w:rPr>
            </w:pPr>
          </w:p>
        </w:tc>
        <w:tc>
          <w:tcPr>
            <w:tcW w:w="7620" w:type="dxa"/>
            <w:vAlign w:val="bottom"/>
            <w:tcBorders>
              <w:right w:val="single" w:sz="8" w:color="231F20"/>
            </w:tcBorders>
          </w:tcPr>
          <w:p>
            <w:pPr>
              <w:ind w:left="40"/>
              <w:spacing w:after="0" w:line="200" w:lineRule="exact"/>
              <w:rPr>
                <w:sz w:val="20"/>
                <w:szCs w:val="20"/>
                <w:color w:val="auto"/>
              </w:rPr>
            </w:pPr>
            <w:r>
              <w:rPr>
                <w:rFonts w:ascii="Times New Roman" w:cs="Times New Roman" w:eastAsia="Times New Roman" w:hAnsi="Times New Roman"/>
                <w:sz w:val="20"/>
                <w:szCs w:val="20"/>
                <w:color w:val="231F20"/>
              </w:rPr>
              <w:t>business segment of Travel + Leisure Co. from January 2018 to November 2020, including as</w:t>
            </w:r>
          </w:p>
        </w:tc>
        <w:tc>
          <w:tcPr>
            <w:tcW w:w="0" w:type="dxa"/>
            <w:vAlign w:val="bottom"/>
          </w:tcPr>
          <w:p>
            <w:pPr>
              <w:spacing w:after="0"/>
              <w:rPr>
                <w:sz w:val="1"/>
                <w:szCs w:val="1"/>
                <w:color w:val="auto"/>
              </w:rPr>
            </w:pPr>
          </w:p>
        </w:tc>
      </w:tr>
      <w:tr>
        <w:trPr>
          <w:trHeight w:val="220"/>
        </w:trPr>
        <w:tc>
          <w:tcPr>
            <w:tcW w:w="1420" w:type="dxa"/>
            <w:vAlign w:val="bottom"/>
            <w:tcBorders>
              <w:left w:val="single" w:sz="8" w:color="231F20"/>
            </w:tcBorders>
          </w:tcPr>
          <w:p>
            <w:pPr>
              <w:ind w:left="60"/>
              <w:spacing w:after="0" w:line="220" w:lineRule="exact"/>
              <w:rPr>
                <w:sz w:val="20"/>
                <w:szCs w:val="20"/>
                <w:color w:val="auto"/>
              </w:rPr>
            </w:pPr>
            <w:r>
              <w:rPr>
                <w:rFonts w:ascii="Times New Roman" w:cs="Times New Roman" w:eastAsia="Times New Roman" w:hAnsi="Times New Roman"/>
                <w:sz w:val="20"/>
                <w:szCs w:val="20"/>
                <w:color w:val="231F20"/>
              </w:rPr>
              <w:t>Commercial</w:t>
            </w:r>
          </w:p>
        </w:tc>
        <w:tc>
          <w:tcPr>
            <w:tcW w:w="200" w:type="dxa"/>
            <w:vAlign w:val="bottom"/>
            <w:tcBorders>
              <w:right w:val="single" w:sz="8" w:color="231F20"/>
            </w:tcBorders>
          </w:tcPr>
          <w:p>
            <w:pPr>
              <w:spacing w:after="0"/>
              <w:rPr>
                <w:sz w:val="19"/>
                <w:szCs w:val="19"/>
                <w:color w:val="auto"/>
              </w:rPr>
            </w:pPr>
          </w:p>
        </w:tc>
        <w:tc>
          <w:tcPr>
            <w:tcW w:w="500" w:type="dxa"/>
            <w:vAlign w:val="bottom"/>
            <w:tcBorders>
              <w:right w:val="single" w:sz="8" w:color="231F20"/>
            </w:tcBorders>
          </w:tcPr>
          <w:p>
            <w:pPr>
              <w:spacing w:after="0"/>
              <w:rPr>
                <w:sz w:val="19"/>
                <w:szCs w:val="19"/>
                <w:color w:val="auto"/>
              </w:rPr>
            </w:pPr>
          </w:p>
        </w:tc>
        <w:tc>
          <w:tcPr>
            <w:tcW w:w="7620" w:type="dxa"/>
            <w:vAlign w:val="bottom"/>
            <w:tcBorders>
              <w:right w:val="single" w:sz="8" w:color="231F20"/>
            </w:tcBorders>
          </w:tcPr>
          <w:p>
            <w:pPr>
              <w:ind w:left="40"/>
              <w:spacing w:after="0" w:line="220" w:lineRule="exact"/>
              <w:rPr>
                <w:sz w:val="20"/>
                <w:szCs w:val="20"/>
                <w:color w:val="auto"/>
              </w:rPr>
            </w:pPr>
            <w:r>
              <w:rPr>
                <w:rFonts w:ascii="Times New Roman" w:cs="Times New Roman" w:eastAsia="Times New Roman" w:hAnsi="Times New Roman"/>
                <w:sz w:val="20"/>
                <w:szCs w:val="20"/>
                <w:color w:val="231F20"/>
              </w:rPr>
              <w:t>Senior Vice President, Global Brands &amp; Digital from May 2019 to November 2020. Prior to</w:t>
            </w:r>
          </w:p>
        </w:tc>
        <w:tc>
          <w:tcPr>
            <w:tcW w:w="0" w:type="dxa"/>
            <w:vAlign w:val="bottom"/>
          </w:tcPr>
          <w:p>
            <w:pPr>
              <w:spacing w:after="0"/>
              <w:rPr>
                <w:sz w:val="1"/>
                <w:szCs w:val="1"/>
                <w:color w:val="auto"/>
              </w:rPr>
            </w:pPr>
          </w:p>
        </w:tc>
      </w:tr>
      <w:tr>
        <w:trPr>
          <w:trHeight w:val="280"/>
        </w:trPr>
        <w:tc>
          <w:tcPr>
            <w:tcW w:w="1420" w:type="dxa"/>
            <w:vAlign w:val="bottom"/>
            <w:tcBorders>
              <w:lef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Services Officer</w:t>
            </w:r>
          </w:p>
        </w:tc>
        <w:tc>
          <w:tcPr>
            <w:tcW w:w="200" w:type="dxa"/>
            <w:vAlign w:val="bottom"/>
            <w:tcBorders>
              <w:right w:val="single" w:sz="8" w:color="231F20"/>
            </w:tcBorders>
          </w:tcPr>
          <w:p>
            <w:pPr>
              <w:spacing w:after="0"/>
              <w:rPr>
                <w:sz w:val="24"/>
                <w:szCs w:val="24"/>
                <w:color w:val="auto"/>
              </w:rPr>
            </w:pPr>
          </w:p>
        </w:tc>
        <w:tc>
          <w:tcPr>
            <w:tcW w:w="500" w:type="dxa"/>
            <w:vAlign w:val="bottom"/>
            <w:tcBorders>
              <w:right w:val="single" w:sz="8" w:color="231F20"/>
            </w:tcBorders>
          </w:tcPr>
          <w:p>
            <w:pPr>
              <w:spacing w:after="0"/>
              <w:rPr>
                <w:sz w:val="24"/>
                <w:szCs w:val="24"/>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that, she held progressive leadership positions at SeaWorld Parks &amp; Entertainment, Inc. in</w:t>
            </w:r>
          </w:p>
        </w:tc>
        <w:tc>
          <w:tcPr>
            <w:tcW w:w="0" w:type="dxa"/>
            <w:vAlign w:val="bottom"/>
          </w:tcPr>
          <w:p>
            <w:pPr>
              <w:spacing w:after="0"/>
              <w:rPr>
                <w:sz w:val="1"/>
                <w:szCs w:val="1"/>
                <w:color w:val="auto"/>
              </w:rPr>
            </w:pPr>
          </w:p>
        </w:tc>
      </w:tr>
      <w:tr>
        <w:trPr>
          <w:trHeight w:val="260"/>
        </w:trPr>
        <w:tc>
          <w:tcPr>
            <w:tcW w:w="1420" w:type="dxa"/>
            <w:vAlign w:val="bottom"/>
            <w:tcBorders>
              <w:left w:val="single" w:sz="8" w:color="231F20"/>
            </w:tcBorders>
          </w:tcPr>
          <w:p>
            <w:pPr>
              <w:spacing w:after="0"/>
              <w:rPr>
                <w:sz w:val="22"/>
                <w:szCs w:val="22"/>
                <w:color w:val="auto"/>
              </w:rPr>
            </w:pPr>
          </w:p>
        </w:tc>
        <w:tc>
          <w:tcPr>
            <w:tcW w:w="200" w:type="dxa"/>
            <w:vAlign w:val="bottom"/>
            <w:tcBorders>
              <w:right w:val="single" w:sz="8" w:color="231F20"/>
            </w:tcBorders>
          </w:tcPr>
          <w:p>
            <w:pPr>
              <w:spacing w:after="0"/>
              <w:rPr>
                <w:sz w:val="22"/>
                <w:szCs w:val="22"/>
                <w:color w:val="auto"/>
              </w:rPr>
            </w:pPr>
          </w:p>
        </w:tc>
        <w:tc>
          <w:tcPr>
            <w:tcW w:w="500" w:type="dxa"/>
            <w:vAlign w:val="bottom"/>
            <w:tcBorders>
              <w:right w:val="single" w:sz="8" w:color="231F20"/>
            </w:tcBorders>
          </w:tcPr>
          <w:p>
            <w:pPr>
              <w:spacing w:after="0"/>
              <w:rPr>
                <w:sz w:val="22"/>
                <w:szCs w:val="22"/>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brand and digital marketing and eCommerce from September 2011 to January 2018.</w:t>
            </w:r>
          </w:p>
        </w:tc>
        <w:tc>
          <w:tcPr>
            <w:tcW w:w="0" w:type="dxa"/>
            <w:vAlign w:val="bottom"/>
          </w:tcPr>
          <w:p>
            <w:pPr>
              <w:spacing w:after="0"/>
              <w:rPr>
                <w:sz w:val="1"/>
                <w:szCs w:val="1"/>
                <w:color w:val="auto"/>
              </w:rPr>
            </w:pPr>
          </w:p>
        </w:tc>
      </w:tr>
      <w:tr>
        <w:trPr>
          <w:trHeight w:val="111"/>
        </w:trPr>
        <w:tc>
          <w:tcPr>
            <w:tcW w:w="1420" w:type="dxa"/>
            <w:vAlign w:val="bottom"/>
            <w:tcBorders>
              <w:left w:val="single" w:sz="8" w:color="231F20"/>
              <w:bottom w:val="single" w:sz="8" w:color="231F20"/>
            </w:tcBorders>
          </w:tcPr>
          <w:p>
            <w:pPr>
              <w:spacing w:after="0"/>
              <w:rPr>
                <w:sz w:val="9"/>
                <w:szCs w:val="9"/>
                <w:color w:val="auto"/>
              </w:rPr>
            </w:pPr>
          </w:p>
        </w:tc>
        <w:tc>
          <w:tcPr>
            <w:tcW w:w="200" w:type="dxa"/>
            <w:vAlign w:val="bottom"/>
            <w:tcBorders>
              <w:bottom w:val="single" w:sz="8" w:color="231F20"/>
              <w:right w:val="single" w:sz="8" w:color="231F20"/>
            </w:tcBorders>
          </w:tcPr>
          <w:p>
            <w:pPr>
              <w:spacing w:after="0"/>
              <w:rPr>
                <w:sz w:val="9"/>
                <w:szCs w:val="9"/>
                <w:color w:val="auto"/>
              </w:rPr>
            </w:pPr>
          </w:p>
        </w:tc>
        <w:tc>
          <w:tcPr>
            <w:tcW w:w="500" w:type="dxa"/>
            <w:vAlign w:val="bottom"/>
            <w:tcBorders>
              <w:bottom w:val="single" w:sz="8" w:color="231F20"/>
              <w:right w:val="single" w:sz="8" w:color="231F20"/>
            </w:tcBorders>
          </w:tcPr>
          <w:p>
            <w:pPr>
              <w:spacing w:after="0"/>
              <w:rPr>
                <w:sz w:val="9"/>
                <w:szCs w:val="9"/>
                <w:color w:val="auto"/>
              </w:rPr>
            </w:pPr>
          </w:p>
        </w:tc>
        <w:tc>
          <w:tcPr>
            <w:tcW w:w="7620" w:type="dxa"/>
            <w:vAlign w:val="bottom"/>
            <w:tcBorders>
              <w:bottom w:val="single" w:sz="8" w:color="231F20"/>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1420" w:type="dxa"/>
            <w:vAlign w:val="bottom"/>
            <w:tcBorders>
              <w:lef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James H Hunter,</w:t>
            </w:r>
          </w:p>
        </w:tc>
        <w:tc>
          <w:tcPr>
            <w:tcW w:w="200" w:type="dxa"/>
            <w:vAlign w:val="bottom"/>
            <w:tcBorders>
              <w:right w:val="single" w:sz="8" w:color="231F20"/>
            </w:tcBorders>
          </w:tcPr>
          <w:p>
            <w:pPr>
              <w:spacing w:after="0"/>
              <w:rPr>
                <w:sz w:val="24"/>
                <w:szCs w:val="24"/>
                <w:color w:val="auto"/>
              </w:rPr>
            </w:pPr>
          </w:p>
        </w:tc>
        <w:tc>
          <w:tcPr>
            <w:tcW w:w="500" w:type="dxa"/>
            <w:vAlign w:val="bottom"/>
            <w:tcBorders>
              <w:right w:val="single" w:sz="8" w:color="231F20"/>
            </w:tcBorders>
          </w:tcPr>
          <w:p>
            <w:pPr>
              <w:spacing w:after="0"/>
              <w:rPr>
                <w:sz w:val="24"/>
                <w:szCs w:val="24"/>
                <w:color w:val="auto"/>
              </w:rPr>
            </w:pPr>
          </w:p>
        </w:tc>
        <w:tc>
          <w:tcPr>
            <w:tcW w:w="762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20"/>
                <w:szCs w:val="20"/>
                <w:color w:val="231F20"/>
              </w:rPr>
              <w:t>James H Hunter, IV has served as our Executive Vice President and General Counsel and as</w:t>
            </w:r>
          </w:p>
        </w:tc>
        <w:tc>
          <w:tcPr>
            <w:tcW w:w="0" w:type="dxa"/>
            <w:vAlign w:val="bottom"/>
          </w:tcPr>
          <w:p>
            <w:pPr>
              <w:spacing w:after="0"/>
              <w:rPr>
                <w:sz w:val="1"/>
                <w:szCs w:val="1"/>
                <w:color w:val="auto"/>
              </w:rPr>
            </w:pPr>
          </w:p>
        </w:tc>
      </w:tr>
      <w:tr>
        <w:trPr>
          <w:trHeight w:val="140"/>
        </w:trPr>
        <w:tc>
          <w:tcPr>
            <w:tcW w:w="1420" w:type="dxa"/>
            <w:vAlign w:val="bottom"/>
            <w:tcBorders>
              <w:left w:val="single" w:sz="8" w:color="231F20"/>
            </w:tcBorders>
            <w:vMerge w:val="restart"/>
          </w:tcPr>
          <w:p>
            <w:pPr>
              <w:ind w:left="60"/>
              <w:spacing w:after="0"/>
              <w:rPr>
                <w:sz w:val="20"/>
                <w:szCs w:val="20"/>
                <w:color w:val="auto"/>
              </w:rPr>
            </w:pPr>
            <w:r>
              <w:rPr>
                <w:rFonts w:ascii="Times New Roman" w:cs="Times New Roman" w:eastAsia="Times New Roman" w:hAnsi="Times New Roman"/>
                <w:sz w:val="20"/>
                <w:szCs w:val="20"/>
                <w:color w:val="231F20"/>
              </w:rPr>
              <w:t>IV</w:t>
            </w:r>
          </w:p>
        </w:tc>
        <w:tc>
          <w:tcPr>
            <w:tcW w:w="200" w:type="dxa"/>
            <w:vAlign w:val="bottom"/>
            <w:tcBorders>
              <w:right w:val="single" w:sz="8" w:color="231F20"/>
            </w:tcBorders>
          </w:tcPr>
          <w:p>
            <w:pPr>
              <w:spacing w:after="0"/>
              <w:rPr>
                <w:sz w:val="12"/>
                <w:szCs w:val="12"/>
                <w:color w:val="auto"/>
              </w:rPr>
            </w:pPr>
          </w:p>
        </w:tc>
        <w:tc>
          <w:tcPr>
            <w:tcW w:w="500" w:type="dxa"/>
            <w:vAlign w:val="bottom"/>
            <w:tcBorders>
              <w:right w:val="single" w:sz="8" w:color="231F20"/>
            </w:tcBorders>
          </w:tcPr>
          <w:p>
            <w:pPr>
              <w:spacing w:after="0"/>
              <w:rPr>
                <w:sz w:val="12"/>
                <w:szCs w:val="12"/>
                <w:color w:val="auto"/>
              </w:rPr>
            </w:pPr>
          </w:p>
        </w:tc>
        <w:tc>
          <w:tcPr>
            <w:tcW w:w="7620" w:type="dxa"/>
            <w:vAlign w:val="bottom"/>
            <w:tcBorders>
              <w:right w:val="single" w:sz="8" w:color="231F2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420" w:type="dxa"/>
            <w:vAlign w:val="bottom"/>
            <w:tcBorders>
              <w:left w:val="single" w:sz="8" w:color="231F20"/>
            </w:tcBorders>
            <w:vMerge w:val="continue"/>
          </w:tcPr>
          <w:p>
            <w:pPr>
              <w:spacing w:after="0"/>
              <w:rPr>
                <w:sz w:val="10"/>
                <w:szCs w:val="10"/>
                <w:color w:val="auto"/>
              </w:rPr>
            </w:pPr>
          </w:p>
        </w:tc>
        <w:tc>
          <w:tcPr>
            <w:tcW w:w="200" w:type="dxa"/>
            <w:vAlign w:val="bottom"/>
            <w:tcBorders>
              <w:right w:val="single" w:sz="8" w:color="231F20"/>
            </w:tcBorders>
          </w:tcPr>
          <w:p>
            <w:pPr>
              <w:spacing w:after="0"/>
              <w:rPr>
                <w:sz w:val="10"/>
                <w:szCs w:val="10"/>
                <w:color w:val="auto"/>
              </w:rPr>
            </w:pPr>
          </w:p>
        </w:tc>
        <w:tc>
          <w:tcPr>
            <w:tcW w:w="50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63</w:t>
            </w:r>
          </w:p>
        </w:tc>
        <w:tc>
          <w:tcPr>
            <w:tcW w:w="762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20"/>
                <w:szCs w:val="20"/>
                <w:color w:val="231F20"/>
              </w:rPr>
              <w:t>our Corporate Secretary since November 2011. Prior to that time, he had served as our Senior</w:t>
            </w:r>
          </w:p>
        </w:tc>
        <w:tc>
          <w:tcPr>
            <w:tcW w:w="0" w:type="dxa"/>
            <w:vAlign w:val="bottom"/>
          </w:tcPr>
          <w:p>
            <w:pPr>
              <w:spacing w:after="0"/>
              <w:rPr>
                <w:sz w:val="1"/>
                <w:szCs w:val="1"/>
                <w:color w:val="auto"/>
              </w:rPr>
            </w:pPr>
          </w:p>
        </w:tc>
      </w:tr>
      <w:tr>
        <w:trPr>
          <w:trHeight w:val="120"/>
        </w:trPr>
        <w:tc>
          <w:tcPr>
            <w:tcW w:w="1420" w:type="dxa"/>
            <w:vAlign w:val="bottom"/>
            <w:tcBorders>
              <w:left w:val="single" w:sz="8" w:color="231F20"/>
            </w:tcBorders>
            <w:vMerge w:val="restart"/>
          </w:tcPr>
          <w:p>
            <w:pPr>
              <w:ind w:left="60"/>
              <w:spacing w:after="0"/>
              <w:rPr>
                <w:sz w:val="20"/>
                <w:szCs w:val="20"/>
                <w:color w:val="auto"/>
              </w:rPr>
            </w:pPr>
            <w:r>
              <w:rPr>
                <w:rFonts w:ascii="Times New Roman" w:cs="Times New Roman" w:eastAsia="Times New Roman" w:hAnsi="Times New Roman"/>
                <w:sz w:val="20"/>
                <w:szCs w:val="20"/>
                <w:color w:val="231F20"/>
              </w:rPr>
              <w:t>Executive Vice</w:t>
            </w:r>
          </w:p>
        </w:tc>
        <w:tc>
          <w:tcPr>
            <w:tcW w:w="200" w:type="dxa"/>
            <w:vAlign w:val="bottom"/>
            <w:tcBorders>
              <w:right w:val="single" w:sz="8" w:color="231F20"/>
            </w:tcBorders>
          </w:tcPr>
          <w:p>
            <w:pPr>
              <w:spacing w:after="0"/>
              <w:rPr>
                <w:sz w:val="10"/>
                <w:szCs w:val="10"/>
                <w:color w:val="auto"/>
              </w:rPr>
            </w:pPr>
          </w:p>
        </w:tc>
        <w:tc>
          <w:tcPr>
            <w:tcW w:w="500" w:type="dxa"/>
            <w:vAlign w:val="bottom"/>
            <w:tcBorders>
              <w:right w:val="single" w:sz="8" w:color="231F20"/>
            </w:tcBorders>
            <w:vMerge w:val="continue"/>
          </w:tcPr>
          <w:p>
            <w:pPr>
              <w:spacing w:after="0"/>
              <w:rPr>
                <w:sz w:val="10"/>
                <w:szCs w:val="10"/>
                <w:color w:val="auto"/>
              </w:rPr>
            </w:pPr>
          </w:p>
        </w:tc>
        <w:tc>
          <w:tcPr>
            <w:tcW w:w="7620" w:type="dxa"/>
            <w:vAlign w:val="bottom"/>
            <w:tcBorders>
              <w:right w:val="single" w:sz="8" w:color="231F2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420" w:type="dxa"/>
            <w:vAlign w:val="bottom"/>
            <w:tcBorders>
              <w:left w:val="single" w:sz="8" w:color="231F20"/>
            </w:tcBorders>
            <w:vMerge w:val="continue"/>
          </w:tcPr>
          <w:p>
            <w:pPr>
              <w:spacing w:after="0"/>
              <w:rPr>
                <w:sz w:val="17"/>
                <w:szCs w:val="17"/>
                <w:color w:val="auto"/>
              </w:rPr>
            </w:pPr>
          </w:p>
        </w:tc>
        <w:tc>
          <w:tcPr>
            <w:tcW w:w="200" w:type="dxa"/>
            <w:vAlign w:val="bottom"/>
            <w:tcBorders>
              <w:right w:val="single" w:sz="8" w:color="231F20"/>
            </w:tcBorders>
          </w:tcPr>
          <w:p>
            <w:pPr>
              <w:spacing w:after="0"/>
              <w:rPr>
                <w:sz w:val="17"/>
                <w:szCs w:val="17"/>
                <w:color w:val="auto"/>
              </w:rPr>
            </w:pPr>
          </w:p>
        </w:tc>
        <w:tc>
          <w:tcPr>
            <w:tcW w:w="500" w:type="dxa"/>
            <w:vAlign w:val="bottom"/>
            <w:tcBorders>
              <w:right w:val="single" w:sz="8" w:color="231F20"/>
            </w:tcBorders>
            <w:vMerge w:val="continue"/>
          </w:tcPr>
          <w:p>
            <w:pPr>
              <w:spacing w:after="0"/>
              <w:rPr>
                <w:sz w:val="17"/>
                <w:szCs w:val="17"/>
                <w:color w:val="auto"/>
              </w:rPr>
            </w:pPr>
          </w:p>
        </w:tc>
        <w:tc>
          <w:tcPr>
            <w:tcW w:w="7620" w:type="dxa"/>
            <w:vAlign w:val="bottom"/>
            <w:tcBorders>
              <w:right w:val="single" w:sz="8" w:color="231F20"/>
            </w:tcBorders>
          </w:tcPr>
          <w:p>
            <w:pPr>
              <w:ind w:left="40"/>
              <w:spacing w:after="0" w:line="200" w:lineRule="exact"/>
              <w:rPr>
                <w:sz w:val="20"/>
                <w:szCs w:val="20"/>
                <w:color w:val="auto"/>
              </w:rPr>
            </w:pPr>
            <w:r>
              <w:rPr>
                <w:rFonts w:ascii="Times New Roman" w:cs="Times New Roman" w:eastAsia="Times New Roman" w:hAnsi="Times New Roman"/>
                <w:sz w:val="20"/>
                <w:szCs w:val="20"/>
                <w:color w:val="231F20"/>
              </w:rPr>
              <w:t>Vice President and General Counsel since 2006. Mr. Hunter joined Marriott International in</w:t>
            </w:r>
          </w:p>
        </w:tc>
        <w:tc>
          <w:tcPr>
            <w:tcW w:w="0" w:type="dxa"/>
            <w:vAlign w:val="bottom"/>
          </w:tcPr>
          <w:p>
            <w:pPr>
              <w:spacing w:after="0"/>
              <w:rPr>
                <w:sz w:val="1"/>
                <w:szCs w:val="1"/>
                <w:color w:val="auto"/>
              </w:rPr>
            </w:pPr>
          </w:p>
        </w:tc>
      </w:tr>
      <w:tr>
        <w:trPr>
          <w:trHeight w:val="140"/>
        </w:trPr>
        <w:tc>
          <w:tcPr>
            <w:tcW w:w="1420" w:type="dxa"/>
            <w:vAlign w:val="bottom"/>
            <w:tcBorders>
              <w:left w:val="single" w:sz="8" w:color="231F20"/>
            </w:tcBorders>
          </w:tcPr>
          <w:p>
            <w:pPr>
              <w:ind w:left="60"/>
              <w:spacing w:after="0" w:line="140" w:lineRule="exact"/>
              <w:rPr>
                <w:sz w:val="20"/>
                <w:szCs w:val="20"/>
                <w:color w:val="auto"/>
              </w:rPr>
            </w:pPr>
            <w:r>
              <w:rPr>
                <w:rFonts w:ascii="Times New Roman" w:cs="Times New Roman" w:eastAsia="Times New Roman" w:hAnsi="Times New Roman"/>
                <w:sz w:val="16"/>
                <w:szCs w:val="16"/>
                <w:color w:val="231F20"/>
              </w:rPr>
              <w:t>President and</w:t>
            </w:r>
          </w:p>
        </w:tc>
        <w:tc>
          <w:tcPr>
            <w:tcW w:w="200" w:type="dxa"/>
            <w:vAlign w:val="bottom"/>
            <w:tcBorders>
              <w:right w:val="single" w:sz="8" w:color="231F20"/>
            </w:tcBorders>
          </w:tcPr>
          <w:p>
            <w:pPr>
              <w:spacing w:after="0"/>
              <w:rPr>
                <w:sz w:val="12"/>
                <w:szCs w:val="12"/>
                <w:color w:val="auto"/>
              </w:rPr>
            </w:pPr>
          </w:p>
        </w:tc>
        <w:tc>
          <w:tcPr>
            <w:tcW w:w="500" w:type="dxa"/>
            <w:vAlign w:val="bottom"/>
            <w:tcBorders>
              <w:right w:val="single" w:sz="8" w:color="231F20"/>
            </w:tcBorders>
          </w:tcPr>
          <w:p>
            <w:pPr>
              <w:spacing w:after="0"/>
              <w:rPr>
                <w:sz w:val="12"/>
                <w:szCs w:val="12"/>
                <w:color w:val="auto"/>
              </w:rPr>
            </w:pPr>
          </w:p>
        </w:tc>
        <w:tc>
          <w:tcPr>
            <w:tcW w:w="762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20"/>
                <w:szCs w:val="20"/>
                <w:color w:val="231F20"/>
              </w:rPr>
              <w:t>1994.</w:t>
            </w:r>
          </w:p>
        </w:tc>
        <w:tc>
          <w:tcPr>
            <w:tcW w:w="0" w:type="dxa"/>
            <w:vAlign w:val="bottom"/>
          </w:tcPr>
          <w:p>
            <w:pPr>
              <w:spacing w:after="0"/>
              <w:rPr>
                <w:sz w:val="1"/>
                <w:szCs w:val="1"/>
                <w:color w:val="auto"/>
              </w:rPr>
            </w:pPr>
          </w:p>
        </w:tc>
      </w:tr>
      <w:tr>
        <w:trPr>
          <w:trHeight w:val="160"/>
        </w:trPr>
        <w:tc>
          <w:tcPr>
            <w:tcW w:w="1420" w:type="dxa"/>
            <w:vAlign w:val="bottom"/>
            <w:tcBorders>
              <w:left w:val="single" w:sz="8" w:color="231F20"/>
            </w:tcBorders>
            <w:vMerge w:val="restart"/>
          </w:tcPr>
          <w:p>
            <w:pPr>
              <w:ind w:left="60"/>
              <w:spacing w:after="0"/>
              <w:rPr>
                <w:sz w:val="20"/>
                <w:szCs w:val="20"/>
                <w:color w:val="auto"/>
              </w:rPr>
            </w:pPr>
            <w:r>
              <w:rPr>
                <w:rFonts w:ascii="Times New Roman" w:cs="Times New Roman" w:eastAsia="Times New Roman" w:hAnsi="Times New Roman"/>
                <w:sz w:val="20"/>
                <w:szCs w:val="20"/>
                <w:color w:val="231F20"/>
              </w:rPr>
              <w:t>General Counsel</w:t>
            </w:r>
          </w:p>
        </w:tc>
        <w:tc>
          <w:tcPr>
            <w:tcW w:w="200" w:type="dxa"/>
            <w:vAlign w:val="bottom"/>
            <w:tcBorders>
              <w:right w:val="single" w:sz="8" w:color="231F20"/>
            </w:tcBorders>
          </w:tcPr>
          <w:p>
            <w:pPr>
              <w:spacing w:after="0"/>
              <w:rPr>
                <w:sz w:val="13"/>
                <w:szCs w:val="13"/>
                <w:color w:val="auto"/>
              </w:rPr>
            </w:pPr>
          </w:p>
        </w:tc>
        <w:tc>
          <w:tcPr>
            <w:tcW w:w="500" w:type="dxa"/>
            <w:vAlign w:val="bottom"/>
            <w:tcBorders>
              <w:right w:val="single" w:sz="8" w:color="231F20"/>
            </w:tcBorders>
          </w:tcPr>
          <w:p>
            <w:pPr>
              <w:spacing w:after="0"/>
              <w:rPr>
                <w:sz w:val="13"/>
                <w:szCs w:val="13"/>
                <w:color w:val="auto"/>
              </w:rPr>
            </w:pPr>
          </w:p>
        </w:tc>
        <w:tc>
          <w:tcPr>
            <w:tcW w:w="7620" w:type="dxa"/>
            <w:vAlign w:val="bottom"/>
            <w:tcBorders>
              <w:right w:val="single" w:sz="8" w:color="231F20"/>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420" w:type="dxa"/>
            <w:vAlign w:val="bottom"/>
            <w:tcBorders>
              <w:left w:val="single" w:sz="8" w:color="231F20"/>
            </w:tcBorders>
            <w:vMerge w:val="continue"/>
          </w:tcPr>
          <w:p>
            <w:pPr>
              <w:spacing w:after="0"/>
              <w:rPr>
                <w:sz w:val="8"/>
                <w:szCs w:val="8"/>
                <w:color w:val="auto"/>
              </w:rPr>
            </w:pPr>
          </w:p>
        </w:tc>
        <w:tc>
          <w:tcPr>
            <w:tcW w:w="200" w:type="dxa"/>
            <w:vAlign w:val="bottom"/>
            <w:tcBorders>
              <w:right w:val="single" w:sz="8" w:color="231F20"/>
            </w:tcBorders>
          </w:tcPr>
          <w:p>
            <w:pPr>
              <w:spacing w:after="0"/>
              <w:rPr>
                <w:sz w:val="8"/>
                <w:szCs w:val="8"/>
                <w:color w:val="auto"/>
              </w:rPr>
            </w:pPr>
          </w:p>
        </w:tc>
        <w:tc>
          <w:tcPr>
            <w:tcW w:w="500" w:type="dxa"/>
            <w:vAlign w:val="bottom"/>
            <w:tcBorders>
              <w:right w:val="single" w:sz="8" w:color="231F20"/>
            </w:tcBorders>
          </w:tcPr>
          <w:p>
            <w:pPr>
              <w:spacing w:after="0"/>
              <w:rPr>
                <w:sz w:val="8"/>
                <w:szCs w:val="8"/>
                <w:color w:val="auto"/>
              </w:rPr>
            </w:pPr>
          </w:p>
        </w:tc>
        <w:tc>
          <w:tcPr>
            <w:tcW w:w="7620" w:type="dxa"/>
            <w:vAlign w:val="bottom"/>
            <w:tcBorders>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420" w:type="dxa"/>
            <w:vAlign w:val="bottom"/>
            <w:tcBorders>
              <w:left w:val="single" w:sz="8" w:color="231F20"/>
              <w:bottom w:val="single" w:sz="8" w:color="231F20"/>
            </w:tcBorders>
          </w:tcPr>
          <w:p>
            <w:pPr>
              <w:spacing w:after="0"/>
              <w:rPr>
                <w:sz w:val="8"/>
                <w:szCs w:val="8"/>
                <w:color w:val="auto"/>
              </w:rPr>
            </w:pPr>
          </w:p>
        </w:tc>
        <w:tc>
          <w:tcPr>
            <w:tcW w:w="200" w:type="dxa"/>
            <w:vAlign w:val="bottom"/>
            <w:tcBorders>
              <w:bottom w:val="single" w:sz="8" w:color="231F20"/>
              <w:right w:val="single" w:sz="8" w:color="231F20"/>
            </w:tcBorders>
          </w:tcPr>
          <w:p>
            <w:pPr>
              <w:spacing w:after="0"/>
              <w:rPr>
                <w:sz w:val="8"/>
                <w:szCs w:val="8"/>
                <w:color w:val="auto"/>
              </w:rPr>
            </w:pPr>
          </w:p>
        </w:tc>
        <w:tc>
          <w:tcPr>
            <w:tcW w:w="500" w:type="dxa"/>
            <w:vAlign w:val="bottom"/>
            <w:tcBorders>
              <w:bottom w:val="single" w:sz="8" w:color="231F20"/>
              <w:right w:val="single" w:sz="8" w:color="231F20"/>
            </w:tcBorders>
          </w:tcPr>
          <w:p>
            <w:pPr>
              <w:spacing w:after="0"/>
              <w:rPr>
                <w:sz w:val="8"/>
                <w:szCs w:val="8"/>
                <w:color w:val="auto"/>
              </w:rPr>
            </w:pPr>
          </w:p>
        </w:tc>
        <w:tc>
          <w:tcPr>
            <w:tcW w:w="7620" w:type="dxa"/>
            <w:vAlign w:val="bottom"/>
            <w:tcBorders>
              <w:bottom w:val="single" w:sz="8" w:color="231F20"/>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420" w:type="dxa"/>
            <w:vAlign w:val="bottom"/>
            <w:tcBorders>
              <w:lef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Michael E.</w:t>
            </w:r>
          </w:p>
        </w:tc>
        <w:tc>
          <w:tcPr>
            <w:tcW w:w="200" w:type="dxa"/>
            <w:vAlign w:val="bottom"/>
            <w:tcBorders>
              <w:right w:val="single" w:sz="8" w:color="231F20"/>
            </w:tcBorders>
          </w:tcPr>
          <w:p>
            <w:pPr>
              <w:spacing w:after="0"/>
              <w:rPr>
                <w:sz w:val="23"/>
                <w:szCs w:val="23"/>
                <w:color w:val="auto"/>
              </w:rPr>
            </w:pPr>
          </w:p>
        </w:tc>
        <w:tc>
          <w:tcPr>
            <w:tcW w:w="500" w:type="dxa"/>
            <w:vAlign w:val="bottom"/>
            <w:tcBorders>
              <w:right w:val="single" w:sz="8" w:color="231F20"/>
            </w:tcBorders>
          </w:tcPr>
          <w:p>
            <w:pPr>
              <w:spacing w:after="0"/>
              <w:rPr>
                <w:sz w:val="23"/>
                <w:szCs w:val="23"/>
                <w:color w:val="auto"/>
              </w:rPr>
            </w:pPr>
          </w:p>
        </w:tc>
        <w:tc>
          <w:tcPr>
            <w:tcW w:w="7620" w:type="dxa"/>
            <w:vAlign w:val="bottom"/>
            <w:tcBorders>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1420" w:type="dxa"/>
            <w:vAlign w:val="bottom"/>
            <w:tcBorders>
              <w:lef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Yonker</w:t>
            </w:r>
          </w:p>
        </w:tc>
        <w:tc>
          <w:tcPr>
            <w:tcW w:w="200" w:type="dxa"/>
            <w:vAlign w:val="bottom"/>
            <w:tcBorders>
              <w:right w:val="single" w:sz="8" w:color="231F20"/>
            </w:tcBorders>
          </w:tcPr>
          <w:p>
            <w:pPr>
              <w:spacing w:after="0"/>
              <w:rPr>
                <w:sz w:val="24"/>
                <w:szCs w:val="24"/>
                <w:color w:val="auto"/>
              </w:rPr>
            </w:pPr>
          </w:p>
        </w:tc>
        <w:tc>
          <w:tcPr>
            <w:tcW w:w="500" w:type="dxa"/>
            <w:vAlign w:val="bottom"/>
            <w:tcBorders>
              <w:right w:val="single" w:sz="8" w:color="231F20"/>
            </w:tcBorders>
          </w:tcPr>
          <w:p>
            <w:pPr>
              <w:spacing w:after="0"/>
              <w:rPr>
                <w:sz w:val="24"/>
                <w:szCs w:val="24"/>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Michael E. Yonker has served as our Executive Vice President and Chief Human Resources</w:t>
            </w:r>
          </w:p>
        </w:tc>
        <w:tc>
          <w:tcPr>
            <w:tcW w:w="0" w:type="dxa"/>
            <w:vAlign w:val="bottom"/>
          </w:tcPr>
          <w:p>
            <w:pPr>
              <w:spacing w:after="0"/>
              <w:rPr>
                <w:sz w:val="1"/>
                <w:szCs w:val="1"/>
                <w:color w:val="auto"/>
              </w:rPr>
            </w:pPr>
          </w:p>
        </w:tc>
      </w:tr>
      <w:tr>
        <w:trPr>
          <w:trHeight w:val="220"/>
        </w:trPr>
        <w:tc>
          <w:tcPr>
            <w:tcW w:w="1420" w:type="dxa"/>
            <w:vAlign w:val="bottom"/>
            <w:tcBorders>
              <w:left w:val="single" w:sz="8" w:color="231F20"/>
            </w:tcBorders>
          </w:tcPr>
          <w:p>
            <w:pPr>
              <w:ind w:left="60"/>
              <w:spacing w:after="0" w:line="220" w:lineRule="exact"/>
              <w:rPr>
                <w:sz w:val="20"/>
                <w:szCs w:val="20"/>
                <w:color w:val="auto"/>
              </w:rPr>
            </w:pPr>
            <w:r>
              <w:rPr>
                <w:rFonts w:ascii="Times New Roman" w:cs="Times New Roman" w:eastAsia="Times New Roman" w:hAnsi="Times New Roman"/>
                <w:sz w:val="20"/>
                <w:szCs w:val="20"/>
                <w:color w:val="231F20"/>
              </w:rPr>
              <w:t>Executive Vice</w:t>
            </w:r>
          </w:p>
        </w:tc>
        <w:tc>
          <w:tcPr>
            <w:tcW w:w="200" w:type="dxa"/>
            <w:vAlign w:val="bottom"/>
            <w:tcBorders>
              <w:right w:val="single" w:sz="8" w:color="231F20"/>
            </w:tcBorders>
          </w:tcPr>
          <w:p>
            <w:pPr>
              <w:spacing w:after="0"/>
              <w:rPr>
                <w:sz w:val="19"/>
                <w:szCs w:val="19"/>
                <w:color w:val="auto"/>
              </w:rPr>
            </w:pPr>
          </w:p>
        </w:tc>
        <w:tc>
          <w:tcPr>
            <w:tcW w:w="500" w:type="dxa"/>
            <w:vAlign w:val="bottom"/>
            <w:tcBorders>
              <w:right w:val="single" w:sz="8" w:color="231F20"/>
            </w:tcBorders>
          </w:tcPr>
          <w:p>
            <w:pPr>
              <w:spacing w:after="0"/>
              <w:rPr>
                <w:sz w:val="19"/>
                <w:szCs w:val="19"/>
                <w:color w:val="auto"/>
              </w:rPr>
            </w:pPr>
          </w:p>
        </w:tc>
        <w:tc>
          <w:tcPr>
            <w:tcW w:w="7620" w:type="dxa"/>
            <w:vAlign w:val="bottom"/>
            <w:tcBorders>
              <w:right w:val="single" w:sz="8" w:color="231F20"/>
            </w:tcBorders>
          </w:tcPr>
          <w:p>
            <w:pPr>
              <w:ind w:left="40"/>
              <w:spacing w:after="0" w:line="220" w:lineRule="exact"/>
              <w:rPr>
                <w:sz w:val="20"/>
                <w:szCs w:val="20"/>
                <w:color w:val="auto"/>
              </w:rPr>
            </w:pPr>
            <w:r>
              <w:rPr>
                <w:rFonts w:ascii="Times New Roman" w:cs="Times New Roman" w:eastAsia="Times New Roman" w:hAnsi="Times New Roman"/>
                <w:sz w:val="20"/>
                <w:szCs w:val="20"/>
                <w:color w:val="231F20"/>
              </w:rPr>
              <w:t>and Global Communications Officer since January 2024. Mr. Yonker has served as our</w:t>
            </w:r>
          </w:p>
        </w:tc>
        <w:tc>
          <w:tcPr>
            <w:tcW w:w="0" w:type="dxa"/>
            <w:vAlign w:val="bottom"/>
          </w:tcPr>
          <w:p>
            <w:pPr>
              <w:spacing w:after="0"/>
              <w:rPr>
                <w:sz w:val="1"/>
                <w:szCs w:val="1"/>
                <w:color w:val="auto"/>
              </w:rPr>
            </w:pPr>
          </w:p>
        </w:tc>
      </w:tr>
      <w:tr>
        <w:trPr>
          <w:trHeight w:val="220"/>
        </w:trPr>
        <w:tc>
          <w:tcPr>
            <w:tcW w:w="1420" w:type="dxa"/>
            <w:vAlign w:val="bottom"/>
            <w:tcBorders>
              <w:left w:val="single" w:sz="8" w:color="231F20"/>
            </w:tcBorders>
          </w:tcPr>
          <w:p>
            <w:pPr>
              <w:ind w:left="60"/>
              <w:spacing w:after="0" w:line="220" w:lineRule="exact"/>
              <w:rPr>
                <w:sz w:val="20"/>
                <w:szCs w:val="20"/>
                <w:color w:val="auto"/>
              </w:rPr>
            </w:pPr>
            <w:r>
              <w:rPr>
                <w:rFonts w:ascii="Times New Roman" w:cs="Times New Roman" w:eastAsia="Times New Roman" w:hAnsi="Times New Roman"/>
                <w:sz w:val="20"/>
                <w:szCs w:val="20"/>
                <w:color w:val="231F20"/>
              </w:rPr>
              <w:t>President and</w:t>
            </w:r>
          </w:p>
        </w:tc>
        <w:tc>
          <w:tcPr>
            <w:tcW w:w="200" w:type="dxa"/>
            <w:vAlign w:val="bottom"/>
            <w:tcBorders>
              <w:right w:val="single" w:sz="8" w:color="231F20"/>
            </w:tcBorders>
          </w:tcPr>
          <w:p>
            <w:pPr>
              <w:spacing w:after="0"/>
              <w:rPr>
                <w:sz w:val="19"/>
                <w:szCs w:val="19"/>
                <w:color w:val="auto"/>
              </w:rPr>
            </w:pPr>
          </w:p>
        </w:tc>
        <w:tc>
          <w:tcPr>
            <w:tcW w:w="50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67</w:t>
            </w:r>
          </w:p>
        </w:tc>
        <w:tc>
          <w:tcPr>
            <w:tcW w:w="7620" w:type="dxa"/>
            <w:vAlign w:val="bottom"/>
            <w:tcBorders>
              <w:right w:val="single" w:sz="8" w:color="231F20"/>
            </w:tcBorders>
          </w:tcPr>
          <w:p>
            <w:pPr>
              <w:ind w:left="40"/>
              <w:spacing w:after="0" w:line="220" w:lineRule="exact"/>
              <w:rPr>
                <w:sz w:val="20"/>
                <w:szCs w:val="20"/>
                <w:color w:val="auto"/>
              </w:rPr>
            </w:pPr>
            <w:r>
              <w:rPr>
                <w:rFonts w:ascii="Times New Roman" w:cs="Times New Roman" w:eastAsia="Times New Roman" w:hAnsi="Times New Roman"/>
                <w:sz w:val="20"/>
                <w:szCs w:val="20"/>
                <w:color w:val="231F20"/>
              </w:rPr>
              <w:t>Executive Vice President and Chief Human Resources Officer from December 2011 to</w:t>
            </w:r>
          </w:p>
        </w:tc>
        <w:tc>
          <w:tcPr>
            <w:tcW w:w="0" w:type="dxa"/>
            <w:vAlign w:val="bottom"/>
          </w:tcPr>
          <w:p>
            <w:pPr>
              <w:spacing w:after="0"/>
              <w:rPr>
                <w:sz w:val="1"/>
                <w:szCs w:val="1"/>
                <w:color w:val="auto"/>
              </w:rPr>
            </w:pPr>
          </w:p>
        </w:tc>
      </w:tr>
      <w:tr>
        <w:trPr>
          <w:trHeight w:val="240"/>
        </w:trPr>
        <w:tc>
          <w:tcPr>
            <w:tcW w:w="1420" w:type="dxa"/>
            <w:vAlign w:val="bottom"/>
            <w:tcBorders>
              <w:lef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Chief Human</w:t>
            </w:r>
          </w:p>
        </w:tc>
        <w:tc>
          <w:tcPr>
            <w:tcW w:w="200" w:type="dxa"/>
            <w:vAlign w:val="bottom"/>
            <w:tcBorders>
              <w:right w:val="single" w:sz="8" w:color="231F20"/>
            </w:tcBorders>
          </w:tcPr>
          <w:p>
            <w:pPr>
              <w:spacing w:after="0"/>
              <w:rPr>
                <w:sz w:val="20"/>
                <w:szCs w:val="20"/>
                <w:color w:val="auto"/>
              </w:rPr>
            </w:pPr>
          </w:p>
        </w:tc>
        <w:tc>
          <w:tcPr>
            <w:tcW w:w="500" w:type="dxa"/>
            <w:vAlign w:val="bottom"/>
            <w:tcBorders>
              <w:right w:val="single" w:sz="8" w:color="231F20"/>
            </w:tcBorders>
            <w:vMerge w:val="continue"/>
          </w:tcPr>
          <w:p>
            <w:pPr>
              <w:spacing w:after="0"/>
              <w:rPr>
                <w:sz w:val="20"/>
                <w:szCs w:val="20"/>
                <w:color w:val="auto"/>
              </w:rPr>
            </w:pPr>
          </w:p>
        </w:tc>
        <w:tc>
          <w:tcPr>
            <w:tcW w:w="76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December 2023. Prior to that time, he served as our Chief Human Resources Officer since</w:t>
            </w:r>
          </w:p>
        </w:tc>
        <w:tc>
          <w:tcPr>
            <w:tcW w:w="0" w:type="dxa"/>
            <w:vAlign w:val="bottom"/>
          </w:tcPr>
          <w:p>
            <w:pPr>
              <w:spacing w:after="0"/>
              <w:rPr>
                <w:sz w:val="1"/>
                <w:szCs w:val="1"/>
                <w:color w:val="auto"/>
              </w:rPr>
            </w:pPr>
          </w:p>
        </w:tc>
      </w:tr>
      <w:tr>
        <w:trPr>
          <w:trHeight w:val="140"/>
        </w:trPr>
        <w:tc>
          <w:tcPr>
            <w:tcW w:w="1420" w:type="dxa"/>
            <w:vAlign w:val="bottom"/>
            <w:tcBorders>
              <w:left w:val="single" w:sz="8" w:color="231F20"/>
            </w:tcBorders>
          </w:tcPr>
          <w:p>
            <w:pPr>
              <w:ind w:left="60"/>
              <w:spacing w:after="0" w:line="140" w:lineRule="exact"/>
              <w:rPr>
                <w:sz w:val="20"/>
                <w:szCs w:val="20"/>
                <w:color w:val="auto"/>
              </w:rPr>
            </w:pPr>
            <w:r>
              <w:rPr>
                <w:rFonts w:ascii="Times New Roman" w:cs="Times New Roman" w:eastAsia="Times New Roman" w:hAnsi="Times New Roman"/>
                <w:sz w:val="16"/>
                <w:szCs w:val="16"/>
                <w:color w:val="231F20"/>
              </w:rPr>
              <w:t>Resources and</w:t>
            </w:r>
          </w:p>
        </w:tc>
        <w:tc>
          <w:tcPr>
            <w:tcW w:w="200" w:type="dxa"/>
            <w:vAlign w:val="bottom"/>
            <w:tcBorders>
              <w:right w:val="single" w:sz="8" w:color="231F20"/>
            </w:tcBorders>
          </w:tcPr>
          <w:p>
            <w:pPr>
              <w:spacing w:after="0"/>
              <w:rPr>
                <w:sz w:val="12"/>
                <w:szCs w:val="12"/>
                <w:color w:val="auto"/>
              </w:rPr>
            </w:pPr>
          </w:p>
        </w:tc>
        <w:tc>
          <w:tcPr>
            <w:tcW w:w="500" w:type="dxa"/>
            <w:vAlign w:val="bottom"/>
            <w:tcBorders>
              <w:right w:val="single" w:sz="8" w:color="231F20"/>
            </w:tcBorders>
          </w:tcPr>
          <w:p>
            <w:pPr>
              <w:spacing w:after="0"/>
              <w:rPr>
                <w:sz w:val="12"/>
                <w:szCs w:val="12"/>
                <w:color w:val="auto"/>
              </w:rPr>
            </w:pPr>
          </w:p>
        </w:tc>
        <w:tc>
          <w:tcPr>
            <w:tcW w:w="762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20"/>
                <w:szCs w:val="20"/>
                <w:color w:val="231F20"/>
              </w:rPr>
              <w:t>2010. Mr. Yonker joined Marriott International in 1983. In January 2026, Mr. Yonker</w:t>
            </w:r>
          </w:p>
        </w:tc>
        <w:tc>
          <w:tcPr>
            <w:tcW w:w="0" w:type="dxa"/>
            <w:vAlign w:val="bottom"/>
          </w:tcPr>
          <w:p>
            <w:pPr>
              <w:spacing w:after="0"/>
              <w:rPr>
                <w:sz w:val="1"/>
                <w:szCs w:val="1"/>
                <w:color w:val="auto"/>
              </w:rPr>
            </w:pPr>
          </w:p>
        </w:tc>
      </w:tr>
      <w:tr>
        <w:trPr>
          <w:trHeight w:val="140"/>
        </w:trPr>
        <w:tc>
          <w:tcPr>
            <w:tcW w:w="1420" w:type="dxa"/>
            <w:vAlign w:val="bottom"/>
            <w:tcBorders>
              <w:left w:val="single" w:sz="8" w:color="231F20"/>
            </w:tcBorders>
            <w:vMerge w:val="restart"/>
          </w:tcPr>
          <w:p>
            <w:pPr>
              <w:ind w:left="60"/>
              <w:spacing w:after="0" w:line="200" w:lineRule="exact"/>
              <w:rPr>
                <w:sz w:val="20"/>
                <w:szCs w:val="20"/>
                <w:color w:val="auto"/>
              </w:rPr>
            </w:pPr>
            <w:r>
              <w:rPr>
                <w:rFonts w:ascii="Times New Roman" w:cs="Times New Roman" w:eastAsia="Times New Roman" w:hAnsi="Times New Roman"/>
                <w:sz w:val="20"/>
                <w:szCs w:val="20"/>
                <w:color w:val="231F20"/>
              </w:rPr>
              <w:t>Global</w:t>
            </w:r>
          </w:p>
        </w:tc>
        <w:tc>
          <w:tcPr>
            <w:tcW w:w="200" w:type="dxa"/>
            <w:vAlign w:val="bottom"/>
            <w:tcBorders>
              <w:right w:val="single" w:sz="8" w:color="231F20"/>
            </w:tcBorders>
          </w:tcPr>
          <w:p>
            <w:pPr>
              <w:spacing w:after="0"/>
              <w:rPr>
                <w:sz w:val="12"/>
                <w:szCs w:val="12"/>
                <w:color w:val="auto"/>
              </w:rPr>
            </w:pPr>
          </w:p>
        </w:tc>
        <w:tc>
          <w:tcPr>
            <w:tcW w:w="500" w:type="dxa"/>
            <w:vAlign w:val="bottom"/>
            <w:tcBorders>
              <w:right w:val="single" w:sz="8" w:color="231F20"/>
            </w:tcBorders>
          </w:tcPr>
          <w:p>
            <w:pPr>
              <w:spacing w:after="0"/>
              <w:rPr>
                <w:sz w:val="12"/>
                <w:szCs w:val="12"/>
                <w:color w:val="auto"/>
              </w:rPr>
            </w:pPr>
          </w:p>
        </w:tc>
        <w:tc>
          <w:tcPr>
            <w:tcW w:w="7620" w:type="dxa"/>
            <w:vAlign w:val="bottom"/>
            <w:tcBorders>
              <w:right w:val="single" w:sz="8" w:color="231F2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420" w:type="dxa"/>
            <w:vAlign w:val="bottom"/>
            <w:tcBorders>
              <w:left w:val="single" w:sz="8" w:color="231F20"/>
            </w:tcBorders>
            <w:vMerge w:val="continue"/>
          </w:tcPr>
          <w:p>
            <w:pPr>
              <w:spacing w:after="0"/>
              <w:rPr>
                <w:sz w:val="5"/>
                <w:szCs w:val="5"/>
                <w:color w:val="auto"/>
              </w:rPr>
            </w:pPr>
          </w:p>
        </w:tc>
        <w:tc>
          <w:tcPr>
            <w:tcW w:w="200" w:type="dxa"/>
            <w:vAlign w:val="bottom"/>
            <w:tcBorders>
              <w:right w:val="single" w:sz="8" w:color="231F20"/>
            </w:tcBorders>
          </w:tcPr>
          <w:p>
            <w:pPr>
              <w:spacing w:after="0"/>
              <w:rPr>
                <w:sz w:val="5"/>
                <w:szCs w:val="5"/>
                <w:color w:val="auto"/>
              </w:rPr>
            </w:pPr>
          </w:p>
        </w:tc>
        <w:tc>
          <w:tcPr>
            <w:tcW w:w="500" w:type="dxa"/>
            <w:vAlign w:val="bottom"/>
            <w:tcBorders>
              <w:right w:val="single" w:sz="8" w:color="231F20"/>
            </w:tcBorders>
          </w:tcPr>
          <w:p>
            <w:pPr>
              <w:spacing w:after="0"/>
              <w:rPr>
                <w:sz w:val="5"/>
                <w:szCs w:val="5"/>
                <w:color w:val="auto"/>
              </w:rPr>
            </w:pPr>
          </w:p>
        </w:tc>
        <w:tc>
          <w:tcPr>
            <w:tcW w:w="762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20"/>
                <w:szCs w:val="20"/>
                <w:color w:val="231F20"/>
              </w:rPr>
              <w:t>announced his decision to retire on February 28, 2026.</w:t>
            </w:r>
          </w:p>
        </w:tc>
        <w:tc>
          <w:tcPr>
            <w:tcW w:w="0" w:type="dxa"/>
            <w:vAlign w:val="bottom"/>
          </w:tcPr>
          <w:p>
            <w:pPr>
              <w:spacing w:after="0"/>
              <w:rPr>
                <w:sz w:val="1"/>
                <w:szCs w:val="1"/>
                <w:color w:val="auto"/>
              </w:rPr>
            </w:pPr>
          </w:p>
        </w:tc>
      </w:tr>
      <w:tr>
        <w:trPr>
          <w:trHeight w:val="200"/>
        </w:trPr>
        <w:tc>
          <w:tcPr>
            <w:tcW w:w="1420" w:type="dxa"/>
            <w:vAlign w:val="bottom"/>
            <w:tcBorders>
              <w:left w:val="single" w:sz="8" w:color="231F20"/>
            </w:tcBorders>
          </w:tcPr>
          <w:p>
            <w:pPr>
              <w:ind w:left="60"/>
              <w:spacing w:after="0" w:line="200" w:lineRule="exact"/>
              <w:rPr>
                <w:sz w:val="20"/>
                <w:szCs w:val="20"/>
                <w:color w:val="auto"/>
              </w:rPr>
            </w:pPr>
            <w:r>
              <w:rPr>
                <w:rFonts w:ascii="Times New Roman" w:cs="Times New Roman" w:eastAsia="Times New Roman" w:hAnsi="Times New Roman"/>
                <w:sz w:val="20"/>
                <w:szCs w:val="20"/>
                <w:color w:val="231F20"/>
                <w:w w:val="98"/>
              </w:rPr>
              <w:t>Communications</w:t>
            </w:r>
          </w:p>
        </w:tc>
        <w:tc>
          <w:tcPr>
            <w:tcW w:w="200" w:type="dxa"/>
            <w:vAlign w:val="bottom"/>
            <w:tcBorders>
              <w:right w:val="single" w:sz="8" w:color="231F20"/>
            </w:tcBorders>
          </w:tcPr>
          <w:p>
            <w:pPr>
              <w:spacing w:after="0"/>
              <w:rPr>
                <w:sz w:val="17"/>
                <w:szCs w:val="17"/>
                <w:color w:val="auto"/>
              </w:rPr>
            </w:pPr>
          </w:p>
        </w:tc>
        <w:tc>
          <w:tcPr>
            <w:tcW w:w="500" w:type="dxa"/>
            <w:vAlign w:val="bottom"/>
            <w:tcBorders>
              <w:right w:val="single" w:sz="8" w:color="231F20"/>
            </w:tcBorders>
          </w:tcPr>
          <w:p>
            <w:pPr>
              <w:spacing w:after="0"/>
              <w:rPr>
                <w:sz w:val="17"/>
                <w:szCs w:val="17"/>
                <w:color w:val="auto"/>
              </w:rPr>
            </w:pPr>
          </w:p>
        </w:tc>
        <w:tc>
          <w:tcPr>
            <w:tcW w:w="7620" w:type="dxa"/>
            <w:vAlign w:val="bottom"/>
            <w:tcBorders>
              <w:right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420" w:type="dxa"/>
            <w:vAlign w:val="bottom"/>
            <w:tcBorders>
              <w:left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Officer</w:t>
            </w:r>
          </w:p>
        </w:tc>
        <w:tc>
          <w:tcPr>
            <w:tcW w:w="200" w:type="dxa"/>
            <w:vAlign w:val="bottom"/>
            <w:tcBorders>
              <w:right w:val="single" w:sz="8" w:color="231F20"/>
            </w:tcBorders>
          </w:tcPr>
          <w:p>
            <w:pPr>
              <w:spacing w:after="0"/>
              <w:rPr>
                <w:sz w:val="22"/>
                <w:szCs w:val="22"/>
                <w:color w:val="auto"/>
              </w:rPr>
            </w:pPr>
          </w:p>
        </w:tc>
        <w:tc>
          <w:tcPr>
            <w:tcW w:w="500" w:type="dxa"/>
            <w:vAlign w:val="bottom"/>
            <w:tcBorders>
              <w:right w:val="single" w:sz="8" w:color="231F20"/>
            </w:tcBorders>
          </w:tcPr>
          <w:p>
            <w:pPr>
              <w:spacing w:after="0"/>
              <w:rPr>
                <w:sz w:val="22"/>
                <w:szCs w:val="22"/>
                <w:color w:val="auto"/>
              </w:rPr>
            </w:pPr>
          </w:p>
        </w:tc>
        <w:tc>
          <w:tcPr>
            <w:tcW w:w="762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1420" w:type="dxa"/>
            <w:vAlign w:val="bottom"/>
            <w:tcBorders>
              <w:left w:val="single" w:sz="8" w:color="231F20"/>
              <w:bottom w:val="single" w:sz="8" w:color="231F20"/>
            </w:tcBorders>
          </w:tcPr>
          <w:p>
            <w:pPr>
              <w:spacing w:after="0"/>
              <w:rPr>
                <w:sz w:val="7"/>
                <w:szCs w:val="7"/>
                <w:color w:val="auto"/>
              </w:rPr>
            </w:pPr>
          </w:p>
        </w:tc>
        <w:tc>
          <w:tcPr>
            <w:tcW w:w="200" w:type="dxa"/>
            <w:vAlign w:val="bottom"/>
            <w:tcBorders>
              <w:bottom w:val="single" w:sz="8" w:color="231F20"/>
              <w:right w:val="single" w:sz="8" w:color="231F20"/>
            </w:tcBorders>
          </w:tcPr>
          <w:p>
            <w:pPr>
              <w:spacing w:after="0"/>
              <w:rPr>
                <w:sz w:val="7"/>
                <w:szCs w:val="7"/>
                <w:color w:val="auto"/>
              </w:rPr>
            </w:pPr>
          </w:p>
        </w:tc>
        <w:tc>
          <w:tcPr>
            <w:tcW w:w="500" w:type="dxa"/>
            <w:vAlign w:val="bottom"/>
            <w:tcBorders>
              <w:bottom w:val="single" w:sz="8" w:color="231F20"/>
              <w:right w:val="single" w:sz="8" w:color="231F20"/>
            </w:tcBorders>
          </w:tcPr>
          <w:p>
            <w:pPr>
              <w:spacing w:after="0"/>
              <w:rPr>
                <w:sz w:val="7"/>
                <w:szCs w:val="7"/>
                <w:color w:val="auto"/>
              </w:rPr>
            </w:pPr>
          </w:p>
        </w:tc>
        <w:tc>
          <w:tcPr>
            <w:tcW w:w="762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465"/>
        </w:trPr>
        <w:tc>
          <w:tcPr>
            <w:tcW w:w="142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Item 1A.</w:t>
            </w:r>
          </w:p>
        </w:tc>
        <w:tc>
          <w:tcPr>
            <w:tcW w:w="832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231F20"/>
              </w:rPr>
              <w:t>Risk Factors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2006600</wp:posOffset>
            </wp:positionH>
            <wp:positionV relativeFrom="page">
              <wp:posOffset>558800</wp:posOffset>
            </wp:positionV>
            <wp:extent cx="486410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4864100" cy="25400"/>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-4085590</wp:posOffset>
            </wp:positionV>
            <wp:extent cx="486410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extLst>
                    </a:blip>
                    <a:srcRect/>
                    <a:stretch>
                      <a:fillRect/>
                    </a:stretch>
                  </pic:blipFill>
                  <pic:spPr bwMode="auto">
                    <a:xfrm>
                      <a:off x="0" y="0"/>
                      <a:ext cx="4864100" cy="25400"/>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-2561590</wp:posOffset>
            </wp:positionV>
            <wp:extent cx="486410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4864100" cy="25400"/>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-1685290</wp:posOffset>
            </wp:positionV>
            <wp:extent cx="486410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extLst>
                    </a:blip>
                    <a:srcRect/>
                    <a:stretch>
                      <a:fillRect/>
                    </a:stretch>
                  </pic:blipFill>
                  <pic:spPr bwMode="auto">
                    <a:xfrm>
                      <a:off x="0" y="0"/>
                      <a:ext cx="4864100" cy="25400"/>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-313690</wp:posOffset>
            </wp:positionV>
            <wp:extent cx="486410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extLst>
                    </a:blip>
                    <a:srcRect/>
                    <a:stretch>
                      <a:fillRect/>
                    </a:stretch>
                  </pic:blipFill>
                  <pic:spPr bwMode="auto">
                    <a:xfrm>
                      <a:off x="0" y="0"/>
                      <a:ext cx="4864100" cy="25400"/>
                    </a:xfrm>
                    <a:prstGeom prst="rect">
                      <a:avLst/>
                    </a:prstGeom>
                    <a:noFill/>
                  </pic:spPr>
                </pic:pic>
              </a:graphicData>
            </a:graphic>
          </wp:anchor>
        </w:drawing>
      </w:r>
    </w:p>
    <w:p>
      <w:pPr>
        <w:spacing w:after="0" w:line="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231F20"/>
        </w:rPr>
        <w:t>This section describes circumstances or events that could have a negative effect on our financial results or operations or that could change, for the worse, existing trends in our businesses. The occurrence of one or more of the circumstances or events described below could have a material adverse effect on our financial condition, results of operations and cash flows and/or on the trading prices of our common stock. The risks and uncertainties described in this Annual Report are not the only ones facing us. Additional risks and uncertainties that currently are not known to us or that we currently believe are immaterial also may adversely affect our businesses and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business and industry.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business may be adversely affected by factors that disrupt or deter travel.</w:t>
      </w:r>
    </w:p>
    <w:p>
      <w:pPr>
        <w:spacing w:after="0" w:line="13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231F20"/>
        </w:rPr>
        <w:t>Our success and results of operations depend, in substantial part, upon the health of the worldwide vacation ownership and leisure travel industries, and may be adversely affected by a number of factors that can disrupt or deter travel. A substantial amount of our sales activity occurs at our resorts, and sales volume is affected by the number of visitors at our resorts. Fear of exposure to contagious illnesses, natural or man-made disasters, the physical effects of climate change, such as more frequent or severe storms, droughts, hurricanes, wildfires, erosion and flooding, weakened consumer confidence, limited availability or increased costs of consumer credit, damage to infrastructure caused by natural or man-made disasters, changes in government policies affecting travel such as modifications to visa processing, entry requirements, border controls, or other travel-related regulations or policies or other changes that impact travelers’ interest in traveling to locations in which our resorts are located, and other causes that impede travel have caused, and may in the future cause, travelers to delay or cancel plans to tour or visit our resorts. For example, hurricanes and wildfires have caused a number of Interval International exchange network resorts and our managed vacation ownership resorts to close for prolonged periods. The 2023 wildfires in Maui also resulted in the temporary closure of our resorts and sales centers in Maui, which had an adverse effect on our business and results of operations for 2023 and 2024. At times, beach access at certain of our resorts and our managed resorts has been impeded by weather conditions or due to the effects of erosion. Actual or threatened war, civil unrest and terrorist activity, as well as heightened travel security measures, could also interrupt or deter travel plans. In addition, demand for our products and services may decrease if the cost of travel, including the cost of transportation and fuel, increases, airlift to vacation destinations decreases, airline or airport disruptions, flight cancellations or unreliability of various modes of transportation increases, or if general economic conditions decline.</w:t>
      </w:r>
    </w:p>
    <w:p>
      <w:pPr>
        <w:sectPr>
          <w:pgSz w:w="11880" w:h="15480" w:orient="portrait"/>
          <w:cols w:equalWidth="0" w:num="1">
            <w:col w:w="9740"/>
          </w:cols>
          <w:pgMar w:left="1080" w:top="870" w:right="1060" w:bottom="0" w:gutter="0" w:footer="0" w:header="0"/>
        </w:sect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9740"/>
          </w:cols>
          <w:pgMar w:left="1080" w:top="870" w:right="1060" w:bottom="0" w:gutter="0" w:footer="0" w:header="0"/>
          <w:type w:val="continuous"/>
        </w:sectPr>
      </w:pPr>
    </w:p>
    <w:bookmarkStart w:id="27" w:name="page28"/>
    <w:bookmarkEnd w:id="27"/>
    <w:p>
      <w:pPr>
        <w:spacing w:after="0" w:line="258" w:lineRule="auto"/>
        <w:rPr>
          <w:sz w:val="20"/>
          <w:szCs w:val="20"/>
          <w:color w:val="auto"/>
        </w:rPr>
      </w:pPr>
      <w:r>
        <w:rPr>
          <w:rFonts w:ascii="Times New Roman" w:cs="Times New Roman" w:eastAsia="Times New Roman" w:hAnsi="Times New Roman"/>
          <w:sz w:val="20"/>
          <w:szCs w:val="20"/>
          <w:color w:val="231F20"/>
        </w:rPr>
        <w:t>Our ability to process exchanges for members and to find purchasers and renters for accommodations we market or manage, as well as the need for the vacation rental and property management services we provide, largely depends on the continued desirability of the key vacation destinations in which our branded, managed or exchange properties are concentrated. Changes in the desirability of the destinations where these resorts are located and changes in vacation and travel patterns may adversely affect our cash flows and results of operations.</w:t>
      </w:r>
    </w:p>
    <w:p>
      <w:pPr>
        <w:spacing w:after="0" w:line="75"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Uncertainty in the current global macroeconomic environment created by rapid governmental policy and regulatory changes could negatively impact our business.</w:t>
      </w:r>
    </w:p>
    <w:p>
      <w:pPr>
        <w:spacing w:after="0" w:line="5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Our business operations and financial performance are significantly influenced by governmental policies, the regulatory environment and consumers' willingness to travel to our resorts. Rapid changes to governmental policies worldwide and, evolving governmental regulations regarding international trade and other matters have introduced substantial uncertainty and volatility into the financial markets which can negatively impact consumer sentiment. These changes could negatively impact our supply chain, cost structure, market access and consumers' willingness to travel to our resorts and purchase our products and services. Additionally, recent and future policy and regulatory changes could disrupt our strategic planning and investments, require us to increase maintenance fees and negatively impact owners’ ability to pay such fees, decrease consumers' disposable income and impact our ability to originate, and the borrowers’ repayment of, vacation ownership notes receivable, among other consequences. These factors may also adversely impair our ability to execute strategies to mitigate negative impacts of the current environment.</w:t>
      </w:r>
    </w:p>
    <w:p>
      <w:pPr>
        <w:spacing w:after="0" w:line="96"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20"/>
          <w:szCs w:val="20"/>
          <w:color w:val="231F20"/>
        </w:rPr>
        <w:t>The unpredictable nature of the current global macroeconomic environment makes it challenging to anticipate and address possible material risks. This uncertainty and its effects could have a material adverse effect on our financial condition, results of operations and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Significant inflation, higher interest rates or deflation could adversely affect our business and financial results.</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Inflation can and has adversely affected us by increasing the costs of carrying unsold inventory, development and other corporate capital expenditures, materials and labor, service contracts, insurance, technology and related hardware or equipment, and interest rates. All of these factors can and at times have decreased the affordability of our products and services. In a high inflationary environment, we may be unable to raise the price of our products and services in a proportional manner, which at times has reduced and in the future could reduce, our operating margins and negatively impact our results or operations. In addition, increases in the cost of capital, labor and materials have had, and in the future could have an adverse impact on our business or financial results. Inflation has had and in the future could have an indirect adverse impact on our business by making travel more expensive, increasing maintenance costs and fees for consumers, and reducing consumer discretionary income and negatively impacting the performance of our vacation ownership notes receivable portfolio.</w:t>
      </w:r>
    </w:p>
    <w:p>
      <w:pPr>
        <w:spacing w:after="0" w:line="9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231F20"/>
        </w:rPr>
        <w:t>Alternatively, deflation could cause an overall decrease in spending and borrowing capacity, which could lead to a deterioration of economic conditions and employment levels. Deflation could also cause the value of our products and services to decline. These, or other factors that increase the risk of significant deflation, could have a negative impact on our business or financial results.</w:t>
      </w:r>
    </w:p>
    <w:p>
      <w:pPr>
        <w:spacing w:after="0" w:line="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We finance more than half of our VOI sales. While we adjust interest rates on our financing programs from time to time, such changes are typically not made in lockstep with the timing and magnitude of changes in broader market rates. Increasing our financing rates could negatively impact VOI sales and financing propensity. However, if we are unable to increase our financing rates at the same rate as our costs of funds, our financing profits and margin will be negatively impacted, as happened in 2023 and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results of operations can be adversely affected by labor shortages, turnover and labor cost increases.</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A number of factors may adversely affect the labor force available or increase labor costs from time to time, such as high employment levels, increasing minimum wage rates, federal unemployment subsidies, including unemployment benefits offered in response to a Health Crisis, and other government actions. In 2021, we observed an overall tightening and increasingly competitive labor market. As a result, we had to temporarily close outlets (e.g., food and beverage) or reduce services (e.g., housekeeping performed fewer cleanings throughout the week), and we may have to take these or similar steps in the future. Any such changes may harm our revenues, cash flows, profitability or customer satisfaction. We have also incurred, and may incur in the future, additional costs for overtime wages, increased wages, enhanced referral bonuses, increased use of sign on bonuses, and increased marketing for open positions. A sustained labor shortage or increased turnover rates within our employee base, whether due to a Health Crisis or as a result of general macroeconomic factors, could lead to increased costs, such as increased overtime to meet demand and increased wage rates to attract and retain employees, and could negatively affect our ability to efficiently operate our business. If we are</w:t>
      </w:r>
    </w:p>
    <w:p>
      <w:pPr>
        <w:sectPr>
          <w:pgSz w:w="11880" w:h="15480" w:orient="portrait"/>
          <w:cols w:equalWidth="0" w:num="1">
            <w:col w:w="9700"/>
          </w:cols>
          <w:pgMar w:left="1080" w:top="838" w:right="110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9700"/>
          </w:cols>
          <w:pgMar w:left="1080" w:top="838" w:right="1100" w:bottom="0" w:gutter="0" w:footer="0" w:header="0"/>
          <w:type w:val="continuous"/>
        </w:sectPr>
      </w:pPr>
    </w:p>
    <w:bookmarkStart w:id="28" w:name="page29"/>
    <w:bookmarkEnd w:id="28"/>
    <w:p>
      <w:pPr>
        <w:ind w:right="80"/>
        <w:spacing w:after="0" w:line="281" w:lineRule="auto"/>
        <w:rPr>
          <w:sz w:val="20"/>
          <w:szCs w:val="20"/>
          <w:color w:val="auto"/>
        </w:rPr>
      </w:pPr>
      <w:r>
        <w:rPr>
          <w:rFonts w:ascii="Times New Roman" w:cs="Times New Roman" w:eastAsia="Times New Roman" w:hAnsi="Times New Roman"/>
          <w:sz w:val="20"/>
          <w:szCs w:val="20"/>
          <w:color w:val="231F20"/>
        </w:rPr>
        <w:t>unable to hire and retain employees capable of performing at a high level, our business, including our cash flows, results of operations, owner, guest and associate satisfaction and reputation, could be adversely affected.</w:t>
      </w:r>
    </w:p>
    <w:p>
      <w:pPr>
        <w:spacing w:after="0" w:line="52"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Future global or regional health concerns, outbreaks, and pandemics (each a “Health Crisis”) may have serious adverse effects on our business, financial condition, cash flows, and results of operations for an unknown period of time.</w:t>
      </w:r>
    </w:p>
    <w:p>
      <w:pPr>
        <w:spacing w:after="0" w:line="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231F20"/>
        </w:rPr>
        <w:t>The success of our business and our financial results depend, in substantial part, upon the health of the travel industry. The COVID-19 pandemic significantly disrupted international and U.S. economies and markets and had a material adverse impact on participants in the travel and hospitality industries, including our Company. For example, in 2020 we saw marked declines in resort occupancy, rentals, and contract sales due to temporary closures of nearly all of our sales centers and many of our resorts and the limited operations at all of our resorts. Consumer fears, government restrictions and changes in travel behavior related to future Health Crises could similarly impact our business and financial results.</w:t>
      </w:r>
    </w:p>
    <w:p>
      <w:pPr>
        <w:spacing w:after="0" w:line="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Our sales volume and rental revenue are materially impacted by the desire and ability of vacationers to travel, because a substantial amount of our sales activity occurs at our resorts. Concerns about travel restrictions, low vaccination rates and exposure to illness, including vaccine-resistant illnesses could cause travelers to cancel or delay plans to visit our resorts, which could adversely affect our cash flows, revenues, and results of operations. Moreover, even after travel advisories and restrictions are lifted, travel demand could be unpredictable and could remain so for a significant period. Adverse changes in the perceived or actual economic climate, including higher unemployment rates, declines in income levels, inflation, recession and loss of personal wealth whether or not resulting from the impact of a future Health Crisis may negatively affect travel demand for a prolonged period.</w:t>
      </w:r>
    </w:p>
    <w:p>
      <w:pPr>
        <w:spacing w:after="0" w:line="9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231F20"/>
        </w:rPr>
        <w:t>The onset of the COVID-19 pandemic led to an increase in payment delinquencies and defaults for our vacation ownership notes receivable. The number of delinquencies may increase as the result of a future Health Crisis’s effect on economic conditions and the ability and desire to travel, and could lead to defaults on financing that we provide to purchasers of our products in excess of our estimates. Purchaser defaults may cause us to foreclose on vacation ownership notes receivable and reclaim ownership of the financed interests and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w:t>
      </w:r>
    </w:p>
    <w:p>
      <w:pPr>
        <w:spacing w:after="0" w:line="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The duration and extent of the impact of a future Health Crisis on our business and financial results will largely depend on future developments, including the duration and spread of the Health Crisis, governmental efforts to contain the Health Crisis, the related impact on consumer confidence and spending, and how quickly economies and demand for our products and services recover after the Health Crisis subsides, all of which are highly uncertain, can rapidly change and cannot be predicted. Such impacts could adversely affect our results of operations, cash flows, and capital resources for a significant period.</w:t>
      </w:r>
    </w:p>
    <w:p>
      <w:pPr>
        <w:spacing w:after="0" w:line="79"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business is extensively regulated, and any failure to comply with applicable laws could materially adversely affect our business.</w:t>
      </w:r>
    </w:p>
    <w:p>
      <w:pPr>
        <w:spacing w:after="0" w:line="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We are subject to a wide variety of highly complex international, national, federal, state, and local laws, regulations and policies. The vacation ownership industry is subject to extensive regulation around the world. Each jurisdiction where we operate generally requires resort developers to follow a set of specific procedures to develop, market and sell VOIs. Our real estate development activities, marketing and sales activities, lending activities and resort management activities are also heavily regulated. In addition, a myriad of laws, regulations and policies impact multiple areas of our business, such as those regulating the sale and offer of securities, anti-discrimination, anti-fraud, environmental and social matters, data protection, anti-corruption and bribery or implementing government economic sanctions.</w:t>
      </w:r>
    </w:p>
    <w:p>
      <w:pPr>
        <w:spacing w:after="0" w:line="9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231F20"/>
        </w:rPr>
        <w:t>Complying with the intricate and multifaceted regulatory structures applicable to our businesses across the globe is complicated, constantly evolving, time-consuming and costly. We may not be able to successfully comply with all laws, regulations and policies. Laws, regulations, policies, and case law precedent may change or be subject to different interpretation in the future, including in ways that could decrease demand for our products and services, increase costs, and subject us to additional liabilities. Failure to comply could have a material adverse effect on our business. For example, we could lose licenses or registrations required to operate our business, sales contracts for our products could be void or voidable, we may incur fines or other sanctions, and our exposure to litigation may increase. Allegations of our failure to comply with applicable laws could adversely affect our business, financial condition, and reputation.</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9720"/>
          </w:cols>
          <w:pgMar w:left="1080" w:top="838" w:right="108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i w:val="1"/>
          <w:iCs w:val="1"/>
          <w:color w:val="231F20"/>
        </w:rPr>
        <w:t>Changes in privacy laws could adversely affect our ability to market our products effectively.</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We rely on a variety of marketing techniques, including digital marketing (e-mail), telemarketing, postal mailings, websites and social media. Adoption of new laws, or changes in existing laws, in any of the jurisdictions in which we operate regulating marketing and solicitation or data protection could adversely affect the effectiveness of our marketing strategies. For example, in the U.S., California enacted the California Consumer Privacy Act of 2018 (“CCPA”). The CCPA provides California consumers with certain access, deletion and opt-out rights related to their personal information, imposes civil penalties for violations and affords, in certain cases, a private right of action for data breaches. Similar legislation has been proposed or adopted in other states. In addition, foreign data protection, privacy, consumer protection, content regulation and other laws and regulations may be more restrictive or burdensome than those in the United States. For example, the European Union (“E.U.”) General Data Protection Regulation (“GDPR”) imposes significant obligations on businesses that sell products or services to E.U. customers or otherwise control or process personal data of E.U. residents. Complying with the GDPR or other laws and regulations could subject us to increased costs; and our failure to comply with these laws and regulations could result in significant fines, litigation, losses, third-party damages and other liabilities, any of which may have a material adverse effect on our brands, marketing, reputation, business, financial condition and results of operations. The cost of our compliance with privacy laws has increased and may continue to increase as laws change and we expand into new jurisdictions. If we are not able to develop adequate alternative marketing strategies, our sales may be adversely affected. We also obtain access to potential customers from travel service providers and other companies, including our licensors. If our access to these third-party customer lists is prohibited or restricted, our ability to attract new customers could be impaired.</w:t>
      </w:r>
    </w:p>
    <w:p>
      <w:pPr>
        <w:spacing w:after="0" w:line="8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Failure to maintain the integrity of internal or customer data or to protect our information systems from cyber-attacks could disrupt our business, damage our reputation, and subject us to costs, fines or lawsuits.</w:t>
      </w:r>
    </w:p>
    <w:p>
      <w:pPr>
        <w:spacing w:after="0" w:line="5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We collect large volumes of data, including social security numbers and other personally identifiable information of our customers and employees, and retain it in our information systems and those of our service providers. It is critical that we maintain the integrity of and protect this data, which we rely on to make business decisions and which our customers and employees expect that we will protect.</w:t>
      </w:r>
    </w:p>
    <w:p>
      <w:pPr>
        <w:spacing w:after="0" w:line="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We may have to expend significant capital and other resources to enhance the security of our data. Our information systems and records, including those we maintain with our service providers or licensors, may be subject to security breaches, cyber-attack or cyber-intrusion, system failures, viruses, malicious software, operator error or inadvertent releases of data, or other cybersecurity incidents. Data breaches have increased in recent years as the number, intensity and sophistication of attacks increased. Techniques used to obtain unauthorized access, disable or degrade service, or sabotage systems change frequently, may be difficult to detect and could be enhanced by artificial intelligence (“AI”). Neither we nor our service providers may be able to prevent, detect and contain unauthorized activity and misuse or human errors compromising the efficacy of security measures. A breach in the security of our information systems or those of our service providers or licensors could lead to interruptions in the operation of our systems, resulting in operational inefficiencies and a negative impact to our results of operations. A significant cybersecurity incident or theft, loss, disclosure, or fraudulent use of our customer, employee or company data could adversely impact our reputation and result in remedial and other expenses, fines, penalties or litigation, any of which may be exacerbated by a delay or failure to detect a cybersecurity incident or the full extent of such incident.</w:t>
      </w:r>
    </w:p>
    <w:p>
      <w:pPr>
        <w:spacing w:after="0" w:line="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The regulatory environment in the jurisdictions where we operate, and the requirements imposed on us by the payment card industry regarding information, security and privacy, are increasingly demanding. Many of the laws applicable to us in different jurisdictions vary from each other in significant ways and may not have the same effect, thus complicating compliance efforts. Our efforts to comply with these requirements may require significant additional resources and time and may not be successful.</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We and the companies we work with have experienced cybersecurity threats to our data and systems, including ransomware and other forms of malware and computer virus attacks, unauthorized access, systems failures and temporary disruptions. We have experienced cybersecurity incidents in the past, and have previously disclosed those with material operational or financial implications to the Company or our stakeholders. Routinely, we partner with and use third-party service providers and products that host, manage, or control sensitive data. The failure of any such service providers or products to comply with our privacy policies or privacy laws and regulations, or any unauthorized release of personally identifiable information or other user data, could damage our reputation, discourage potential users from trying our products and services, breach certain agreements under which we have obligations with respect to network security, and result in fines and proceedings against us. Our insurance might not be sufficient in type or amount to cover us against such claims or losses. Any of the foregoing could materially adversely affect our business, financial condition and results of operations.</w:t>
      </w:r>
    </w:p>
    <w:p>
      <w:pPr>
        <w:sectPr>
          <w:pgSz w:w="11880" w:h="15480" w:orient="portrait"/>
          <w:cols w:equalWidth="0" w:num="1">
            <w:col w:w="9720"/>
          </w:cols>
          <w:pgMar w:left="1080" w:top="829" w:right="1080" w:bottom="0" w:gutter="0" w:footer="0" w:header="0"/>
        </w:sect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9720"/>
          </w:cols>
          <w:pgMar w:left="1080" w:top="829" w:right="108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i w:val="1"/>
          <w:iCs w:val="1"/>
          <w:color w:val="231F20"/>
        </w:rPr>
        <w:t>Our use of AI technologies may not be successful and may present business, compliance, and reputational risks.</w:t>
      </w:r>
    </w:p>
    <w:p>
      <w:pPr>
        <w:spacing w:after="0" w:line="13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231F20"/>
        </w:rPr>
        <w:t>We use, and are expanding our use of, machine learning and AI technologies in our products and processes. If we fail to keep pace with rapidly evolving AI technological developments, our competitive position and business results may be negatively impacted. Our use of AI technologies requires resources to develop, test and maintain such products, which is costly and may be subject to delays. We may not achieve our objectives from these efforts. In addition, third parties may be more successful in the use of AI or create technologies that could require us to change how we currently operate certain of our businesses.</w:t>
      </w:r>
    </w:p>
    <w:p>
      <w:pPr>
        <w:spacing w:after="0" w:line="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The introduction of AI technologies, particularly generative AI, into new or existing offerings may result in new or expanded risks and liabilities due to enhanced governmental scrutiny, litigation, compliance issues, ethical concerns, confidentiality, data privacy or security risks, as well as other factors that could adversely affect our business, reputation, and financial results. If the content, analyses, or recommendations that AI applications assist in producing are, or are alleged to be, deficient, inaccurate, unreliable, misleading, biased, discriminatory or otherwise flawed, any of which may not be easily detectable, our business and reputation may be adversely affected. Use of AI technologies, and the evolving legal, regulatory and compliance framework for AI, could impact our ability to protect our data and intellectual property, as well as vendor and client information, and could expose us to intellectual property or other claims by third parties. Use of AI technologies may also increase risks related to cyberattacks or other security incidents or result in a failure to protect confidential information. Because AI technology is highly complex and rapidly developing, it is not possible to predict all of the legal, operational or technological risks that may arise relating to AI.</w:t>
      </w:r>
    </w:p>
    <w:p>
      <w:pPr>
        <w:spacing w:after="0" w:line="84"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international operations expose us to risks that could negatively impact our financial results or disrupt our business.</w:t>
      </w:r>
    </w:p>
    <w:p>
      <w:pPr>
        <w:spacing w:after="0" w:line="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Our international operations expose us to a number of additional risks, any of which could negatively impact our results of operations or disrupt our business, such as: compliance with laws of non-U.S. jurisdictions, including foreign ownership restrictions, import and export controls, data privacy and usage, and trade restrictions, and U.S. laws affecting our activities outside of the U.S.; anti-American sentiment; war, political or civil unrest and terrorism; difficulties of managing operations in many different countries; local economic risks; foreign currency exchange risks; and uncertainty as to the enforceability of contract and intellectual property rights under local laws, which can change or be interpreted in ways that could negatively impact our business.</w:t>
      </w:r>
    </w:p>
    <w:p>
      <w:pPr>
        <w:spacing w:after="0" w:line="80"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Inadequate or failed technologies could lead to interruptions in our operations and materially adversely affect our business, financial position, results of operations or cash flows.</w:t>
      </w:r>
    </w:p>
    <w:p>
      <w:pPr>
        <w:spacing w:after="0" w:line="5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Our operations and competitive position depend on our ability to maintain existing systems and implement new technologies. Our information technology systems and our databases are potentially susceptible to man-made and natural disasters, as well as power losses, computer and telecommunications failures, technological breakdowns, cyber-attacks, acts of war or terrorism and other events. System interruption, delays, obsolescence, loss of critical data and lack of integration and redundancy in our information technology systems and infrastructure may adversely affect our ability to provide services, operate websites, process and fulfill transactions, respond to customer inquiries and generally maintain cost-efficient operations. Our backup systems only relate to certain aspects of our operations; these systems are not fully redundant and disaster recovery planning cannot anticipate and address all eventualities. Projects to upgrade or replace our technologies may be extremely complex and require significant resources and time, and may adversely affect our ability to provide services, operate websites, process and fulfill transactions, and respond to customer inquiries during the upgrade or replacement process. Our insurance coverage may not compensate us for all our losses from a major interruption. If our information technology systems fail to adequately support our strategic, operational or compliance needs, our business, financial position, results of operations or cash flows, as well as our disclosure controls and procedures and internal control over financial reporting, may be adversely affected.</w:t>
      </w:r>
    </w:p>
    <w:p>
      <w:pPr>
        <w:spacing w:after="0" w:line="90"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If third-parties do not comply with their contractual obligations to us our financial condition, results of operations, internal controls over financial reporting and stock price could be materially and adversely affected.</w:t>
      </w:r>
    </w:p>
    <w:p>
      <w:pPr>
        <w:spacing w:after="0" w:line="5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9"/>
          <w:szCs w:val="19"/>
          <w:color w:val="231F20"/>
        </w:rPr>
        <w:t>We rely on various third parties, including suppliers, service providers, and business partners, to fulfill contractual obligations that are critical to our operations. For example, we have outsourced certain corporate functions, including a significant portion of our global technology, finance and accounting, and human resources functions to third-party service providers and shared service centers. While these actions are intended to streamline operations and improve scalability, at times they have resulted in disruptions, increased transition costs, delays in service delivery and disputes with vendors and we may experience similar or more severe issues in the future. Additionally, such initiatives may lead to the loss of institutional knowledge, reduced employee morale, or increased attrition, including among key personnel. We may increase our reliance on third-party providers to deliver critical services and any failure by these providers to</w:t>
      </w:r>
    </w:p>
    <w:p>
      <w:pPr>
        <w:sectPr>
          <w:pgSz w:w="11880" w:h="15480" w:orient="portrait"/>
          <w:cols w:equalWidth="0" w:num="1">
            <w:col w:w="9720"/>
          </w:cols>
          <w:pgMar w:left="1080" w:top="829" w:right="1080" w:bottom="0"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9720"/>
          </w:cols>
          <w:pgMar w:left="1080" w:top="829" w:right="1080" w:bottom="0" w:gutter="0" w:footer="0" w:header="0"/>
          <w:type w:val="continuous"/>
        </w:sectPr>
      </w:pPr>
    </w:p>
    <w:bookmarkStart w:id="31" w:name="page32"/>
    <w:bookmarkEnd w:id="31"/>
    <w:p>
      <w:pPr>
        <w:ind w:right="220"/>
        <w:spacing w:after="0" w:line="256" w:lineRule="auto"/>
        <w:rPr>
          <w:sz w:val="20"/>
          <w:szCs w:val="20"/>
          <w:color w:val="auto"/>
        </w:rPr>
      </w:pPr>
      <w:r>
        <w:rPr>
          <w:rFonts w:ascii="Times New Roman" w:cs="Times New Roman" w:eastAsia="Times New Roman" w:hAnsi="Times New Roman"/>
          <w:sz w:val="20"/>
          <w:szCs w:val="20"/>
          <w:color w:val="231F20"/>
        </w:rPr>
        <w:t>perform their contractual obligations, or any disruption in our ability to manage or transition these services effectively, could adversely affect our internal controls, compliance functions, or overall business operations. Furthermore, these initiatives may expose us to additional risks, including data security vulnerabilities, regulatory compliance challenges across jurisdictions and reputational harm. If we are unable to successfully execute and manage these third-party relationships, our financial condition, results of operations, internal controls over financial reporting and stock price could be materially and adversely affected.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The industries in which our businesses operate are competitive, which may impact our ability to compete successfully.</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Our businesses will be adversely impacted if they cannot compete effectively in their respective industries, each of which is highly competitive. A number of highly competitive companies participate in the vacation ownership industry. Our brands compete with the vacation ownership brands of major hotel chains in national and international venues, as well as with the vacation rental options (such as hotels, resorts and condominium or apartment rentals) offered by the lodging industry. Our competitors may have greater access to capital resources and broader marketing, sales and distribution capabilities than we do. Competitive pressures may cause us to reduce our fee structure or potentially modify our business models, which could adversely affect our business, financial condition and results of operations.</w:t>
      </w:r>
    </w:p>
    <w:p>
      <w:pPr>
        <w:spacing w:after="0" w:line="9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231F20"/>
        </w:rPr>
        <w:t>Our principal exchange network administered by Interval International included more than 3,200 resorts located in over 90 countries and territories as of December 31, 2025. Interval International’s primary competitor, RCI, has a greater number of affiliated resorts than we have. Through the resources of its corporate affiliates, particularly Travel + Leisure Co., which is engaged in vacation ownership sales, RCI may have greater access to a significant segment of new vacation ownership purchasers and a broader platform for participating in industry consolidation. In addition, Interval International competes with developers that create, operate and expand internal exchange and vacation club systems, which decreases their reliance on external vacation ownership exchange programs, including those we offer, and adversely impacts the supply of resort accommodations available through our external exchange network. The effects of such competition on our exchange business are more pronounced as the proportion of vacation club corporate members in the Interval Network increases.</w:t>
      </w:r>
    </w:p>
    <w:p>
      <w:pPr>
        <w:spacing w:after="0" w:line="9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9"/>
          <w:szCs w:val="19"/>
          <w:color w:val="231F20"/>
        </w:rPr>
        <w:t>Our businesses also compete for leisure travelers with other leisure lodging operators, including both independent and branded properties, as well as with alternative lodging marketplaces, which operate websites that market furnished, privately-owned residential properties throughout the world which can be rented on a nightly, weekly or monthly basis.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Negative public perception regarding our industry could have an adverse effect on our operations.</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Negative public perception regarding our industry resulting from, among other things, consumer complaints regarding sales and marketing practices, consumer financing arrangements, and restrictions on exit related to our products, as well as negative comments on social media, could result in increased regulatory scrutiny, which could result in reputational damage, more onerous laws, regulations, guidelines and enforcement interpretations in jurisdictions in which we operate. These actions may lead to operational delays or restrictions, as well as increased operating costs, regulatory burdens and risk of litigation.</w:t>
      </w:r>
    </w:p>
    <w:p>
      <w:pPr>
        <w:spacing w:after="0" w:line="79" w:lineRule="exact"/>
        <w:rPr>
          <w:sz w:val="20"/>
          <w:szCs w:val="20"/>
          <w:color w:val="auto"/>
        </w:rPr>
      </w:pPr>
    </w:p>
    <w:p>
      <w:pPr>
        <w:ind w:right="80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Spanish court rulings voiding certain timeshare contracts have increased our exposure to litigation that may materially adversely affect our business and financial condition.</w:t>
      </w:r>
    </w:p>
    <w:p>
      <w:pPr>
        <w:spacing w:after="0" w:line="5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231F20"/>
        </w:rPr>
        <w:t>A series of Spanish court rulings starting in 2015 (“2015 Rulings”) increased our exposure to litigation that may materially adversely affect our business and financial condition. These rulings voided certain timeshare contracts entered into after January 1999 related to certain resorts in Spain if a resort’s timeshare structure did not meet requirements prescribed by Spanish timeshare laws enacted in 1998, even if the structure was lawful prior to 1998 and adapted pursuant to mechanisms specified in the 1998 laws. These rulings led to an increase in lawsuits by owners seeking to void timeshare contracts in Spain, including lawsuits by owners at certain of our resorts in Spain which are currently pending. In November 2025, the Supreme Court of Spain overturned the 2015 Rulings and thereby eliminated the principal legal grounds on which the contract cancellation cases had been brought. Lesser remedies, including monetary damages, remain available for certain claims based on alleged errors or omissions in, or tardy delivery of, contract documents. The Supreme Court’s decision was based in part on legislation effective April 4, 2025 that placed a five-year limitation on the filing of new cancellation cases and reduced the scope of available remedies. A subsequent decision of the Supreme Court, issued in January 2026, overturned another legal theory previously relied upon by owners seeking to void their contracts. Cases filed prior to the Supreme Court’s November 2025 and January 2026 decisions remain pending, including cases filed against us, and insufficient time has passed since the issuance of those decisions for us to predict the likely outcomes, in light of that ruling, of pending or future cases against us. Currently pending cases and any cases filed in the future have caused and could continue to cause us to incur material litigation and other costs, including judgment or settlement payments; and materially adversely affect the results of operations of our Vacation Ownership</w:t>
      </w:r>
    </w:p>
    <w:p>
      <w:pPr>
        <w:sectPr>
          <w:pgSz w:w="11880" w:h="15480" w:orient="portrait"/>
          <w:cols w:equalWidth="0" w:num="1">
            <w:col w:w="9720"/>
          </w:cols>
          <w:pgMar w:left="1080" w:top="838" w:right="108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9720"/>
          </w:cols>
          <w:pgMar w:left="1080" w:top="838" w:right="1080" w:bottom="0" w:gutter="0" w:footer="0" w:header="0"/>
          <w:type w:val="continuous"/>
        </w:sectPr>
      </w:pPr>
    </w:p>
    <w:bookmarkStart w:id="32" w:name="page33"/>
    <w:bookmarkEnd w:id="32"/>
    <w:p>
      <w:pPr>
        <w:ind w:right="260"/>
        <w:spacing w:after="0" w:line="266" w:lineRule="auto"/>
        <w:rPr>
          <w:sz w:val="20"/>
          <w:szCs w:val="20"/>
          <w:color w:val="auto"/>
        </w:rPr>
      </w:pPr>
      <w:r>
        <w:rPr>
          <w:rFonts w:ascii="Times New Roman" w:cs="Times New Roman" w:eastAsia="Times New Roman" w:hAnsi="Times New Roman"/>
          <w:sz w:val="20"/>
          <w:szCs w:val="20"/>
          <w:color w:val="231F20"/>
        </w:rPr>
        <w:t>segment, as well as our business and financial condition. The ability for owners of Spanish timeshares to void their contracts has negatively impacted other developers with resorts in Spain and led to a decrease in the number of resorts located in Spain in the Interval Network with active sales and the loss of members who own VOIs at those resorts.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Changes in tax regulations or their interpretation could negatively impact our cash flows and results of operations.</w:t>
      </w:r>
    </w:p>
    <w:p>
      <w:pPr>
        <w:spacing w:after="0" w:line="1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Changes in tax and other revenue raising laws, regulations and policies in the jurisdictions where we do business could impose new restrictions, costs or prohibitions on our practices and negatively impact our results of operations. In addition, interpretation of tax regulations requires us to exercise our judgment and taxing authorities or our independent registered public accounting firm may reach conclusions about the application of such regulations that differ from our conclusions. Our effective tax rate reflects the fact that income earned and reinvested outside the U.S. is generally taxed at local rates that can be higher or lower than U.S. tax rates or based on a different tax base than U.S. jurisdictions, as well as our ability to carry forward losses in certain jurisdictions from prior years to offset future profits. Changes to U.S. or international tax laws, regulations or interpretations could impact the tax treatment of our earnings and adversely affect our cash flows and financial results. For example, if such changes significantly increase the tax rates on non-U.S. income, our effective tax rate could increase, our financial results and cash flows could be negatively impacted, and if such increases were a result of our status as a U.S. corporation, we could be placed at a disadvantage to our non-U.S. competitors that are subject to lower local tax rates.</w:t>
      </w:r>
    </w:p>
    <w:p>
      <w:pPr>
        <w:spacing w:after="0" w:line="9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We are subject to audit in various jurisdictions, and these jurisdictions may assess additional taxes against us. Developments in an audit, litigation, or laws, regulations, administrative practices, principles, and interpretations could have a material effect on our operating results or cash flows. An unfavorable outcome from any tax audit could result in higher tax expense, penalties and interest, and could materially and adversely affect our financial condition or results of operations.</w:t>
      </w:r>
    </w:p>
    <w:p>
      <w:pPr>
        <w:spacing w:after="0" w:line="75"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Concentration of some of our resorts, sales centers and exchange destinations in particular geographic areas exposes our business to the effects of natural or man-made disasters or adverse economic conditions in these areas.</w:t>
      </w:r>
    </w:p>
    <w:p>
      <w:pPr>
        <w:spacing w:after="0" w:line="5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Our business is susceptible to the effects of natural or man-made disasters, including earthquakes, windstorms, tornadoes, hurricanes, typhoons, tsunamis, volcanic eruptions, floods, drought, fires, oil spills, erosion and nuclear incidents, in the areas where some of our resorts, sales centers and exchange destinations are concentrated, such as Florida, California, South Carolina and Hawaii. Properties in these markets have had to close in the past, including for extended periods, in order to repair or assess damage caused by disasters. For example, we temporarily closed our resorts and sales centers in 2023 as a result of wildfires in Maui. Depending on the severity of future disasters, the resulting damage could require closure of all or substantially all of our properties in one or more of these markets while we complete repairs, restoration or renovations. Our insurance may not cover all damages caused by any such event, including the loss of sales of VOIs at sales centers that are not fully operational. In 2023, our cost to insure our properties in these areas increased significantly. Our insurance costs may rise again and coverage levels may decrease for properties in these areas as a result of the number and magnitude of recent natural disasters in these areas.</w:t>
      </w:r>
    </w:p>
    <w:p>
      <w:pPr>
        <w:spacing w:after="0" w:line="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Our business is also susceptible to the effects of adverse economic developments in these areas, such as regional economic downturns, significant increases in the number of our competitors’ products in these markets and potentially higher labor, real estate, tax or other costs in these geographic markets. This geographic concentration of properties increases the risk of a negative effect on our results of operations if these areas are affected by severe weather, man-made disasters or adverse economic and competitive conditions.</w:t>
      </w:r>
    </w:p>
    <w:p>
      <w:pPr>
        <w:spacing w:after="0" w:line="75"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If we are not able to successfully identify, finance, integrate and manage costs related to acquisitions, our business operations and financial position could be adversely affected.</w:t>
      </w:r>
    </w:p>
    <w:p>
      <w:pPr>
        <w:spacing w:after="0" w:line="5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9"/>
          <w:szCs w:val="19"/>
          <w:color w:val="231F20"/>
        </w:rPr>
        <w:t>We have expanded in part through acquisitions of other businesses and may continue to do so in the future. Our acquisition strategy depends on our ability to identify, and the availability of, suitable acquisition candidates. We may incur costs in connection with proposed acquisitions, but may ultimately be unable or unwilling to consummate any particular proposed transaction for various reasons. In addition, acquisitions involve numerous risks, including risks that we will not be able to: successfully integrate acquired businesses in an efficient and cost-effective manner; properly measure or identify all risks associated with the acquisition; achieve anticipated benefits of an acquisition, including expected synergies; control potential increases in operating costs; manage geographically remote operations; successfully expand our system of internal controls or our technological infrastructure to include an acquired business; avoid potential disruptions in ongoing operations during an acquisition process or integration efforts; successfully enter markets in which we have limited or no direct experience, including foreign markets whose practices or laws may pose increased risk; and retain key employees, clients, vendors and business partners of the acquired businesses. Failure to achieve the anticipated benefits of any acquisition may adversely affect our financial condition, operating results and prospects.</w:t>
      </w:r>
    </w:p>
    <w:p>
      <w:pPr>
        <w:sectPr>
          <w:pgSz w:w="11880" w:h="15480" w:orient="portrait"/>
          <w:cols w:equalWidth="0" w:num="1">
            <w:col w:w="9720"/>
          </w:cols>
          <w:pgMar w:left="1080" w:top="838" w:right="108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9720"/>
          </w:cols>
          <w:pgMar w:left="1080" w:top="838" w:right="1080" w:bottom="0" w:gutter="0" w:footer="0" w:header="0"/>
          <w:type w:val="continuous"/>
        </w:sectPr>
      </w:pPr>
    </w:p>
    <w:bookmarkStart w:id="33" w:name="page34"/>
    <w:bookmarkEnd w:id="33"/>
    <w:p>
      <w:pPr>
        <w:ind w:right="40"/>
        <w:spacing w:after="0" w:line="260" w:lineRule="auto"/>
        <w:rPr>
          <w:sz w:val="20"/>
          <w:szCs w:val="20"/>
          <w:color w:val="auto"/>
        </w:rPr>
      </w:pPr>
      <w:r>
        <w:rPr>
          <w:rFonts w:ascii="Times New Roman" w:cs="Times New Roman" w:eastAsia="Times New Roman" w:hAnsi="Times New Roman"/>
          <w:sz w:val="20"/>
          <w:szCs w:val="20"/>
          <w:color w:val="231F20"/>
        </w:rPr>
        <w:t>Acquisitions may also significantly increase our debt or result in dilutive issuances of our equity securities, impairments of assets or substantial amortization expenses associated with other intangible assets. For example, we have not achieved all of the anticipated benefits from the ILG Acquisition or the Welk Acquisition, and have incurred unanticipated expenses and impairment charges in 2024 and 2025 related to inventory.</w:t>
      </w:r>
    </w:p>
    <w:p>
      <w:pPr>
        <w:spacing w:after="0" w:line="74" w:lineRule="exact"/>
        <w:rPr>
          <w:sz w:val="20"/>
          <w:szCs w:val="20"/>
          <w:color w:val="auto"/>
        </w:rPr>
      </w:pPr>
    </w:p>
    <w:p>
      <w:pPr>
        <w:jc w:val="both"/>
        <w:ind w:right="160"/>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Our use of different estimates and assumptions in the application of our accounting policies could result in material changes to our reported financial condition and results of operations, and changes in accounting standards or their interpretation could significantly impact our reported results of operations.</w:t>
      </w:r>
    </w:p>
    <w:p>
      <w:pPr>
        <w:spacing w:after="0" w:line="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Our accounting policies are critical to the manner in which we present our results of operations and financial condition. Many of these policies, including policies relating to the recognition of revenue, determination of cost of sales and evaluation of our assets for impairment, are highly complex and involve numerous assumptions, estimates and judgments which we regularly review and revise as needed. Our actual results of operations vary from period to period based on revisions to these estimates. For example, higher loan delinquencies or defaults have caused us to increase and in the future could lead to new increases in our estimated reserve for vacation ownership notes receivable. In addition, changes to our assumptions and estimates used to determine the fair value of our assets or actual operating results that are lower than our current estimates could result in impairment losses and require us to write off all or a portion of our assets. For example, in 2025, we incurred $577 million in impairment losses in the aggregate. See the “Critical Accounting Estimates” section of Item 7. Management’s Discussion and Analysis of Financial Condition and Results of Operations for further information. In addition, the regulatory bodies that establish accounting and reporting standards, including the SEC and the Financial Accounting Standards Board, periodically revise or issue new financial accounting and reporting standards that govern the preparation of our consolidated financial statements. Changes to these standards or their interpretation could significantly impact our reported results in future periods. See Footnote 2 “Summary of Significant Accounting Policies” to our Financial Statements for more information regarding changes in accounting standards that we recently adopted or expect to adopt in the future.</w:t>
      </w:r>
    </w:p>
    <w:p>
      <w:pPr>
        <w:spacing w:after="0" w:line="87" w:lineRule="exact"/>
        <w:rPr>
          <w:sz w:val="20"/>
          <w:szCs w:val="20"/>
          <w:color w:val="auto"/>
        </w:rPr>
      </w:pPr>
    </w:p>
    <w:p>
      <w:pPr>
        <w:ind w:right="108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The growth of our business and execution of our business strategies depend on the services of our senior management and our associates.</w:t>
      </w:r>
    </w:p>
    <w:p>
      <w:pPr>
        <w:spacing w:after="0" w:line="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Our business is based on successfully attracting and retaining talented associates. The market for highly skilled associates and leaders in our industry is extremely competitive. If we are unable to attract and retain management and other key associates, our ability to develop and deliver successful products and services may be adversely affected. Effective succession planning is also important to our long-term success. The departure of a key executive or associate or the failure to ensure an effective transfer of knowledge and a smooth transition upon such departure may be disruptive to the business and could hinder our strategic planning and execution.</w:t>
      </w:r>
    </w:p>
    <w:p>
      <w:pPr>
        <w:spacing w:after="0" w:line="79"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Increasing scrutiny and evolving expectations from customers, regulators, investors, and other stakeholders with respect to our environmental, social and governance practices may increase our costs or expose us to new or additional risks.</w:t>
      </w:r>
    </w:p>
    <w:p>
      <w:pPr>
        <w:spacing w:after="0" w:line="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Companies are facing increasing and frequently evolving scrutiny globally from customers, regulators, investors, employees and other stakeholders related to their environmental, social, and governance (“ESG”) practices and disclosure as expectations for, and support or criticism of, such matters continues to evolve. Investor advocacy groups, investment funds and influential investors are also increasingly focused on these practices. Third parties have developed proprietary ratings or analyses of companies based on certain ESG metrics. ESG disclosure rules have been adopted by California, the European Union and other jurisdictions; various ESG regulations are under consideration, and the Company cannot determine what final regulations will be enacted, modified, or reversed or the ultimate impact on its business. Increased ESG-related compliance costs could increase our overall operational costs. Failure to adapt to or comply with regulatory requirements or investor or other stakeholder expectations and standards could increase the risk of antidiscrimination lawsuits and customer backlash, negatively impact our reputation, ability to do business with certain partners, sales and stock price, and result in penalties. Our corporate responsibility initiatives and goals are based on standards for measuring progress that are still developing, internal controls and processes that continue to evolve and assumptions that are subject to change in the future. As we report on our corporate responsibility initiatives or goals, we may be subject to heightened reputational and operational risk and compliance costs related to these matters. Our control over resorts and properties that we manage is generally limited by the terms of the applicable management agreements. As a result, our ability to achieve some or all of our corporate responsibility initiatives or goals may be limited without additional support or action by the owners’ associations of the vacation ownership resorts and properties we manage. Complying with increased regulations could increase our costs and adversely impact our results of operations. Our inability or failure to meet, or the perceived failure to meet, such stakeholders’ expectations, as well as adverse incidents, could negatively impact our stock price, results of operations, or reputation and increase our cost of capital.</w:t>
      </w:r>
    </w:p>
    <w:p>
      <w:pPr>
        <w:sectPr>
          <w:pgSz w:w="11880" w:h="15480" w:orient="portrait"/>
          <w:cols w:equalWidth="0" w:num="1">
            <w:col w:w="9700"/>
          </w:cols>
          <w:pgMar w:left="1080" w:top="838" w:right="1100" w:bottom="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9700"/>
          </w:cols>
          <w:pgMar w:left="1080" w:top="838" w:right="110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231F20"/>
        </w:rPr>
        <w:t>Risks related to our vacation ownership business.</w:t>
      </w:r>
    </w:p>
    <w:p>
      <w:pPr>
        <w:spacing w:after="0" w:line="128"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The termination of our license agreements with Marriott International or Hyatt, or our rights to use their trademarks at our existing or future properties, could materially harm our business.</w:t>
      </w:r>
    </w:p>
    <w:p>
      <w:pPr>
        <w:spacing w:after="0" w:line="5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Our success depends, in part, on our relationships with Marriott International and Hyatt. These relationships are governed by various agreements, including long-term license agreements that expire between 2090 and 2095, subject to renewal. However, if we breach our obligations under a license agreement and fail to cure such breach, or if our properties do not meet brand standards, the applicable licensor may be entitled to terminate the license agreement and our rights to use its brands and trademarks at the subject properties.</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The termination of our license agreements with Marriott International, Hyatt or their affiliates could materially harm our business and results of operations and materially impair our ability to market and sell our products and maintain our competitive position, and could have a material adverse effect on our financial position, results of operations or cash flows. Our inability to rely on the strength of the Marriott, Sheraton, Westin, or Hyatt brands to attract qualified prospects in the marketplace would likely cause our results of operations to decline and our marketing and sales expenses to increase. Our inability to market to guests in hotels affiliated with our licensors that are located near one of our sales locations or maintain our marketing relationships with Marriott International or Hyatt reservation centers would likely cause our sales to decline, which could adversely affect our financial condition and results of operations. In addition, we would not be able to use the brand websites as channels through which to rent available inventory, which could cause our rental revenue to decline materially.</w:t>
      </w:r>
    </w:p>
    <w:p>
      <w:pPr>
        <w:spacing w:after="0" w:line="9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231F20"/>
        </w:rPr>
        <w:t>Our license agreements also allow us to market directly to members of the customer loyalty programs associated with the Marriott, Sheraton, Westin and Hyatt brands, and offer points in such loyalty programs as premiums for related promotional offers. The termination of the license agreements with Marriott International or Hyatt would eliminate this valuable marketing channel.</w:t>
      </w:r>
    </w:p>
    <w:p>
      <w:pPr>
        <w:spacing w:after="0" w:line="83"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20"/>
          <w:szCs w:val="20"/>
          <w:color w:val="231F20"/>
        </w:rPr>
        <w:t>We must obtain the applicable licensor’s consent to use its trademarks in connection with properties we acquire or develop in the future. If our licensors do not consent to such use, our ability to expand our business and remain competitive may be materially adversely affected.</w:t>
      </w:r>
    </w:p>
    <w:p>
      <w:pPr>
        <w:spacing w:after="0" w:line="66" w:lineRule="exact"/>
        <w:rPr>
          <w:sz w:val="20"/>
          <w:szCs w:val="20"/>
          <w:color w:val="auto"/>
        </w:rPr>
      </w:pPr>
    </w:p>
    <w:p>
      <w:pPr>
        <w:ind w:right="62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Deterioration in the quality or reputation of the brands associated with our portfolio could adversely affect our market share, reputation, business, financial condition and results of operations.</w:t>
      </w:r>
    </w:p>
    <w:p>
      <w:pPr>
        <w:spacing w:after="0" w:line="5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We offer vacation ownership products and services under the Marriott, Sheraton, Westin, The Ritz-Carlton, and Hyatt brands. Our success depends in part on the continued success of Marriott International and Hyatt and their respective brands. If market recognition or the positive perception of Marriott International or Hyatt is reduced or compromised, the goodwill associated with these brands may be adversely affected, which may adversely affect our market share, reputation, business, financial condition or results of operations. The positioning and offerings of any of these brands or their related customer loyalty programs could change in a manner that adversely affects our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Marriott International or Hyatt could compete with our vacation ownership business in the future.</w:t>
      </w:r>
    </w:p>
    <w:p>
      <w:pPr>
        <w:spacing w:after="0" w:line="13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9"/>
          <w:szCs w:val="19"/>
          <w:color w:val="231F20"/>
        </w:rPr>
        <w:t>Under our license agreements with Marriott International, if other international hotel operators offer new products and services as part of their respective hotel businesses that may directly compete with our vacation ownership products and services, then Marriott International may also offer such new products and services, and use its trademarks in connection with such offers. Under the Hyatt license agreement, Hyatt may compete with us under certain circumstances, such as if we fail to meet certain performance standards or if Hyatt acquires a new hotel brand that Hyatt desires to license for timeshare and we are unsuccessful in negotiating such license rights pursuant to our right of first offer. If Marriott International or Hyatt offers new vacation ownership products and services as contemplated under certain circumstances under their respective license agreements, they may compete directly with our vacation ownership products and services, and we may not be able to distinguish our vacation ownership products and services from those offered by Marriott International or Hyatt. Our ability to remain competitive and to attract and retain owners depends on our success in distinguishing the quality and value of our products and services from those offered by others. If we cannot compete successfully in these areas, this could limit our operating margins, diminish our market share and reduce our earnings.</w:t>
      </w:r>
    </w:p>
    <w:p>
      <w:pPr>
        <w:spacing w:after="0" w:line="74"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If a branded hotel property co-located with one of our resorts ceases to be affiliated with the same brand as our resort or a related brand, our business could be harmed.</w:t>
      </w:r>
    </w:p>
    <w:p>
      <w:pPr>
        <w:spacing w:after="0" w:line="5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9"/>
          <w:szCs w:val="19"/>
          <w:color w:val="231F20"/>
        </w:rPr>
        <w:t>Approximately 25% of our Vacation Ownership segment resorts are co-located with same-branded or affiliated hotel properties. If a branded hotel property with which one of our resorts is co-located ceases to be operated by or affiliated with the same brand as our resort, which has happened in the past, we could lose benefits such as shared amenities,</w:t>
      </w:r>
    </w:p>
    <w:p>
      <w:pPr>
        <w:sectPr>
          <w:pgSz w:w="11880" w:h="15480" w:orient="portrait"/>
          <w:cols w:equalWidth="0" w:num="1">
            <w:col w:w="9720"/>
          </w:cols>
          <w:pgMar w:left="1080" w:top="831" w:right="108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9720"/>
          </w:cols>
          <w:pgMar w:left="1080" w:top="831" w:right="1080" w:bottom="0" w:gutter="0" w:footer="0" w:header="0"/>
          <w:type w:val="continuous"/>
        </w:sectPr>
      </w:pPr>
    </w:p>
    <w:bookmarkStart w:id="35" w:name="page36"/>
    <w:bookmarkEnd w:id="35"/>
    <w:p>
      <w:pPr>
        <w:ind w:right="40"/>
        <w:spacing w:after="0" w:line="258" w:lineRule="auto"/>
        <w:rPr>
          <w:sz w:val="20"/>
          <w:szCs w:val="20"/>
          <w:color w:val="auto"/>
        </w:rPr>
      </w:pPr>
      <w:r>
        <w:rPr>
          <w:rFonts w:ascii="Times New Roman" w:cs="Times New Roman" w:eastAsia="Times New Roman" w:hAnsi="Times New Roman"/>
          <w:sz w:val="20"/>
          <w:szCs w:val="20"/>
          <w:color w:val="231F20"/>
        </w:rPr>
        <w:t>infrastructure and staff, integration of services, and other cost efficiencies. Our owners could lose access to the more varied and elaborate amenities that are generally available at the larger campus of an integrated vacation ownership and hotel resort. We could also lose our on-site access to hotel customers, including brand customer loyalty program members, at such resorts, which is a cost-effective marketing channel for our vacation ownership products, and our sales may decline.</w:t>
      </w:r>
    </w:p>
    <w:p>
      <w:pPr>
        <w:spacing w:after="0" w:line="75"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The sale of VOIs in the secondary market by existing owners could cause our sales revenues, margins, and results of operations to decline.</w:t>
      </w:r>
    </w:p>
    <w:p>
      <w:pPr>
        <w:spacing w:after="0" w:line="5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9"/>
          <w:szCs w:val="19"/>
          <w:color w:val="231F20"/>
        </w:rPr>
        <w:t>Sales of VOIs by existing owners, which are typically at lower prices than the prices at which we would sell interests, can create pricing pressure on our sale of vacation ownership products and cause our sales revenues, margins and results of operations to decline. In addition, unlawful or deceptive third-party VOI resale schemes involving interests in our resorts could damage our reputation and brand value and adversely impact our sales revenues and results of operations. Development of a more robust secondary market may also cause the volume of lower-cost VOI inventory that we are able to repurchase to supplement our inventory needs to decline, which could adversely impact our development margin.</w:t>
      </w:r>
    </w:p>
    <w:p>
      <w:pPr>
        <w:spacing w:after="0" w:line="65"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Borrower defaults on the vacation ownership notes receivable our business generates could reduce our results of operations and cash flows.</w:t>
      </w:r>
    </w:p>
    <w:p>
      <w:pPr>
        <w:spacing w:after="0" w:line="5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In connection with our vacation ownership business, we provide loans to purchasers to finance their purchase of VOIs. Accordingly, we are subject to the risk that those borrowers may default on the financing that we provide. The risk of borrower defaults may increase due to man-made or natural disasters, inflation, recessions or other economic downturns that cause financial hardship for borrowers. In the past, we have experienced increased defaults as a result of economic downturns. Certain of our borrowers have been impacted by man-made and natural disasters. The risk of borrower defaults may also increase if we do not evaluate accurately the creditworthiness of the customers to whom we extend financing or due to the influence of timeshare relief firms. Borrower defaults have caused, and may continue to cause, us to foreclose on vacation ownership notes receivable and reclaim ownership of the financed interests, both for loans that we have not securitized and in our role as servicer for the vacation ownership notes receivable we have securitized through the ABS market or the Warehouse Credit Facility. If default rates for our borrowers increase, we have been required, and may in the future be required, to increase our reserve on vacation ownership notes receivable, which would adversely affect our results of operations and cash flows.</w:t>
      </w:r>
    </w:p>
    <w:p>
      <w:pPr>
        <w:spacing w:after="0" w:line="9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231F20"/>
        </w:rPr>
        <w:t>If default rates increase beyond current projections and result in higher than expected foreclosure activity, our results of operations would be adversely affected. Borrower defaults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 Also, if a purchaser of a VOI defaults on the related loan during the early part of the amortization period, we may not have fully recovered the marketing, selling and general and administrative costs associated with the sale of that VOI. If we are unable to recover any of the principal amount of the loan from a defaulting borrower, or if the allowances for losses from such defaults are inadequate, the revenues and profits that we derive from the vacation ownership business could be reduced materially.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not have inventory available for sale when needed or we may have excess inventory.</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We may continue to enter into capital-efficient transactions to source inventory in which third parties agree to deliver completed units in the future to us at pre-agreed prices. These transactions expose us to additional risk as we will not control development activities or timing of development completion. If our counterparties default on their obligations, or exercise their right to sell inventory to a different buyer, we may not acquire the inventory we expect on time or at all, or it may not be within agreed upon specifications. If we cannot obtain inventory from alternative sources on a timely basis, we may not be able to achieve sales forecasts. Conversely, if we procure or commit to procure inventory based on an expected sales plan and fail to achieve that plan, we could have excess inventory, potentially negatively impacting our margins and results of operations.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points-based product forms expose us to an increased risk of temporary inventory depletion.</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Selling VOIs in a system of resorts under a points-based business model increases the risk of temporary inventory depletion. Currently, our VOI sales are made primarily through a limited number of trust entities that issue VOIs. These structures can lead to a temporary depletion of inventory available for sale caused by: (1) delayed delivery of inventory under construction by us or third parties; (2) delayed receipt of required governmental registrations of inventory for sale; or (3) significant unanticipated increases in sales pace. If the inventory available for sale for a particular trust were to be</w:t>
      </w:r>
    </w:p>
    <w:p>
      <w:pPr>
        <w:sectPr>
          <w:pgSz w:w="11880" w:h="15480" w:orient="portrait"/>
          <w:cols w:equalWidth="0" w:num="1">
            <w:col w:w="9680"/>
          </w:cols>
          <w:pgMar w:left="1080" w:top="838" w:right="112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9680"/>
          </w:cols>
          <w:pgMar w:left="1080" w:top="838" w:right="1120" w:bottom="0" w:gutter="0" w:footer="0" w:header="0"/>
          <w:type w:val="continuous"/>
        </w:sectPr>
      </w:pPr>
    </w:p>
    <w:bookmarkStart w:id="36" w:name="page37"/>
    <w:bookmarkEnd w:id="36"/>
    <w:p>
      <w:pPr>
        <w:spacing w:after="0" w:line="254" w:lineRule="auto"/>
        <w:rPr>
          <w:sz w:val="20"/>
          <w:szCs w:val="20"/>
          <w:color w:val="auto"/>
        </w:rPr>
      </w:pPr>
      <w:r>
        <w:rPr>
          <w:rFonts w:ascii="Times New Roman" w:cs="Times New Roman" w:eastAsia="Times New Roman" w:hAnsi="Times New Roman"/>
          <w:sz w:val="20"/>
          <w:szCs w:val="20"/>
          <w:color w:val="231F20"/>
        </w:rPr>
        <w:t>depleted before new inventory is added and available for sale, we may be required to temporarily suspend sales until inventory is replenished, shift to selling an alternative product or buy additional inventory at a higher cost, which happened in Thailand in 2025. Our efforts to avoid the risk of temporary inventory depletion by maintaining a surplus supply of completed inventory based on our forecasted sales pace, and by employing other mitigation strategies such as accelerating completion of resorts under construction, acquiring VOIs on the secondary market, or reducing sales pace by adjusting prices or sales incentives, may not be successful. A depletion of VOI inventory could decrease our financing revenues generated from purchasers of VOIs and fee revenues generated by providing club, management, exchange, sales, and marketing services. In addition, any temporary suspension of sales due to lack of inventory could reduce our cash flow and have a negative impact on our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development activities expose us to project cost and completion risks.</w:t>
      </w:r>
    </w:p>
    <w:p>
      <w:pPr>
        <w:spacing w:after="0" w:line="13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Our project development activities entail risks that may cause project delays or increased project costs and therefore may adversely impact our results of operations, cash flows and financial condition. These risks include construction delays or cost overruns; shortages of skilled labor; claims for construction defects, including claims by purchasers and owners’ associations; the discovery of hazardous or toxic substances, or other environmental, culturally-sensitive, or related issues; an inability to timely obtain required governmental permits and authorizations; compliance with zoning, building codes and other local regulations; performance by third parties involved in the financing and development of our projects; the cost or availability of raw materials; and interference of weather-related, geological or other events, such as hurricanes, earthquakes, floods, tsunamis, fires, and volcanic eruptions.</w:t>
      </w:r>
    </w:p>
    <w:p>
      <w:pPr>
        <w:spacing w:after="0" w:line="84"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resort management business may be adversely affected by the loss of management contracts, failure of resorts to comply with brand standards, increased maintenance fees and disagreements with owners.</w:t>
      </w:r>
    </w:p>
    <w:p>
      <w:pPr>
        <w:spacing w:after="0" w:line="5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231F20"/>
        </w:rPr>
        <w:t>Owners of our VOIs are required to pay maintenance fees to maintain and refurbish the vacation ownership properties and keep them in compliance with brand standards. If a resort fails to comply with applicable brand standards, the applicable licensor could terminate our rights to use its trademarks at the resort, which could result in the loss of management fees, decreased customer satisfaction, and impair our ability to market and sell our products at the non-compliant locations. Increases in maintenance fees to keep pace with operating expenses, maintenance and other costs may make our products less desirable, which could negatively impact sales and cause an increase in defaults on our vacation ownership notes receivable portfolio. If the owners’ associations that we manage are unable to collect sufficient maintenance fees to cover operating and maintenance costs, the related resorts may have to close or file for bankruptcy, which may result in termination of our management agreements. We may also lose resort management contracts if they are not renewed when they expire, or the contract terms may be renegotiated in a manner adverse to us. The loss or renegotiation of a significant number of our management contracts may adversely affect our cash flows and results of operations.</w:t>
      </w:r>
    </w:p>
    <w:p>
      <w:pPr>
        <w:spacing w:after="0" w:line="9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231F20"/>
        </w:rPr>
        <w:t>From time to time, disagreements arise between us and the owners of VOIs and owners’ associations. For example, owners of our VOIs have disagreed, and may in the future disagree, with changes we make to our products or programs. Sometimes, disagreements with VOI owners and owners’ associations result in litigation and the loss of management contracts. If any such litigation results in a significant adverse judgment or settlement, we could suffer significant losses, our margins and results of operations could be reduced, our reputation could be harmed and our future ability to operate our business could be constrained.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Damage to, or other potential losses involving, properties that we own or manage may not be covered by insurance.</w:t>
      </w:r>
    </w:p>
    <w:p>
      <w:pPr>
        <w:spacing w:after="0" w:line="13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231F20"/>
        </w:rPr>
        <w:t>We procure insurance for general liability, property, business interruption, directors and officers liability, and other insurable risks with respect to our business operations and as customarily carried by companies in the hospitality industry. Market forces beyond our control may limit the scope, terms, and conditions of the insurance coverage we are able to obtain or our ability to obtain coverage at reasonable rates, which may affect our ability to maintain customary insurance coverages and deductibles at acceptable costs. Certain types of losses, generally of a catastrophic nature, such as earthquakes, hurricanes, wildfires, and floods, or terrorist acts, may be uninsurable or the price of coverage for such losses may be too expensive to justify obtaining insurance. The effects of climate change, such as increased storm intensity and rising temperatures or sea levels over time, may also increase the cost of property insurance and decrease our coverage levels. In addition, in the event of a substantial loss, the insurance coverage we carry may not be sufficient to pay the full market value or replacement cost of our lost property or property of owners of VOIs or third party liability. In some cases, insurance may not provide a recovery for any part of a loss due to deductibles, retentions, policy limits, coverage limitations, uninsured parts of a loss or other factors. As a result, we could lose some or all of the capital we have invested in a property, as well as the anticipated future revenue from the property, and we could remain obligated under guarantees or other financial obligations related to the property. In addition, we could lose the</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9720"/>
          </w:cols>
          <w:pgMar w:left="1080" w:top="838" w:right="1080" w:bottom="0" w:gutter="0" w:footer="0" w:header="0"/>
          <w:type w:val="continuous"/>
        </w:sectPr>
      </w:pPr>
    </w:p>
    <w:bookmarkStart w:id="37" w:name="page38"/>
    <w:bookmarkEnd w:id="37"/>
    <w:p>
      <w:pPr>
        <w:ind w:right="100"/>
        <w:spacing w:after="0" w:line="260" w:lineRule="auto"/>
        <w:rPr>
          <w:sz w:val="20"/>
          <w:szCs w:val="20"/>
          <w:color w:val="auto"/>
        </w:rPr>
      </w:pPr>
      <w:r>
        <w:rPr>
          <w:rFonts w:ascii="Times New Roman" w:cs="Times New Roman" w:eastAsia="Times New Roman" w:hAnsi="Times New Roman"/>
          <w:sz w:val="20"/>
          <w:szCs w:val="20"/>
          <w:color w:val="231F20"/>
        </w:rPr>
        <w:t>management contract for the property and, to the extent such property operates under a licensed brand, the property may lose operating rights under the associated brand. We may also incur liabilities or losses in the operation of our business that are only partially covered by insurance, or not covered at all. Any of these events could have a material adverse effect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exchange and third-party management business.</w:t>
      </w:r>
    </w:p>
    <w:p>
      <w:pPr>
        <w:spacing w:after="0" w:line="128"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Any adverse changes in our relationships with developers, members and others could adversely affect our Exchange &amp; Third-Party Management business, financial condition, and results of operations.</w:t>
      </w:r>
    </w:p>
    <w:p>
      <w:pPr>
        <w:spacing w:after="0" w:line="5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231F20"/>
        </w:rPr>
        <w:t>Our Interval International business depends on vacation ownership developers for new members and on members and participants to renew their existing memberships and engage in transactions. Developers and members also supply resort accommodations for use in exchanges and Getaways. Our third-party management business depends on relationships with vacation property and hotel owners.</w:t>
      </w:r>
    </w:p>
    <w:p>
      <w:pPr>
        <w:spacing w:after="0" w:line="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If we are unable to negotiate new affiliation agreements with resort developers or secure renewals with existing members or developers in our Interval Network, as has occurred in the past, the number of new and existing members, the supply of resort accommodations available through our exchange network and related revenue could decrease. The failure to secure the renewal of affiliation agreements with developers with corporate member relationships, where the developer renews Interval International membership fees for all of its active owners, has a greater adverse effect. The loss or renegotiation on less favorable terms of several of our largest affiliation agreements could materially adversely impact our financial condition and results of operations. Our ability to maintain affiliation agreements with resort developers is also impacted by consolidation in the vacation ownership industry.</w:t>
      </w:r>
    </w:p>
    <w:p>
      <w:pPr>
        <w:spacing w:after="0" w:line="9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231F20"/>
        </w:rPr>
        <w:t>In addition, we depend on third parties to make certain benefits available to members of the Interval International exchange network. The loss of such benefits could result in a decrease in the number of Interval International members, which could have a material adverse effect on our business, financial condition and results of operations.</w:t>
      </w:r>
    </w:p>
    <w:p>
      <w:pPr>
        <w:spacing w:after="0" w:line="75"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9"/>
          <w:szCs w:val="19"/>
          <w:color w:val="231F20"/>
        </w:rPr>
        <w:t>Similarly, the failure of our third-party management business to maintain existing or negotiate new management agreements with vacation property and hotel owners, as a result of the sale of property to third parties, contract disputes or otherwise, or the failure of vacationers to book vacation rentals through our businesses would result in a decrease in related revenue, which would have an adverse effect on our business, financial condition and results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Insufficient availability of exchange inventory may adversely affect our results of operations.</w:t>
      </w:r>
    </w:p>
    <w:p>
      <w:pPr>
        <w:spacing w:after="0" w:line="13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Our exchange network’s transaction levels depend on the supply of inventory in the system and demand for the available inventory. Exchange inventory is deposited in the system by members, or by developers on behalf of members, to support current or anticipated exchanges. Inventory supply and demand for specific regions and on a broader scope are influenced by a variety of factors, such as: economic conditions; health and safety concerns, including concerns and travel restrictions relating to Health Crises such as the COVID-19 pandemic; the occurrence or threat of natural disasters and severe weather; and owner decisions to travel to their home resort/vacation club system or otherwise not deposit exchange inventory. The factors that affect demand for specific destinations could significantly reduce the number of accommodations available in such areas for exchanges. The level of inventory in our system also depends on the number of developers whose resorts are in our exchange network, and the numbers of members of such resorts. The number of developers affiliated with our exchange network may decrease for a variety of reasons, such as consolidation and contraction in the industry and competition. If inventory supply and demand do not keep pace, transactions may decrease or we may purchase additional inventory to fulfill the demand, both of which could negatively affect our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indebtedness.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indebtedness may restrict our operations.</w:t>
      </w:r>
    </w:p>
    <w:p>
      <w:pPr>
        <w:spacing w:after="0" w:line="13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231F20"/>
        </w:rPr>
        <w:t>As of December 31, 2025, we had approximately $3.6 billion of total corporate indebtedness outstanding and could borrow an additional $787 million under a revolving corporate credit facility with a borrowing capacity of $800 million (the “Revolving Corporate Credit Facility”). The credit agreement that governs our corporate credit facility (“Corporate Credit Facility”) and the indentures that govern our various senior notes impose significant operating and financial restrictions on us, which among other things limit our ability and the ability of certain of our subsidiaries to incur debt, pay dividends and make other restricted payments, make loans and investments, incur liens, sell assets, enter into affiliate transactions, enter into agreements restricting certain subsidiaries’ ability to pay dividends and consolidate, merge or sell all or substantially all of their assets. The Corporate Credit Facility also requires us to not exceed a maximum first lien</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9720"/>
          </w:cols>
          <w:pgMar w:left="1080" w:top="838" w:right="1080" w:bottom="0" w:gutter="0" w:footer="0" w:header="0"/>
          <w:type w:val="continuous"/>
        </w:sectPr>
      </w:pPr>
    </w:p>
    <w:bookmarkStart w:id="38" w:name="page39"/>
    <w:bookmarkEnd w:id="38"/>
    <w:p>
      <w:pPr>
        <w:ind w:right="100"/>
        <w:spacing w:after="0" w:line="281" w:lineRule="auto"/>
        <w:rPr>
          <w:sz w:val="20"/>
          <w:szCs w:val="20"/>
          <w:color w:val="auto"/>
        </w:rPr>
      </w:pPr>
      <w:r>
        <w:rPr>
          <w:rFonts w:ascii="Times New Roman" w:cs="Times New Roman" w:eastAsia="Times New Roman" w:hAnsi="Times New Roman"/>
          <w:sz w:val="20"/>
          <w:szCs w:val="20"/>
          <w:color w:val="231F20"/>
        </w:rPr>
        <w:t>leverage ratio and maintain a minimum interest coverage ratio. These restrictions could restrict our flexibility to react to changes in our businesses, industries and economic conditions and increase borrowing costs.</w:t>
      </w:r>
    </w:p>
    <w:p>
      <w:pPr>
        <w:spacing w:after="0" w:line="6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9"/>
          <w:szCs w:val="19"/>
          <w:color w:val="231F20"/>
        </w:rPr>
        <w:t>We must dedicate a portion of our cash flow from operations to debt servicing and repayment of debt, which reduces funds available for strategic initiatives and opportunities, dividends, share repurchases, working capital, and other general corporate needs. It also increases our vulnerability to the impact of adverse economic and industry conditions.</w:t>
      </w:r>
    </w:p>
    <w:p>
      <w:pPr>
        <w:spacing w:after="0" w:line="50"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If we are unable to comply with our debt agreements, or to raise additional capital when needed, our business, cash flow, liquidity, and results of operations could be harmed.</w:t>
      </w:r>
    </w:p>
    <w:p>
      <w:pPr>
        <w:spacing w:after="0" w:line="5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231F20"/>
        </w:rPr>
        <w:t>Our ability to make scheduled cash payments on and to refinance our indebtedness depends on our ability to generate significant operating cash flow in the future, which, to a significant extent, is subject to general economic, financial, competitive, legislative, regulatory and other factors that are beyond our control. We may not be able to maintain a sufficient level of cash flow from operating activities to permit us to pay the principal, premium, if any, and interest on our indebtedness.</w:t>
      </w:r>
    </w:p>
    <w:p>
      <w:pPr>
        <w:spacing w:after="0" w:line="8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231F20"/>
        </w:rPr>
        <w:t>In addition, our credit ratings will impact the cost and availability of future borrowings and, accordingly, our cost of capital. The Company has experienced ratings downgrades in the past, including being downgraded to ‘B+’ by S&amp;P in 2025. Additional downgrades in our ratings could adversely affect our businesses, cash flows, financial condition, operating results and share and debt prices, as well as our ability to meet our obligations under our capital efficient inventory acquisitions.</w:t>
      </w:r>
    </w:p>
    <w:p>
      <w:pPr>
        <w:spacing w:after="0" w:line="84"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9"/>
          <w:szCs w:val="19"/>
          <w:color w:val="231F20"/>
        </w:rPr>
        <w:t>Failure to make scheduled cash payments on our existing debt, or to comply with the restrictive covenants and other requirements in our debt agreements, could result in an event of default, which, if not cured or waived, could result in acceleration of our debt repayment obligations. We may not have sufficient cash to repay any accelerated debt obligations, which would immediately and materially harm our business, results of operations and financial condition.</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We may be required to raise additional capital to refinance our existing debt, or to expand or support our operations. For example, during 2025, we issued $575 million aggregate principal amount of 6.500% Senior Notes due 2033 to raise the funds necessary to repay our convertible notes maturing in 2026. Our access to and cost of financing will depend on, among other things, global economic conditions, conditions in the global financing markets, the availability of sufficient amounts of financing, our prospects and our credit ratings, and the outlook for our industry as a whole. The terms of future debt agreements could include more restrictive covenants or require incremental collateral, which may further restrict our business operations or adversely affect our ability to obtain additional financing. There is no guarantee that debt or equity financings will be available in the future on terms favorable to us or at all. If we are unable to access additional funds on acceptable terms, we may have to adjust our business operations, and our ability to acquire additional vacation ownership inventory, repurchase VOIs, or make other investments in our business could be impaired, any of which may adversely affect our cash flows and results of operations.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incur substantially more debt, which could exacerbate further the risks associated with our leverage.</w:t>
      </w:r>
    </w:p>
    <w:p>
      <w:pPr>
        <w:spacing w:after="0" w:line="13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231F20"/>
        </w:rPr>
        <w:t>We may incur substantial additional indebtedness in the future, including secured indebtedness, as well as obligations that do not constitute indebtedness as defined in our debt agreements. To the extent that we incur additional indebtedness or such other obligations, the risks associated with our substantial indebtedness described above will increase.</w:t>
      </w:r>
    </w:p>
    <w:p>
      <w:pPr>
        <w:spacing w:after="0" w:line="50" w:lineRule="exact"/>
        <w:rPr>
          <w:sz w:val="20"/>
          <w:szCs w:val="20"/>
          <w:color w:val="auto"/>
        </w:rPr>
      </w:pPr>
    </w:p>
    <w:p>
      <w:pPr>
        <w:ind w:right="120"/>
        <w:spacing w:after="0" w:line="316" w:lineRule="auto"/>
        <w:rPr>
          <w:sz w:val="20"/>
          <w:szCs w:val="20"/>
          <w:color w:val="auto"/>
        </w:rPr>
      </w:pPr>
      <w:r>
        <w:rPr>
          <w:rFonts w:ascii="Times New Roman" w:cs="Times New Roman" w:eastAsia="Times New Roman" w:hAnsi="Times New Roman"/>
          <w:sz w:val="19"/>
          <w:szCs w:val="19"/>
          <w:b w:val="1"/>
          <w:bCs w:val="1"/>
          <w:i w:val="1"/>
          <w:iCs w:val="1"/>
          <w:color w:val="231F20"/>
        </w:rPr>
        <w:t>If the default rates or other credit metrics underlying our vacation ownership notes receivable deteriorate, our vacation ownership notes receivable securitization program and VOI financing program could be adversely affected.</w:t>
      </w:r>
    </w:p>
    <w:p>
      <w:pPr>
        <w:spacing w:after="0" w:line="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Our vacation ownership notes receivable portfolio performance and securitization program could be adversely affected if any vacation ownership notes receivable pool fails to meet certain ratios, which could occur if the default rates or other credit metrics of the underlying vacation ownership notes receivable deteriorate. Default rates may deteriorate due to many different reasons, including those beyond our control, such as financial hardship of purchasers. In addition, if we offer loans to our customers with terms longer or different than those generally offered in the industry, our ability to securitize those loans may be adversely impacted. Instability in the credit markets may impact the timing and volume of the vacation ownership notes receivable that we are able to securitize, as well as the financial terms of such securitizations. If ABS issued in our securitization programs are downgraded by credit agencies in the future, our ability to complete securitization transactions on acceptable terms or at all could be jeopardized, and we could be forced to rely on other potentially more expensive and less attractive funding sources, to the extent available.</w:t>
      </w:r>
    </w:p>
    <w:p>
      <w:pPr>
        <w:sectPr>
          <w:pgSz w:w="11880" w:h="15480" w:orient="portrait"/>
          <w:cols w:equalWidth="0" w:num="1">
            <w:col w:w="9700"/>
          </w:cols>
          <w:pgMar w:left="1080" w:top="83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9700"/>
          </w:cols>
          <w:pgMar w:left="1080" w:top="838" w:right="110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i w:val="1"/>
          <w:iCs w:val="1"/>
          <w:color w:val="231F20"/>
        </w:rPr>
        <w:t>We are subject to risks relating to our convertible notes.</w:t>
      </w:r>
    </w:p>
    <w:p>
      <w:pPr>
        <w:spacing w:after="0" w:line="13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231F20"/>
        </w:rPr>
        <w:t>Holders of our convertible notes may convert the convertible notes after the occurrence of certain dates or events. See Footnote 15 “Debt” to our Financial Statements for additional information. If any holders elect to convert their convertible notes, we may elect to settle all or a portion of our conversion obligation through the payment of cash, which could adversely affect our liquidity.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are subject to risks relating to our convertible note hedges and warrants.</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In connection with the convertible notes, we entered into privately negotiated convertible note hedges to reduce potential dilution to our common stock and offset cash payments we must make in excess of the principal amount, in each case, upon any conversion of convertible notes. We also issued warrants to the hedge counterparties. The warrants could have a dilutive effect on our shares of common stock to the extent that the market price per share exceeds the applicable strike price of the warrants on one or more of the applicable expiration dates. Alternatively, if settled in cash, the warrants could have a negative impact on cash flow and liquidity.</w:t>
      </w:r>
    </w:p>
    <w:p>
      <w:pPr>
        <w:spacing w:after="0" w:line="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231F20"/>
        </w:rPr>
        <w:t>In connection with establishing their initial hedges of the convertible note hedges and the warrants, the hedge counterparties and their respective affiliates advised us that they expected to purchase shares of our common stock in secondary market transactions and enter into various derivative transactions with respect to our common stock. These parties may modify their hedge positions by entering into or unwinding various derivatives with respect to our common stock and buying or selling our common stock in the secondary market. Any of these activities could cause or prevent an increase or a decline in the market price of our common stock.</w:t>
      </w:r>
    </w:p>
    <w:p>
      <w:pPr>
        <w:spacing w:after="0" w:line="8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231F20"/>
        </w:rPr>
        <w:t>We are subject to the risk that one or more of the hedge counterparties may default under the convertible note hedges. If any of the hedge counterparties become subject to insolvency proceedings, we will become an unsecured creditor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ownership of our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stock price may be volatile and your investment in our common stock could lose value.</w:t>
      </w:r>
    </w:p>
    <w:p>
      <w:pPr>
        <w:spacing w:after="0" w:line="13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231F20"/>
        </w:rPr>
        <w:t>Our stock price and trading volume are subject to changes, which may be significant, due to our financial results and operating performance and recommendations or earnings estimates by securities analyst and investors, as well as changes in economic, political and market conditions, including changes that affect demand for travel and consumer discretionary spending, such as inflationary pressures, health crises, acts of war and terrorism, and other factors unrelated to our financial results and operating performance. Speculation in the press or investment community about our business and results of operation can also cause changes in our stock price and trading volume. Many of these factors are out of our control. A significant drop in our stock price could expose us to the risk of securities class action lawsuits, which may result in substantial expense and divert management’s attention and resources, which may adversely affect our business.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ability to pay dividends on our stock is limited.</w:t>
      </w:r>
    </w:p>
    <w:p>
      <w:pPr>
        <w:spacing w:after="0" w:line="1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We may not declare or pay dividends in the future at any particular rate or at all. Our Board makes all decisions regarding our payment of dividends, subject to an evaluation of our financial condition, results of operations and capital requirements, as well as applicable law, regulatory and contractual constraints, industry practice and other business considerations that our Board considers relevant. Certain of the agreements governing our indebtedness restrict our ability and the ability of our subsidiaries to pay dividends, and the terms of agreements governing debt that we may incur in the future may also limit or prohibit dividend payments. The payment of certain cash dividends has and may in the future result in an adjustment to the conversion rate of the Convertible Notes and related warrants in a manner adverse to us. We may not have sufficient surplus under Delaware law to be able to pay dividends, which may result from extraordinary cash expenses, actual expenses exceeding contemplated costs, funding of capital expenditures or increases in reserves.</w:t>
      </w:r>
    </w:p>
    <w:p>
      <w:pPr>
        <w:spacing w:after="0" w:line="86"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share repurchase program may not enhance long-term stockholder value and could increase the volatility of the market price of our common stock and diminish our cash.</w:t>
      </w:r>
    </w:p>
    <w:p>
      <w:pPr>
        <w:spacing w:after="0" w:line="57"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9"/>
          <w:szCs w:val="19"/>
          <w:color w:val="231F20"/>
        </w:rPr>
        <w:t>Our share repurchase program does not obligate us to repurchase any shares of our common stock. The timing and amount of any repurchases depend upon several factors, including market conditions, business conditions, statutory and contractual restrictions, the trading price of our common stock and the nature of other investment opportunities available to us. In addition, repurchases of our common stock could affect our stock price and increase its volatility. The existence</w:t>
      </w:r>
    </w:p>
    <w:p>
      <w:pPr>
        <w:sectPr>
          <w:pgSz w:w="11880" w:h="15480" w:orient="portrait"/>
          <w:cols w:equalWidth="0" w:num="1">
            <w:col w:w="9720"/>
          </w:cols>
          <w:pgMar w:left="1080" w:top="829" w:right="1080" w:bottom="0"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9720"/>
          </w:cols>
          <w:pgMar w:left="1080" w:top="829" w:right="1080" w:bottom="0" w:gutter="0" w:footer="0" w:header="0"/>
          <w:type w:val="continuous"/>
        </w:sectPr>
      </w:pPr>
    </w:p>
    <w:bookmarkStart w:id="40" w:name="page41"/>
    <w:bookmarkEnd w:id="40"/>
    <w:p>
      <w:pPr>
        <w:spacing w:after="0" w:line="258" w:lineRule="auto"/>
        <w:rPr>
          <w:sz w:val="20"/>
          <w:szCs w:val="20"/>
          <w:color w:val="auto"/>
        </w:rPr>
      </w:pPr>
      <w:r>
        <w:rPr>
          <w:rFonts w:ascii="Times New Roman" w:cs="Times New Roman" w:eastAsia="Times New Roman" w:hAnsi="Times New Roman"/>
          <w:sz w:val="20"/>
          <w:szCs w:val="20"/>
          <w:color w:val="231F20"/>
        </w:rPr>
        <w:t>of a share repurchase program could cause our stock price to be higher than it would be absent the program and could reduce market liquidity for our stock. Use of our funds to repurchase shares could diminish our cash reserves, which may impact our ability to finance growth, pursue strategic opportunities, and discharge liabilities. Our share repurchases may not enhance stockholder value because the market price of our common stock may decline below the prices at which we repurchased shares and short-term stock price fluctuations could reduce the program’s effectiveness.</w:t>
      </w:r>
    </w:p>
    <w:p>
      <w:pPr>
        <w:spacing w:after="0" w:line="75"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Anti-takeover provisions in our organizational documents, Delaware law and in certain of our agreements could delay or prevent a change in control.</w:t>
      </w:r>
    </w:p>
    <w:p>
      <w:pPr>
        <w:spacing w:after="0" w:line="5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231F20"/>
        </w:rPr>
        <w:t>Provisions of our Charter and Bylaws, as well as provisions in the agreements with our licensors, may delay or prevent a merger or acquisition that a stockholder may consider favorable. For example, our Charter and Bylaws require advance notice of stockholder proposals and nominations, place limits on convening stockholder meetings and authorize our Board of Directors to issue one or more series of preferred stock. Delaware law also restricts some business combinations between any holder of 15% or more of our outstanding common stock and us. The fact that these provisions and statutory restrictions may discourage acquisition proposals or delay or prevent a change in control could harm our stock price.</w:t>
      </w:r>
    </w:p>
    <w:p>
      <w:pPr>
        <w:spacing w:after="0" w:line="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9"/>
          <w:szCs w:val="19"/>
          <w:color w:val="231F20"/>
        </w:rPr>
        <w:t>Further, a change in control could result in an acceleration of our obligations under the Corporate Credit Facility or the indentures that govern our senior notes. Such debt acceleration could make it more difficult for us to attract potential buyers or to consummate a change in control transaction that would otherwise be beneficial to our stockholders.</w:t>
      </w:r>
    </w:p>
    <w:p>
      <w:pPr>
        <w:spacing w:after="0" w:line="11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231F20"/>
        </w:rPr>
        <w:t>Item 1B.</w:t>
      </w:r>
      <w:r>
        <w:rPr>
          <w:sz w:val="20"/>
          <w:szCs w:val="20"/>
          <w:color w:val="auto"/>
        </w:rPr>
        <w:tab/>
      </w:r>
      <w:r>
        <w:rPr>
          <w:rFonts w:ascii="Times New Roman" w:cs="Times New Roman" w:eastAsia="Times New Roman" w:hAnsi="Times New Roman"/>
          <w:sz w:val="19"/>
          <w:szCs w:val="19"/>
          <w:b w:val="1"/>
          <w:bCs w:val="1"/>
          <w:color w:val="231F20"/>
        </w:rPr>
        <w:t>Unresolved Staff Comments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20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231F20"/>
        </w:rPr>
        <w:t>Item 1C.</w:t>
      </w:r>
      <w:r>
        <w:rPr>
          <w:sz w:val="20"/>
          <w:szCs w:val="20"/>
          <w:color w:val="auto"/>
        </w:rPr>
        <w:tab/>
      </w:r>
      <w:r>
        <w:rPr>
          <w:rFonts w:ascii="Times New Roman" w:cs="Times New Roman" w:eastAsia="Times New Roman" w:hAnsi="Times New Roman"/>
          <w:sz w:val="20"/>
          <w:szCs w:val="20"/>
          <w:b w:val="1"/>
          <w:bCs w:val="1"/>
          <w:color w:val="231F20"/>
        </w:rPr>
        <w:t>Cybersecurity</w:t>
      </w:r>
    </w:p>
    <w:p>
      <w:pPr>
        <w:spacing w:after="0" w:line="137"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20"/>
          <w:szCs w:val="20"/>
          <w:color w:val="231F20"/>
        </w:rPr>
        <w:t>We maintain a cybersecurity program designed to protect our information, and that of our customers, against cybersecurity threats that may result in adverse effects on the confidentiality, integrity, and availability of our information systems.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Board of Directors</w:t>
      </w:r>
    </w:p>
    <w:p>
      <w:pPr>
        <w:spacing w:after="0" w:line="13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231F20"/>
        </w:rPr>
        <w:t>Our Board is responsible for overseeing our processes for assessing and managing enterprise risk, including with respect to cybersecurity. The Board considers our risk profile when reviewing our annual business plan and incorporates risk assessment into its decisions.</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Our Board has delegated the primary responsibility for oversight of cybersecurity risk to the Audit Committee. The Audit Committee regularly reviews our cybersecurity and data security risks and mitigation strategies. At least twice each year, the Audit Committee receives reports and presentations from members of our team responsible for overseeing our cybersecurity risk management, including our Senior Vice President, Global Information Security (“SVP-GIS”) and our Executive Vice President and Chief Information Officer (“EVP-CIO”), and periodically receives reports and presentations from third parties. These reports may address a wide range of topics, including recent developments, evolving standards, third-party and independent reviews, the threat environment, technological trends and cybersecurity considerations arising with respect to our peers and third parties. The Audit Committee reports to the Board on cybersecurity matters. We also have protocols by which certain cybersecurity incidents that meet established reporting thresholds are escalated within the Company and, where appropriate, reported to the Audit Committee in a timely manner.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Management</w:t>
      </w:r>
    </w:p>
    <w:p>
      <w:pPr>
        <w:spacing w:after="0" w:line="13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20"/>
          <w:szCs w:val="20"/>
          <w:color w:val="231F20"/>
        </w:rPr>
        <w:t>We have implemented a cross-functional approach to identifying, preventing and mitigating cybersecurity threats and incidents, while also implementing controls and procedures that provide for the escalation of certain cybersecurity incidents.</w:t>
      </w:r>
    </w:p>
    <w:p>
      <w:pPr>
        <w:spacing w:after="0" w:line="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color w:val="231F20"/>
        </w:rPr>
        <w:t>At the management level, our SVP-GIS is responsible for the assessment and management of risks from cybersecurity threats. Our SVP-GIS has extensive cybersecurity knowledge and skills gained from over 25 years of experience in government and industries including retail and manufacturing, and industry certifications including Certified Information Systems Security Professional (“CISSP”) from ISC Squared and Global Information Assurance Certification (“GIAC”) from SANS Institute. Our SVP-GIS also has experience in forensic investigations, strategic cyber risk management, and cybersecurity program development. Our SVP-GIS leads the team responsible for implementing, monitoring and maintaining cybersecurity policies and practices across our business and reports directly to our EVP-CIO. Our SVP-</w:t>
      </w:r>
    </w:p>
    <w:p>
      <w:pPr>
        <w:sectPr>
          <w:pgSz w:w="11880" w:h="15480" w:orient="portrait"/>
          <w:cols w:equalWidth="0" w:num="1">
            <w:col w:w="9700"/>
          </w:cols>
          <w:pgMar w:left="1080" w:top="838" w:right="1100" w:bottom="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9700"/>
          </w:cols>
          <w:pgMar w:left="1080" w:top="838" w:right="1100" w:bottom="0" w:gutter="0" w:footer="0" w:header="0"/>
          <w:type w:val="continuous"/>
        </w:sectPr>
      </w:pPr>
    </w:p>
    <w:bookmarkStart w:id="41" w:name="page42"/>
    <w:bookmarkEnd w:id="41"/>
    <w:p>
      <w:pPr>
        <w:ind w:right="680"/>
        <w:spacing w:after="0" w:line="281" w:lineRule="auto"/>
        <w:rPr>
          <w:sz w:val="20"/>
          <w:szCs w:val="20"/>
          <w:color w:val="auto"/>
        </w:rPr>
      </w:pPr>
      <w:r>
        <w:rPr>
          <w:rFonts w:ascii="Times New Roman" w:cs="Times New Roman" w:eastAsia="Times New Roman" w:hAnsi="Times New Roman"/>
          <w:sz w:val="20"/>
          <w:szCs w:val="20"/>
          <w:color w:val="231F20"/>
        </w:rPr>
        <w:t>GIS’s direct reports include a number of experienced cybersecurity leaders responsible for various aspects of our cybersecurity program, each of whom is supported by a team of experienced cybersecurity professionals.</w:t>
      </w:r>
    </w:p>
    <w:p>
      <w:pPr>
        <w:spacing w:after="0" w:line="6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231F20"/>
        </w:rPr>
        <w:t>The functions that report to our SVP-GIS include: cybersecurity risk management, Payment Card Industry compliance, and cybersecurity testing; operation of protective cybersecurity tools and systems; cybersecurity monitoring, incident response, and digital forensics; cybersecurity research and development and support for information technology and cybersecurity functions.</w:t>
      </w:r>
    </w:p>
    <w:p>
      <w:pPr>
        <w:spacing w:after="0" w:line="8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231F20"/>
        </w:rPr>
        <w:t>Our SVP-GIS works closely with our Law Department and regularly engages expert consultants and other third parties to assist with assessing, identifying, and managing cybersecurity risks and to oversee compliance with legal, regulatory and contractual cybersecurity requirements. The EVP-CIO and SVP-GIS also periodically attend Audit Committee meetings to report on any material developments.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 Management and Strategy</w:t>
      </w:r>
    </w:p>
    <w:p>
      <w:pPr>
        <w:spacing w:after="0" w:line="1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We employ systems and processes designed to oversee, identify, and reduce the potential impact of a cybersecurity incident at a third-party vendor, service provider or customer or otherwise implicating the third-party technology and systems we use. Our processes and systems include automated tools and technical safeguards managed and monitored by our cybersecurity team. We currently carry cybersecurity insurance, however, we cannot assure you that we will be able to maintain such policies in the future or that they will be sufficient to cover all potential cybersecurity events or losses we incur in connection with such events.</w:t>
      </w:r>
    </w:p>
    <w:p>
      <w:pPr>
        <w:spacing w:after="0" w:line="8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231F20"/>
        </w:rPr>
        <w:t>We require our associates to receive annual training on our cybersecurity policies and practices. This may include, but is not limited to, training regarding information classification and handling, data privacy, physical security, phishing, malware and ransomware, social engineering, identifying and reporting information security incidents, and secure credit card handling, as well as additional topics based on job roles and responsibilities. We also maintain written cybersecurity policies and procedures that apply to the entire Company and third parties who handle our data or have access to our information technology systems. These policies and procedures establish the framework for our cybersecurity program and cover topics such as acceptable use of information systems, cybersecurity risk management, access management, audit and logging, patching, and cybersecurity requirements for numerous technologies. These policies and procedures are reviewed at least annually, updated as necessary, and integrated into employee training programs and our technology procurement process. We are also subject to the Payment Card Industry Data Security Standard and perform an annual self-assessment according to the requirements set forth by the Payment Card Industry Security Standards Council.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Incident Response</w:t>
      </w:r>
    </w:p>
    <w:p>
      <w:pPr>
        <w:spacing w:after="0" w:line="130"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9"/>
          <w:szCs w:val="19"/>
          <w:color w:val="231F20"/>
        </w:rPr>
        <w:t>We have adopted an Incident Response Plan (the “IRP”) that applies in the event of a cybersecurity threat or incident to provide a standardized framework for responding to cybersecurity incidents. The IRP sets out a coordinated approach to investigating, containing, documenting and mitigating incidents, including reporting findings and keeping senior management and other key stakeholders informed and involved as appropriate. The IRP applies to all Company personnel (including third-party contractors, vendors and partners) that perform functions or services that require access to secure Company information, and to all devices and network services that are owned or managed by the Company.</w:t>
      </w:r>
    </w:p>
    <w:p>
      <w:pPr>
        <w:spacing w:after="0" w:line="7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231F20"/>
        </w:rPr>
        <w:t>The SVP-GIS is responsible for maintaining our IRP. Potentially significant threats are escalated to an interdisciplinary data breach response team (the “DBRT”), which is led by our EVP-CIO and co-chaired by the SVP-GIS, our head of data privacy, and a representative from our Law Department. The DBRT is responsible for oversight and handling of significant cybersecurity threats, incidents, and issues through a documented process. Potentially material cybersecurity incidents are escalated by our EVP-CIO to executive management and reviewed with members of the Company’s Disclosure Committee.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231F20"/>
        </w:rPr>
        <w:t>Material Cybersecurity Risk, Threats &amp; Incidents</w:t>
      </w:r>
    </w:p>
    <w:p>
      <w:pPr>
        <w:spacing w:after="0" w:line="1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Routinely, we partner with and use third-party service providers and products that host, manage, or control sensitive data. We and the companies we work with have experienced cybersecurity incidents involving our data and systems, including ransomware and other forms of malware and computer virus attacks, unauthorized access, systems failures and temporary disruptions. For example, in June 2018, we identified forged and fraudulently induced electronic payment disbursements we made to third parties in an aggregate amount of $10 million resulting from unauthorized third-party access to our email system. Risks from cybersecurity incidents, including as a result of the June 2018 incident, have not materially affected us, including our business strategy, results of operations or financial condition for the periods covered by this Annual Report, and we do not believe that such risks are reasonably likely to have such an effect over the long term. Additional information on cybersecurity risks we face can be found in Part I, Item 1A “Risk Factors” of this Annual Report under the heading “Failure to maintain the integrity of internal or customer data or to protect our</w:t>
      </w:r>
    </w:p>
    <w:p>
      <w:pPr>
        <w:sectPr>
          <w:pgSz w:w="11880" w:h="15480" w:orient="portrait"/>
          <w:cols w:equalWidth="0" w:num="1">
            <w:col w:w="9720"/>
          </w:cols>
          <w:pgMar w:left="1080" w:top="838" w:right="1080" w:bottom="0" w:gutter="0" w:footer="0" w:header="0"/>
        </w:sect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9720"/>
          </w:cols>
          <w:pgMar w:left="1080" w:top="838" w:right="1080" w:bottom="0" w:gutter="0" w:footer="0" w:header="0"/>
          <w:type w:val="continuous"/>
        </w:sectPr>
      </w:pPr>
    </w:p>
    <w:bookmarkStart w:id="42" w:name="page43"/>
    <w:bookmarkEnd w:id="42"/>
    <w:p>
      <w:pPr>
        <w:ind w:right="40"/>
        <w:spacing w:after="0" w:line="281" w:lineRule="auto"/>
        <w:rPr>
          <w:sz w:val="20"/>
          <w:szCs w:val="20"/>
          <w:color w:val="auto"/>
        </w:rPr>
      </w:pPr>
      <w:r>
        <w:rPr>
          <w:rFonts w:ascii="Times New Roman" w:cs="Times New Roman" w:eastAsia="Times New Roman" w:hAnsi="Times New Roman"/>
          <w:sz w:val="20"/>
          <w:szCs w:val="20"/>
          <w:color w:val="231F20"/>
        </w:rPr>
        <w:t>information systems from cyber-attacks could disrupt our business, damage our reputation, and subject us to costs, fines or lawsuits,” which should be read in conjunction with the foregoing information.</w:t>
      </w:r>
    </w:p>
    <w:p>
      <w:pPr>
        <w:spacing w:after="0" w:line="5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231F20"/>
        </w:rPr>
        <w:t>Item 2.</w:t>
      </w:r>
      <w:r>
        <w:rPr>
          <w:sz w:val="20"/>
          <w:szCs w:val="20"/>
          <w:color w:val="auto"/>
        </w:rPr>
        <w:tab/>
      </w:r>
      <w:r>
        <w:rPr>
          <w:rFonts w:ascii="Times New Roman" w:cs="Times New Roman" w:eastAsia="Times New Roman" w:hAnsi="Times New Roman"/>
          <w:sz w:val="19"/>
          <w:szCs w:val="19"/>
          <w:b w:val="1"/>
          <w:bCs w:val="1"/>
          <w:color w:val="231F20"/>
        </w:rPr>
        <w:t>Properties</w:t>
      </w:r>
    </w:p>
    <w:p>
      <w:pPr>
        <w:spacing w:after="0" w:line="13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231F20"/>
        </w:rPr>
        <w:t>As of December 31, 2025, our vacation ownership portfolio consisted of 120 properties in the United States and thirteen other countries and territories. These properties are described in Part I, Item 1, “Business” of this Annual Report. Except as indicated in Part I, Item 1, “Business,” we own unsold inventory at these properties. We also own, manage or lease golf courses, fitness, spa and sports facilities, undeveloped and partially developed land and other common area assets at some of our resorts in our Vacation Ownership segment, including resort lobbies and food and beverage outlets.</w:t>
      </w:r>
    </w:p>
    <w:p>
      <w:pPr>
        <w:spacing w:after="0" w:line="6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231F20"/>
        </w:rPr>
        <w:t>In addition, we own or lease our regional offices and sales centers, both in the United States and internationally. We lease our corporate headquarters in Orlando, Florida under a finance lease arrangement that commenced in 2023, upon the substantial completion of construction. In the fourth quarter of 2023, we relocated from our former corporate headquarters to our new corporate headquarters office building.</w:t>
      </w:r>
    </w:p>
    <w:p>
      <w:pPr>
        <w:spacing w:after="0" w:line="13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231F20"/>
        </w:rPr>
        <w:t>Item 3.</w:t>
      </w:r>
      <w:r>
        <w:rPr>
          <w:sz w:val="20"/>
          <w:szCs w:val="20"/>
          <w:color w:val="auto"/>
        </w:rPr>
        <w:tab/>
      </w:r>
      <w:r>
        <w:rPr>
          <w:rFonts w:ascii="Times New Roman" w:cs="Times New Roman" w:eastAsia="Times New Roman" w:hAnsi="Times New Roman"/>
          <w:sz w:val="19"/>
          <w:szCs w:val="19"/>
          <w:b w:val="1"/>
          <w:bCs w:val="1"/>
          <w:color w:val="231F20"/>
        </w:rPr>
        <w:t>Legal Proceedings</w:t>
      </w:r>
    </w:p>
    <w:p>
      <w:pPr>
        <w:spacing w:after="0" w:line="1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Currently, and from time to time, we are subject to claims in legal proceedings arising in the normal course of business, including, among others, the legal actions discussed under “Loss Contingencies” in Footnote 12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the aggregate, have a material adverse effect on our business, financial condition, or operating results.</w:t>
      </w:r>
    </w:p>
    <w:p>
      <w:pPr>
        <w:spacing w:after="0" w:line="14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231F20"/>
        </w:rPr>
        <w:t>Item 4.</w:t>
      </w:r>
      <w:r>
        <w:rPr>
          <w:sz w:val="20"/>
          <w:szCs w:val="20"/>
          <w:color w:val="auto"/>
        </w:rPr>
        <w:tab/>
      </w:r>
      <w:r>
        <w:rPr>
          <w:rFonts w:ascii="Times New Roman" w:cs="Times New Roman" w:eastAsia="Times New Roman" w:hAnsi="Times New Roman"/>
          <w:sz w:val="19"/>
          <w:szCs w:val="19"/>
          <w:b w:val="1"/>
          <w:bCs w:val="1"/>
          <w:color w:val="231F20"/>
        </w:rPr>
        <w:t>Mine Safety Disclosures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250" w:lineRule="exact"/>
        <w:rPr>
          <w:sz w:val="20"/>
          <w:szCs w:val="20"/>
          <w:color w:val="auto"/>
        </w:rPr>
      </w:pPr>
    </w:p>
    <w:p>
      <w:pPr>
        <w:ind w:left="1440" w:right="60" w:hanging="1439"/>
        <w:spacing w:after="0" w:line="286" w:lineRule="auto"/>
        <w:tabs>
          <w:tab w:leader="none" w:pos="1420" w:val="left"/>
        </w:tabs>
        <w:rPr>
          <w:sz w:val="20"/>
          <w:szCs w:val="20"/>
          <w:color w:val="auto"/>
        </w:rPr>
      </w:pPr>
      <w:r>
        <w:rPr>
          <w:rFonts w:ascii="Times New Roman" w:cs="Times New Roman" w:eastAsia="Times New Roman" w:hAnsi="Times New Roman"/>
          <w:sz w:val="20"/>
          <w:szCs w:val="20"/>
          <w:b w:val="1"/>
          <w:bCs w:val="1"/>
          <w:color w:val="231F20"/>
        </w:rPr>
        <w:t>Item 5.</w:t>
      </w:r>
      <w:r>
        <w:rPr>
          <w:sz w:val="20"/>
          <w:szCs w:val="20"/>
          <w:color w:val="auto"/>
        </w:rPr>
        <w:tab/>
      </w:r>
      <w:r>
        <w:rPr>
          <w:rFonts w:ascii="Times New Roman" w:cs="Times New Roman" w:eastAsia="Times New Roman" w:hAnsi="Times New Roman"/>
          <w:sz w:val="20"/>
          <w:szCs w:val="20"/>
          <w:b w:val="1"/>
          <w:bCs w:val="1"/>
          <w:color w:val="231F20"/>
        </w:rPr>
        <w:t>Market for Registrant’s Common Equity, Related Stockholder Matters and Issuer Purchases of Equity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Market Information and Dividends</w:t>
      </w:r>
    </w:p>
    <w:p>
      <w:pPr>
        <w:spacing w:after="0" w:line="1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Our common stock currently is traded on the New York Stock Exchange, or the “NYSE,” under the symbol “VAC.” 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any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Holders of Record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On February 23, 2026, there were 20,180 holders of record of our common stock.</w:t>
      </w:r>
    </w:p>
    <w:p>
      <w:pPr>
        <w:sectPr>
          <w:pgSz w:w="11880" w:h="15480" w:orient="portrait"/>
          <w:cols w:equalWidth="0" w:num="1">
            <w:col w:w="9640"/>
          </w:cols>
          <w:pgMar w:left="10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9640"/>
          </w:cols>
          <w:pgMar w:left="1080" w:top="838" w:right="116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231F20"/>
        </w:rPr>
        <w:t>Issuer Purchases of Equity Securities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rPr>
              <w:t>Total Number of</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center"/>
              <w:ind w:right="84"/>
              <w:spacing w:after="0"/>
              <w:rPr>
                <w:sz w:val="20"/>
                <w:szCs w:val="20"/>
                <w:color w:val="auto"/>
              </w:rPr>
            </w:pPr>
            <w:r>
              <w:rPr>
                <w:rFonts w:ascii="Times New Roman" w:cs="Times New Roman" w:eastAsia="Times New Roman" w:hAnsi="Times New Roman"/>
                <w:sz w:val="18"/>
                <w:szCs w:val="18"/>
                <w:b w:val="1"/>
                <w:bCs w:val="1"/>
                <w:color w:val="231F20"/>
              </w:rPr>
              <w:t>Maximum Dollar</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Total Number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ind w:right="82"/>
              <w:spacing w:after="0"/>
              <w:rPr>
                <w:sz w:val="20"/>
                <w:szCs w:val="20"/>
                <w:color w:val="auto"/>
              </w:rPr>
            </w:pPr>
            <w:r>
              <w:rPr>
                <w:rFonts w:ascii="Times New Roman" w:cs="Times New Roman" w:eastAsia="Times New Roman" w:hAnsi="Times New Roman"/>
                <w:sz w:val="18"/>
                <w:szCs w:val="18"/>
                <w:b w:val="1"/>
                <w:bCs w:val="1"/>
                <w:color w:val="231F20"/>
                <w:w w:val="99"/>
              </w:rPr>
              <w:t>Average</w:t>
            </w:r>
          </w:p>
        </w:tc>
        <w:tc>
          <w:tcPr>
            <w:tcW w:w="60" w:type="dxa"/>
            <w:vAlign w:val="bottom"/>
          </w:tcPr>
          <w:p>
            <w:pPr>
              <w:spacing w:after="0"/>
              <w:rPr>
                <w:sz w:val="15"/>
                <w:szCs w:val="15"/>
                <w:color w:val="auto"/>
              </w:rPr>
            </w:pPr>
          </w:p>
        </w:tc>
        <w:tc>
          <w:tcPr>
            <w:tcW w:w="15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231F20"/>
              </w:rPr>
              <w:t>Shares Purchased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center"/>
              <w:ind w:right="104"/>
              <w:spacing w:after="0" w:line="180" w:lineRule="exact"/>
              <w:rPr>
                <w:sz w:val="20"/>
                <w:szCs w:val="20"/>
                <w:color w:val="auto"/>
              </w:rPr>
            </w:pPr>
            <w:r>
              <w:rPr>
                <w:rFonts w:ascii="Times New Roman" w:cs="Times New Roman" w:eastAsia="Times New Roman" w:hAnsi="Times New Roman"/>
                <w:sz w:val="18"/>
                <w:szCs w:val="18"/>
                <w:b w:val="1"/>
                <w:bCs w:val="1"/>
                <w:color w:val="231F20"/>
              </w:rPr>
              <w:t>Amount of Shares</w:t>
            </w:r>
          </w:p>
        </w:tc>
        <w:tc>
          <w:tcPr>
            <w:tcW w:w="0" w:type="dxa"/>
            <w:vAlign w:val="bottom"/>
          </w:tcPr>
          <w:p>
            <w:pPr>
              <w:spacing w:after="0"/>
              <w:rPr>
                <w:sz w:val="1"/>
                <w:szCs w:val="1"/>
                <w:color w:val="auto"/>
              </w:rPr>
            </w:pPr>
          </w:p>
        </w:tc>
      </w:tr>
      <w:tr>
        <w:trPr>
          <w:trHeight w:val="183"/>
        </w:trPr>
        <w:tc>
          <w:tcPr>
            <w:tcW w:w="39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b w:val="1"/>
                <w:bCs w:val="1"/>
                <w:color w:val="231F20"/>
              </w:rPr>
              <w:t>as Part of Publicly</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jc w:val="center"/>
              <w:ind w:right="104"/>
              <w:spacing w:after="0" w:line="183" w:lineRule="exact"/>
              <w:rPr>
                <w:sz w:val="20"/>
                <w:szCs w:val="20"/>
                <w:color w:val="auto"/>
              </w:rPr>
            </w:pPr>
            <w:r>
              <w:rPr>
                <w:rFonts w:ascii="Times New Roman" w:cs="Times New Roman" w:eastAsia="Times New Roman" w:hAnsi="Times New Roman"/>
                <w:sz w:val="18"/>
                <w:szCs w:val="18"/>
                <w:b w:val="1"/>
                <w:bCs w:val="1"/>
                <w:color w:val="231F20"/>
                <w:w w:val="99"/>
              </w:rPr>
              <w:t>That May Yet Be</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231F20"/>
              </w:rPr>
              <w:t>of Shares</w:t>
            </w:r>
          </w:p>
        </w:tc>
        <w:tc>
          <w:tcPr>
            <w:tcW w:w="60" w:type="dxa"/>
            <w:vAlign w:val="bottom"/>
          </w:tcPr>
          <w:p>
            <w:pPr>
              <w:spacing w:after="0"/>
              <w:rPr>
                <w:sz w:val="15"/>
                <w:szCs w:val="15"/>
                <w:color w:val="auto"/>
              </w:rPr>
            </w:pPr>
          </w:p>
        </w:tc>
        <w:tc>
          <w:tcPr>
            <w:tcW w:w="102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8"/>
                <w:szCs w:val="18"/>
                <w:b w:val="1"/>
                <w:bCs w:val="1"/>
                <w:color w:val="231F20"/>
              </w:rPr>
              <w:t>Price Paid</w:t>
            </w:r>
          </w:p>
        </w:tc>
        <w:tc>
          <w:tcPr>
            <w:tcW w:w="60" w:type="dxa"/>
            <w:vAlign w:val="bottom"/>
          </w:tcPr>
          <w:p>
            <w:pPr>
              <w:spacing w:after="0"/>
              <w:rPr>
                <w:sz w:val="15"/>
                <w:szCs w:val="15"/>
                <w:color w:val="auto"/>
              </w:rPr>
            </w:pPr>
          </w:p>
        </w:tc>
        <w:tc>
          <w:tcPr>
            <w:tcW w:w="15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Announced Plans</w:t>
            </w:r>
          </w:p>
        </w:tc>
        <w:tc>
          <w:tcPr>
            <w:tcW w:w="60" w:type="dxa"/>
            <w:vAlign w:val="bottom"/>
          </w:tcPr>
          <w:p>
            <w:pPr>
              <w:spacing w:after="0"/>
              <w:rPr>
                <w:sz w:val="15"/>
                <w:szCs w:val="15"/>
                <w:color w:val="auto"/>
              </w:rPr>
            </w:pPr>
          </w:p>
        </w:tc>
        <w:tc>
          <w:tcPr>
            <w:tcW w:w="18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231F20"/>
              </w:rPr>
              <w:t>Purchased Under the</w:t>
            </w:r>
          </w:p>
        </w:tc>
        <w:tc>
          <w:tcPr>
            <w:tcW w:w="0" w:type="dxa"/>
            <w:vAlign w:val="bottom"/>
          </w:tcPr>
          <w:p>
            <w:pPr>
              <w:spacing w:after="0"/>
              <w:rPr>
                <w:sz w:val="1"/>
                <w:szCs w:val="1"/>
                <w:color w:val="auto"/>
              </w:rPr>
            </w:pPr>
          </w:p>
        </w:tc>
      </w:tr>
      <w:tr>
        <w:trPr>
          <w:trHeight w:val="239"/>
        </w:trPr>
        <w:tc>
          <w:tcPr>
            <w:tcW w:w="3900" w:type="dxa"/>
            <w:vAlign w:val="bottom"/>
            <w:tcBorders>
              <w:bottom w:val="single" w:sz="8" w:color="231F20"/>
            </w:tcBorders>
          </w:tcPr>
          <w:p>
            <w:pPr>
              <w:jc w:val="right"/>
              <w:ind w:right="3304"/>
              <w:spacing w:after="0"/>
              <w:rPr>
                <w:sz w:val="20"/>
                <w:szCs w:val="20"/>
                <w:color w:val="auto"/>
              </w:rPr>
            </w:pPr>
            <w:r>
              <w:rPr>
                <w:rFonts w:ascii="Times New Roman" w:cs="Times New Roman" w:eastAsia="Times New Roman" w:hAnsi="Times New Roman"/>
                <w:sz w:val="16"/>
                <w:szCs w:val="16"/>
                <w:b w:val="1"/>
                <w:bCs w:val="1"/>
                <w:color w:val="231F20"/>
              </w:rPr>
              <w:t>Period</w:t>
            </w:r>
          </w:p>
        </w:tc>
        <w:tc>
          <w:tcPr>
            <w:tcW w:w="1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Purchased</w:t>
            </w:r>
          </w:p>
        </w:tc>
        <w:tc>
          <w:tcPr>
            <w:tcW w:w="60" w:type="dxa"/>
            <w:vAlign w:val="bottom"/>
          </w:tcPr>
          <w:p>
            <w:pPr>
              <w:spacing w:after="0"/>
              <w:rPr>
                <w:sz w:val="20"/>
                <w:szCs w:val="20"/>
                <w:color w:val="auto"/>
              </w:rPr>
            </w:pPr>
          </w:p>
        </w:tc>
        <w:tc>
          <w:tcPr>
            <w:tcW w:w="1020" w:type="dxa"/>
            <w:vAlign w:val="bottom"/>
            <w:tcBorders>
              <w:bottom w:val="single" w:sz="8" w:color="231F20"/>
            </w:tcBorders>
            <w:gridSpan w:val="2"/>
          </w:tcPr>
          <w:p>
            <w:pPr>
              <w:ind w:left="60"/>
              <w:spacing w:after="0" w:line="239" w:lineRule="exact"/>
              <w:rPr>
                <w:sz w:val="20"/>
                <w:szCs w:val="20"/>
                <w:color w:val="auto"/>
              </w:rPr>
            </w:pPr>
            <w:r>
              <w:rPr>
                <w:rFonts w:ascii="Times New Roman" w:cs="Times New Roman" w:eastAsia="Times New Roman" w:hAnsi="Times New Roman"/>
                <w:sz w:val="18"/>
                <w:szCs w:val="18"/>
                <w:b w:val="1"/>
                <w:bCs w:val="1"/>
                <w:color w:val="231F20"/>
              </w:rPr>
              <w:t>per Share</w:t>
            </w:r>
            <w:r>
              <w:rPr>
                <w:rFonts w:ascii="Times New Roman" w:cs="Times New Roman" w:eastAsia="Times New Roman" w:hAnsi="Times New Roman"/>
                <w:sz w:val="23"/>
                <w:szCs w:val="23"/>
                <w:color w:val="231F20"/>
                <w:vertAlign w:val="superscript"/>
              </w:rPr>
              <w:t>(2)</w:t>
            </w:r>
          </w:p>
        </w:tc>
        <w:tc>
          <w:tcPr>
            <w:tcW w:w="60" w:type="dxa"/>
            <w:vAlign w:val="bottom"/>
          </w:tcPr>
          <w:p>
            <w:pPr>
              <w:spacing w:after="0"/>
              <w:rPr>
                <w:sz w:val="20"/>
                <w:szCs w:val="20"/>
                <w:color w:val="auto"/>
              </w:rPr>
            </w:pPr>
          </w:p>
        </w:tc>
        <w:tc>
          <w:tcPr>
            <w:tcW w:w="1540" w:type="dxa"/>
            <w:vAlign w:val="bottom"/>
            <w:tcBorders>
              <w:bottom w:val="single" w:sz="8" w:color="231F20"/>
            </w:tcBorders>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231F20"/>
                <w:w w:val="95"/>
              </w:rPr>
              <w:t>or Programs</w:t>
            </w:r>
            <w:r>
              <w:rPr>
                <w:rFonts w:ascii="Times New Roman" w:cs="Times New Roman" w:eastAsia="Times New Roman" w:hAnsi="Times New Roman"/>
                <w:sz w:val="23"/>
                <w:szCs w:val="23"/>
                <w:b w:val="1"/>
                <w:bCs w:val="1"/>
                <w:color w:val="231F20"/>
                <w:w w:val="95"/>
                <w:vertAlign w:val="superscript"/>
              </w:rPr>
              <w:t>(</w:t>
            </w:r>
            <w:r>
              <w:rPr>
                <w:rFonts w:ascii="Times New Roman" w:cs="Times New Roman" w:eastAsia="Times New Roman" w:hAnsi="Times New Roman"/>
                <w:sz w:val="23"/>
                <w:szCs w:val="23"/>
                <w:color w:val="231F20"/>
                <w:w w:val="95"/>
                <w:vertAlign w:val="superscript"/>
              </w:rPr>
              <w:t>1)</w:t>
            </w:r>
          </w:p>
        </w:tc>
        <w:tc>
          <w:tcPr>
            <w:tcW w:w="60" w:type="dxa"/>
            <w:vAlign w:val="bottom"/>
          </w:tcPr>
          <w:p>
            <w:pPr>
              <w:spacing w:after="0"/>
              <w:rPr>
                <w:sz w:val="20"/>
                <w:szCs w:val="20"/>
                <w:color w:val="auto"/>
              </w:rPr>
            </w:pPr>
          </w:p>
        </w:tc>
        <w:tc>
          <w:tcPr>
            <w:tcW w:w="1880" w:type="dxa"/>
            <w:vAlign w:val="bottom"/>
            <w:tcBorders>
              <w:bottom w:val="single" w:sz="8" w:color="231F20"/>
            </w:tcBorders>
            <w:gridSpan w:val="2"/>
          </w:tcPr>
          <w:p>
            <w:pPr>
              <w:jc w:val="right"/>
              <w:spacing w:after="0" w:line="239" w:lineRule="exact"/>
              <w:rPr>
                <w:sz w:val="20"/>
                <w:szCs w:val="20"/>
                <w:color w:val="auto"/>
              </w:rPr>
            </w:pPr>
            <w:r>
              <w:rPr>
                <w:rFonts w:ascii="Times New Roman" w:cs="Times New Roman" w:eastAsia="Times New Roman" w:hAnsi="Times New Roman"/>
                <w:sz w:val="18"/>
                <w:szCs w:val="18"/>
                <w:b w:val="1"/>
                <w:bCs w:val="1"/>
                <w:color w:val="231F20"/>
                <w:w w:val="99"/>
              </w:rPr>
              <w:t>Plans or Programs</w:t>
            </w:r>
            <w:r>
              <w:rPr>
                <w:rFonts w:ascii="Times New Roman" w:cs="Times New Roman" w:eastAsia="Times New Roman" w:hAnsi="Times New Roman"/>
                <w:sz w:val="23"/>
                <w:szCs w:val="23"/>
                <w:color w:val="231F20"/>
                <w:w w:val="99"/>
                <w:vertAlign w:val="superscript"/>
              </w:rPr>
              <w:t>(1)(2)</w:t>
            </w:r>
          </w:p>
        </w:tc>
        <w:tc>
          <w:tcPr>
            <w:tcW w:w="0" w:type="dxa"/>
            <w:vAlign w:val="bottom"/>
          </w:tcPr>
          <w:p>
            <w:pPr>
              <w:spacing w:after="0"/>
              <w:rPr>
                <w:sz w:val="1"/>
                <w:szCs w:val="1"/>
                <w:color w:val="auto"/>
              </w:rPr>
            </w:pPr>
          </w:p>
        </w:tc>
      </w:tr>
      <w:tr>
        <w:trPr>
          <w:trHeight w:val="260"/>
        </w:trPr>
        <w:tc>
          <w:tcPr>
            <w:tcW w:w="3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October 1, 2025 – October 31, 2025 </w:t>
            </w:r>
            <w:r>
              <w:rPr>
                <w:rFonts w:ascii="Times New Roman" w:cs="Times New Roman" w:eastAsia="Times New Roman" w:hAnsi="Times New Roman"/>
                <w:sz w:val="20"/>
                <w:szCs w:val="20"/>
                <w:color w:val="B8BABC"/>
              </w:rPr>
              <w:t>. . . . . . . . .</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20"/>
                <w:szCs w:val="20"/>
                <w:color w:val="231F20"/>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347,132,547</w:t>
            </w:r>
          </w:p>
        </w:tc>
        <w:tc>
          <w:tcPr>
            <w:tcW w:w="0" w:type="dxa"/>
            <w:vAlign w:val="bottom"/>
          </w:tcPr>
          <w:p>
            <w:pPr>
              <w:spacing w:after="0"/>
              <w:rPr>
                <w:sz w:val="1"/>
                <w:szCs w:val="1"/>
                <w:color w:val="auto"/>
              </w:rPr>
            </w:pPr>
          </w:p>
        </w:tc>
      </w:tr>
      <w:tr>
        <w:trPr>
          <w:trHeight w:val="276"/>
        </w:trPr>
        <w:tc>
          <w:tcPr>
            <w:tcW w:w="3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November 1, 2025 – November 30, 2025 </w:t>
            </w:r>
            <w:r>
              <w:rPr>
                <w:rFonts w:ascii="Times New Roman" w:cs="Times New Roman" w:eastAsia="Times New Roman" w:hAnsi="Times New Roman"/>
                <w:sz w:val="20"/>
                <w:szCs w:val="20"/>
                <w:color w:val="B8BABC"/>
              </w:rPr>
              <w:t>. . . . .</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417,396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47.94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417,396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327,122,328</w:t>
            </w:r>
          </w:p>
        </w:tc>
        <w:tc>
          <w:tcPr>
            <w:tcW w:w="0" w:type="dxa"/>
            <w:vAlign w:val="bottom"/>
          </w:tcPr>
          <w:p>
            <w:pPr>
              <w:spacing w:after="0"/>
              <w:rPr>
                <w:sz w:val="1"/>
                <w:szCs w:val="1"/>
                <w:color w:val="auto"/>
              </w:rPr>
            </w:pPr>
          </w:p>
        </w:tc>
      </w:tr>
      <w:tr>
        <w:trPr>
          <w:trHeight w:val="298"/>
        </w:trPr>
        <w:tc>
          <w:tcPr>
            <w:tcW w:w="3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December 1, 2025 – December 31, 2025 </w:t>
            </w:r>
            <w:r>
              <w:rPr>
                <w:rFonts w:ascii="Times New Roman" w:cs="Times New Roman" w:eastAsia="Times New Roman" w:hAnsi="Times New Roman"/>
                <w:sz w:val="20"/>
                <w:szCs w:val="20"/>
                <w:color w:val="B8BABC"/>
              </w:rPr>
              <w:t>. . . . .</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90,733</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55.13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90,733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322,120,557</w:t>
            </w:r>
          </w:p>
        </w:tc>
        <w:tc>
          <w:tcPr>
            <w:tcW w:w="0" w:type="dxa"/>
            <w:vAlign w:val="bottom"/>
          </w:tcPr>
          <w:p>
            <w:pPr>
              <w:spacing w:after="0"/>
              <w:rPr>
                <w:sz w:val="1"/>
                <w:szCs w:val="1"/>
                <w:color w:val="auto"/>
              </w:rPr>
            </w:pPr>
          </w:p>
        </w:tc>
      </w:tr>
      <w:tr>
        <w:trPr>
          <w:trHeight w:val="245"/>
        </w:trPr>
        <w:tc>
          <w:tcPr>
            <w:tcW w:w="390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 . . . . . .</w:t>
            </w:r>
            <w:r>
              <w:rPr>
                <w:rFonts w:ascii="Times New Roman" w:cs="Times New Roman" w:eastAsia="Times New Roman" w:hAnsi="Times New Roman"/>
                <w:sz w:val="20"/>
                <w:szCs w:val="20"/>
                <w:color w:val="231F20"/>
              </w:rPr>
              <w:t>Total</w:t>
            </w:r>
          </w:p>
        </w:tc>
        <w:tc>
          <w:tcPr>
            <w:tcW w:w="12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508,129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49.22</w:t>
            </w:r>
          </w:p>
        </w:tc>
        <w:tc>
          <w:tcPr>
            <w:tcW w:w="60" w:type="dxa"/>
            <w:vAlign w:val="bottom"/>
          </w:tcPr>
          <w:p>
            <w:pPr>
              <w:spacing w:after="0"/>
              <w:rPr>
                <w:sz w:val="21"/>
                <w:szCs w:val="21"/>
                <w:color w:val="auto"/>
              </w:rPr>
            </w:pPr>
          </w:p>
        </w:tc>
        <w:tc>
          <w:tcPr>
            <w:tcW w:w="15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508,129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322,120,557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360" w:right="180" w:hanging="360"/>
        <w:spacing w:after="0" w:line="242" w:lineRule="auto"/>
        <w:tabs>
          <w:tab w:leader="none" w:pos="360" w:val="left"/>
        </w:tabs>
        <w:numPr>
          <w:ilvl w:val="0"/>
          <w:numId w:val="7"/>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On May 11, 2023, we announced that our Board of Directors increased the then-remaining authorization under our share repurchase program (which was first announced on September 13, 2021) to authorize purchases of up to $600 million of our common stock and extended the term of our share repurchase program to December 31, 2024. On December 19, 2024, we announced that our Board of Directors extended the term of our share repurchase program to December 31, 2025. On December 12, 2025, we announced that our Board of Directors extended the term of our share repurchase program to December 31, 2026.</w:t>
      </w:r>
    </w:p>
    <w:p>
      <w:pPr>
        <w:spacing w:after="0" w:line="99" w:lineRule="exact"/>
        <w:rPr>
          <w:rFonts w:ascii="Times New Roman" w:cs="Times New Roman" w:eastAsia="Times New Roman" w:hAnsi="Times New Roman"/>
          <w:sz w:val="26"/>
          <w:szCs w:val="26"/>
          <w:color w:val="231F20"/>
          <w:vertAlign w:val="superscript"/>
        </w:rPr>
      </w:pPr>
    </w:p>
    <w:p>
      <w:pPr>
        <w:ind w:left="360" w:right="140" w:hanging="360"/>
        <w:spacing w:after="0" w:line="226" w:lineRule="auto"/>
        <w:tabs>
          <w:tab w:leader="none" w:pos="360" w:val="left"/>
        </w:tabs>
        <w:numPr>
          <w:ilvl w:val="0"/>
          <w:numId w:val="7"/>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All dollar amounts presented exclude the nondeductible 1% excise tax on the net value of certain stock repurchases that was imposed by the Inflation Reduction Act of 2022.</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Performance Graph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5743575</wp:posOffset>
                </wp:positionH>
                <wp:positionV relativeFrom="paragraph">
                  <wp:posOffset>125730</wp:posOffset>
                </wp:positionV>
                <wp:extent cx="0" cy="323850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0"/>
                        </a:xfrm>
                        <a:prstGeom prst="line">
                          <a:avLst/>
                        </a:prstGeom>
                        <a:solidFill>
                          <a:srgbClr val="FFFFFF"/>
                        </a:solidFill>
                        <a:ln w="19050">
                          <a:solidFill>
                            <a:srgbClr val="231F2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25pt,9.9pt" to="452.25pt,264.9pt" o:allowincell="f" strokecolor="#231F20" strokeweight="1.5pt"/>
            </w:pict>
          </mc:Fallback>
        </mc:AlternateContent>
        <mc:AlternateContent>
          <mc:Choice Requires="wps">
            <w:drawing>
              <wp:anchor simplePos="0" relativeHeight="251657728" behindDoc="1" locked="0" layoutInCell="0" allowOverlap="1">
                <wp:simplePos x="0" y="0"/>
                <wp:positionH relativeFrom="column">
                  <wp:posOffset>419100</wp:posOffset>
                </wp:positionH>
                <wp:positionV relativeFrom="paragraph">
                  <wp:posOffset>135255</wp:posOffset>
                </wp:positionV>
                <wp:extent cx="53340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4000" cy="4763"/>
                        </a:xfrm>
                        <a:prstGeom prst="line">
                          <a:avLst/>
                        </a:prstGeom>
                        <a:solidFill>
                          <a:srgbClr val="FFFFFF"/>
                        </a:solidFill>
                        <a:ln w="19050">
                          <a:solidFill>
                            <a:srgbClr val="231F2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pt,10.65pt" to="453pt,10.65pt" o:allowincell="f" strokecolor="#231F20" strokeweight="1.5pt"/>
            </w:pict>
          </mc:Fallback>
        </mc:AlternateContent>
        <mc:AlternateContent>
          <mc:Choice Requires="wps">
            <w:drawing>
              <wp:anchor simplePos="0" relativeHeight="251657728" behindDoc="1" locked="0" layoutInCell="0" allowOverlap="1">
                <wp:simplePos x="0" y="0"/>
                <wp:positionH relativeFrom="column">
                  <wp:posOffset>428625</wp:posOffset>
                </wp:positionH>
                <wp:positionV relativeFrom="paragraph">
                  <wp:posOffset>125730</wp:posOffset>
                </wp:positionV>
                <wp:extent cx="0" cy="32385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8500"/>
                        </a:xfrm>
                        <a:prstGeom prst="line">
                          <a:avLst/>
                        </a:prstGeom>
                        <a:solidFill>
                          <a:srgbClr val="FFFFFF"/>
                        </a:solidFill>
                        <a:ln w="19050">
                          <a:solidFill>
                            <a:srgbClr val="231F2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9.9pt" to="33.75pt,264.9pt" o:allowincell="f" strokecolor="#231F20" strokeweight="1.5pt"/>
            </w:pict>
          </mc:Fallback>
        </mc:AlternateContent>
        <mc:AlternateContent>
          <mc:Choice Requires="wps">
            <w:drawing>
              <wp:anchor simplePos="0" relativeHeight="251657728" behindDoc="1" locked="0" layoutInCell="0" allowOverlap="1">
                <wp:simplePos x="0" y="0"/>
                <wp:positionH relativeFrom="column">
                  <wp:posOffset>419100</wp:posOffset>
                </wp:positionH>
                <wp:positionV relativeFrom="paragraph">
                  <wp:posOffset>3354705</wp:posOffset>
                </wp:positionV>
                <wp:extent cx="53340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4000" cy="4763"/>
                        </a:xfrm>
                        <a:prstGeom prst="line">
                          <a:avLst/>
                        </a:prstGeom>
                        <a:solidFill>
                          <a:srgbClr val="FFFFFF"/>
                        </a:solidFill>
                        <a:ln w="19050">
                          <a:solidFill>
                            <a:srgbClr val="231F2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pt,264.15pt" to="453pt,264.15pt" o:allowincell="f" strokecolor="#231F20" strokeweight="1.5pt"/>
            </w:pict>
          </mc:Fallback>
        </mc:AlternateConten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231F20"/>
        </w:rPr>
        <w:t>Comparison of Cumulative Total Return</w:t>
      </w:r>
    </w:p>
    <w:p>
      <w:pPr>
        <w:spacing w:after="0" w:line="1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231F20"/>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-106680</wp:posOffset>
            </wp:positionV>
            <wp:extent cx="4819650" cy="1609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extLst>
                    </a:blip>
                    <a:srcRect/>
                    <a:stretch>
                      <a:fillRect/>
                    </a:stretch>
                  </pic:blipFill>
                  <pic:spPr bwMode="auto">
                    <a:xfrm>
                      <a:off x="0" y="0"/>
                      <a:ext cx="4819650" cy="1609725"/>
                    </a:xfrm>
                    <a:prstGeom prst="rect">
                      <a:avLst/>
                    </a:prstGeom>
                    <a:noFill/>
                  </pic:spPr>
                </pic:pic>
              </a:graphicData>
            </a:graphic>
          </wp:anchor>
        </w:drawing>
      </w:r>
    </w:p>
    <w:p>
      <w:pPr>
        <w:spacing w:after="0" w:line="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231F20"/>
        </w:rPr>
        <w:t>200</w:t>
      </w:r>
    </w:p>
    <w:p>
      <w:pPr>
        <w:spacing w:after="0" w:line="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231F20"/>
        </w:rPr>
        <w:t>180</w:t>
      </w:r>
    </w:p>
    <w:p>
      <w:pPr>
        <w:spacing w:after="0" w:line="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231F20"/>
        </w:rPr>
        <w:t>160</w:t>
      </w:r>
    </w:p>
    <w:p>
      <w:pPr>
        <w:spacing w:after="0" w:line="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231F20"/>
        </w:rPr>
        <w:t>140</w:t>
      </w:r>
    </w:p>
    <w:p>
      <w:pPr>
        <w:spacing w:after="0" w:line="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231F20"/>
        </w:rPr>
        <w:t>120</w:t>
      </w:r>
    </w:p>
    <w:p>
      <w:pPr>
        <w:spacing w:after="0" w:line="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231F20"/>
        </w:rPr>
        <w:t>100</w:t>
      </w:r>
    </w:p>
    <w:p>
      <w:pPr>
        <w:spacing w:after="0" w:line="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80</w:t>
      </w:r>
    </w:p>
    <w:p>
      <w:pPr>
        <w:spacing w:after="0" w:line="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60</w:t>
      </w:r>
    </w:p>
    <w:p>
      <w:pPr>
        <w:spacing w:after="0" w:line="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231F20"/>
        </w:rPr>
        <w:t>40</w:t>
      </w:r>
    </w:p>
    <w:p>
      <w:pPr>
        <w:spacing w:after="0" w:line="30" w:lineRule="exact"/>
        <w:rPr>
          <w:sz w:val="20"/>
          <w:szCs w:val="20"/>
          <w:color w:val="auto"/>
        </w:rPr>
      </w:pPr>
    </w:p>
    <w:p>
      <w:pPr>
        <w:ind w:left="1600"/>
        <w:spacing w:after="0"/>
        <w:tabs>
          <w:tab w:leader="none" w:pos="2840" w:val="left"/>
          <w:tab w:leader="none" w:pos="4100" w:val="left"/>
          <w:tab w:leader="none" w:pos="5360" w:val="left"/>
          <w:tab w:leader="none" w:pos="6620" w:val="left"/>
          <w:tab w:leader="none" w:pos="7880" w:val="left"/>
        </w:tabs>
        <w:rPr>
          <w:sz w:val="20"/>
          <w:szCs w:val="20"/>
          <w:color w:val="auto"/>
        </w:rPr>
      </w:pPr>
      <w:r>
        <w:rPr>
          <w:rFonts w:ascii="Times New Roman" w:cs="Times New Roman" w:eastAsia="Times New Roman" w:hAnsi="Times New Roman"/>
          <w:sz w:val="20"/>
          <w:szCs w:val="20"/>
          <w:color w:val="231F20"/>
        </w:rPr>
        <w:t>12/31/20</w:t>
      </w:r>
      <w:r>
        <w:rPr>
          <w:sz w:val="20"/>
          <w:szCs w:val="20"/>
          <w:color w:val="auto"/>
        </w:rPr>
        <w:tab/>
      </w:r>
      <w:r>
        <w:rPr>
          <w:rFonts w:ascii="Times New Roman" w:cs="Times New Roman" w:eastAsia="Times New Roman" w:hAnsi="Times New Roman"/>
          <w:sz w:val="20"/>
          <w:szCs w:val="20"/>
          <w:color w:val="231F20"/>
        </w:rPr>
        <w:t>12/31/21</w:t>
      </w:r>
      <w:r>
        <w:rPr>
          <w:sz w:val="20"/>
          <w:szCs w:val="20"/>
          <w:color w:val="auto"/>
        </w:rPr>
        <w:tab/>
      </w:r>
      <w:r>
        <w:rPr>
          <w:rFonts w:ascii="Times New Roman" w:cs="Times New Roman" w:eastAsia="Times New Roman" w:hAnsi="Times New Roman"/>
          <w:sz w:val="20"/>
          <w:szCs w:val="20"/>
          <w:color w:val="231F20"/>
        </w:rPr>
        <w:t>12/31/22</w:t>
      </w:r>
      <w:r>
        <w:rPr>
          <w:sz w:val="20"/>
          <w:szCs w:val="20"/>
          <w:color w:val="auto"/>
        </w:rPr>
        <w:tab/>
      </w:r>
      <w:r>
        <w:rPr>
          <w:rFonts w:ascii="Times New Roman" w:cs="Times New Roman" w:eastAsia="Times New Roman" w:hAnsi="Times New Roman"/>
          <w:sz w:val="20"/>
          <w:szCs w:val="20"/>
          <w:color w:val="231F20"/>
        </w:rPr>
        <w:t>12/31/23</w:t>
      </w:r>
      <w:r>
        <w:rPr>
          <w:sz w:val="20"/>
          <w:szCs w:val="20"/>
          <w:color w:val="auto"/>
        </w:rPr>
        <w:tab/>
      </w:r>
      <w:r>
        <w:rPr>
          <w:rFonts w:ascii="Times New Roman" w:cs="Times New Roman" w:eastAsia="Times New Roman" w:hAnsi="Times New Roman"/>
          <w:sz w:val="20"/>
          <w:szCs w:val="20"/>
          <w:color w:val="231F20"/>
        </w:rPr>
        <w:t>12/31/24</w:t>
      </w:r>
      <w:r>
        <w:rPr>
          <w:sz w:val="20"/>
          <w:szCs w:val="20"/>
          <w:color w:val="auto"/>
        </w:rPr>
        <w:tab/>
      </w:r>
      <w:r>
        <w:rPr>
          <w:rFonts w:ascii="Times New Roman" w:cs="Times New Roman" w:eastAsia="Times New Roman" w:hAnsi="Times New Roman"/>
          <w:sz w:val="19"/>
          <w:szCs w:val="19"/>
          <w:color w:val="231F20"/>
        </w:rPr>
        <w:t>12/31/25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4962525</wp:posOffset>
                </wp:positionH>
                <wp:positionV relativeFrom="paragraph">
                  <wp:posOffset>108585</wp:posOffset>
                </wp:positionV>
                <wp:extent cx="0" cy="86677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66775"/>
                        </a:xfrm>
                        <a:prstGeom prst="line">
                          <a:avLst/>
                        </a:prstGeom>
                        <a:solidFill>
                          <a:srgbClr val="FFFFFF"/>
                        </a:solidFill>
                        <a:ln w="19050">
                          <a:solidFill>
                            <a:srgbClr val="231F2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0.75pt,8.55pt" to="390.75pt,76.8pt" o:allowincell="f" strokecolor="#231F20" strokeweight="1.5pt"/>
            </w:pict>
          </mc:Fallback>
        </mc:AlternateContent>
        <mc:AlternateContent>
          <mc:Choice Requires="wps">
            <w:drawing>
              <wp:anchor simplePos="0" relativeHeight="251657728" behindDoc="1" locked="0" layoutInCell="0" allowOverlap="1">
                <wp:simplePos x="0" y="0"/>
                <wp:positionH relativeFrom="column">
                  <wp:posOffset>1200150</wp:posOffset>
                </wp:positionH>
                <wp:positionV relativeFrom="paragraph">
                  <wp:posOffset>118110</wp:posOffset>
                </wp:positionV>
                <wp:extent cx="37719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71900" cy="4763"/>
                        </a:xfrm>
                        <a:prstGeom prst="line">
                          <a:avLst/>
                        </a:prstGeom>
                        <a:solidFill>
                          <a:srgbClr val="FFFFFF"/>
                        </a:solidFill>
                        <a:ln w="19050">
                          <a:solidFill>
                            <a:srgbClr val="231F2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4.5pt,9.3pt" to="391.5pt,9.3pt" o:allowincell="f" strokecolor="#231F20" strokeweight="1.5pt"/>
            </w:pict>
          </mc:Fallback>
        </mc:AlternateContent>
        <mc:AlternateContent>
          <mc:Choice Requires="wps">
            <w:drawing>
              <wp:anchor simplePos="0" relativeHeight="251657728" behindDoc="1" locked="0" layoutInCell="0" allowOverlap="1">
                <wp:simplePos x="0" y="0"/>
                <wp:positionH relativeFrom="column">
                  <wp:posOffset>1209675</wp:posOffset>
                </wp:positionH>
                <wp:positionV relativeFrom="paragraph">
                  <wp:posOffset>108585</wp:posOffset>
                </wp:positionV>
                <wp:extent cx="0" cy="86677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66775"/>
                        </a:xfrm>
                        <a:prstGeom prst="line">
                          <a:avLst/>
                        </a:prstGeom>
                        <a:solidFill>
                          <a:srgbClr val="FFFFFF"/>
                        </a:solidFill>
                        <a:ln w="19050">
                          <a:solidFill>
                            <a:srgbClr val="231F2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5.25pt,8.55pt" to="95.25pt,76.8pt" o:allowincell="f" strokecolor="#231F20" strokeweight="1.5pt"/>
            </w:pict>
          </mc:Fallback>
        </mc:AlternateContent>
        <mc:AlternateContent>
          <mc:Choice Requires="wps">
            <w:drawing>
              <wp:anchor simplePos="0" relativeHeight="251657728" behindDoc="1" locked="0" layoutInCell="0" allowOverlap="1">
                <wp:simplePos x="0" y="0"/>
                <wp:positionH relativeFrom="column">
                  <wp:posOffset>1200150</wp:posOffset>
                </wp:positionH>
                <wp:positionV relativeFrom="paragraph">
                  <wp:posOffset>965835</wp:posOffset>
                </wp:positionV>
                <wp:extent cx="37719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71900" cy="4763"/>
                        </a:xfrm>
                        <a:prstGeom prst="line">
                          <a:avLst/>
                        </a:prstGeom>
                        <a:solidFill>
                          <a:srgbClr val="FFFFFF"/>
                        </a:solidFill>
                        <a:ln w="19050">
                          <a:solidFill>
                            <a:srgbClr val="231F2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4.5pt,76.05pt" to="391.5pt,76.05pt" o:allowincell="f" strokecolor="#231F20" strokeweight="1.5pt"/>
            </w:pict>
          </mc:Fallback>
        </mc:AlternateContent>
      </w:r>
    </w:p>
    <w:p>
      <w:pPr>
        <w:spacing w:after="0" w:line="345" w:lineRule="exact"/>
        <w:rPr>
          <w:sz w:val="20"/>
          <w:szCs w:val="20"/>
          <w:color w:val="auto"/>
        </w:rPr>
      </w:pPr>
    </w:p>
    <w:p>
      <w:pPr>
        <w:ind w:left="2140"/>
        <w:spacing w:after="0"/>
        <w:rPr>
          <w:sz w:val="20"/>
          <w:szCs w:val="20"/>
          <w:color w:val="auto"/>
        </w:rPr>
      </w:pPr>
      <w:r>
        <w:rPr>
          <w:sz w:val="1"/>
          <w:szCs w:val="1"/>
          <w:color w:val="auto"/>
        </w:rPr>
        <w:drawing>
          <wp:inline distT="0" distB="0" distL="0" distR="0">
            <wp:extent cx="381000" cy="1333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1">
                      <a:extLst>
                        <a:ext uri="{28A0092B-C50C-407E-A947-70E740481C1C}"/>
                      </a:extLst>
                    </a:blip>
                    <a:srcRect/>
                    <a:stretch>
                      <a:fillRect/>
                    </a:stretch>
                  </pic:blipFill>
                  <pic:spPr bwMode="auto">
                    <a:xfrm>
                      <a:off x="0" y="0"/>
                      <a:ext cx="381000" cy="133350"/>
                    </a:xfrm>
                    <a:prstGeom prst="rect">
                      <a:avLst/>
                    </a:prstGeom>
                    <a:noFill/>
                    <a:ln>
                      <a:noFill/>
                    </a:ln>
                  </pic:spPr>
                </pic:pic>
              </a:graphicData>
            </a:graphic>
          </wp:inline>
        </w:drawing>
      </w:r>
      <w:r>
        <w:rPr>
          <w:rFonts w:ascii="Times New Roman" w:cs="Times New Roman" w:eastAsia="Times New Roman" w:hAnsi="Times New Roman"/>
          <w:sz w:val="20"/>
          <w:szCs w:val="20"/>
          <w:color w:val="231F20"/>
        </w:rPr>
        <w:t xml:space="preserve"> Marriott Vacations Worldwide Corporation</w:t>
      </w:r>
    </w:p>
    <w:p>
      <w:pPr>
        <w:spacing w:after="0" w:line="7" w:lineRule="exact"/>
        <w:rPr>
          <w:sz w:val="20"/>
          <w:szCs w:val="20"/>
          <w:color w:val="auto"/>
        </w:rPr>
      </w:pPr>
    </w:p>
    <w:p>
      <w:pPr>
        <w:ind w:left="2140"/>
        <w:spacing w:after="0"/>
        <w:rPr>
          <w:sz w:val="20"/>
          <w:szCs w:val="20"/>
          <w:color w:val="auto"/>
        </w:rPr>
      </w:pPr>
      <w:r>
        <w:rPr>
          <w:sz w:val="1"/>
          <w:szCs w:val="1"/>
          <w:color w:val="auto"/>
        </w:rPr>
        <w:drawing>
          <wp:inline distT="0" distB="0" distL="0" distR="0">
            <wp:extent cx="238125" cy="952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a:extLst>
                        <a:ext uri="{28A0092B-C50C-407E-A947-70E740481C1C}"/>
                      </a:extLst>
                    </a:blip>
                    <a:srcRect/>
                    <a:stretch>
                      <a:fillRect/>
                    </a:stretch>
                  </pic:blipFill>
                  <pic:spPr bwMode="auto">
                    <a:xfrm>
                      <a:off x="0" y="0"/>
                      <a:ext cx="238125" cy="95250"/>
                    </a:xfrm>
                    <a:prstGeom prst="rect">
                      <a:avLst/>
                    </a:prstGeom>
                    <a:noFill/>
                    <a:ln>
                      <a:noFill/>
                    </a:ln>
                  </pic:spPr>
                </pic:pic>
              </a:graphicData>
            </a:graphic>
          </wp:inline>
        </w:drawing>
        <w:drawing>
          <wp:inline distT="0" distB="0" distL="0" distR="0">
            <wp:extent cx="142875" cy="95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3">
                      <a:extLst>
                        <a:ext uri="{28A0092B-C50C-407E-A947-70E740481C1C}"/>
                      </a:extLst>
                    </a:blip>
                    <a:srcRect/>
                    <a:stretch>
                      <a:fillRect/>
                    </a:stretch>
                  </pic:blipFill>
                  <pic:spPr bwMode="auto">
                    <a:xfrm>
                      <a:off x="0" y="0"/>
                      <a:ext cx="142875" cy="9525"/>
                    </a:xfrm>
                    <a:prstGeom prst="rect">
                      <a:avLst/>
                    </a:prstGeom>
                    <a:noFill/>
                    <a:ln>
                      <a:noFill/>
                    </a:ln>
                  </pic:spPr>
                </pic:pic>
              </a:graphicData>
            </a:graphic>
          </wp:inline>
        </w:drawing>
      </w:r>
      <w:r>
        <w:rPr>
          <w:rFonts w:ascii="Times New Roman" w:cs="Times New Roman" w:eastAsia="Times New Roman" w:hAnsi="Times New Roman"/>
          <w:sz w:val="20"/>
          <w:szCs w:val="20"/>
          <w:color w:val="231F20"/>
        </w:rPr>
        <w:t xml:space="preserve"> S&amp;P SmallCap 600 Index</w:t>
      </w:r>
    </w:p>
    <w:p>
      <w:pPr>
        <w:ind w:left="2140"/>
        <w:spacing w:after="0"/>
        <w:rPr>
          <w:sz w:val="20"/>
          <w:szCs w:val="20"/>
          <w:color w:val="auto"/>
        </w:rPr>
      </w:pPr>
      <w:r>
        <w:rPr>
          <w:sz w:val="1"/>
          <w:szCs w:val="1"/>
          <w:color w:val="auto"/>
        </w:rPr>
        <w:drawing>
          <wp:inline distT="0" distB="0" distL="0" distR="0">
            <wp:extent cx="381000" cy="12382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4">
                      <a:extLst>
                        <a:ext uri="{28A0092B-C50C-407E-A947-70E740481C1C}"/>
                      </a:extLst>
                    </a:blip>
                    <a:srcRect/>
                    <a:stretch>
                      <a:fillRect/>
                    </a:stretch>
                  </pic:blipFill>
                  <pic:spPr bwMode="auto">
                    <a:xfrm>
                      <a:off x="0" y="0"/>
                      <a:ext cx="381000" cy="123825"/>
                    </a:xfrm>
                    <a:prstGeom prst="rect">
                      <a:avLst/>
                    </a:prstGeom>
                    <a:noFill/>
                    <a:ln>
                      <a:noFill/>
                    </a:ln>
                  </pic:spPr>
                </pic:pic>
              </a:graphicData>
            </a:graphic>
          </wp:inline>
        </w:drawing>
      </w:r>
      <w:r>
        <w:rPr>
          <w:rFonts w:ascii="Times New Roman" w:cs="Times New Roman" w:eastAsia="Times New Roman" w:hAnsi="Times New Roman"/>
          <w:sz w:val="20"/>
          <w:szCs w:val="20"/>
          <w:color w:val="231F20"/>
        </w:rPr>
        <w:t xml:space="preserve"> S&amp;P MidCap 400 Index</w:t>
      </w:r>
    </w:p>
    <w:p>
      <w:pPr>
        <w:ind w:left="2140"/>
        <w:spacing w:after="0"/>
        <w:rPr>
          <w:sz w:val="20"/>
          <w:szCs w:val="20"/>
          <w:color w:val="auto"/>
        </w:rPr>
      </w:pPr>
      <w:r>
        <w:rPr>
          <w:sz w:val="1"/>
          <w:szCs w:val="1"/>
          <w:color w:val="auto"/>
        </w:rPr>
        <w:drawing>
          <wp:inline distT="0" distB="0" distL="0" distR="0">
            <wp:extent cx="381000" cy="1238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5">
                      <a:extLst>
                        <a:ext uri="{28A0092B-C50C-407E-A947-70E740481C1C}"/>
                      </a:extLst>
                    </a:blip>
                    <a:srcRect/>
                    <a:stretch>
                      <a:fillRect/>
                    </a:stretch>
                  </pic:blipFill>
                  <pic:spPr bwMode="auto">
                    <a:xfrm>
                      <a:off x="0" y="0"/>
                      <a:ext cx="381000" cy="123825"/>
                    </a:xfrm>
                    <a:prstGeom prst="rect">
                      <a:avLst/>
                    </a:prstGeom>
                    <a:noFill/>
                    <a:ln>
                      <a:noFill/>
                    </a:ln>
                  </pic:spPr>
                </pic:pic>
              </a:graphicData>
            </a:graphic>
          </wp:inline>
        </w:drawing>
      </w:r>
      <w:r>
        <w:rPr>
          <w:rFonts w:ascii="Times New Roman" w:cs="Times New Roman" w:eastAsia="Times New Roman" w:hAnsi="Times New Roman"/>
          <w:sz w:val="20"/>
          <w:szCs w:val="20"/>
          <w:color w:val="231F20"/>
        </w:rPr>
        <w:t xml:space="preserve"> S&amp;P Composite 1500 Hotels, Resorts &amp; Cruise Lines Index</w:t>
      </w:r>
    </w:p>
    <w:p>
      <w:pPr>
        <w:spacing w:after="0" w:line="200" w:lineRule="exact"/>
        <w:rPr>
          <w:sz w:val="20"/>
          <w:szCs w:val="20"/>
          <w:color w:val="auto"/>
        </w:rPr>
      </w:pPr>
    </w:p>
    <w:p>
      <w:pPr>
        <w:spacing w:after="0" w:line="2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The above graph compares the relative performance of our common stock, the S&amp;P SmallCap 600 Index, the S&amp;P MidCap 400 Index, and the S&amp;P Composite 1500 Hotels, Resorts &amp; Cruise Lines Index. In December 2025, MVW was added to the S&amp;P SmallCap 600 Index as it is more representative of the Company’s current market capitalization range than the Company’s prior index, the S&amp;P MidCap 400 Index. The graph assumes that $100 was invested in our common stock and each index on December 31, 2020. The stock price performance reflected above is not necessarily indicative of future stock price performance. The foregoing performance graph is being furnished as part of this Annual Report solely in accordance with the requirement under Rule 14a-3(b)(9) to furnish our stockholders with such information, and therefore, shall not be deemed to be filed or incorporated by reference into any filings by the Company under the Securities Act of 1933, as amended, or the Exchange Act.</w:t>
      </w:r>
    </w:p>
    <w:p>
      <w:pPr>
        <w:spacing w:after="0" w:line="20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231F20"/>
        </w:rPr>
        <w:t>Item 6.</w:t>
      </w:r>
      <w:r>
        <w:rPr>
          <w:sz w:val="20"/>
          <w:szCs w:val="20"/>
          <w:color w:val="auto"/>
        </w:rPr>
        <w:tab/>
      </w:r>
      <w:r>
        <w:rPr>
          <w:rFonts w:ascii="Times New Roman" w:cs="Times New Roman" w:eastAsia="Times New Roman" w:hAnsi="Times New Roman"/>
          <w:sz w:val="19"/>
          <w:szCs w:val="19"/>
          <w:b w:val="1"/>
          <w:bCs w:val="1"/>
          <w:color w:val="231F20"/>
        </w:rPr>
        <w:t>Reserved</w:t>
      </w:r>
    </w:p>
    <w:p>
      <w:pPr>
        <w:sectPr>
          <w:pgSz w:w="11880" w:h="15480" w:orient="portrait"/>
          <w:cols w:equalWidth="0" w:num="1">
            <w:col w:w="9720"/>
          </w:cols>
          <w:pgMar w:left="1080" w:top="83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9720"/>
          </w:cols>
          <w:pgMar w:left="1080" w:top="831" w:right="1080" w:bottom="0" w:gutter="0" w:footer="0" w:header="0"/>
          <w:type w:val="continuous"/>
        </w:sectPr>
      </w:pPr>
    </w:p>
    <w:bookmarkStart w:id="44" w:name="page45"/>
    <w:bookmarkEnd w:id="44"/>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231F20"/>
        </w:rPr>
        <w:t>Item 7.</w:t>
      </w:r>
      <w:r>
        <w:rPr>
          <w:sz w:val="20"/>
          <w:szCs w:val="20"/>
          <w:color w:val="auto"/>
        </w:rPr>
        <w:tab/>
      </w:r>
      <w:r>
        <w:rPr>
          <w:rFonts w:ascii="Times New Roman" w:cs="Times New Roman" w:eastAsia="Times New Roman" w:hAnsi="Times New Roman"/>
          <w:sz w:val="19"/>
          <w:szCs w:val="19"/>
          <w:b w:val="1"/>
          <w:bCs w:val="1"/>
          <w:color w:val="231F20"/>
        </w:rPr>
        <w:t>Management’s Discussion and Analysis of Financial Condition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Forward-Looking Statements</w:t>
      </w:r>
    </w:p>
    <w:p>
      <w:pPr>
        <w:spacing w:after="0" w:line="13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i w:val="1"/>
          <w:iCs w:val="1"/>
          <w:color w:val="231F20"/>
        </w:rPr>
        <w:t>You should read the following discussion of our results of operations and financial condition together with our audited historical consolidated financial statements and accompanying notes in Part II, “Item 8. Financial Statements and Supplementary Data,” and Part I, “Item 1. Business,” of this Annual Report.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the sections of this Annual Report entitled “Risk Factors” and “Special Note About Forward-Looking Statements.”</w:t>
      </w:r>
    </w:p>
    <w:p>
      <w:pPr>
        <w:spacing w:after="0" w:line="85" w:lineRule="exact"/>
        <w:rPr>
          <w:sz w:val="20"/>
          <w:szCs w:val="20"/>
          <w:color w:val="auto"/>
        </w:rPr>
      </w:pPr>
    </w:p>
    <w:p>
      <w:pPr>
        <w:jc w:val="both"/>
        <w:ind w:right="480"/>
        <w:spacing w:after="0" w:line="288" w:lineRule="auto"/>
        <w:rPr>
          <w:sz w:val="20"/>
          <w:szCs w:val="20"/>
          <w:color w:val="auto"/>
        </w:rPr>
      </w:pPr>
      <w:r>
        <w:rPr>
          <w:rFonts w:ascii="Times New Roman" w:cs="Times New Roman" w:eastAsia="Times New Roman" w:hAnsi="Times New Roman"/>
          <w:sz w:val="19"/>
          <w:szCs w:val="19"/>
          <w:i w:val="1"/>
          <w:iCs w:val="1"/>
          <w:color w:val="231F20"/>
        </w:rPr>
        <w:t>Our consolidated financial statements, which we discuss below, reflect our historical financial condition, results of operations and cash flows. The financial information discussed below and included in this Annual Report may not, however, necessarily reflect what our financial condition, results of operations and cash flows may be in the future.</w:t>
      </w:r>
    </w:p>
    <w:p>
      <w:pPr>
        <w:spacing w:after="0" w:line="5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i w:val="1"/>
          <w:iCs w:val="1"/>
          <w:color w:val="231F20"/>
        </w:rPr>
        <w:t>Our discussion and analysis of fiscal year 2025 to fiscal year 2024 is included herein. Our discussion and analysis of fiscal year 2024 to fiscal year 2023 has been omitted from this Form 10-K and can be found in Part II, “Item 7. Management’s Discussion and Analysis of Financial Condition and Results of Operations” of our Annual Report on Form 10-K for the fiscal year ended December 31, 2024, which was filed with the Securities and Exchange Commission on February 28,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Business Overview</w:t>
      </w:r>
    </w:p>
    <w:p>
      <w:pPr>
        <w:spacing w:after="0" w:line="13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color w:val="231F20"/>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231F20"/>
        </w:rPr>
        <w:t>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w:t>
      </w:r>
    </w:p>
    <w:p>
      <w:pPr>
        <w:spacing w:after="0" w:line="9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color w:val="231F20"/>
        </w:rPr>
        <w:t>Our Vacation Ownership segment generates revenues from four primary sources: selling vacation ownership products; managing vacation ownership resorts, clubs and owners’ associations; financing consumer purchases of vacation ownership products; and renting vacation ownership inventory.</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Our Exchange &amp; Third-Party Management segment includes an exchange network and membership programs, as well as the provision of management services to other resorts and lodging properties. Exchange &amp; Third-Party Management revenue generally is fee-based and derived from membership, exchange and rental transactions, property and owners’ association management, and other related products and services. We provide these services through our Interval International and Aqua-Aston businesses.</w:t>
      </w:r>
    </w:p>
    <w:p>
      <w:pPr>
        <w:spacing w:after="0" w:line="8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231F20"/>
        </w:rPr>
        <w:t>Corporate and other represents the portion of our results that are not allocable to our segments, including those relating to Consolidated Property Owners’ Associations.</w:t>
      </w:r>
    </w:p>
    <w:p>
      <w:pPr>
        <w:spacing w:after="0" w:line="118" w:lineRule="exact"/>
        <w:rPr>
          <w:sz w:val="20"/>
          <w:szCs w:val="20"/>
          <w:color w:val="auto"/>
        </w:rPr>
      </w:pPr>
    </w:p>
    <w:p>
      <w:pPr>
        <w:ind w:right="4720"/>
        <w:spacing w:after="0" w:line="377" w:lineRule="auto"/>
        <w:rPr>
          <w:sz w:val="20"/>
          <w:szCs w:val="20"/>
          <w:color w:val="auto"/>
        </w:rPr>
      </w:pPr>
      <w:r>
        <w:rPr>
          <w:rFonts w:ascii="Times New Roman" w:cs="Times New Roman" w:eastAsia="Times New Roman" w:hAnsi="Times New Roman"/>
          <w:sz w:val="20"/>
          <w:szCs w:val="20"/>
          <w:i w:val="1"/>
          <w:iCs w:val="1"/>
          <w:color w:val="231F20"/>
        </w:rPr>
        <w:t>Accounting Policies Used in Describing Results of Operations Sale of Vacation Ownership Products</w:t>
      </w:r>
    </w:p>
    <w:p>
      <w:pPr>
        <w:spacing w:after="0" w:line="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231F20"/>
        </w:rPr>
        <w:t>We recognize revenues from the sale of vacation ownership products (also referred to as “VOIs”) when control of the vacation ownership product is transferred to the customer and the transaction price is deemed collectible, which typically correlates to expiration of the statutory rescission period.</w:t>
      </w:r>
    </w:p>
    <w:p>
      <w:pPr>
        <w:spacing w:after="0" w:line="7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20"/>
          <w:szCs w:val="20"/>
          <w:color w:val="231F20"/>
        </w:rPr>
        <w:t>Sales of vacation ownership products may be made for cash or we may provide financing. In addition, we recognize settlement fees associated with the transfer of VOIs and commission revenues from sales of VOIs on behalf of third parties, which we refer to as “resales revenue.”</w:t>
      </w:r>
    </w:p>
    <w:p>
      <w:pPr>
        <w:sectPr>
          <w:pgSz w:w="11880" w:h="15480" w:orient="portrait"/>
          <w:cols w:equalWidth="0" w:num="1">
            <w:col w:w="9720"/>
          </w:cols>
          <w:pgMar w:left="1080" w:top="83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9720"/>
          </w:cols>
          <w:pgMar w:left="1080" w:top="831" w:right="1080" w:bottom="0" w:gutter="0" w:footer="0" w:header="0"/>
          <w:type w:val="continuous"/>
        </w:sectPr>
      </w:pPr>
    </w:p>
    <w:bookmarkStart w:id="45" w:name="page46"/>
    <w:bookmarkEnd w:id="45"/>
    <w:p>
      <w:pPr>
        <w:ind w:right="160"/>
        <w:spacing w:after="0" w:line="286" w:lineRule="auto"/>
        <w:rPr>
          <w:sz w:val="20"/>
          <w:szCs w:val="20"/>
          <w:color w:val="auto"/>
        </w:rPr>
      </w:pPr>
      <w:r>
        <w:rPr>
          <w:rFonts w:ascii="Times New Roman" w:cs="Times New Roman" w:eastAsia="Times New Roman" w:hAnsi="Times New Roman"/>
          <w:sz w:val="19"/>
          <w:szCs w:val="19"/>
          <w:color w:val="231F20"/>
        </w:rPr>
        <w:t>We also provide sales incentives to certain purchasers. These sales incentives typically include Marriott Bonvoy points, World of Hyatt points or an alternative sales incentive that we refer to as “plus points.” Plus points are redeemable for stays at our resorts or for use in other third-party offerings, generally up to two years from the date of issuance.</w:t>
      </w:r>
    </w:p>
    <w:p>
      <w:pPr>
        <w:spacing w:after="0" w:line="55"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20"/>
          <w:szCs w:val="20"/>
          <w:color w:val="231F20"/>
        </w:rPr>
        <w:t>Finally, as more fully described in “</w:t>
      </w:r>
      <w:r>
        <w:rPr>
          <w:rFonts w:ascii="Times New Roman" w:cs="Times New Roman" w:eastAsia="Times New Roman" w:hAnsi="Times New Roman"/>
          <w:sz w:val="20"/>
          <w:szCs w:val="20"/>
          <w:i w:val="1"/>
          <w:iCs w:val="1"/>
          <w:color w:val="231F20"/>
        </w:rPr>
        <w:t>Financing</w:t>
      </w:r>
      <w:r>
        <w:rPr>
          <w:rFonts w:ascii="Times New Roman" w:cs="Times New Roman" w:eastAsia="Times New Roman" w:hAnsi="Times New Roman"/>
          <w:sz w:val="20"/>
          <w:szCs w:val="20"/>
          <w:color w:val="231F20"/>
        </w:rPr>
        <w:t>” below, we record the difference between the contract receivable or vacation ownership note receivable and the amount we expect to collect from debtors (also known as a vacation ownership notes receivable reserve or a sales reserve) as a reduction of revenues from the sale of VOIs at the time we recognize revenues from a sale.</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We report, on a supplemental basis, contract sales for our Vacation Ownership segment. Contract sales consist of the total amount of VOI sales under contract signed during the period where we have generally received a down payment of at least ten percent of the contract price, reduced by actual rescissions during the period, inclusive of contracts associated with sales of VOIs on behalf of third parties, which we refer to as “resales contract sales.” In circumstances where a customer applies any or all of their existing ownership interests as part of the purchase price for additional interests (also referred to as an equity upgrade), we include only the incremental value purchased as contract sales. Contract sales differ from revenues from the sale of VOIs that we report on our income statements due to the requirements for revenue recognition described above. We consider contract sales to be an important operating measure because it reflects the pace of sales in our business.</w:t>
      </w:r>
    </w:p>
    <w:p>
      <w:pPr>
        <w:spacing w:after="0" w:line="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31F20"/>
        </w:rPr>
        <w:t>Cost of vacation ownership products includes costs to acquire, develop and construct our projects (also known as real estate inventory costs), other non-capitalizable costs associated with the overall project development process and settlement expenses associated with the closing process. For each project, we expense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 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Management and Exchange</w:t>
      </w:r>
    </w:p>
    <w:p>
      <w:pPr>
        <w:spacing w:after="0" w:line="13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231F20"/>
        </w:rPr>
        <w:t>Our management and exchange revenues include revenues generated from fees we earn for managing each of our vacation ownership resorts, providing property management, owners’ association management and related services and fees we earn for providing rental services and related hotel, condominium resort, and owners’ association management services to vacation property owners.</w:t>
      </w:r>
    </w:p>
    <w:p>
      <w:pPr>
        <w:spacing w:after="0" w:line="8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20"/>
          <w:szCs w:val="20"/>
          <w:color w:val="231F20"/>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231F20"/>
        </w:rPr>
        <w:t>Management and exchange expenses include costs to operate the food and beverage outlets, other ancillary operations and to provide overall customer support services, including reservations, and certain transaction-based expenses relating to third-party exchange service providers.</w:t>
      </w:r>
    </w:p>
    <w:p>
      <w:pPr>
        <w:spacing w:after="0" w:line="75"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20"/>
          <w:szCs w:val="20"/>
          <w:color w:val="231F20"/>
        </w:rPr>
        <w:t>In our Vacation Ownership segment and Consolidated Property Owners’ Associations, we refer to these activities as “Resort Management and Other Services.”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Financing</w:t>
      </w:r>
    </w:p>
    <w:p>
      <w:pPr>
        <w:spacing w:after="0" w:line="13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231F20"/>
        </w:rPr>
        <w:t>We offer financing to qualified customers for the purchase of most types of our VOIs. The typical financing agreement provides for monthly payments of principal and interest with the principal balance of the loan fully amortizing over the term of the related vacation ownership note receivable, which is generally ten to fifteen years. While we adjust interest rates on our financing programs from time to time, such changes are typically not made in lockstep with the timing and magnitude of changes in broader market rates. We may use incentives to encourage our customers to choose our financing. Included within our vacation ownership notes receivable are originated vacation ownership notes receivable and vacation ownership notes receivable acquired in connection with the ILG Acquisition and the Welk Acquisition.</w:t>
      </w:r>
    </w:p>
    <w:p>
      <w:pPr>
        <w:spacing w:after="0" w:line="9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231F20"/>
        </w:rPr>
        <w:t>The interest income earned from our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The amount of interest income earned in a period depends on the amount of outstanding vacation ownership notes receivable, which is impacted positively by the origination of new vacation ownership notes receivable and negatively by principal collections and defaults. We calculate financing propensity as contract sales volume of</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9720"/>
          </w:cols>
          <w:pgMar w:left="1080" w:top="838" w:right="1080" w:bottom="0" w:gutter="0" w:footer="0" w:header="0"/>
          <w:type w:val="continuous"/>
        </w:sectPr>
      </w:pPr>
    </w:p>
    <w:bookmarkStart w:id="46" w:name="page47"/>
    <w:bookmarkEnd w:id="46"/>
    <w:p>
      <w:pPr>
        <w:jc w:val="both"/>
        <w:ind w:right="120"/>
        <w:spacing w:after="0" w:line="266" w:lineRule="auto"/>
        <w:rPr>
          <w:sz w:val="20"/>
          <w:szCs w:val="20"/>
          <w:color w:val="auto"/>
        </w:rPr>
      </w:pPr>
      <w:r>
        <w:rPr>
          <w:rFonts w:ascii="Times New Roman" w:cs="Times New Roman" w:eastAsia="Times New Roman" w:hAnsi="Times New Roman"/>
          <w:sz w:val="20"/>
          <w:szCs w:val="20"/>
          <w:color w:val="231F20"/>
        </w:rPr>
        <w:t>financed contracts originated in the period divided by contract sales volume of all contracts originated in the period. We do not include resales contract sales in the financing propensity calculation. First-time buyers are more likely to finance their purchases and remain an integral part of our overall marketing and sales strategy.</w:t>
      </w:r>
    </w:p>
    <w:p>
      <w:pPr>
        <w:spacing w:after="0" w:line="7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231F20"/>
        </w:rPr>
        <w:t>Acquired vacation ownership notes receivable are accounted for using the purchased credit deteriorated assets provision of the current expected credit loss model. The estimates of the reserve for credit losses on the acquired vacation ownership notes receivable are based on default rates that are an output of our static pool analyses and the estimated value of collateral securing the acquired vacation ownership notes receivable.</w:t>
      </w:r>
    </w:p>
    <w:p>
      <w:pPr>
        <w:spacing w:after="0" w:line="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Revisions to estimates that result in decreases or increases to the reserve for originated vacation ownership notes receivable can increase or decrease revenues, respectively. In contrast, for acquired vacation ownership notes receivable, we record changes to the reserve as an adjustment to Financing expenses on our Income Statements. See Footnote 5 “Vacation Ownership Notes Receivable” to our Financial Statements for further information.</w:t>
      </w:r>
    </w:p>
    <w:p>
      <w:pPr>
        <w:spacing w:after="0" w:line="9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231F20"/>
        </w:rPr>
        <w:t>Financing expenses include consumer financing interest expense, which represents interest expense associated with the securitization of our vacation ownership notes receivable, costs to support the financing, servicing and securitization processes and changes in expected credit losses related to acquired vacation ownership notes receivable. We distinguish consumer financing interest expense from all other interest expense because the debt associated with the consumer financing interest expense is considered to be an operating expense of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Rental</w:t>
      </w:r>
    </w:p>
    <w:p>
      <w:pPr>
        <w:spacing w:after="0" w:line="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In our Vacation Ownership segment, we operate a rental business to provide owner flexibility and to help mitigate carrying costs associated with our inventory. We obtain rental inventory and generate revenue from rentals of inventory that we hold for sale as interests in our vacation ownership programs, inventory that we control because our owners have elected alternative usage options permitted under our vacation ownership programs and rentals of unregistered inventory and owned-hotel properties. We also recognize rental revenue from the utilization of plus points at redemption for rental stays at one of our resorts or other third-party offerings. For rental revenues associated with VOIs which we own and which are registered and held for sale, to the extent that the revenues from rental are less than costs, revenues are reported net of rental expenses in accordance with Accounting Standards Codification (“ASC”) Topic 978, “</w:t>
      </w:r>
      <w:r>
        <w:rPr>
          <w:rFonts w:ascii="Times New Roman" w:cs="Times New Roman" w:eastAsia="Times New Roman" w:hAnsi="Times New Roman"/>
          <w:sz w:val="20"/>
          <w:szCs w:val="20"/>
          <w:i w:val="1"/>
          <w:iCs w:val="1"/>
          <w:color w:val="231F20"/>
        </w:rPr>
        <w:t>Real Estate -</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Time-Sharing Activities</w:t>
      </w:r>
      <w:r>
        <w:rPr>
          <w:rFonts w:ascii="Times New Roman" w:cs="Times New Roman" w:eastAsia="Times New Roman" w:hAnsi="Times New Roman"/>
          <w:sz w:val="20"/>
          <w:szCs w:val="20"/>
          <w:color w:val="231F20"/>
        </w:rPr>
        <w:t>” (“ASC 978”). The rental activity associated with discounted vacation packages requiring a tour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(“preview stays”) is not included in transient rental metrics, and because the majority of these preview stays are sourced directly or indirectly from unsold inventory, the associated revenues and expenses are reported net in Marketing and sales expense.</w:t>
      </w:r>
    </w:p>
    <w:p>
      <w:pPr>
        <w:spacing w:after="0" w:line="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In our Exchange &amp; Third-Party Management segment, we offer vacation rental offers known as Getaways to members of the Interval Network and certain other membership programs. Getaways allows us to monetize excess availability of resort accommodations within the applicable exchange network, as well as provide additional vacation opportunities to members. Resort accommodations typically become available as Getaways as a result of seasonal oversupply or underutilized space in the applicable exchange program. We also source resort accommodations specifically for the Getaways program. Rental revenues associated with Getaways are reported net of related expenses.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Rental expenses include:</w:t>
      </w:r>
    </w:p>
    <w:p>
      <w:pPr>
        <w:spacing w:after="0" w:line="70" w:lineRule="exact"/>
        <w:rPr>
          <w:sz w:val="20"/>
          <w:szCs w:val="20"/>
          <w:color w:val="auto"/>
        </w:rPr>
      </w:pPr>
    </w:p>
    <w:p>
      <w:pPr>
        <w:ind w:left="360" w:hanging="360"/>
        <w:spacing w:after="0"/>
        <w:tabs>
          <w:tab w:leader="none" w:pos="36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Maintenance and other fees on unsold inventory;</w:t>
      </w:r>
    </w:p>
    <w:p>
      <w:pPr>
        <w:spacing w:after="0" w:line="70" w:lineRule="exact"/>
        <w:rPr>
          <w:rFonts w:ascii="Times New Roman" w:cs="Times New Roman" w:eastAsia="Times New Roman" w:hAnsi="Times New Roman"/>
          <w:sz w:val="20"/>
          <w:szCs w:val="20"/>
          <w:color w:val="231F20"/>
        </w:rPr>
      </w:pPr>
    </w:p>
    <w:p>
      <w:pPr>
        <w:ind w:left="360" w:right="200" w:hanging="360"/>
        <w:spacing w:after="0" w:line="281" w:lineRule="auto"/>
        <w:tabs>
          <w:tab w:leader="none" w:pos="36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Costs to provide alternative usage options, including Marriott Bonvoy points, World of Hyatt points, and offerings available as part of third-party offerings, for owners who elect to exchange their inventory; and</w:t>
      </w:r>
    </w:p>
    <w:p>
      <w:pPr>
        <w:spacing w:after="0" w:line="1" w:lineRule="exact"/>
        <w:rPr>
          <w:rFonts w:ascii="Times New Roman" w:cs="Times New Roman" w:eastAsia="Times New Roman" w:hAnsi="Times New Roman"/>
          <w:sz w:val="20"/>
          <w:szCs w:val="20"/>
          <w:color w:val="231F20"/>
        </w:rPr>
      </w:pPr>
    </w:p>
    <w:p>
      <w:pPr>
        <w:ind w:left="360" w:right="960" w:hanging="360"/>
        <w:spacing w:after="0" w:line="281" w:lineRule="auto"/>
        <w:tabs>
          <w:tab w:leader="none" w:pos="36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Marketing costs and direct operating and related expenses in connection with the rental business (such as housekeeping, labor costs, credit card expenses, and reservation services).</w:t>
      </w:r>
    </w:p>
    <w:p>
      <w:pPr>
        <w:spacing w:after="0" w:line="6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231F20"/>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rental inventory on hand and keys allocated for preview stays. In addition, rental metrics may not correlate with rental revenues due to the requirement to report certain rental revenues net of rental expenses in accordance with ASC 978 (as discussed above). The “transient keys” metric represents the blended mix of inventory available for rent and includes all of the combined inventory configurations available in our resort system.</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9720"/>
          </w:cols>
          <w:pgMar w:left="1080" w:top="838" w:right="108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i w:val="1"/>
          <w:iCs w:val="1"/>
          <w:color w:val="231F20"/>
        </w:rPr>
        <w:t>Cost Reimbursements</w:t>
      </w:r>
    </w:p>
    <w:p>
      <w:pPr>
        <w:spacing w:after="0" w:line="7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231F20"/>
        </w:rPr>
        <w:t>Cost reimbursements include direct and indirect costs that are reimbursed to us by owners’ associations and customers under management contracts, which costs are principally payroll-related costs at the locations where we employ the associates providing on-site services, costs associated with property refurbishments (including those where we act as the project manager), and insurance costs. All costs reimbursed to us by owners’ associations and customers, with the exception of taxes assessed by a governmental authority, are reported on a gross basis. We recognize cost reimbursements when we incur the related reimbursable costs. Cost reimbursements consist of actual expenses with no added margin.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Interest Expense</w:t>
      </w:r>
    </w:p>
    <w:p>
      <w:pPr>
        <w:spacing w:after="0" w:line="7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231F20"/>
        </w:rPr>
        <w:t>Interest expense consists of all interest expense other than consumer financing interest expense, which is included within Financing expense, net of interest income.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Transaction and Integration Costs</w:t>
      </w:r>
    </w:p>
    <w:p>
      <w:pPr>
        <w:spacing w:after="0" w:line="74"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231F20"/>
        </w:rPr>
        <w:t>Transaction and integration costs primarily include fees paid to change-management consultants, technology-related costs associated with the integrations of ILG and Welk and charges for employee retention, severance and other termination-related benefits. Transaction and integration costs also include costs related to the ILG and Welk Acquisitions, primarily for financial advisory, legal, and other professional service fees, as well as certain tax-related accruals. During the third quarter of 2023 and the second quarter of 2024, we discontinued classifying costs associated with the continued integration of ILG and Welk, respectively, in Transaction and integration costs. Further integration costs incurred after these periods are reflected in the operating results of each of our segments and/or General and administrative expenses.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Performance Measures</w:t>
      </w:r>
    </w:p>
    <w:p>
      <w:pPr>
        <w:spacing w:after="0" w:line="137"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0"/>
          <w:szCs w:val="20"/>
          <w:color w:val="231F20"/>
        </w:rPr>
        <w:t>Management uses the following key performance metrics to assess the Company’s operational efficiency and market competitiveness, identify trends, develop financial projections, and support strategic decision-making. Management continuously monitors and analyzes these metrics to help ensure that the Company remains responsive to changing market conditions and aligned with our long-term growth objectives. The definitions and methodologies of certain of these metrics may differ from those used by other companies, and as a result, these metrics may not be directly comparable to similarly titled measures reported by other companies.</w:t>
      </w:r>
    </w:p>
    <w:p>
      <w:pPr>
        <w:spacing w:after="0" w:line="84" w:lineRule="exact"/>
        <w:rPr>
          <w:sz w:val="20"/>
          <w:szCs w:val="20"/>
          <w:color w:val="auto"/>
        </w:rPr>
      </w:pPr>
    </w:p>
    <w:p>
      <w:pPr>
        <w:ind w:left="360" w:hanging="180"/>
        <w:spacing w:after="0"/>
        <w:tabs>
          <w:tab w:leader="none" w:pos="36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Contract sales from the sale of VOIs </w:t>
      </w:r>
      <w:r>
        <w:rPr>
          <w:rFonts w:ascii="Times New Roman" w:cs="Times New Roman" w:eastAsia="Times New Roman" w:hAnsi="Times New Roman"/>
          <w:sz w:val="20"/>
          <w:szCs w:val="20"/>
          <w:color w:val="231F20"/>
        </w:rPr>
        <w:t>reflects the pace of sales in our business.</w:t>
      </w:r>
    </w:p>
    <w:p>
      <w:pPr>
        <w:spacing w:after="0" w:line="133" w:lineRule="exact"/>
        <w:rPr>
          <w:rFonts w:ascii="Times New Roman" w:cs="Times New Roman" w:eastAsia="Times New Roman" w:hAnsi="Times New Roman"/>
          <w:sz w:val="20"/>
          <w:szCs w:val="20"/>
          <w:color w:val="231F20"/>
        </w:rPr>
      </w:pPr>
    </w:p>
    <w:p>
      <w:pPr>
        <w:ind w:left="720" w:right="720" w:hanging="180"/>
        <w:spacing w:after="0" w:line="281" w:lineRule="auto"/>
        <w:tabs>
          <w:tab w:leader="none" w:pos="720" w:val="left"/>
        </w:tabs>
        <w:numPr>
          <w:ilvl w:val="1"/>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Total contract sales include contract sales from the sale of vacation ownership products, including non-consolidated joint ventures.</w:t>
      </w:r>
    </w:p>
    <w:p>
      <w:pPr>
        <w:spacing w:after="0" w:line="61" w:lineRule="exact"/>
        <w:rPr>
          <w:rFonts w:ascii="Times New Roman" w:cs="Times New Roman" w:eastAsia="Times New Roman" w:hAnsi="Times New Roman"/>
          <w:sz w:val="20"/>
          <w:szCs w:val="20"/>
          <w:color w:val="231F20"/>
        </w:rPr>
      </w:pPr>
    </w:p>
    <w:p>
      <w:pPr>
        <w:ind w:left="720" w:right="640" w:hanging="180"/>
        <w:spacing w:after="0" w:line="281" w:lineRule="auto"/>
        <w:tabs>
          <w:tab w:leader="none" w:pos="720" w:val="left"/>
        </w:tabs>
        <w:numPr>
          <w:ilvl w:val="1"/>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Consolidated contract sales exclude contract sales from the sale of vacation ownership products for non-consolidated joint ventures.</w:t>
      </w:r>
    </w:p>
    <w:p>
      <w:pPr>
        <w:spacing w:after="0" w:line="57" w:lineRule="exact"/>
        <w:rPr>
          <w:rFonts w:ascii="Times New Roman" w:cs="Times New Roman" w:eastAsia="Times New Roman" w:hAnsi="Times New Roman"/>
          <w:sz w:val="20"/>
          <w:szCs w:val="20"/>
          <w:color w:val="231F20"/>
        </w:rPr>
      </w:pPr>
    </w:p>
    <w:p>
      <w:pPr>
        <w:ind w:left="360" w:right="240" w:hanging="180"/>
        <w:spacing w:after="0" w:line="262" w:lineRule="auto"/>
        <w:tabs>
          <w:tab w:leader="none" w:pos="36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Volume per guest </w:t>
      </w:r>
      <w:r>
        <w:rPr>
          <w:rFonts w:ascii="Times New Roman" w:cs="Times New Roman" w:eastAsia="Times New Roman" w:hAnsi="Times New Roman"/>
          <w:sz w:val="20"/>
          <w:szCs w:val="20"/>
          <w:color w:val="231F20"/>
        </w:rPr>
        <w:t>(“VPG”) is calculated as consolidated vacation ownership contract sales, excluding fractional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sales, telesales, resales, and other sales that are not attributed to a sales tour (collectively, “Tours”) divided by the number of Tours conducted during the applicable period. We believe that VPG is a key driver of profitability as it reflects both the average contract price and the effectiveness of converting touring guests into purchasers.</w:t>
      </w:r>
    </w:p>
    <w:p>
      <w:pPr>
        <w:spacing w:after="0" w:line="75" w:lineRule="exact"/>
        <w:rPr>
          <w:rFonts w:ascii="Times New Roman" w:cs="Times New Roman" w:eastAsia="Times New Roman" w:hAnsi="Times New Roman"/>
          <w:sz w:val="20"/>
          <w:szCs w:val="20"/>
          <w:color w:val="231F20"/>
        </w:rPr>
      </w:pPr>
    </w:p>
    <w:p>
      <w:pPr>
        <w:ind w:left="360" w:right="260" w:hanging="180"/>
        <w:spacing w:after="0" w:line="285" w:lineRule="auto"/>
        <w:tabs>
          <w:tab w:leader="none" w:pos="36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Tours </w:t>
      </w:r>
      <w:r>
        <w:rPr>
          <w:rFonts w:ascii="Times New Roman" w:cs="Times New Roman" w:eastAsia="Times New Roman" w:hAnsi="Times New Roman"/>
          <w:sz w:val="20"/>
          <w:szCs w:val="20"/>
          <w:color w:val="231F20"/>
        </w:rPr>
        <w:t>is defined as the number of sales tours conducted during the applicable period, including virtual and offsite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sales tours and excludes telesales. We view Tours as an important indicator of touring guest volume.</w:t>
      </w:r>
    </w:p>
    <w:p>
      <w:pPr>
        <w:spacing w:after="0" w:line="53" w:lineRule="exact"/>
        <w:rPr>
          <w:rFonts w:ascii="Times New Roman" w:cs="Times New Roman" w:eastAsia="Times New Roman" w:hAnsi="Times New Roman"/>
          <w:sz w:val="20"/>
          <w:szCs w:val="20"/>
          <w:color w:val="231F20"/>
        </w:rPr>
      </w:pPr>
    </w:p>
    <w:p>
      <w:pPr>
        <w:ind w:left="360" w:right="160" w:hanging="180"/>
        <w:spacing w:after="0" w:line="259" w:lineRule="auto"/>
        <w:tabs>
          <w:tab w:leader="none" w:pos="360" w:val="left"/>
        </w:tabs>
        <w:numPr>
          <w:ilvl w:val="0"/>
          <w:numId w:val="9"/>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i w:val="1"/>
          <w:iCs w:val="1"/>
          <w:color w:val="231F20"/>
        </w:rPr>
        <w:t xml:space="preserve">Development profit margin </w:t>
      </w:r>
      <w:r>
        <w:rPr>
          <w:rFonts w:ascii="Times New Roman" w:cs="Times New Roman" w:eastAsia="Times New Roman" w:hAnsi="Times New Roman"/>
          <w:sz w:val="20"/>
          <w:szCs w:val="20"/>
          <w:color w:val="231F20"/>
        </w:rPr>
        <w:t>is calculated as Development profit divided by revenues from the sale of vacation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ownership products. Development profit represents revenues from the sale of vacation ownership products, net of the cost of vacation ownership products and related marketing and sales costs. We believe that Development profit margin is a key indicator of the profitability of our development activities and the effectiveness of its associated marketing and sales efforts.</w:t>
      </w:r>
    </w:p>
    <w:p>
      <w:pPr>
        <w:spacing w:after="0" w:line="79" w:lineRule="exact"/>
        <w:rPr>
          <w:rFonts w:ascii="Times New Roman" w:cs="Times New Roman" w:eastAsia="Times New Roman" w:hAnsi="Times New Roman"/>
          <w:sz w:val="20"/>
          <w:szCs w:val="20"/>
          <w:i w:val="1"/>
          <w:iCs w:val="1"/>
          <w:color w:val="231F20"/>
        </w:rPr>
      </w:pPr>
    </w:p>
    <w:p>
      <w:pPr>
        <w:jc w:val="both"/>
        <w:ind w:left="360" w:right="320" w:hanging="180"/>
        <w:spacing w:after="0" w:line="268" w:lineRule="auto"/>
        <w:tabs>
          <w:tab w:leader="none" w:pos="36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Total active members </w:t>
      </w:r>
      <w:r>
        <w:rPr>
          <w:rFonts w:ascii="Times New Roman" w:cs="Times New Roman" w:eastAsia="Times New Roman" w:hAnsi="Times New Roman"/>
          <w:sz w:val="20"/>
          <w:szCs w:val="20"/>
          <w:color w:val="231F20"/>
        </w:rPr>
        <w:t>represents the number of active members of the Interval Network active members as of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end of the applicable period. We consider this metric to be an important indicator of the size of the member base eligible to transact within the Interval Network.</w:t>
      </w:r>
    </w:p>
    <w:p>
      <w:pPr>
        <w:spacing w:after="0" w:line="69" w:lineRule="exact"/>
        <w:rPr>
          <w:rFonts w:ascii="Times New Roman" w:cs="Times New Roman" w:eastAsia="Times New Roman" w:hAnsi="Times New Roman"/>
          <w:sz w:val="20"/>
          <w:szCs w:val="20"/>
          <w:color w:val="231F20"/>
        </w:rPr>
      </w:pPr>
    </w:p>
    <w:p>
      <w:pPr>
        <w:ind w:left="360" w:hanging="180"/>
        <w:spacing w:after="0" w:line="285" w:lineRule="auto"/>
        <w:tabs>
          <w:tab w:leader="none" w:pos="36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Average revenue per member </w:t>
      </w:r>
      <w:r>
        <w:rPr>
          <w:rFonts w:ascii="Times New Roman" w:cs="Times New Roman" w:eastAsia="Times New Roman" w:hAnsi="Times New Roman"/>
          <w:sz w:val="20"/>
          <w:szCs w:val="20"/>
          <w:color w:val="231F20"/>
        </w:rPr>
        <w:t>is calculated by dividing membership fee revenue, transaction revenue, rental revenue,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other member revenue generated by the Interval Network by the monthly weighted average number of active</w:t>
      </w:r>
    </w:p>
    <w:p>
      <w:pPr>
        <w:sectPr>
          <w:pgSz w:w="11880" w:h="15480" w:orient="portrait"/>
          <w:cols w:equalWidth="0" w:num="1">
            <w:col w:w="9700"/>
          </w:cols>
          <w:pgMar w:left="1080" w:top="834"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9700"/>
          </w:cols>
          <w:pgMar w:left="1080" w:top="834" w:right="1100" w:bottom="0" w:gutter="0" w:footer="0" w:header="0"/>
          <w:type w:val="continuous"/>
        </w:sectPr>
      </w:pPr>
    </w:p>
    <w:bookmarkStart w:id="48" w:name="page49"/>
    <w:bookmarkEnd w:id="48"/>
    <w:p>
      <w:pPr>
        <w:ind w:left="360" w:right="240"/>
        <w:spacing w:after="0" w:line="281" w:lineRule="auto"/>
        <w:rPr>
          <w:sz w:val="20"/>
          <w:szCs w:val="20"/>
          <w:color w:val="auto"/>
        </w:rPr>
      </w:pPr>
      <w:r>
        <w:rPr>
          <w:rFonts w:ascii="Times New Roman" w:cs="Times New Roman" w:eastAsia="Times New Roman" w:hAnsi="Times New Roman"/>
          <w:sz w:val="20"/>
          <w:szCs w:val="20"/>
          <w:color w:val="231F20"/>
        </w:rPr>
        <w:t>members of the Interval Network during the applicable period. We believe this metric is a meaningful indicator of member engagement.</w:t>
      </w:r>
    </w:p>
    <w:p>
      <w:pPr>
        <w:spacing w:after="0" w:line="58" w:lineRule="exact"/>
        <w:rPr>
          <w:sz w:val="20"/>
          <w:szCs w:val="20"/>
          <w:color w:val="auto"/>
        </w:rPr>
      </w:pPr>
    </w:p>
    <w:p>
      <w:pPr>
        <w:ind w:left="360" w:right="520" w:hanging="180"/>
        <w:spacing w:after="0" w:line="259" w:lineRule="auto"/>
        <w:tabs>
          <w:tab w:leader="none" w:pos="36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Segment financial results attributable to common stockholders </w:t>
      </w:r>
      <w:r>
        <w:rPr>
          <w:rFonts w:ascii="Times New Roman" w:cs="Times New Roman" w:eastAsia="Times New Roman" w:hAnsi="Times New Roman"/>
          <w:sz w:val="20"/>
          <w:szCs w:val="20"/>
          <w:color w:val="231F20"/>
        </w:rPr>
        <w:t>reflects revenues less expenses that are directly</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attributable to each respective reportable business segment (Vacation Ownership and Exchange &amp; Third-Party Management). We believe this measure provides meaningful insight into the operating performance of our reportable business segments. See Footnote 19 “Business Segments” to our Financial Statements for further information about our reportable business segments.</w:t>
      </w:r>
    </w:p>
    <w:p>
      <w:pPr>
        <w:spacing w:after="0" w:line="79" w:lineRule="exact"/>
        <w:rPr>
          <w:rFonts w:ascii="Times New Roman" w:cs="Times New Roman" w:eastAsia="Times New Roman" w:hAnsi="Times New Roman"/>
          <w:sz w:val="20"/>
          <w:szCs w:val="20"/>
          <w:color w:val="231F20"/>
        </w:rPr>
      </w:pPr>
    </w:p>
    <w:p>
      <w:pPr>
        <w:ind w:left="360" w:right="420" w:hanging="180"/>
        <w:spacing w:after="0" w:line="285" w:lineRule="auto"/>
        <w:tabs>
          <w:tab w:leader="none" w:pos="36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Adjusted EBITDA margin </w:t>
      </w:r>
      <w:r>
        <w:rPr>
          <w:rFonts w:ascii="Times New Roman" w:cs="Times New Roman" w:eastAsia="Times New Roman" w:hAnsi="Times New Roman"/>
          <w:sz w:val="20"/>
          <w:szCs w:val="20"/>
          <w:color w:val="231F20"/>
        </w:rPr>
        <w:t>is calculated as Adjusted EBITDA divided by the Company’s total revenues less cost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reimbursements revenues.</w:t>
      </w:r>
    </w:p>
    <w:p>
      <w:pPr>
        <w:spacing w:after="0" w:line="53" w:lineRule="exact"/>
        <w:rPr>
          <w:rFonts w:ascii="Times New Roman" w:cs="Times New Roman" w:eastAsia="Times New Roman" w:hAnsi="Times New Roman"/>
          <w:sz w:val="20"/>
          <w:szCs w:val="20"/>
          <w:color w:val="231F20"/>
        </w:rPr>
      </w:pPr>
    </w:p>
    <w:p>
      <w:pPr>
        <w:ind w:left="360" w:right="100" w:hanging="180"/>
        <w:spacing w:after="0" w:line="285" w:lineRule="auto"/>
        <w:tabs>
          <w:tab w:leader="none" w:pos="36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 xml:space="preserve">Segment Adjusted EBITDA margin </w:t>
      </w:r>
      <w:r>
        <w:rPr>
          <w:rFonts w:ascii="Times New Roman" w:cs="Times New Roman" w:eastAsia="Times New Roman" w:hAnsi="Times New Roman"/>
          <w:sz w:val="20"/>
          <w:szCs w:val="20"/>
          <w:color w:val="231F20"/>
        </w:rPr>
        <w:t>is calculated as Segment Adjusted EBITDA divided by the respective segment’s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total revenues less cost reimbursements revenues.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NM = Not meaningful.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Management Priorities</w:t>
      </w:r>
    </w:p>
    <w:p>
      <w:pPr>
        <w:spacing w:after="0" w:line="13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231F20"/>
        </w:rPr>
        <w:t>Our management priorities for 2026 are centered on driving stronger profitability and improving cash flow. We are focused on reshaping the quality and composition of our tours, tightening our cost structure, and refining our global development strategy. We expect that delivering higher</w:t>
      </w:r>
      <w:r>
        <w:rPr>
          <w:rFonts w:ascii="Arial" w:cs="Arial" w:eastAsia="Arial" w:hAnsi="Arial"/>
          <w:sz w:val="20"/>
          <w:szCs w:val="20"/>
          <w:color w:val="231F20"/>
        </w:rPr>
        <w:t>-</w:t>
      </w:r>
      <w:r>
        <w:rPr>
          <w:rFonts w:ascii="Times New Roman" w:cs="Times New Roman" w:eastAsia="Times New Roman" w:hAnsi="Times New Roman"/>
          <w:sz w:val="20"/>
          <w:szCs w:val="20"/>
          <w:color w:val="231F20"/>
        </w:rPr>
        <w:t>quality tours via various initiatives will increase VPGs while reducing default rates on newly originated vacation ownership notes receivable. For example, we are using FICO scores to pre-qualify prospective purchasers and focusing on increasing in-house capture rates, which has historically been one of our highest VPG channels. Additional priorities include reducing overhead, focusing on marketing and sales talent, delaying modernization projects to manage cash flow, monetizing certain non-core assets on our balance sheet, and managing maintenance fee increases for each of our vacation ownership products.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Asia Pacific Strategy Change</w:t>
      </w:r>
    </w:p>
    <w:p>
      <w:pPr>
        <w:spacing w:after="0" w:line="13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31F20"/>
        </w:rPr>
        <w:t>A key element of our revised strategy relates to our Asia Pacific business, where we have experienced lower returns than expected, partially due to higher defaults that are primarily driven by customers from newer source markets. To address these dynamics, we are scaling back growth expectations and right</w:t>
      </w:r>
      <w:r>
        <w:rPr>
          <w:rFonts w:ascii="Arial" w:cs="Arial" w:eastAsia="Arial" w:hAnsi="Arial"/>
          <w:sz w:val="20"/>
          <w:szCs w:val="20"/>
          <w:color w:val="231F20"/>
        </w:rPr>
        <w:t>-</w:t>
      </w:r>
      <w:r>
        <w:rPr>
          <w:rFonts w:ascii="Times New Roman" w:cs="Times New Roman" w:eastAsia="Times New Roman" w:hAnsi="Times New Roman"/>
          <w:sz w:val="20"/>
          <w:szCs w:val="20"/>
          <w:color w:val="231F20"/>
        </w:rPr>
        <w:t>sizing our business in the region. This includes reducing tours for first</w:t>
      </w:r>
      <w:r>
        <w:rPr>
          <w:rFonts w:ascii="Arial" w:cs="Arial" w:eastAsia="Arial" w:hAnsi="Arial"/>
          <w:sz w:val="20"/>
          <w:szCs w:val="20"/>
          <w:color w:val="231F20"/>
        </w:rPr>
        <w:t>-</w:t>
      </w:r>
      <w:r>
        <w:rPr>
          <w:rFonts w:ascii="Times New Roman" w:cs="Times New Roman" w:eastAsia="Times New Roman" w:hAnsi="Times New Roman"/>
          <w:sz w:val="20"/>
          <w:szCs w:val="20"/>
          <w:color w:val="231F20"/>
        </w:rPr>
        <w:t>time buyers in select countries, reducing headcount in the region, deferring the purchase of the next phase of our resort in Khao Lak, Thailand, and canceling a purchase commitment for inventory in Bali. Collectively, these actions are designed to concentrate our efforts on markets with the greatest potential to drive profitability and cash flow and resulted in Restructuring expense in our Vacation Ownership segment. We also recorded a non-cash impairment for vacation ownership units in Khao Lak, Thailand primarily attributed to the elongation of the pace of sales and changes in our marketing approach.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Development Strategy Change</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As part of our broader financial strategic review, we conducted a comprehensive review to assess the strategic alignment of inventory and property and equipment within our North America vacation ownership business. This review focused on assessing inventory needs in light of our current inventory position and identifying opportunities to monetize non-core assets. The outcome of this review represented an indicator of impairment for certain assets. As a result of our impairment analysis, we recorded a non</w:t>
      </w:r>
      <w:r>
        <w:rPr>
          <w:rFonts w:ascii="Arial" w:cs="Arial" w:eastAsia="Arial" w:hAnsi="Arial"/>
          <w:sz w:val="20"/>
          <w:szCs w:val="20"/>
          <w:color w:val="231F20"/>
        </w:rPr>
        <w:t>-</w:t>
      </w:r>
      <w:r>
        <w:rPr>
          <w:rFonts w:ascii="Times New Roman" w:cs="Times New Roman" w:eastAsia="Times New Roman" w:hAnsi="Times New Roman"/>
          <w:sz w:val="20"/>
          <w:szCs w:val="20"/>
          <w:color w:val="231F20"/>
        </w:rPr>
        <w:t>cash impairment related to assets associated with future phases of our existing resorts that we no longer plan to further develop. The carrying values of the assets associated with these resorts exceeded their estimated fair values because the carrying values included historical allocations of common infrastructure costs incurred when we built the resorts. In addition, we recorded a non-cash impairment related to certain property and equipment identified for disposition in our Vacation Ownership segment.</w:t>
      </w:r>
    </w:p>
    <w:p>
      <w:pPr>
        <w:spacing w:after="0" w:line="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20"/>
          <w:szCs w:val="20"/>
          <w:color w:val="231F20"/>
        </w:rPr>
        <w:t>We expect to generate between $250 million and $300 million of net cash proceeds over a two year period from the disposition of certain non-core property and equipment and other assets, including $50 million from the disposition of the Cancun hotel in January 2026.</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9720"/>
          </w:cols>
          <w:pgMar w:left="1080" w:top="838" w:right="108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231F20"/>
        </w:rPr>
        <w:t>CONSOLIDATED RESULTS</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060" w:type="dxa"/>
            <w:vAlign w:val="bottom"/>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1280" w:type="dxa"/>
            <w:vAlign w:val="bottom"/>
            <w:tcBorders>
              <w:bottom w:val="single" w:sz="8" w:color="231F20"/>
            </w:tcBorders>
          </w:tcPr>
          <w:p>
            <w:pPr>
              <w:jc w:val="right"/>
              <w:ind w:right="161"/>
              <w:spacing w:after="0"/>
              <w:rPr>
                <w:sz w:val="20"/>
                <w:szCs w:val="20"/>
                <w:color w:val="auto"/>
              </w:rPr>
            </w:pPr>
            <w:r>
              <w:rPr>
                <w:rFonts w:ascii="Times New Roman" w:cs="Times New Roman" w:eastAsia="Times New Roman" w:hAnsi="Times New Roman"/>
                <w:sz w:val="18"/>
                <w:szCs w:val="18"/>
                <w:b w:val="1"/>
                <w:bCs w:val="1"/>
                <w:color w:val="231F20"/>
              </w:rPr>
              <w:t>Fiscal Years</w:t>
            </w:r>
          </w:p>
        </w:tc>
        <w:tc>
          <w:tcPr>
            <w:tcW w:w="80" w:type="dxa"/>
            <w:vAlign w:val="bottom"/>
            <w:tcBorders>
              <w:bottom w:val="single" w:sz="8" w:color="231F20"/>
            </w:tcBorders>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0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36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right"/>
              <w:ind w:right="46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tcBorders>
          </w:tcPr>
          <w:p>
            <w:pPr>
              <w:jc w:val="right"/>
              <w:ind w:right="46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right"/>
              <w:ind w:right="460"/>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0" w:type="dxa"/>
            <w:vAlign w:val="bottom"/>
          </w:tcPr>
          <w:p>
            <w:pPr>
              <w:spacing w:after="0"/>
              <w:rPr>
                <w:sz w:val="1"/>
                <w:szCs w:val="1"/>
                <w:color w:val="auto"/>
              </w:rPr>
            </w:pPr>
          </w:p>
        </w:tc>
      </w:tr>
      <w:tr>
        <w:trPr>
          <w:trHeight w:val="262"/>
        </w:trPr>
        <w:tc>
          <w:tcPr>
            <w:tcW w:w="50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REVENUES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Sale of vacation ownership products </w:t>
            </w:r>
            <w:r>
              <w:rPr>
                <w:rFonts w:ascii="Times New Roman" w:cs="Times New Roman" w:eastAsia="Times New Roman" w:hAnsi="Times New Roman"/>
                <w:sz w:val="20"/>
                <w:szCs w:val="20"/>
                <w:color w:val="B8BABC"/>
              </w:rPr>
              <w:t>. . . . . . . . . . . . . . . . . .</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1,460</w:t>
            </w:r>
          </w:p>
        </w:tc>
        <w:tc>
          <w:tcPr>
            <w:tcW w:w="0" w:type="dxa"/>
            <w:vAlign w:val="bottom"/>
          </w:tcPr>
          <w:p>
            <w:pPr>
              <w:spacing w:after="0"/>
              <w:rPr>
                <w:sz w:val="1"/>
                <w:szCs w:val="1"/>
                <w:color w:val="auto"/>
              </w:rPr>
            </w:pPr>
          </w:p>
        </w:tc>
      </w:tr>
      <w:tr>
        <w:trPr>
          <w:trHeight w:val="28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and exchange  </w:t>
            </w:r>
            <w:r>
              <w:rPr>
                <w:rFonts w:ascii="Times New Roman" w:cs="Times New Roman" w:eastAsia="Times New Roman" w:hAnsi="Times New Roman"/>
                <w:sz w:val="20"/>
                <w:szCs w:val="20"/>
                <w:color w:val="B8BABC"/>
              </w:rPr>
              <w:t>. . . . . . . . .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813</w:t>
            </w:r>
          </w:p>
        </w:tc>
        <w:tc>
          <w:tcPr>
            <w:tcW w:w="0" w:type="dxa"/>
            <w:vAlign w:val="bottom"/>
          </w:tcPr>
          <w:p>
            <w:pPr>
              <w:spacing w:after="0"/>
              <w:rPr>
                <w:sz w:val="1"/>
                <w:szCs w:val="1"/>
                <w:color w:val="auto"/>
              </w:rPr>
            </w:pPr>
          </w:p>
        </w:tc>
      </w:tr>
      <w:tr>
        <w:trPr>
          <w:trHeight w:val="28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Rental </w:t>
            </w:r>
            <w:r>
              <w:rPr>
                <w:rFonts w:ascii="Times New Roman" w:cs="Times New Roman" w:eastAsia="Times New Roman" w:hAnsi="Times New Roman"/>
                <w:sz w:val="20"/>
                <w:szCs w:val="20"/>
                <w:color w:val="B8BABC"/>
              </w:rPr>
              <w:t>. . . . . . . . . . . . . . . . . . . . . . . . . .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571</w:t>
            </w:r>
          </w:p>
        </w:tc>
        <w:tc>
          <w:tcPr>
            <w:tcW w:w="0" w:type="dxa"/>
            <w:vAlign w:val="bottom"/>
          </w:tcPr>
          <w:p>
            <w:pPr>
              <w:spacing w:after="0"/>
              <w:rPr>
                <w:sz w:val="1"/>
                <w:szCs w:val="1"/>
                <w:color w:val="auto"/>
              </w:rPr>
            </w:pPr>
          </w:p>
        </w:tc>
      </w:tr>
      <w:tr>
        <w:trPr>
          <w:trHeight w:val="28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Financing </w:t>
            </w:r>
            <w:r>
              <w:rPr>
                <w:rFonts w:ascii="Times New Roman" w:cs="Times New Roman" w:eastAsia="Times New Roman" w:hAnsi="Times New Roman"/>
                <w:sz w:val="20"/>
                <w:szCs w:val="20"/>
                <w:color w:val="B8BABC"/>
              </w:rPr>
              <w:t>. . . . . . . . . . . . . . . . . . . . . . .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322</w:t>
            </w:r>
          </w:p>
        </w:tc>
        <w:tc>
          <w:tcPr>
            <w:tcW w:w="0" w:type="dxa"/>
            <w:vAlign w:val="bottom"/>
          </w:tcPr>
          <w:p>
            <w:pPr>
              <w:spacing w:after="0"/>
              <w:rPr>
                <w:sz w:val="1"/>
                <w:szCs w:val="1"/>
                <w:color w:val="auto"/>
              </w:rPr>
            </w:pPr>
          </w:p>
        </w:tc>
      </w:tr>
      <w:tr>
        <w:trPr>
          <w:trHeight w:val="288"/>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reimbursements  </w:t>
            </w:r>
            <w:r>
              <w:rPr>
                <w:rFonts w:ascii="Times New Roman" w:cs="Times New Roman" w:eastAsia="Times New Roman" w:hAnsi="Times New Roman"/>
                <w:sz w:val="20"/>
                <w:szCs w:val="20"/>
                <w:color w:val="B8BABC"/>
              </w:rPr>
              <w:t>. . . . . . . . . . . . . . . . . . . . . . . . . . . . . .</w:t>
            </w: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1,698</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1,689</w:t>
            </w:r>
          </w:p>
        </w:tc>
        <w:tc>
          <w:tcPr>
            <w:tcW w:w="8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1,561</w:t>
            </w:r>
          </w:p>
        </w:tc>
        <w:tc>
          <w:tcPr>
            <w:tcW w:w="0" w:type="dxa"/>
            <w:vAlign w:val="bottom"/>
          </w:tcPr>
          <w:p>
            <w:pPr>
              <w:spacing w:after="0"/>
              <w:rPr>
                <w:sz w:val="1"/>
                <w:szCs w:val="1"/>
                <w:color w:val="auto"/>
              </w:rPr>
            </w:pPr>
          </w:p>
        </w:tc>
      </w:tr>
      <w:tr>
        <w:trPr>
          <w:trHeight w:val="26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B8BABC"/>
              </w:rPr>
              <w:t>. . . . . . . . . . . . . . . . . . . . . . . . . .</w:t>
            </w:r>
            <w:r>
              <w:rPr>
                <w:rFonts w:ascii="Times New Roman" w:cs="Times New Roman" w:eastAsia="Times New Roman" w:hAnsi="Times New Roman"/>
                <w:sz w:val="20"/>
                <w:szCs w:val="20"/>
                <w:b w:val="1"/>
                <w:bCs w:val="1"/>
                <w:color w:val="231F20"/>
              </w:rPr>
              <w:t>TOTALREVENUES</w:t>
            </w:r>
          </w:p>
        </w:tc>
        <w:tc>
          <w:tcPr>
            <w:tcW w:w="360" w:type="dxa"/>
            <w:vAlign w:val="bottom"/>
            <w:tcBorders>
              <w:bottom w:val="single" w:sz="8" w:color="231F20"/>
            </w:tcBorders>
          </w:tcPr>
          <w:p>
            <w:pPr>
              <w:spacing w:after="0"/>
              <w:rPr>
                <w:sz w:val="23"/>
                <w:szCs w:val="23"/>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5,032</w:t>
            </w:r>
          </w:p>
        </w:tc>
        <w:tc>
          <w:tcPr>
            <w:tcW w:w="8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4,967</w:t>
            </w:r>
          </w:p>
        </w:tc>
        <w:tc>
          <w:tcPr>
            <w:tcW w:w="80" w:type="dxa"/>
            <w:vAlign w:val="bottom"/>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4,727</w:t>
            </w:r>
          </w:p>
        </w:tc>
        <w:tc>
          <w:tcPr>
            <w:tcW w:w="0" w:type="dxa"/>
            <w:vAlign w:val="bottom"/>
          </w:tcPr>
          <w:p>
            <w:pPr>
              <w:spacing w:after="0"/>
              <w:rPr>
                <w:sz w:val="1"/>
                <w:szCs w:val="1"/>
                <w:color w:val="auto"/>
              </w:rPr>
            </w:pPr>
          </w:p>
        </w:tc>
      </w:tr>
      <w:tr>
        <w:trPr>
          <w:trHeight w:val="262"/>
        </w:trPr>
        <w:tc>
          <w:tcPr>
            <w:tcW w:w="50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EXPENSES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of vacation ownership products </w:t>
            </w:r>
            <w:r>
              <w:rPr>
                <w:rFonts w:ascii="Times New Roman" w:cs="Times New Roman" w:eastAsia="Times New Roman" w:hAnsi="Times New Roman"/>
                <w:sz w:val="20"/>
                <w:szCs w:val="20"/>
                <w:color w:val="B8BABC"/>
              </w:rPr>
              <w:t>. .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224</w:t>
            </w:r>
          </w:p>
        </w:tc>
        <w:tc>
          <w:tcPr>
            <w:tcW w:w="0" w:type="dxa"/>
            <w:vAlign w:val="bottom"/>
          </w:tcPr>
          <w:p>
            <w:pPr>
              <w:spacing w:after="0"/>
              <w:rPr>
                <w:sz w:val="1"/>
                <w:szCs w:val="1"/>
                <w:color w:val="auto"/>
              </w:rPr>
            </w:pPr>
          </w:p>
        </w:tc>
      </w:tr>
      <w:tr>
        <w:trPr>
          <w:trHeight w:val="28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Marketing and sales </w:t>
            </w:r>
            <w:r>
              <w:rPr>
                <w:rFonts w:ascii="Times New Roman" w:cs="Times New Roman" w:eastAsia="Times New Roman" w:hAnsi="Times New Roman"/>
                <w:sz w:val="20"/>
                <w:szCs w:val="20"/>
                <w:color w:val="B8BABC"/>
              </w:rPr>
              <w:t>. . . . . . . . . . . . . . .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823</w:t>
            </w:r>
          </w:p>
        </w:tc>
        <w:tc>
          <w:tcPr>
            <w:tcW w:w="0" w:type="dxa"/>
            <w:vAlign w:val="bottom"/>
          </w:tcPr>
          <w:p>
            <w:pPr>
              <w:spacing w:after="0"/>
              <w:rPr>
                <w:sz w:val="1"/>
                <w:szCs w:val="1"/>
                <w:color w:val="auto"/>
              </w:rPr>
            </w:pPr>
          </w:p>
        </w:tc>
      </w:tr>
      <w:tr>
        <w:trPr>
          <w:trHeight w:val="28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and exchange  </w:t>
            </w:r>
            <w:r>
              <w:rPr>
                <w:rFonts w:ascii="Times New Roman" w:cs="Times New Roman" w:eastAsia="Times New Roman" w:hAnsi="Times New Roman"/>
                <w:sz w:val="20"/>
                <w:szCs w:val="20"/>
                <w:color w:val="B8BABC"/>
              </w:rPr>
              <w:t>. . . . . . . . .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442</w:t>
            </w:r>
          </w:p>
        </w:tc>
        <w:tc>
          <w:tcPr>
            <w:tcW w:w="0" w:type="dxa"/>
            <w:vAlign w:val="bottom"/>
          </w:tcPr>
          <w:p>
            <w:pPr>
              <w:spacing w:after="0"/>
              <w:rPr>
                <w:sz w:val="1"/>
                <w:szCs w:val="1"/>
                <w:color w:val="auto"/>
              </w:rPr>
            </w:pPr>
          </w:p>
        </w:tc>
      </w:tr>
      <w:tr>
        <w:trPr>
          <w:trHeight w:val="28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Rental </w:t>
            </w:r>
            <w:r>
              <w:rPr>
                <w:rFonts w:ascii="Times New Roman" w:cs="Times New Roman" w:eastAsia="Times New Roman" w:hAnsi="Times New Roman"/>
                <w:sz w:val="20"/>
                <w:szCs w:val="20"/>
                <w:color w:val="B8BABC"/>
              </w:rPr>
              <w:t>. . . . . . . . . . . . . . . . . . . . . . . . . .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452</w:t>
            </w:r>
          </w:p>
        </w:tc>
        <w:tc>
          <w:tcPr>
            <w:tcW w:w="0" w:type="dxa"/>
            <w:vAlign w:val="bottom"/>
          </w:tcPr>
          <w:p>
            <w:pPr>
              <w:spacing w:after="0"/>
              <w:rPr>
                <w:sz w:val="1"/>
                <w:szCs w:val="1"/>
                <w:color w:val="auto"/>
              </w:rPr>
            </w:pPr>
          </w:p>
        </w:tc>
      </w:tr>
      <w:tr>
        <w:trPr>
          <w:trHeight w:val="28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Financing </w:t>
            </w:r>
            <w:r>
              <w:rPr>
                <w:rFonts w:ascii="Times New Roman" w:cs="Times New Roman" w:eastAsia="Times New Roman" w:hAnsi="Times New Roman"/>
                <w:sz w:val="20"/>
                <w:szCs w:val="20"/>
                <w:color w:val="B8BABC"/>
              </w:rPr>
              <w:t>. . . . . . . . . . . . . . . . . . . . . . .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w:t>
            </w:r>
          </w:p>
        </w:tc>
        <w:tc>
          <w:tcPr>
            <w:tcW w:w="0" w:type="dxa"/>
            <w:vAlign w:val="bottom"/>
          </w:tcPr>
          <w:p>
            <w:pPr>
              <w:spacing w:after="0"/>
              <w:rPr>
                <w:sz w:val="1"/>
                <w:szCs w:val="1"/>
                <w:color w:val="auto"/>
              </w:rPr>
            </w:pPr>
          </w:p>
        </w:tc>
      </w:tr>
      <w:tr>
        <w:trPr>
          <w:trHeight w:val="28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Royalty fee </w:t>
            </w:r>
            <w:r>
              <w:rPr>
                <w:rFonts w:ascii="Times New Roman" w:cs="Times New Roman" w:eastAsia="Times New Roman" w:hAnsi="Times New Roman"/>
                <w:sz w:val="20"/>
                <w:szCs w:val="20"/>
                <w:color w:val="B8BABC"/>
              </w:rPr>
              <w:t>. . . . . . . . . . . . . . . . . . . . . .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w:t>
            </w:r>
          </w:p>
        </w:tc>
        <w:tc>
          <w:tcPr>
            <w:tcW w:w="0" w:type="dxa"/>
            <w:vAlign w:val="bottom"/>
          </w:tcPr>
          <w:p>
            <w:pPr>
              <w:spacing w:after="0"/>
              <w:rPr>
                <w:sz w:val="1"/>
                <w:szCs w:val="1"/>
                <w:color w:val="auto"/>
              </w:rPr>
            </w:pPr>
          </w:p>
        </w:tc>
      </w:tr>
      <w:tr>
        <w:trPr>
          <w:trHeight w:val="310"/>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General and administrative</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273</w:t>
            </w:r>
          </w:p>
        </w:tc>
        <w:tc>
          <w:tcPr>
            <w:tcW w:w="0" w:type="dxa"/>
            <w:vAlign w:val="bottom"/>
          </w:tcPr>
          <w:p>
            <w:pPr>
              <w:spacing w:after="0"/>
              <w:rPr>
                <w:sz w:val="1"/>
                <w:szCs w:val="1"/>
                <w:color w:val="auto"/>
              </w:rPr>
            </w:pPr>
          </w:p>
        </w:tc>
      </w:tr>
      <w:tr>
        <w:trPr>
          <w:trHeight w:val="260"/>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Depreciation and amortization </w:t>
            </w:r>
            <w:r>
              <w:rPr>
                <w:rFonts w:ascii="Times New Roman" w:cs="Times New Roman" w:eastAsia="Times New Roman" w:hAnsi="Times New Roman"/>
                <w:sz w:val="20"/>
                <w:szCs w:val="20"/>
                <w:color w:val="B8BABC"/>
              </w:rPr>
              <w:t>. . . . . . . . . . . . . . . . . . . . . . .</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0" w:type="dxa"/>
            <w:vAlign w:val="bottom"/>
          </w:tcPr>
          <w:p>
            <w:pPr>
              <w:spacing w:after="0"/>
              <w:rPr>
                <w:sz w:val="1"/>
                <w:szCs w:val="1"/>
                <w:color w:val="auto"/>
              </w:rPr>
            </w:pPr>
          </w:p>
        </w:tc>
      </w:tr>
      <w:tr>
        <w:trPr>
          <w:trHeight w:val="310"/>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Litigation charges</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0" w:type="dxa"/>
            <w:vAlign w:val="bottom"/>
          </w:tcPr>
          <w:p>
            <w:pPr>
              <w:spacing w:after="0"/>
              <w:rPr>
                <w:sz w:val="1"/>
                <w:szCs w:val="1"/>
                <w:color w:val="auto"/>
              </w:rPr>
            </w:pPr>
          </w:p>
        </w:tc>
      </w:tr>
      <w:tr>
        <w:trPr>
          <w:trHeight w:val="285"/>
        </w:trPr>
        <w:tc>
          <w:tcPr>
            <w:tcW w:w="5060" w:type="dxa"/>
            <w:vAlign w:val="bottom"/>
          </w:tcPr>
          <w:p>
            <w:pPr>
              <w:jc w:val="right"/>
              <w:spacing w:after="0" w:line="285" w:lineRule="exact"/>
              <w:rPr>
                <w:sz w:val="20"/>
                <w:szCs w:val="20"/>
                <w:color w:val="auto"/>
              </w:rPr>
            </w:pPr>
            <w:r>
              <w:rPr>
                <w:rFonts w:ascii="Times New Roman" w:cs="Times New Roman" w:eastAsia="Times New Roman" w:hAnsi="Times New Roman"/>
                <w:sz w:val="20"/>
                <w:szCs w:val="20"/>
                <w:color w:val="231F20"/>
              </w:rPr>
              <w:t>Modernization</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5060" w:type="dxa"/>
            <w:vAlign w:val="bottom"/>
          </w:tcPr>
          <w:p>
            <w:pPr>
              <w:jc w:val="right"/>
              <w:spacing w:after="0" w:line="285" w:lineRule="exact"/>
              <w:rPr>
                <w:sz w:val="20"/>
                <w:szCs w:val="20"/>
                <w:color w:val="auto"/>
              </w:rPr>
            </w:pPr>
            <w:r>
              <w:rPr>
                <w:rFonts w:ascii="Times New Roman" w:cs="Times New Roman" w:eastAsia="Times New Roman" w:hAnsi="Times New Roman"/>
                <w:sz w:val="20"/>
                <w:szCs w:val="20"/>
                <w:color w:val="231F20"/>
              </w:rPr>
              <w:t>Restructuring</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0" w:type="dxa"/>
            <w:vAlign w:val="bottom"/>
          </w:tcPr>
          <w:p>
            <w:pPr>
              <w:spacing w:after="0"/>
              <w:rPr>
                <w:sz w:val="1"/>
                <w:szCs w:val="1"/>
                <w:color w:val="auto"/>
              </w:rPr>
            </w:pPr>
          </w:p>
        </w:tc>
      </w:tr>
      <w:tr>
        <w:trPr>
          <w:trHeight w:val="260"/>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Impairment </w:t>
            </w:r>
            <w:r>
              <w:rPr>
                <w:rFonts w:ascii="Times New Roman" w:cs="Times New Roman" w:eastAsia="Times New Roman" w:hAnsi="Times New Roman"/>
                <w:sz w:val="20"/>
                <w:szCs w:val="20"/>
                <w:color w:val="B8BABC"/>
              </w:rPr>
              <w:t>. . . . . . . . . . . . . . . . . . . . . . . . . . . . . . . . . . . . . .</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w:t>
            </w:r>
          </w:p>
        </w:tc>
        <w:tc>
          <w:tcPr>
            <w:tcW w:w="0" w:type="dxa"/>
            <w:vAlign w:val="bottom"/>
          </w:tcPr>
          <w:p>
            <w:pPr>
              <w:spacing w:after="0"/>
              <w:rPr>
                <w:sz w:val="1"/>
                <w:szCs w:val="1"/>
                <w:color w:val="auto"/>
              </w:rPr>
            </w:pPr>
          </w:p>
        </w:tc>
      </w:tr>
      <w:tr>
        <w:trPr>
          <w:trHeight w:val="288"/>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reimbursements  </w:t>
            </w:r>
            <w:r>
              <w:rPr>
                <w:rFonts w:ascii="Times New Roman" w:cs="Times New Roman" w:eastAsia="Times New Roman" w:hAnsi="Times New Roman"/>
                <w:sz w:val="20"/>
                <w:szCs w:val="20"/>
                <w:color w:val="B8BABC"/>
              </w:rPr>
              <w:t>. . . . . . . . . . . . . . . . . . . . . . . . . . . . . .</w:t>
            </w: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1,698</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1,689</w:t>
            </w:r>
          </w:p>
        </w:tc>
        <w:tc>
          <w:tcPr>
            <w:tcW w:w="8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1,561</w:t>
            </w:r>
          </w:p>
        </w:tc>
        <w:tc>
          <w:tcPr>
            <w:tcW w:w="0" w:type="dxa"/>
            <w:vAlign w:val="bottom"/>
          </w:tcPr>
          <w:p>
            <w:pPr>
              <w:spacing w:after="0"/>
              <w:rPr>
                <w:sz w:val="1"/>
                <w:szCs w:val="1"/>
                <w:color w:val="auto"/>
              </w:rPr>
            </w:pPr>
          </w:p>
        </w:tc>
      </w:tr>
      <w:tr>
        <w:trPr>
          <w:trHeight w:val="26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B8BABC"/>
              </w:rPr>
              <w:t>. . . . . . . . . . . . . . . . . . . . . . . . . . .</w:t>
            </w:r>
            <w:r>
              <w:rPr>
                <w:rFonts w:ascii="Times New Roman" w:cs="Times New Roman" w:eastAsia="Times New Roman" w:hAnsi="Times New Roman"/>
                <w:sz w:val="20"/>
                <w:szCs w:val="20"/>
                <w:b w:val="1"/>
                <w:bCs w:val="1"/>
                <w:color w:val="231F20"/>
              </w:rPr>
              <w:t>TOTALEXPENSES</w:t>
            </w:r>
          </w:p>
        </w:tc>
        <w:tc>
          <w:tcPr>
            <w:tcW w:w="360" w:type="dxa"/>
            <w:vAlign w:val="bottom"/>
            <w:tcBorders>
              <w:bottom w:val="single" w:sz="8" w:color="231F20"/>
            </w:tcBorders>
          </w:tcPr>
          <w:p>
            <w:pPr>
              <w:spacing w:after="0"/>
              <w:rPr>
                <w:sz w:val="23"/>
                <w:szCs w:val="23"/>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5,209</w:t>
            </w:r>
          </w:p>
        </w:tc>
        <w:tc>
          <w:tcPr>
            <w:tcW w:w="8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4,477</w:t>
            </w:r>
          </w:p>
        </w:tc>
        <w:tc>
          <w:tcPr>
            <w:tcW w:w="80" w:type="dxa"/>
            <w:vAlign w:val="bottom"/>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4,191</w:t>
            </w:r>
          </w:p>
        </w:tc>
        <w:tc>
          <w:tcPr>
            <w:tcW w:w="0" w:type="dxa"/>
            <w:vAlign w:val="bottom"/>
          </w:tcPr>
          <w:p>
            <w:pPr>
              <w:spacing w:after="0"/>
              <w:rPr>
                <w:sz w:val="1"/>
                <w:szCs w:val="1"/>
                <w:color w:val="auto"/>
              </w:rPr>
            </w:pPr>
          </w:p>
        </w:tc>
      </w:tr>
      <w:tr>
        <w:trPr>
          <w:trHeight w:val="262"/>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Gains (losses) and other income (expense), net </w:t>
            </w:r>
            <w:r>
              <w:rPr>
                <w:rFonts w:ascii="Times New Roman" w:cs="Times New Roman" w:eastAsia="Times New Roman" w:hAnsi="Times New Roman"/>
                <w:sz w:val="20"/>
                <w:szCs w:val="20"/>
                <w:color w:val="B8BABC"/>
              </w:rPr>
              <w:t>. . . . . . . . . .</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w:t>
            </w:r>
          </w:p>
        </w:tc>
        <w:tc>
          <w:tcPr>
            <w:tcW w:w="0" w:type="dxa"/>
            <w:vAlign w:val="bottom"/>
          </w:tcPr>
          <w:p>
            <w:pPr>
              <w:spacing w:after="0"/>
              <w:rPr>
                <w:sz w:val="1"/>
                <w:szCs w:val="1"/>
                <w:color w:val="auto"/>
              </w:rPr>
            </w:pPr>
          </w:p>
        </w:tc>
      </w:tr>
      <w:tr>
        <w:trPr>
          <w:trHeight w:val="28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Interest expense, net </w:t>
            </w:r>
            <w:r>
              <w:rPr>
                <w:rFonts w:ascii="Times New Roman" w:cs="Times New Roman" w:eastAsia="Times New Roman" w:hAnsi="Times New Roman"/>
                <w:sz w:val="20"/>
                <w:szCs w:val="20"/>
                <w:color w:val="B8BABC"/>
              </w:rPr>
              <w:t>. . . . . . . . . . . . . . .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w:t>
            </w:r>
          </w:p>
        </w:tc>
        <w:tc>
          <w:tcPr>
            <w:tcW w:w="0" w:type="dxa"/>
            <w:vAlign w:val="bottom"/>
          </w:tcPr>
          <w:p>
            <w:pPr>
              <w:spacing w:after="0"/>
              <w:rPr>
                <w:sz w:val="1"/>
                <w:szCs w:val="1"/>
                <w:color w:val="auto"/>
              </w:rPr>
            </w:pPr>
          </w:p>
        </w:tc>
      </w:tr>
      <w:tr>
        <w:trPr>
          <w:trHeight w:val="28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Transaction and integration costs </w:t>
            </w:r>
            <w:r>
              <w:rPr>
                <w:rFonts w:ascii="Times New Roman" w:cs="Times New Roman" w:eastAsia="Times New Roman" w:hAnsi="Times New Roman"/>
                <w:sz w:val="20"/>
                <w:szCs w:val="20"/>
                <w:color w:val="B8BABC"/>
              </w:rPr>
              <w:t>. . . . .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0" w:type="dxa"/>
            <w:vAlign w:val="bottom"/>
          </w:tcPr>
          <w:p>
            <w:pPr>
              <w:spacing w:after="0"/>
              <w:rPr>
                <w:sz w:val="1"/>
                <w:szCs w:val="1"/>
                <w:color w:val="auto"/>
              </w:rPr>
            </w:pPr>
          </w:p>
        </w:tc>
      </w:tr>
      <w:tr>
        <w:trPr>
          <w:trHeight w:val="288"/>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 . .</w:t>
            </w: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8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182"/>
        </w:trPr>
        <w:tc>
          <w:tcPr>
            <w:tcW w:w="5060" w:type="dxa"/>
            <w:vAlign w:val="bottom"/>
          </w:tcPr>
          <w:p>
            <w:pPr>
              <w:spacing w:after="0" w:line="182" w:lineRule="exact"/>
              <w:rPr>
                <w:sz w:val="20"/>
                <w:szCs w:val="20"/>
                <w:color w:val="auto"/>
              </w:rPr>
            </w:pPr>
            <w:r>
              <w:rPr>
                <w:rFonts w:ascii="Times New Roman" w:cs="Times New Roman" w:eastAsia="Times New Roman" w:hAnsi="Times New Roman"/>
                <w:sz w:val="20"/>
                <w:szCs w:val="20"/>
                <w:b w:val="1"/>
                <w:bCs w:val="1"/>
                <w:color w:val="231F20"/>
              </w:rPr>
              <w:t>(LOSS) INCOME BEFORE INCOME TAXES AND</w:t>
            </w: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(299)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306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398</w:t>
            </w:r>
          </w:p>
        </w:tc>
        <w:tc>
          <w:tcPr>
            <w:tcW w:w="0" w:type="dxa"/>
            <w:vAlign w:val="bottom"/>
          </w:tcPr>
          <w:p>
            <w:pPr>
              <w:spacing w:after="0"/>
              <w:rPr>
                <w:sz w:val="1"/>
                <w:szCs w:val="1"/>
                <w:color w:val="auto"/>
              </w:rPr>
            </w:pPr>
          </w:p>
        </w:tc>
      </w:tr>
      <w:tr>
        <w:trPr>
          <w:trHeight w:val="264"/>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NONCONTROLLING INTERESTS </w:t>
            </w:r>
            <w:r>
              <w:rPr>
                <w:rFonts w:ascii="Times New Roman" w:cs="Times New Roman" w:eastAsia="Times New Roman" w:hAnsi="Times New Roman"/>
                <w:sz w:val="20"/>
                <w:szCs w:val="20"/>
                <w:b w:val="1"/>
                <w:bCs w:val="1"/>
                <w:color w:val="B8BABC"/>
              </w:rPr>
              <w:t>. . . . . . . . . . . . . . . . . .</w:t>
            </w:r>
          </w:p>
        </w:tc>
        <w:tc>
          <w:tcPr>
            <w:tcW w:w="3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Provision for income taxes </w:t>
            </w:r>
            <w:r>
              <w:rPr>
                <w:rFonts w:ascii="Times New Roman" w:cs="Times New Roman" w:eastAsia="Times New Roman" w:hAnsi="Times New Roman"/>
                <w:sz w:val="20"/>
                <w:szCs w:val="20"/>
                <w:color w:val="B8BABC"/>
              </w:rPr>
              <w:t>. . . . . . . . . . . . . . . . . . . . . . . . . . . .</w:t>
            </w: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8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0" w:type="dxa"/>
            <w:vAlign w:val="bottom"/>
          </w:tcPr>
          <w:p>
            <w:pPr>
              <w:spacing w:after="0"/>
              <w:rPr>
                <w:sz w:val="1"/>
                <w:szCs w:val="1"/>
                <w:color w:val="auto"/>
              </w:rPr>
            </w:pPr>
          </w:p>
        </w:tc>
      </w:tr>
      <w:tr>
        <w:trPr>
          <w:trHeight w:val="262"/>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B8BABC"/>
              </w:rPr>
              <w:t>. . . . . . . . . . . . . . . . . . . . . . . . . . . . . .</w:t>
            </w:r>
            <w:r>
              <w:rPr>
                <w:rFonts w:ascii="Times New Roman" w:cs="Times New Roman" w:eastAsia="Times New Roman" w:hAnsi="Times New Roman"/>
                <w:sz w:val="20"/>
                <w:szCs w:val="20"/>
                <w:b w:val="1"/>
                <w:bCs w:val="1"/>
                <w:color w:val="231F20"/>
              </w:rPr>
              <w:t>NET(LOSS)INCOME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217</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w:t>
            </w:r>
          </w:p>
        </w:tc>
        <w:tc>
          <w:tcPr>
            <w:tcW w:w="0" w:type="dxa"/>
            <w:vAlign w:val="bottom"/>
          </w:tcPr>
          <w:p>
            <w:pPr>
              <w:spacing w:after="0"/>
              <w:rPr>
                <w:sz w:val="1"/>
                <w:szCs w:val="1"/>
                <w:color w:val="auto"/>
              </w:rPr>
            </w:pPr>
          </w:p>
        </w:tc>
      </w:tr>
      <w:tr>
        <w:trPr>
          <w:trHeight w:val="288"/>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Net (income) loss attributable to noncontrolling interests </w:t>
            </w:r>
            <w:r>
              <w:rPr>
                <w:rFonts w:ascii="Times New Roman" w:cs="Times New Roman" w:eastAsia="Times New Roman" w:hAnsi="Times New Roman"/>
                <w:sz w:val="20"/>
                <w:szCs w:val="20"/>
                <w:color w:val="B8BABC"/>
              </w:rPr>
              <w:t>. . . .</w:t>
            </w: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8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178"/>
        </w:trPr>
        <w:tc>
          <w:tcPr>
            <w:tcW w:w="5060" w:type="dxa"/>
            <w:vAlign w:val="bottom"/>
          </w:tcPr>
          <w:p>
            <w:pPr>
              <w:jc w:val="right"/>
              <w:spacing w:after="0" w:line="178" w:lineRule="exact"/>
              <w:rPr>
                <w:sz w:val="20"/>
                <w:szCs w:val="20"/>
                <w:color w:val="auto"/>
              </w:rPr>
            </w:pPr>
            <w:r>
              <w:rPr>
                <w:rFonts w:ascii="Times New Roman" w:cs="Times New Roman" w:eastAsia="Times New Roman" w:hAnsi="Times New Roman"/>
                <w:sz w:val="20"/>
                <w:szCs w:val="20"/>
                <w:b w:val="1"/>
                <w:bCs w:val="1"/>
                <w:color w:val="231F20"/>
                <w:w w:val="99"/>
              </w:rPr>
              <w:t>NET (LOSS) INCOME ATTRIBUTABLE TO COMMON</w:t>
            </w:r>
          </w:p>
        </w:tc>
        <w:tc>
          <w:tcPr>
            <w:tcW w:w="36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(308)</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218</w:t>
            </w:r>
          </w:p>
        </w:tc>
        <w:tc>
          <w:tcPr>
            <w:tcW w:w="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254</w:t>
            </w:r>
          </w:p>
        </w:tc>
        <w:tc>
          <w:tcPr>
            <w:tcW w:w="0" w:type="dxa"/>
            <w:vAlign w:val="bottom"/>
          </w:tcPr>
          <w:p>
            <w:pPr>
              <w:spacing w:after="0"/>
              <w:rPr>
                <w:sz w:val="1"/>
                <w:szCs w:val="1"/>
                <w:color w:val="auto"/>
              </w:rPr>
            </w:pPr>
          </w:p>
        </w:tc>
      </w:tr>
      <w:tr>
        <w:trPr>
          <w:trHeight w:val="247"/>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STOCKHOLDERS </w:t>
            </w:r>
            <w:r>
              <w:rPr>
                <w:rFonts w:ascii="Times New Roman" w:cs="Times New Roman" w:eastAsia="Times New Roman" w:hAnsi="Times New Roman"/>
                <w:sz w:val="20"/>
                <w:szCs w:val="20"/>
                <w:b w:val="1"/>
                <w:bCs w:val="1"/>
                <w:color w:val="B8BABC"/>
              </w:rPr>
              <w:t>. . . . . . . . . . . . . . . . . . . . . . . . . . . . . . . . .</w:t>
            </w:r>
          </w:p>
        </w:tc>
        <w:tc>
          <w:tcPr>
            <w:tcW w:w="3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440" w:type="dxa"/>
            <w:vAlign w:val="bottom"/>
            <w:gridSpan w:val="2"/>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20" w:hanging="720"/>
        <w:spacing w:after="0"/>
        <w:tabs>
          <w:tab w:leader="none" w:pos="720" w:val="left"/>
        </w:tabs>
        <w:numPr>
          <w:ilvl w:val="0"/>
          <w:numId w:val="11"/>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Prior year amounts have been reclassified to conform with our current year presentation.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Operating Statistics</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64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18"/>
                <w:szCs w:val="18"/>
                <w:b w:val="1"/>
                <w:bCs w:val="1"/>
                <w:color w:val="231F20"/>
              </w:rPr>
              <w:t>Fiscal Years</w:t>
            </w: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660" w:type="dxa"/>
            <w:vAlign w:val="bottom"/>
            <w:tcBorders>
              <w:bottom w:val="single" w:sz="8" w:color="231F20"/>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231F20"/>
              </w:rPr>
              <w:t>2025 vs. 2024</w:t>
            </w:r>
          </w:p>
        </w:tc>
      </w:tr>
      <w:tr>
        <w:trPr>
          <w:trHeight w:val="235"/>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(Contract sales $ in millions)</w:t>
            </w: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02"/>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0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02"/>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Change</w:t>
            </w:r>
          </w:p>
        </w:tc>
        <w:tc>
          <w:tcPr>
            <w:tcW w:w="680" w:type="dxa"/>
            <w:vAlign w:val="bottom"/>
            <w:tcBorders>
              <w:bottom w:val="single" w:sz="8" w:color="231F20"/>
            </w:tcBorders>
          </w:tcPr>
          <w:p>
            <w:pPr>
              <w:spacing w:after="0"/>
              <w:rPr>
                <w:sz w:val="20"/>
                <w:szCs w:val="20"/>
                <w:color w:val="auto"/>
              </w:rPr>
            </w:pPr>
          </w:p>
        </w:tc>
      </w:tr>
      <w:tr>
        <w:trPr>
          <w:trHeight w:val="262"/>
        </w:trPr>
        <w:tc>
          <w:tcPr>
            <w:tcW w:w="46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Vacation Ownership</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85"/>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 xml:space="preserve">Consolidated contract sales </w:t>
            </w:r>
            <w:r>
              <w:rPr>
                <w:rFonts w:ascii="Times New Roman" w:cs="Times New Roman" w:eastAsia="Times New Roman" w:hAnsi="Times New Roman"/>
                <w:sz w:val="20"/>
                <w:szCs w:val="20"/>
                <w:color w:val="B8BABC"/>
              </w:rPr>
              <w:t>.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1,813</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1,772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231F20"/>
              </w:rPr>
              <w:t>(51)</w:t>
            </w:r>
          </w:p>
        </w:tc>
        <w:tc>
          <w:tcPr>
            <w:tcW w:w="68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9"/>
              </w:rPr>
              <w:t>(3%)</w:t>
            </w:r>
          </w:p>
        </w:tc>
      </w:tr>
      <w:tr>
        <w:trPr>
          <w:trHeight w:val="285"/>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 xml:space="preserve">VPG </w:t>
            </w:r>
            <w:r>
              <w:rPr>
                <w:rFonts w:ascii="Times New Roman" w:cs="Times New Roman" w:eastAsia="Times New Roman" w:hAnsi="Times New Roman"/>
                <w:sz w:val="20"/>
                <w:szCs w:val="20"/>
                <w:color w:val="B8BABC"/>
              </w:rPr>
              <w:t>. . . . . . . . . . . .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3,911</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4,088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231F20"/>
              </w:rPr>
              <w:t>(117)</w:t>
            </w:r>
          </w:p>
        </w:tc>
        <w:tc>
          <w:tcPr>
            <w:tcW w:w="68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9"/>
              </w:rPr>
              <w:t>(3%)</w:t>
            </w:r>
          </w:p>
        </w:tc>
      </w:tr>
      <w:tr>
        <w:trPr>
          <w:trHeight w:val="285"/>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 xml:space="preserve">Tours </w:t>
            </w:r>
            <w:r>
              <w:rPr>
                <w:rFonts w:ascii="Times New Roman" w:cs="Times New Roman" w:eastAsia="Times New Roman" w:hAnsi="Times New Roman"/>
                <w:sz w:val="20"/>
                <w:szCs w:val="20"/>
                <w:color w:val="B8BABC"/>
              </w:rPr>
              <w:t>. . . . . . . . . . . . . . . . . . . . . . . . . . . . . . . . . . . . . . . .</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431,974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432,716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405,825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231F20"/>
              </w:rPr>
              <w:t>(742)</w:t>
            </w:r>
          </w:p>
        </w:tc>
        <w:tc>
          <w:tcPr>
            <w:tcW w:w="68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8"/>
              </w:rPr>
              <w:t>—%</w:t>
            </w: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Exchange &amp; Third-Party Management</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85"/>
        </w:trPr>
        <w:tc>
          <w:tcPr>
            <w:tcW w:w="46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 xml:space="preserve">Total active members at end of period (000's) </w:t>
            </w:r>
            <w:r>
              <w:rPr>
                <w:rFonts w:ascii="Times New Roman" w:cs="Times New Roman" w:eastAsia="Times New Roman" w:hAnsi="Times New Roman"/>
                <w:sz w:val="20"/>
                <w:szCs w:val="20"/>
                <w:color w:val="B8BABC"/>
              </w:rPr>
              <w:t>. . . . . . . .</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1,546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1,564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231F20"/>
              </w:rPr>
              <w:t>(39)</w:t>
            </w:r>
          </w:p>
        </w:tc>
        <w:tc>
          <w:tcPr>
            <w:tcW w:w="68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9"/>
              </w:rPr>
              <w:t>(2%)</w:t>
            </w:r>
          </w:p>
        </w:tc>
      </w:tr>
      <w:tr>
        <w:trPr>
          <w:trHeight w:val="285"/>
        </w:trPr>
        <w:tc>
          <w:tcPr>
            <w:tcW w:w="46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 xml:space="preserve">Average revenue per member </w:t>
            </w:r>
            <w:r>
              <w:rPr>
                <w:rFonts w:ascii="Times New Roman" w:cs="Times New Roman" w:eastAsia="Times New Roman" w:hAnsi="Times New Roman"/>
                <w:sz w:val="20"/>
                <w:szCs w:val="20"/>
                <w:color w:val="B8BABC"/>
              </w:rPr>
              <w:t>.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154.34</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156.65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ind w:right="263"/>
              <w:spacing w:after="0"/>
              <w:rPr>
                <w:sz w:val="20"/>
                <w:szCs w:val="20"/>
                <w:color w:val="auto"/>
              </w:rPr>
            </w:pPr>
            <w:r>
              <w:rPr>
                <w:rFonts w:ascii="Times New Roman" w:cs="Times New Roman" w:eastAsia="Times New Roman" w:hAnsi="Times New Roman"/>
                <w:sz w:val="20"/>
                <w:szCs w:val="20"/>
                <w:color w:val="231F20"/>
              </w:rPr>
              <w:t>(3.83)</w:t>
            </w:r>
          </w:p>
        </w:tc>
        <w:tc>
          <w:tcPr>
            <w:tcW w:w="68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9"/>
              </w:rPr>
              <w:t>(2%)</w:t>
            </w:r>
          </w:p>
        </w:tc>
      </w:tr>
    </w:tbl>
    <w:p>
      <w:pPr>
        <w:spacing w:after="0" w:line="200" w:lineRule="exact"/>
        <w:rPr>
          <w:sz w:val="20"/>
          <w:szCs w:val="20"/>
          <w:color w:val="auto"/>
        </w:rPr>
      </w:pPr>
    </w:p>
    <w:p>
      <w:pPr>
        <w:sectPr>
          <w:pgSz w:w="11880" w:h="15480" w:orient="portrait"/>
          <w:cols w:equalWidth="0" w:num="1">
            <w:col w:w="9720"/>
          </w:cols>
          <w:pgMar w:left="1080" w:top="831" w:right="1080" w:bottom="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9720"/>
          </w:cols>
          <w:pgMar w:left="1080" w:top="831" w:right="108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231F20"/>
        </w:rPr>
        <w:t>Revenues</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78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74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18"/>
                <w:szCs w:val="18"/>
                <w:b w:val="1"/>
                <w:bCs w:val="1"/>
                <w:color w:val="231F20"/>
              </w:rPr>
              <w:t>Fiscal Years</w:t>
            </w:r>
          </w:p>
        </w:tc>
        <w:tc>
          <w:tcPr>
            <w:tcW w:w="220" w:type="dxa"/>
            <w:vAlign w:val="bottom"/>
            <w:tcBorders>
              <w:bottom w:val="single" w:sz="8" w:color="231F20"/>
            </w:tcBorders>
          </w:tcPr>
          <w:p>
            <w:pPr>
              <w:spacing w:after="0"/>
              <w:rPr>
                <w:sz w:val="21"/>
                <w:szCs w:val="21"/>
                <w:color w:val="auto"/>
              </w:rPr>
            </w:pPr>
          </w:p>
        </w:tc>
        <w:tc>
          <w:tcPr>
            <w:tcW w:w="72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580" w:type="dxa"/>
            <w:vAlign w:val="bottom"/>
            <w:tcBorders>
              <w:bottom w:val="single" w:sz="8" w:color="231F20"/>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231F20"/>
              </w:rPr>
              <w:t>2025 vs. 2024</w:t>
            </w:r>
          </w:p>
        </w:tc>
      </w:tr>
      <w:tr>
        <w:trPr>
          <w:trHeight w:val="235"/>
        </w:trPr>
        <w:tc>
          <w:tcPr>
            <w:tcW w:w="4780" w:type="dxa"/>
            <w:vAlign w:val="bottom"/>
          </w:tcPr>
          <w:p>
            <w:pPr>
              <w:jc w:val="right"/>
              <w:ind w:right="3763"/>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22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tcPr>
          <w:p>
            <w:pPr>
              <w:jc w:val="right"/>
              <w:ind w:right="202"/>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ind w:right="20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ind w:right="202"/>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gridSpan w:val="2"/>
          </w:tcPr>
          <w:p>
            <w:pPr>
              <w:jc w:val="center"/>
              <w:ind w:left="243"/>
              <w:spacing w:after="0"/>
              <w:rPr>
                <w:sz w:val="20"/>
                <w:szCs w:val="20"/>
                <w:color w:val="auto"/>
              </w:rPr>
            </w:pPr>
            <w:r>
              <w:rPr>
                <w:rFonts w:ascii="Times New Roman" w:cs="Times New Roman" w:eastAsia="Times New Roman" w:hAnsi="Times New Roman"/>
                <w:sz w:val="18"/>
                <w:szCs w:val="18"/>
                <w:b w:val="1"/>
                <w:bCs w:val="1"/>
                <w:color w:val="231F20"/>
                <w:w w:val="98"/>
              </w:rPr>
              <w:t>Change</w:t>
            </w:r>
          </w:p>
        </w:tc>
        <w:tc>
          <w:tcPr>
            <w:tcW w:w="620" w:type="dxa"/>
            <w:vAlign w:val="bottom"/>
            <w:tcBorders>
              <w:bottom w:val="single" w:sz="8" w:color="231F20"/>
            </w:tcBorders>
          </w:tcPr>
          <w:p>
            <w:pPr>
              <w:spacing w:after="0"/>
              <w:rPr>
                <w:sz w:val="20"/>
                <w:szCs w:val="20"/>
                <w:color w:val="auto"/>
              </w:rPr>
            </w:pPr>
          </w:p>
        </w:tc>
      </w:tr>
      <w:tr>
        <w:trPr>
          <w:trHeight w:val="277"/>
        </w:trPr>
        <w:tc>
          <w:tcPr>
            <w:tcW w:w="47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Vacation Ownership  </w:t>
            </w:r>
            <w:r>
              <w:rPr>
                <w:rFonts w:ascii="Times New Roman" w:cs="Times New Roman" w:eastAsia="Times New Roman" w:hAnsi="Times New Roman"/>
                <w:sz w:val="20"/>
                <w:szCs w:val="20"/>
                <w:color w:val="B8BABC"/>
                <w:w w:val="99"/>
              </w:rPr>
              <w:t>. . . . . . . . . . . . . . . . . . . . . . . . . . . . .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4,805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4,730</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4,468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w:t>
            </w:r>
          </w:p>
        </w:tc>
        <w:tc>
          <w:tcPr>
            <w:tcW w:w="300" w:type="dxa"/>
            <w:vAlign w:val="bottom"/>
          </w:tcPr>
          <w:p>
            <w:pPr>
              <w:spacing w:after="0"/>
              <w:rPr>
                <w:sz w:val="24"/>
                <w:szCs w:val="24"/>
                <w:color w:val="auto"/>
              </w:rPr>
            </w:pPr>
          </w:p>
        </w:tc>
        <w:tc>
          <w:tcPr>
            <w:tcW w:w="6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2%</w:t>
            </w:r>
          </w:p>
        </w:tc>
      </w:tr>
      <w:tr>
        <w:trPr>
          <w:trHeight w:val="288"/>
        </w:trPr>
        <w:tc>
          <w:tcPr>
            <w:tcW w:w="4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Exchange &amp; Third-Party Management </w:t>
            </w:r>
            <w:r>
              <w:rPr>
                <w:rFonts w:ascii="Times New Roman" w:cs="Times New Roman" w:eastAsia="Times New Roman" w:hAnsi="Times New Roman"/>
                <w:sz w:val="20"/>
                <w:szCs w:val="20"/>
                <w:color w:val="B8BABC"/>
              </w:rPr>
              <w:t>. . . . . . . . . . . . . . . .</w:t>
            </w:r>
          </w:p>
        </w:tc>
        <w:tc>
          <w:tcPr>
            <w:tcW w:w="22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213</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231</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262</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300" w:type="dxa"/>
            <w:vAlign w:val="bottom"/>
          </w:tcPr>
          <w:p>
            <w:pPr>
              <w:spacing w:after="0"/>
              <w:rPr>
                <w:sz w:val="24"/>
                <w:szCs w:val="24"/>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99"/>
              </w:rPr>
              <w:t>(8%)</w:t>
            </w:r>
          </w:p>
        </w:tc>
      </w:tr>
      <w:tr>
        <w:trPr>
          <w:trHeight w:val="277"/>
        </w:trPr>
        <w:tc>
          <w:tcPr>
            <w:tcW w:w="4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Total Segment Revenues </w:t>
            </w:r>
            <w:r>
              <w:rPr>
                <w:rFonts w:ascii="Times New Roman" w:cs="Times New Roman" w:eastAsia="Times New Roman" w:hAnsi="Times New Roman"/>
                <w:sz w:val="20"/>
                <w:szCs w:val="20"/>
                <w:color w:val="B8BABC"/>
              </w:rPr>
              <w:t>. . . . . . . . . . . . . . . . . . . . . . . . .</w:t>
            </w:r>
          </w:p>
        </w:tc>
        <w:tc>
          <w:tcPr>
            <w:tcW w:w="2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5,018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4,961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300" w:type="dxa"/>
            <w:vAlign w:val="bottom"/>
          </w:tcPr>
          <w:p>
            <w:pPr>
              <w:spacing w:after="0"/>
              <w:rPr>
                <w:sz w:val="24"/>
                <w:szCs w:val="24"/>
                <w:color w:val="auto"/>
              </w:rPr>
            </w:pPr>
          </w:p>
        </w:tc>
        <w:tc>
          <w:tcPr>
            <w:tcW w:w="6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1%</w:t>
            </w:r>
          </w:p>
        </w:tc>
      </w:tr>
      <w:tr>
        <w:trPr>
          <w:trHeight w:val="288"/>
        </w:trPr>
        <w:tc>
          <w:tcPr>
            <w:tcW w:w="47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Consolidated Property Owners’ Associations </w:t>
            </w:r>
            <w:r>
              <w:rPr>
                <w:rFonts w:ascii="Times New Roman" w:cs="Times New Roman" w:eastAsia="Times New Roman" w:hAnsi="Times New Roman"/>
                <w:sz w:val="20"/>
                <w:szCs w:val="20"/>
                <w:color w:val="B8BABC"/>
                <w:w w:val="99"/>
              </w:rPr>
              <w:t>. . . . . . . . . . .</w:t>
            </w:r>
          </w:p>
        </w:tc>
        <w:tc>
          <w:tcPr>
            <w:tcW w:w="22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14</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300" w:type="dxa"/>
            <w:vAlign w:val="bottom"/>
          </w:tcPr>
          <w:p>
            <w:pPr>
              <w:spacing w:after="0"/>
              <w:rPr>
                <w:sz w:val="24"/>
                <w:szCs w:val="24"/>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rPr>
              <w:t>NM</w:t>
            </w:r>
          </w:p>
        </w:tc>
      </w:tr>
      <w:tr>
        <w:trPr>
          <w:trHeight w:val="260"/>
        </w:trPr>
        <w:tc>
          <w:tcPr>
            <w:tcW w:w="4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Total Revenues </w:t>
            </w:r>
            <w:r>
              <w:rPr>
                <w:rFonts w:ascii="Times New Roman" w:cs="Times New Roman" w:eastAsia="Times New Roman" w:hAnsi="Times New Roman"/>
                <w:sz w:val="20"/>
                <w:szCs w:val="20"/>
                <w:color w:val="B8BABC"/>
              </w:rPr>
              <w:t>. . . . . . . . . . . . . . . . . . . . . . . . . . . . . . .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5,032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4,967</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4,727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w:t>
            </w:r>
          </w:p>
        </w:tc>
        <w:tc>
          <w:tcPr>
            <w:tcW w:w="300" w:type="dxa"/>
            <w:vAlign w:val="bottom"/>
          </w:tcPr>
          <w:p>
            <w:pPr>
              <w:spacing w:after="0"/>
              <w:rPr>
                <w:sz w:val="22"/>
                <w:szCs w:val="22"/>
                <w:color w:val="auto"/>
              </w:rPr>
            </w:pPr>
          </w:p>
        </w:tc>
        <w:tc>
          <w:tcPr>
            <w:tcW w:w="6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1%</w:t>
            </w:r>
          </w:p>
        </w:tc>
      </w:tr>
      <w:tr>
        <w:trPr>
          <w:trHeight w:val="20"/>
        </w:trPr>
        <w:tc>
          <w:tcPr>
            <w:tcW w:w="47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Earnings Before Interest Expense, Taxes, Depreciation and Amortization (“EBITDA”) and Adjusted EBITDA</w:t>
      </w:r>
    </w:p>
    <w:p>
      <w:pPr>
        <w:spacing w:after="0" w:line="1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EBITDA, a financial measure that is not prescribed by GAAP, is defined as earnings, or net income or loss attributable to common stockholders, before interest expense, net (excluding consumer financing interest expense associated with term securitization transactions), income taxes, depreciation and amortization. Adjusted EBITDA reflects additional adjustments for certain items, and excludes share-based compensation expense and amortization of cloud computing software implementation costs. Share-based compensation expense is excluded to address considerable variability among companies in recording compensation expense because companies use share-based payment awards differently, both in the type and quantity of awards granted. During the first quarter of 2025, we began excluding amortization of cloud computing software implementation costs, which are not included in depreciation and amortization, from Adjusted EBITDA for comparability purposes to address the considerable variability among companies in the utilization of productive assets, and have reclassified prior year amounts to conform with our current year presentation.</w:t>
      </w:r>
    </w:p>
    <w:p>
      <w:pPr>
        <w:spacing w:after="0" w:line="9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231F20"/>
        </w:rPr>
        <w:t>For purposes of our EBITDA, Adjusted EBITDA, and Adjusted EBITDA margin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stockholders. We consider Adjusted EBITDA margin to be an indicator of our operating profitability.</w:t>
      </w:r>
    </w:p>
    <w:p>
      <w:pPr>
        <w:spacing w:after="0" w:line="8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231F20"/>
        </w:rPr>
        <w:t>We also use Adjusted EBITDA and Adjusted EBITDA margin,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Adjusted EBITDA, and Adjusted EBITDA margin also exclude depreciation and amortization as well as amortization of cloud computing software implementation costs because companies utilize productive assets of different ages and use different methods of both acquiring and depreciating or amortizing productive assets. These differences can result in considerable variability in the relative costs of productive assets and the depreciation and amortization expense among companies.</w:t>
      </w:r>
    </w:p>
    <w:p>
      <w:pPr>
        <w:spacing w:after="0" w:line="9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We believe Adjusted EBITDA and Adjusted EBITDA margin are useful as indicators of operating performance and profitability, respectively, because they allow for period-over-period comparisons of our ongoing core operations before the impact of the excluded items. Adjusted EBITDA and Adjusted EBITDA margin also facilitate comparisons by us, analysts, investors, and others of results from our ongoing core operations before the impact of these items with results from other companies.</w:t>
      </w:r>
    </w:p>
    <w:p>
      <w:pPr>
        <w:spacing w:after="0" w:line="8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231F20"/>
        </w:rPr>
        <w:t>EBITDA, Adjusted EBITDA, and Adjusted EBITDA margin have limitations and should not be considered in isolation or as a substitute for performance measures calculated in accordance with GAAP. In addition, other companies in our industry may calculate EBITDA, Adjusted EBITDA, and Adjusted EBITDA margin differently than we do or may not calculate them at all, limiting their usefulness as comparative measures.</w:t>
      </w:r>
    </w:p>
    <w:p>
      <w:pPr>
        <w:spacing w:after="0" w:line="83" w:lineRule="exact"/>
        <w:rPr>
          <w:sz w:val="20"/>
          <w:szCs w:val="20"/>
          <w:color w:val="auto"/>
        </w:rPr>
      </w:pPr>
    </w:p>
    <w:p>
      <w:pPr>
        <w:ind w:right="200"/>
        <w:spacing w:after="0" w:line="309" w:lineRule="auto"/>
        <w:rPr>
          <w:sz w:val="20"/>
          <w:szCs w:val="20"/>
          <w:color w:val="auto"/>
        </w:rPr>
      </w:pPr>
      <w:r>
        <w:rPr>
          <w:rFonts w:ascii="Times New Roman" w:cs="Times New Roman" w:eastAsia="Times New Roman" w:hAnsi="Times New Roman"/>
          <w:sz w:val="19"/>
          <w:szCs w:val="19"/>
          <w:color w:val="231F20"/>
        </w:rPr>
        <w:t>Additionally, during 2025, we reclassified $6 million of certain amounts related to ongoing litigation from General and administrative expense to Litigation charges in order to conform our 2024 results with our current year presentation.</w:t>
      </w:r>
    </w:p>
    <w:p>
      <w:pPr>
        <w:spacing w:after="0" w:line="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231F20"/>
        </w:rPr>
        <w:t>Commencing in 2026, interest expense associated with our Warehouse Credit Facility will be included as a component of Consumer financing interest expense within Financing expense. Interest expense on our Warehouse Credit Facility was $13 million and $10 million for the years ended December 31, 2025 and December 31, 2024, respectively.</w:t>
      </w:r>
    </w:p>
    <w:p>
      <w:pPr>
        <w:sectPr>
          <w:pgSz w:w="11880" w:h="15480" w:orient="portrait"/>
          <w:cols w:equalWidth="0" w:num="1">
            <w:col w:w="9720"/>
          </w:cols>
          <w:pgMar w:left="1080" w:top="83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9720"/>
          </w:cols>
          <w:pgMar w:left="1080" w:top="831" w:right="1080" w:bottom="0" w:gutter="0" w:footer="0" w:header="0"/>
          <w:type w:val="continuous"/>
        </w:sectPr>
      </w:pPr>
    </w:p>
    <w:bookmarkStart w:id="51" w:name="page52"/>
    <w:bookmarkEnd w:id="51"/>
    <w:p>
      <w:pPr>
        <w:ind w:right="180"/>
        <w:spacing w:after="0" w:line="281" w:lineRule="auto"/>
        <w:rPr>
          <w:sz w:val="20"/>
          <w:szCs w:val="20"/>
          <w:color w:val="auto"/>
        </w:rPr>
      </w:pPr>
      <w:r>
        <w:rPr>
          <w:rFonts w:ascii="Times New Roman" w:cs="Times New Roman" w:eastAsia="Times New Roman" w:hAnsi="Times New Roman"/>
          <w:sz w:val="20"/>
          <w:szCs w:val="20"/>
          <w:color w:val="231F20"/>
        </w:rPr>
        <w:t>The table below shows our EBITDA and Adjusted EBITDA calculation and reconciles these measures with net income or loss attributable to common stockholders, which is the most directly comparable GAAP financial measure.</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660" w:type="dxa"/>
            <w:vAlign w:val="bottom"/>
            <w:tcBorders>
              <w:bottom w:val="single" w:sz="8" w:color="231F20"/>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231F20"/>
                <w:w w:val="98"/>
              </w:rPr>
              <w:t>2025 vs. 2024</w:t>
            </w:r>
          </w:p>
        </w:tc>
        <w:tc>
          <w:tcPr>
            <w:tcW w:w="0" w:type="dxa"/>
            <w:vAlign w:val="bottom"/>
          </w:tcPr>
          <w:p>
            <w:pPr>
              <w:spacing w:after="0"/>
              <w:rPr>
                <w:sz w:val="1"/>
                <w:szCs w:val="1"/>
                <w:color w:val="auto"/>
              </w:rPr>
            </w:pPr>
          </w:p>
        </w:tc>
      </w:tr>
      <w:tr>
        <w:trPr>
          <w:trHeight w:val="235"/>
        </w:trPr>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4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center"/>
              <w:ind w:right="101"/>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gridSpan w:val="2"/>
          </w:tcPr>
          <w:p>
            <w:pPr>
              <w:jc w:val="center"/>
              <w:ind w:left="262"/>
              <w:spacing w:after="0"/>
              <w:rPr>
                <w:sz w:val="20"/>
                <w:szCs w:val="20"/>
                <w:color w:val="auto"/>
              </w:rPr>
            </w:pPr>
            <w:r>
              <w:rPr>
                <w:rFonts w:ascii="Times New Roman" w:cs="Times New Roman" w:eastAsia="Times New Roman" w:hAnsi="Times New Roman"/>
                <w:sz w:val="18"/>
                <w:szCs w:val="18"/>
                <w:b w:val="1"/>
                <w:bCs w:val="1"/>
                <w:color w:val="231F20"/>
              </w:rPr>
              <w:t>Change</w:t>
            </w:r>
          </w:p>
        </w:tc>
        <w:tc>
          <w:tcPr>
            <w:tcW w:w="6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231F20"/>
              </w:rPr>
              <w:t>Net (loss) income attributable to common stockholders</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B8BABC"/>
              </w:rPr>
              <w:t xml:space="preserve">. </w:t>
            </w: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(526)</w:t>
            </w:r>
          </w:p>
        </w:tc>
        <w:tc>
          <w:tcPr>
            <w:tcW w:w="36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NM</w:t>
            </w:r>
          </w:p>
        </w:tc>
        <w:tc>
          <w:tcPr>
            <w:tcW w:w="0" w:type="dxa"/>
            <w:vAlign w:val="bottom"/>
          </w:tcPr>
          <w:p>
            <w:pPr>
              <w:spacing w:after="0"/>
              <w:rPr>
                <w:sz w:val="1"/>
                <w:szCs w:val="1"/>
                <w:color w:val="auto"/>
              </w:rPr>
            </w:pPr>
          </w:p>
        </w:tc>
      </w:tr>
      <w:tr>
        <w:trPr>
          <w:trHeight w:val="285"/>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Interest expense, net </w:t>
            </w:r>
            <w:r>
              <w:rPr>
                <w:rFonts w:ascii="Times New Roman" w:cs="Times New Roman" w:eastAsia="Times New Roman" w:hAnsi="Times New Roman"/>
                <w:sz w:val="20"/>
                <w:szCs w:val="20"/>
                <w:color w:val="B8BABC"/>
              </w:rPr>
              <w:t>. . . . . . . . . . . . . . . . . . . . . . . . . . . .</w:t>
            </w:r>
          </w:p>
        </w:tc>
        <w:tc>
          <w:tcPr>
            <w:tcW w:w="140" w:type="dxa"/>
            <w:vAlign w:val="bottom"/>
          </w:tcPr>
          <w:p>
            <w:pPr>
              <w:ind w:left="20"/>
              <w:spacing w:after="0"/>
              <w:rPr>
                <w:sz w:val="20"/>
                <w:szCs w:val="20"/>
                <w:color w:val="auto"/>
              </w:rPr>
            </w:pPr>
            <w:r>
              <w:rPr>
                <w:rFonts w:ascii="Times New Roman" w:cs="Times New Roman" w:eastAsia="Times New Roman" w:hAnsi="Times New Roman"/>
                <w:sz w:val="20"/>
                <w:szCs w:val="20"/>
                <w:color w:val="B8BABC"/>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360" w:type="dxa"/>
            <w:vAlign w:val="bottom"/>
          </w:tcPr>
          <w:p>
            <w:pPr>
              <w:spacing w:after="0"/>
              <w:rPr>
                <w:sz w:val="24"/>
                <w:szCs w:val="24"/>
                <w:color w:val="auto"/>
              </w:rPr>
            </w:pPr>
          </w:p>
        </w:tc>
        <w:tc>
          <w:tcPr>
            <w:tcW w:w="6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7"/>
              </w:rPr>
              <w:t>4%</w:t>
            </w:r>
          </w:p>
        </w:tc>
        <w:tc>
          <w:tcPr>
            <w:tcW w:w="0" w:type="dxa"/>
            <w:vAlign w:val="bottom"/>
          </w:tcPr>
          <w:p>
            <w:pPr>
              <w:spacing w:after="0"/>
              <w:rPr>
                <w:sz w:val="1"/>
                <w:szCs w:val="1"/>
                <w:color w:val="auto"/>
              </w:rPr>
            </w:pPr>
          </w:p>
        </w:tc>
      </w:tr>
      <w:tr>
        <w:trPr>
          <w:trHeight w:val="285"/>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Provision for income taxes </w:t>
            </w:r>
            <w:r>
              <w:rPr>
                <w:rFonts w:ascii="Times New Roman" w:cs="Times New Roman" w:eastAsia="Times New Roman" w:hAnsi="Times New Roman"/>
                <w:sz w:val="20"/>
                <w:szCs w:val="20"/>
                <w:color w:val="B8BABC"/>
              </w:rPr>
              <w:t>. . . . . . . . . . . . . . . . . . . . . . .</w:t>
            </w:r>
          </w:p>
        </w:tc>
        <w:tc>
          <w:tcPr>
            <w:tcW w:w="140" w:type="dxa"/>
            <w:vAlign w:val="bottom"/>
          </w:tcPr>
          <w:p>
            <w:pPr>
              <w:ind w:left="20"/>
              <w:spacing w:after="0"/>
              <w:rPr>
                <w:sz w:val="20"/>
                <w:szCs w:val="20"/>
                <w:color w:val="auto"/>
              </w:rPr>
            </w:pPr>
            <w:r>
              <w:rPr>
                <w:rFonts w:ascii="Times New Roman" w:cs="Times New Roman" w:eastAsia="Times New Roman" w:hAnsi="Times New Roman"/>
                <w:sz w:val="20"/>
                <w:szCs w:val="20"/>
                <w:color w:val="B8BABC"/>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w:t>
            </w:r>
          </w:p>
        </w:tc>
        <w:tc>
          <w:tcPr>
            <w:tcW w:w="36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NM</w:t>
            </w:r>
          </w:p>
        </w:tc>
        <w:tc>
          <w:tcPr>
            <w:tcW w:w="0" w:type="dxa"/>
            <w:vAlign w:val="bottom"/>
          </w:tcPr>
          <w:p>
            <w:pPr>
              <w:spacing w:after="0"/>
              <w:rPr>
                <w:sz w:val="1"/>
                <w:szCs w:val="1"/>
                <w:color w:val="auto"/>
              </w:rPr>
            </w:pPr>
          </w:p>
        </w:tc>
      </w:tr>
      <w:tr>
        <w:trPr>
          <w:trHeight w:val="288"/>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Depreciation and amortization </w:t>
            </w:r>
            <w:r>
              <w:rPr>
                <w:rFonts w:ascii="Times New Roman" w:cs="Times New Roman" w:eastAsia="Times New Roman" w:hAnsi="Times New Roman"/>
                <w:sz w:val="20"/>
                <w:szCs w:val="20"/>
                <w:color w:val="B8BABC"/>
              </w:rPr>
              <w:t>. . . . . . . . . . . . . . . . . . . .</w:t>
            </w:r>
          </w:p>
        </w:tc>
        <w:tc>
          <w:tcPr>
            <w:tcW w:w="140" w:type="dxa"/>
            <w:vAlign w:val="bottom"/>
          </w:tcPr>
          <w:p>
            <w:pPr>
              <w:ind w:left="20"/>
              <w:spacing w:after="0"/>
              <w:rPr>
                <w:sz w:val="20"/>
                <w:szCs w:val="20"/>
                <w:color w:val="auto"/>
              </w:rPr>
            </w:pPr>
            <w:r>
              <w:rPr>
                <w:rFonts w:ascii="Times New Roman" w:cs="Times New Roman" w:eastAsia="Times New Roman" w:hAnsi="Times New Roman"/>
                <w:sz w:val="20"/>
                <w:szCs w:val="20"/>
                <w:color w:val="B8BABC"/>
              </w:rPr>
              <w:t>.</w:t>
            </w: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149</w:t>
            </w:r>
          </w:p>
        </w:tc>
        <w:tc>
          <w:tcPr>
            <w:tcW w:w="8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8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8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360" w:type="dxa"/>
            <w:vAlign w:val="bottom"/>
          </w:tcPr>
          <w:p>
            <w:pPr>
              <w:spacing w:after="0"/>
              <w:rPr>
                <w:sz w:val="24"/>
                <w:szCs w:val="24"/>
                <w:color w:val="auto"/>
              </w:rPr>
            </w:pPr>
          </w:p>
        </w:tc>
        <w:tc>
          <w:tcPr>
            <w:tcW w:w="6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7"/>
              </w:rPr>
              <w:t>3%</w:t>
            </w:r>
          </w:p>
        </w:tc>
        <w:tc>
          <w:tcPr>
            <w:tcW w:w="0" w:type="dxa"/>
            <w:vAlign w:val="bottom"/>
          </w:tcPr>
          <w:p>
            <w:pPr>
              <w:spacing w:after="0"/>
              <w:rPr>
                <w:sz w:val="1"/>
                <w:szCs w:val="1"/>
                <w:color w:val="auto"/>
              </w:rPr>
            </w:pPr>
          </w:p>
        </w:tc>
      </w:tr>
      <w:tr>
        <w:trPr>
          <w:trHeight w:val="264"/>
        </w:trPr>
        <w:tc>
          <w:tcPr>
            <w:tcW w:w="4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B8BABC"/>
              </w:rPr>
              <w:t>. . . . . . . . . . . . . . . . . . . . . . . . . . . . . . . . . . . . .</w:t>
            </w:r>
            <w:r>
              <w:rPr>
                <w:rFonts w:ascii="Times New Roman" w:cs="Times New Roman" w:eastAsia="Times New Roman" w:hAnsi="Times New Roman"/>
                <w:sz w:val="20"/>
                <w:szCs w:val="20"/>
                <w:b w:val="1"/>
                <w:bCs w:val="1"/>
                <w:color w:val="231F20"/>
              </w:rPr>
              <w:t>EBITDA</w:t>
            </w:r>
          </w:p>
        </w:tc>
        <w:tc>
          <w:tcPr>
            <w:tcW w:w="1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B8BABC"/>
              </w:rPr>
              <w:t>.</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(597)</w:t>
            </w:r>
          </w:p>
        </w:tc>
        <w:tc>
          <w:tcPr>
            <w:tcW w:w="36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NM</w:t>
            </w:r>
          </w:p>
        </w:tc>
        <w:tc>
          <w:tcPr>
            <w:tcW w:w="0" w:type="dxa"/>
            <w:vAlign w:val="bottom"/>
          </w:tcPr>
          <w:p>
            <w:pPr>
              <w:spacing w:after="0"/>
              <w:rPr>
                <w:sz w:val="1"/>
                <w:szCs w:val="1"/>
                <w:color w:val="auto"/>
              </w:rPr>
            </w:pPr>
          </w:p>
        </w:tc>
      </w:tr>
      <w:tr>
        <w:trPr>
          <w:trHeight w:val="283"/>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Share-based compensation expense </w:t>
            </w:r>
            <w:r>
              <w:rPr>
                <w:rFonts w:ascii="Times New Roman" w:cs="Times New Roman" w:eastAsia="Times New Roman" w:hAnsi="Times New Roman"/>
                <w:sz w:val="20"/>
                <w:szCs w:val="20"/>
                <w:color w:val="B8BABC"/>
              </w:rPr>
              <w:t>. . . . . . . . . . . . . . . .</w:t>
            </w:r>
          </w:p>
        </w:tc>
        <w:tc>
          <w:tcPr>
            <w:tcW w:w="140" w:type="dxa"/>
            <w:vAlign w:val="bottom"/>
          </w:tcPr>
          <w:p>
            <w:pPr>
              <w:ind w:left="20"/>
              <w:spacing w:after="0"/>
              <w:rPr>
                <w:sz w:val="20"/>
                <w:szCs w:val="20"/>
                <w:color w:val="auto"/>
              </w:rPr>
            </w:pPr>
            <w:r>
              <w:rPr>
                <w:rFonts w:ascii="Times New Roman" w:cs="Times New Roman" w:eastAsia="Times New Roman" w:hAnsi="Times New Roman"/>
                <w:sz w:val="20"/>
                <w:szCs w:val="20"/>
                <w:color w:val="B8BABC"/>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360" w:type="dxa"/>
            <w:vAlign w:val="bottom"/>
          </w:tcPr>
          <w:p>
            <w:pPr>
              <w:spacing w:after="0"/>
              <w:rPr>
                <w:sz w:val="24"/>
                <w:szCs w:val="24"/>
                <w:color w:val="auto"/>
              </w:rPr>
            </w:pPr>
          </w:p>
        </w:tc>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8"/>
              </w:rPr>
              <w:t>15%</w:t>
            </w:r>
          </w:p>
        </w:tc>
        <w:tc>
          <w:tcPr>
            <w:tcW w:w="0" w:type="dxa"/>
            <w:vAlign w:val="bottom"/>
          </w:tcPr>
          <w:p>
            <w:pPr>
              <w:spacing w:after="0"/>
              <w:rPr>
                <w:sz w:val="1"/>
                <w:szCs w:val="1"/>
                <w:color w:val="auto"/>
              </w:rPr>
            </w:pPr>
          </w:p>
        </w:tc>
      </w:tr>
      <w:tr>
        <w:trPr>
          <w:trHeight w:val="205"/>
        </w:trPr>
        <w:tc>
          <w:tcPr>
            <w:tcW w:w="4500" w:type="dxa"/>
            <w:vAlign w:val="bottom"/>
          </w:tcPr>
          <w:p>
            <w:pPr>
              <w:spacing w:after="0" w:line="205" w:lineRule="exact"/>
              <w:rPr>
                <w:sz w:val="20"/>
                <w:szCs w:val="20"/>
                <w:color w:val="auto"/>
              </w:rPr>
            </w:pPr>
            <w:r>
              <w:rPr>
                <w:rFonts w:ascii="Times New Roman" w:cs="Times New Roman" w:eastAsia="Times New Roman" w:hAnsi="Times New Roman"/>
                <w:sz w:val="20"/>
                <w:szCs w:val="20"/>
                <w:color w:val="231F20"/>
              </w:rPr>
              <w:t>Amortization of cloud computing software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360" w:type="dxa"/>
            <w:vAlign w:val="bottom"/>
          </w:tcPr>
          <w:p>
            <w:pPr>
              <w:spacing w:after="0"/>
              <w:rPr>
                <w:sz w:val="17"/>
                <w:szCs w:val="17"/>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231F20"/>
              </w:rPr>
              <w:t>NM</w:t>
            </w:r>
          </w:p>
        </w:tc>
        <w:tc>
          <w:tcPr>
            <w:tcW w:w="0" w:type="dxa"/>
            <w:vAlign w:val="bottom"/>
          </w:tcPr>
          <w:p>
            <w:pPr>
              <w:spacing w:after="0"/>
              <w:rPr>
                <w:sz w:val="1"/>
                <w:szCs w:val="1"/>
                <w:color w:val="auto"/>
              </w:rPr>
            </w:pPr>
          </w:p>
        </w:tc>
      </w:tr>
      <w:tr>
        <w:trPr>
          <w:trHeight w:val="285"/>
        </w:trPr>
        <w:tc>
          <w:tcPr>
            <w:tcW w:w="4500" w:type="dxa"/>
            <w:vAlign w:val="bottom"/>
          </w:tcPr>
          <w:p>
            <w:pPr>
              <w:spacing w:after="0" w:line="285" w:lineRule="exact"/>
              <w:rPr>
                <w:sz w:val="20"/>
                <w:szCs w:val="20"/>
                <w:color w:val="auto"/>
              </w:rPr>
            </w:pPr>
            <w:r>
              <w:rPr>
                <w:rFonts w:ascii="Times New Roman" w:cs="Times New Roman" w:eastAsia="Times New Roman" w:hAnsi="Times New Roman"/>
                <w:sz w:val="20"/>
                <w:szCs w:val="20"/>
                <w:color w:val="231F20"/>
                <w:w w:val="98"/>
              </w:rPr>
              <w:t>implementation costs</w:t>
            </w:r>
            <w:r>
              <w:rPr>
                <w:rFonts w:ascii="Times New Roman" w:cs="Times New Roman" w:eastAsia="Times New Roman" w:hAnsi="Times New Roman"/>
                <w:sz w:val="26"/>
                <w:szCs w:val="26"/>
                <w:color w:val="231F20"/>
                <w:w w:val="98"/>
                <w:vertAlign w:val="superscript"/>
              </w:rPr>
              <w:t>(1)(2)</w:t>
            </w:r>
            <w:r>
              <w:rPr>
                <w:rFonts w:ascii="Times New Roman" w:cs="Times New Roman" w:eastAsia="Times New Roman" w:hAnsi="Times New Roman"/>
                <w:sz w:val="20"/>
                <w:szCs w:val="20"/>
                <w:color w:val="231F20"/>
                <w:w w:val="98"/>
              </w:rPr>
              <w:t xml:space="preserve">  </w:t>
            </w:r>
            <w:r>
              <w:rPr>
                <w:rFonts w:ascii="Times New Roman" w:cs="Times New Roman" w:eastAsia="Times New Roman" w:hAnsi="Times New Roman"/>
                <w:sz w:val="20"/>
                <w:szCs w:val="20"/>
                <w:color w:val="B8BABC"/>
                <w:w w:val="98"/>
              </w:rPr>
              <w:t>. . . . . . . . . . . . . . . . . . . . . . . .</w:t>
            </w:r>
          </w:p>
        </w:tc>
        <w:tc>
          <w:tcPr>
            <w:tcW w:w="140" w:type="dxa"/>
            <w:vAlign w:val="bottom"/>
          </w:tcPr>
          <w:p>
            <w:pPr>
              <w:ind w:left="20"/>
              <w:spacing w:after="0"/>
              <w:rPr>
                <w:sz w:val="20"/>
                <w:szCs w:val="20"/>
                <w:color w:val="auto"/>
              </w:rPr>
            </w:pPr>
            <w:r>
              <w:rPr>
                <w:rFonts w:ascii="Times New Roman" w:cs="Times New Roman" w:eastAsia="Times New Roman" w:hAnsi="Times New Roman"/>
                <w:sz w:val="20"/>
                <w:szCs w:val="20"/>
                <w:color w:val="B8BABC"/>
              </w:rPr>
              <w:t>.</w:t>
            </w:r>
          </w:p>
        </w:tc>
        <w:tc>
          <w:tcPr>
            <w:tcW w:w="18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00" w:type="dxa"/>
            <w:vAlign w:val="bottom"/>
          </w:tcPr>
          <w:p>
            <w:pPr>
              <w:spacing w:after="0" w:line="263" w:lineRule="exact"/>
              <w:rPr>
                <w:sz w:val="20"/>
                <w:szCs w:val="20"/>
                <w:color w:val="auto"/>
              </w:rPr>
            </w:pPr>
            <w:r>
              <w:rPr>
                <w:rFonts w:ascii="Times New Roman" w:cs="Times New Roman" w:eastAsia="Times New Roman" w:hAnsi="Times New Roman"/>
                <w:sz w:val="20"/>
                <w:szCs w:val="20"/>
                <w:color w:val="231F20"/>
                <w:w w:val="99"/>
              </w:rPr>
              <w:t>Certain items</w:t>
            </w:r>
            <w:r>
              <w:rPr>
                <w:rFonts w:ascii="Times New Roman" w:cs="Times New Roman" w:eastAsia="Times New Roman" w:hAnsi="Times New Roman"/>
                <w:sz w:val="26"/>
                <w:szCs w:val="26"/>
                <w:color w:val="231F20"/>
                <w:w w:val="99"/>
                <w:vertAlign w:val="superscript"/>
              </w:rPr>
              <w:t>(1)</w:t>
            </w:r>
            <w:r>
              <w:rPr>
                <w:rFonts w:ascii="Times New Roman" w:cs="Times New Roman" w:eastAsia="Times New Roman" w:hAnsi="Times New Roman"/>
                <w:sz w:val="20"/>
                <w:szCs w:val="20"/>
                <w:color w:val="231F20"/>
                <w:w w:val="99"/>
              </w:rPr>
              <w:t xml:space="preserve">  </w:t>
            </w:r>
            <w:r>
              <w:rPr>
                <w:rFonts w:ascii="Times New Roman" w:cs="Times New Roman" w:eastAsia="Times New Roman" w:hAnsi="Times New Roman"/>
                <w:sz w:val="20"/>
                <w:szCs w:val="20"/>
                <w:color w:val="B8BABC"/>
                <w:w w:val="99"/>
              </w:rPr>
              <w:t>. . . . . . . . . . . . . . . . . . . . . . . . . . . . . . . .</w:t>
            </w:r>
          </w:p>
        </w:tc>
        <w:tc>
          <w:tcPr>
            <w:tcW w:w="140" w:type="dxa"/>
            <w:vAlign w:val="bottom"/>
          </w:tcPr>
          <w:p>
            <w:pPr>
              <w:ind w:left="20"/>
              <w:spacing w:after="0"/>
              <w:rPr>
                <w:sz w:val="20"/>
                <w:szCs w:val="20"/>
                <w:color w:val="auto"/>
              </w:rPr>
            </w:pPr>
            <w:r>
              <w:rPr>
                <w:rFonts w:ascii="Times New Roman" w:cs="Times New Roman" w:eastAsia="Times New Roman" w:hAnsi="Times New Roman"/>
                <w:sz w:val="20"/>
                <w:szCs w:val="20"/>
                <w:color w:val="B8BABC"/>
              </w:rPr>
              <w:t>.</w:t>
            </w:r>
          </w:p>
        </w:tc>
        <w:tc>
          <w:tcPr>
            <w:tcW w:w="18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689</w:t>
            </w:r>
          </w:p>
        </w:tc>
        <w:tc>
          <w:tcPr>
            <w:tcW w:w="8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85</w:t>
            </w:r>
          </w:p>
        </w:tc>
        <w:tc>
          <w:tcPr>
            <w:tcW w:w="8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604</w:t>
            </w:r>
          </w:p>
        </w:tc>
        <w:tc>
          <w:tcPr>
            <w:tcW w:w="36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NM</w:t>
            </w:r>
          </w:p>
        </w:tc>
        <w:tc>
          <w:tcPr>
            <w:tcW w:w="0" w:type="dxa"/>
            <w:vAlign w:val="bottom"/>
          </w:tcPr>
          <w:p>
            <w:pPr>
              <w:spacing w:after="0"/>
              <w:rPr>
                <w:sz w:val="1"/>
                <w:szCs w:val="1"/>
                <w:color w:val="auto"/>
              </w:rPr>
            </w:pPr>
          </w:p>
        </w:tc>
      </w:tr>
      <w:tr>
        <w:trPr>
          <w:trHeight w:val="245"/>
        </w:trPr>
        <w:tc>
          <w:tcPr>
            <w:tcW w:w="4500" w:type="dxa"/>
            <w:vAlign w:val="bottom"/>
          </w:tcPr>
          <w:p>
            <w:pPr>
              <w:jc w:val="right"/>
              <w:spacing w:after="0" w:line="245" w:lineRule="exact"/>
              <w:rPr>
                <w:sz w:val="20"/>
                <w:szCs w:val="20"/>
                <w:color w:val="auto"/>
              </w:rPr>
            </w:pPr>
            <w:r>
              <w:rPr>
                <w:rFonts w:ascii="Times New Roman" w:cs="Times New Roman" w:eastAsia="Times New Roman" w:hAnsi="Times New Roman"/>
                <w:sz w:val="20"/>
                <w:szCs w:val="20"/>
                <w:b w:val="1"/>
                <w:bCs w:val="1"/>
                <w:color w:val="B8BABC"/>
              </w:rPr>
              <w:t>. . . . . . . . . . . . . . . . . . . . . . . . . . .</w:t>
            </w:r>
            <w:r>
              <w:rPr>
                <w:rFonts w:ascii="Times New Roman" w:cs="Times New Roman" w:eastAsia="Times New Roman" w:hAnsi="Times New Roman"/>
                <w:sz w:val="20"/>
                <w:szCs w:val="20"/>
                <w:b w:val="1"/>
                <w:bCs w:val="1"/>
                <w:color w:val="231F20"/>
              </w:rPr>
              <w:t>AdjustedEBITDA</w:t>
            </w:r>
            <w:r>
              <w:rPr>
                <w:rFonts w:ascii="Times New Roman" w:cs="Times New Roman" w:eastAsia="Times New Roman" w:hAnsi="Times New Roman"/>
                <w:sz w:val="26"/>
                <w:szCs w:val="26"/>
                <w:b w:val="1"/>
                <w:bCs w:val="1"/>
                <w:color w:val="231F20"/>
                <w:vertAlign w:val="superscript"/>
              </w:rPr>
              <w:t>(1)</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B8BABC"/>
              </w:rPr>
              <w:t xml:space="preserve">. </w:t>
            </w: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736</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360" w:type="dxa"/>
            <w:vAlign w:val="bottom"/>
          </w:tcPr>
          <w:p>
            <w:pPr>
              <w:spacing w:after="0"/>
              <w:rPr>
                <w:sz w:val="21"/>
                <w:szCs w:val="21"/>
                <w:color w:val="auto"/>
              </w:rPr>
            </w:pPr>
          </w:p>
        </w:tc>
        <w:tc>
          <w:tcPr>
            <w:tcW w:w="6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7"/>
              </w:rPr>
              <w:t>2%</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Adjusted EBITDA Margin</w:t>
            </w:r>
            <w:r>
              <w:rPr>
                <w:rFonts w:ascii="Times New Roman" w:cs="Times New Roman" w:eastAsia="Times New Roman" w:hAnsi="Times New Roman"/>
                <w:sz w:val="26"/>
                <w:szCs w:val="26"/>
                <w:b w:val="1"/>
                <w:bCs w:val="1"/>
                <w:color w:val="231F20"/>
                <w:vertAlign w:val="superscript"/>
              </w:rPr>
              <w:t>(1)</w:t>
            </w:r>
          </w:p>
        </w:tc>
        <w:tc>
          <w:tcPr>
            <w:tcW w:w="14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500" w:type="dxa"/>
            <w:vAlign w:val="bottom"/>
            <w:vMerge w:val="continue"/>
          </w:tcPr>
          <w:p>
            <w:pPr>
              <w:jc w:val="right"/>
              <w:spacing w:after="0" w:line="182" w:lineRule="exact"/>
              <w:rPr>
                <w:sz w:val="20"/>
                <w:szCs w:val="20"/>
                <w:color w:val="auto"/>
              </w:rPr>
            </w:pPr>
            <w:r>
              <w:rPr>
                <w:rFonts w:ascii="Times New Roman" w:cs="Times New Roman" w:eastAsia="Times New Roman" w:hAnsi="Times New Roman"/>
                <w:sz w:val="20"/>
                <w:szCs w:val="20"/>
                <w:b w:val="1"/>
                <w:bCs w:val="1"/>
                <w:color w:val="B8BABC"/>
              </w:rPr>
              <w:t>. . . . . . . . . . . . . . . . . . . .</w:t>
            </w:r>
          </w:p>
        </w:tc>
        <w:tc>
          <w:tcPr>
            <w:tcW w:w="1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B8BABC"/>
              </w:rPr>
              <w:t>.</w:t>
            </w:r>
          </w:p>
        </w:tc>
        <w:tc>
          <w:tcPr>
            <w:tcW w:w="180" w:type="dxa"/>
            <w:vAlign w:val="bottom"/>
          </w:tcPr>
          <w:p>
            <w:pPr>
              <w:spacing w:after="0"/>
              <w:rPr>
                <w:sz w:val="24"/>
                <w:szCs w:val="24"/>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22.5%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231F20"/>
              </w:rPr>
              <w:t>22.5%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24.0%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231F20"/>
              </w:rPr>
              <w:t>pts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360" w:hanging="360"/>
        <w:spacing w:after="0"/>
        <w:tabs>
          <w:tab w:leader="none" w:pos="360" w:val="left"/>
        </w:tabs>
        <w:numPr>
          <w:ilvl w:val="0"/>
          <w:numId w:val="12"/>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Prior year amounts have been reclassified to conform with our current year presentation.</w:t>
      </w:r>
    </w:p>
    <w:p>
      <w:pPr>
        <w:spacing w:after="0" w:line="61" w:lineRule="exact"/>
        <w:rPr>
          <w:rFonts w:ascii="Times New Roman" w:cs="Times New Roman" w:eastAsia="Times New Roman" w:hAnsi="Times New Roman"/>
          <w:sz w:val="26"/>
          <w:szCs w:val="26"/>
          <w:color w:val="231F20"/>
          <w:vertAlign w:val="superscript"/>
        </w:rPr>
      </w:pPr>
    </w:p>
    <w:p>
      <w:pPr>
        <w:ind w:left="360" w:right="80" w:hanging="360"/>
        <w:spacing w:after="0" w:line="227" w:lineRule="auto"/>
        <w:tabs>
          <w:tab w:leader="none" w:pos="360" w:val="left"/>
        </w:tabs>
        <w:numPr>
          <w:ilvl w:val="0"/>
          <w:numId w:val="12"/>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During the first quarter of 2025, we began excluding Amortization of cloud computing software implementation costs, which are not included in Depreciation and amortization, from Adjusted EBITDA, and have reclassified prior year amounts to conform with our current year presentation.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table below details the components of Certain items for fiscal years 2025 and 2024.</w:t>
      </w:r>
    </w:p>
    <w:p>
      <w:pPr>
        <w:spacing w:after="0" w:line="7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680" w:type="dxa"/>
            <w:vAlign w:val="bottom"/>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spacing w:after="0"/>
              <w:rPr>
                <w:sz w:val="21"/>
                <w:szCs w:val="21"/>
                <w:color w:val="auto"/>
              </w:rPr>
            </w:pPr>
          </w:p>
        </w:tc>
        <w:tc>
          <w:tcPr>
            <w:tcW w:w="1240" w:type="dxa"/>
            <w:vAlign w:val="bottom"/>
            <w:tcBorders>
              <w:bottom w:val="single" w:sz="8" w:color="231F20"/>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231F20"/>
              </w:rPr>
              <w:t>Fiscal Years</w:t>
            </w:r>
          </w:p>
        </w:tc>
        <w:tc>
          <w:tcPr>
            <w:tcW w:w="1400" w:type="dxa"/>
            <w:vAlign w:val="bottom"/>
            <w:tcBorders>
              <w:bottom w:val="single" w:sz="8" w:color="231F20"/>
            </w:tcBorders>
          </w:tcPr>
          <w:p>
            <w:pPr>
              <w:spacing w:after="0"/>
              <w:rPr>
                <w:sz w:val="21"/>
                <w:szCs w:val="21"/>
                <w:color w:val="auto"/>
              </w:rPr>
            </w:pPr>
          </w:p>
        </w:tc>
      </w:tr>
      <w:tr>
        <w:trPr>
          <w:trHeight w:val="235"/>
        </w:trPr>
        <w:tc>
          <w:tcPr>
            <w:tcW w:w="56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36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right"/>
              <w:ind w:right="8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20" w:type="dxa"/>
            <w:vAlign w:val="bottom"/>
            <w:tcBorders>
              <w:bottom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bottom w:val="single" w:sz="8" w:color="231F20"/>
            </w:tcBorders>
          </w:tcPr>
          <w:p>
            <w:pPr>
              <w:spacing w:after="0"/>
              <w:rPr>
                <w:sz w:val="20"/>
                <w:szCs w:val="20"/>
                <w:color w:val="auto"/>
              </w:rPr>
            </w:pPr>
          </w:p>
        </w:tc>
        <w:tc>
          <w:tcPr>
            <w:tcW w:w="1400" w:type="dxa"/>
            <w:vAlign w:val="bottom"/>
            <w:tcBorders>
              <w:bottom w:val="single" w:sz="8" w:color="231F20"/>
            </w:tcBorders>
          </w:tcPr>
          <w:p>
            <w:pPr>
              <w:jc w:val="right"/>
              <w:ind w:right="701"/>
              <w:spacing w:after="0"/>
              <w:rPr>
                <w:sz w:val="20"/>
                <w:szCs w:val="20"/>
                <w:color w:val="auto"/>
              </w:rPr>
            </w:pPr>
            <w:r>
              <w:rPr>
                <w:rFonts w:ascii="Times New Roman" w:cs="Times New Roman" w:eastAsia="Times New Roman" w:hAnsi="Times New Roman"/>
                <w:sz w:val="18"/>
                <w:szCs w:val="18"/>
                <w:b w:val="1"/>
                <w:bCs w:val="1"/>
                <w:color w:val="231F20"/>
              </w:rPr>
              <w:t>2024</w:t>
            </w:r>
          </w:p>
        </w:tc>
      </w:tr>
      <w:tr>
        <w:trPr>
          <w:trHeight w:val="262"/>
        </w:trPr>
        <w:tc>
          <w:tcPr>
            <w:tcW w:w="56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 xml:space="preserve">Gain on disposition of hotel, land, and other </w:t>
            </w:r>
            <w:r>
              <w:rPr>
                <w:rFonts w:ascii="Times New Roman" w:cs="Times New Roman" w:eastAsia="Times New Roman" w:hAnsi="Times New Roman"/>
                <w:sz w:val="20"/>
                <w:szCs w:val="20"/>
                <w:color w:val="B8BABC"/>
              </w:rPr>
              <w:t>. . . . . . . . . . . . . . . . . .</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231F20"/>
              </w:rPr>
              <w:t>$</w:t>
            </w:r>
          </w:p>
        </w:tc>
        <w:tc>
          <w:tcPr>
            <w:tcW w:w="1400" w:type="dxa"/>
            <w:vAlign w:val="bottom"/>
          </w:tcPr>
          <w:p>
            <w:pPr>
              <w:jc w:val="right"/>
              <w:ind w:right="921"/>
              <w:spacing w:after="0"/>
              <w:rPr>
                <w:sz w:val="20"/>
                <w:szCs w:val="20"/>
                <w:color w:val="auto"/>
              </w:rPr>
            </w:pPr>
            <w:r>
              <w:rPr>
                <w:rFonts w:ascii="Times New Roman" w:cs="Times New Roman" w:eastAsia="Times New Roman" w:hAnsi="Times New Roman"/>
                <w:sz w:val="20"/>
                <w:szCs w:val="20"/>
                <w:color w:val="231F20"/>
              </w:rPr>
              <w:t>(8)</w:t>
            </w:r>
          </w:p>
        </w:tc>
      </w:tr>
      <w:tr>
        <w:trPr>
          <w:trHeight w:val="285"/>
        </w:trPr>
        <w:tc>
          <w:tcPr>
            <w:tcW w:w="56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 xml:space="preserve">Foreign currency translation (gain) loss </w:t>
            </w:r>
            <w:r>
              <w:rPr>
                <w:rFonts w:ascii="Times New Roman" w:cs="Times New Roman" w:eastAsia="Times New Roman" w:hAnsi="Times New Roman"/>
                <w:sz w:val="20"/>
                <w:szCs w:val="20"/>
                <w:color w:val="B8BABC"/>
              </w:rPr>
              <w:t>. . . . . . . . . . . . . . . . . . . . . .</w:t>
            </w:r>
          </w:p>
        </w:tc>
        <w:tc>
          <w:tcPr>
            <w:tcW w:w="360" w:type="dxa"/>
            <w:vAlign w:val="bottom"/>
          </w:tcPr>
          <w:p>
            <w:pPr>
              <w:spacing w:after="0"/>
              <w:rPr>
                <w:sz w:val="24"/>
                <w:szCs w:val="24"/>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231F20"/>
              </w:rPr>
              <w:t>(22)</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jc w:val="right"/>
              <w:ind w:right="981"/>
              <w:spacing w:after="0"/>
              <w:rPr>
                <w:sz w:val="20"/>
                <w:szCs w:val="20"/>
                <w:color w:val="auto"/>
              </w:rPr>
            </w:pPr>
            <w:r>
              <w:rPr>
                <w:rFonts w:ascii="Times New Roman" w:cs="Times New Roman" w:eastAsia="Times New Roman" w:hAnsi="Times New Roman"/>
                <w:sz w:val="20"/>
                <w:szCs w:val="20"/>
                <w:color w:val="231F20"/>
              </w:rPr>
              <w:t>13</w:t>
            </w:r>
          </w:p>
        </w:tc>
      </w:tr>
      <w:tr>
        <w:trPr>
          <w:trHeight w:val="285"/>
        </w:trPr>
        <w:tc>
          <w:tcPr>
            <w:tcW w:w="56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 xml:space="preserve">Insurance proceeds </w:t>
            </w:r>
            <w:r>
              <w:rPr>
                <w:rFonts w:ascii="Times New Roman" w:cs="Times New Roman" w:eastAsia="Times New Roman" w:hAnsi="Times New Roman"/>
                <w:sz w:val="20"/>
                <w:szCs w:val="20"/>
                <w:color w:val="B8BABC"/>
              </w:rPr>
              <w:t>. . . . . . . . . . . . . . . . . . . . . . . . . . . . . . . . . . . . . .</w:t>
            </w:r>
          </w:p>
        </w:tc>
        <w:tc>
          <w:tcPr>
            <w:tcW w:w="360" w:type="dxa"/>
            <w:vAlign w:val="bottom"/>
          </w:tcPr>
          <w:p>
            <w:pPr>
              <w:spacing w:after="0"/>
              <w:rPr>
                <w:sz w:val="24"/>
                <w:szCs w:val="24"/>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231F20"/>
              </w:rPr>
              <w:t>(16)</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jc w:val="right"/>
              <w:ind w:right="921"/>
              <w:spacing w:after="0"/>
              <w:rPr>
                <w:sz w:val="20"/>
                <w:szCs w:val="20"/>
                <w:color w:val="auto"/>
              </w:rPr>
            </w:pPr>
            <w:r>
              <w:rPr>
                <w:rFonts w:ascii="Times New Roman" w:cs="Times New Roman" w:eastAsia="Times New Roman" w:hAnsi="Times New Roman"/>
                <w:sz w:val="20"/>
                <w:szCs w:val="20"/>
                <w:color w:val="231F20"/>
              </w:rPr>
              <w:t>(5)</w:t>
            </w:r>
          </w:p>
        </w:tc>
      </w:tr>
      <w:tr>
        <w:trPr>
          <w:trHeight w:val="285"/>
        </w:trPr>
        <w:tc>
          <w:tcPr>
            <w:tcW w:w="56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 xml:space="preserve">Change in indemnification asset </w:t>
            </w:r>
            <w:r>
              <w:rPr>
                <w:rFonts w:ascii="Times New Roman" w:cs="Times New Roman" w:eastAsia="Times New Roman" w:hAnsi="Times New Roman"/>
                <w:sz w:val="20"/>
                <w:szCs w:val="20"/>
                <w:color w:val="B8BABC"/>
              </w:rPr>
              <w:t>. . . . . . . . . . . . . . . . . . . . . . . . . . . .</w:t>
            </w:r>
          </w:p>
        </w:tc>
        <w:tc>
          <w:tcPr>
            <w:tcW w:w="360" w:type="dxa"/>
            <w:vAlign w:val="bottom"/>
          </w:tcPr>
          <w:p>
            <w:pPr>
              <w:spacing w:after="0"/>
              <w:rPr>
                <w:sz w:val="24"/>
                <w:szCs w:val="24"/>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231F20"/>
              </w:rPr>
              <w:t>(4)</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jc w:val="right"/>
              <w:ind w:right="981"/>
              <w:spacing w:after="0"/>
              <w:rPr>
                <w:sz w:val="20"/>
                <w:szCs w:val="20"/>
                <w:color w:val="auto"/>
              </w:rPr>
            </w:pPr>
            <w:r>
              <w:rPr>
                <w:rFonts w:ascii="Times New Roman" w:cs="Times New Roman" w:eastAsia="Times New Roman" w:hAnsi="Times New Roman"/>
                <w:sz w:val="20"/>
                <w:szCs w:val="20"/>
                <w:color w:val="231F20"/>
              </w:rPr>
              <w:t>5</w:t>
            </w:r>
          </w:p>
        </w:tc>
      </w:tr>
      <w:tr>
        <w:trPr>
          <w:trHeight w:val="285"/>
        </w:trPr>
        <w:tc>
          <w:tcPr>
            <w:tcW w:w="56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 xml:space="preserve">Change in estimates relating to pre-acquisition contingencies </w:t>
            </w:r>
            <w:r>
              <w:rPr>
                <w:rFonts w:ascii="Times New Roman" w:cs="Times New Roman" w:eastAsia="Times New Roman" w:hAnsi="Times New Roman"/>
                <w:sz w:val="20"/>
                <w:szCs w:val="20"/>
                <w:color w:val="B8BABC"/>
              </w:rPr>
              <w:t>. . . . .</w:t>
            </w:r>
          </w:p>
        </w:tc>
        <w:tc>
          <w:tcPr>
            <w:tcW w:w="360" w:type="dxa"/>
            <w:vAlign w:val="bottom"/>
          </w:tcPr>
          <w:p>
            <w:pPr>
              <w:spacing w:after="0"/>
              <w:rPr>
                <w:sz w:val="24"/>
                <w:szCs w:val="24"/>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231F20"/>
              </w:rPr>
              <w:t>(2)</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jc w:val="right"/>
              <w:ind w:right="921"/>
              <w:spacing w:after="0"/>
              <w:rPr>
                <w:sz w:val="20"/>
                <w:szCs w:val="20"/>
                <w:color w:val="auto"/>
              </w:rPr>
            </w:pPr>
            <w:r>
              <w:rPr>
                <w:rFonts w:ascii="Times New Roman" w:cs="Times New Roman" w:eastAsia="Times New Roman" w:hAnsi="Times New Roman"/>
                <w:sz w:val="20"/>
                <w:szCs w:val="20"/>
                <w:color w:val="231F20"/>
              </w:rPr>
              <w:t>(4)</w:t>
            </w:r>
          </w:p>
        </w:tc>
      </w:tr>
      <w:tr>
        <w:trPr>
          <w:trHeight w:val="285"/>
        </w:trPr>
        <w:tc>
          <w:tcPr>
            <w:tcW w:w="56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 . . . . . . . .</w:t>
            </w:r>
          </w:p>
        </w:tc>
        <w:tc>
          <w:tcPr>
            <w:tcW w:w="360" w:type="dxa"/>
            <w:vAlign w:val="bottom"/>
          </w:tcPr>
          <w:p>
            <w:pPr>
              <w:spacing w:after="0"/>
              <w:rPr>
                <w:sz w:val="24"/>
                <w:szCs w:val="24"/>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231F20"/>
              </w:rPr>
              <w:t>(3)</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jc w:val="right"/>
              <w:ind w:right="981"/>
              <w:spacing w:after="0"/>
              <w:rPr>
                <w:sz w:val="20"/>
                <w:szCs w:val="20"/>
                <w:color w:val="auto"/>
              </w:rPr>
            </w:pPr>
            <w:r>
              <w:rPr>
                <w:rFonts w:ascii="Times New Roman" w:cs="Times New Roman" w:eastAsia="Times New Roman" w:hAnsi="Times New Roman"/>
                <w:sz w:val="20"/>
                <w:szCs w:val="20"/>
                <w:color w:val="231F2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1905</wp:posOffset>
            </wp:positionV>
            <wp:extent cx="2533650"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6">
                      <a:extLst>
                        <a:ext uri="{28A0092B-C50C-407E-A947-70E740481C1C}"/>
                      </a:extLst>
                    </a:blip>
                    <a:srcRect/>
                    <a:stretch>
                      <a:fillRect/>
                    </a:stretch>
                  </pic:blipFill>
                  <pic:spPr bwMode="auto">
                    <a:xfrm>
                      <a:off x="0" y="0"/>
                      <a:ext cx="2533650" cy="12700"/>
                    </a:xfrm>
                    <a:prstGeom prst="rect">
                      <a:avLst/>
                    </a:prstGeom>
                    <a:noFill/>
                  </pic:spPr>
                </pic:pic>
              </a:graphicData>
            </a:graphic>
          </wp:anchor>
        </w:drawing>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6700" w:type="dxa"/>
            <w:vAlign w:val="bottom"/>
          </w:tcPr>
          <w:p>
            <w:pPr>
              <w:jc w:val="right"/>
              <w:ind w:right="1000"/>
              <w:spacing w:after="0"/>
              <w:rPr>
                <w:sz w:val="20"/>
                <w:szCs w:val="20"/>
                <w:color w:val="auto"/>
              </w:rPr>
            </w:pPr>
            <w:r>
              <w:rPr>
                <w:rFonts w:ascii="Times New Roman" w:cs="Times New Roman" w:eastAsia="Times New Roman" w:hAnsi="Times New Roman"/>
                <w:sz w:val="20"/>
                <w:szCs w:val="20"/>
                <w:color w:val="231F20"/>
              </w:rPr>
              <w:t xml:space="preserve">(Gains) losses and other (income) expense, net </w:t>
            </w:r>
            <w:r>
              <w:rPr>
                <w:rFonts w:ascii="Times New Roman" w:cs="Times New Roman" w:eastAsia="Times New Roman" w:hAnsi="Times New Roman"/>
                <w:sz w:val="20"/>
                <w:szCs w:val="20"/>
                <w:color w:val="B8BABC"/>
              </w:rPr>
              <w:t>. . . . . . . . . . . . . . . . . .</w:t>
            </w:r>
          </w:p>
        </w:tc>
        <w:tc>
          <w:tcPr>
            <w:tcW w:w="3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w:t>
            </w: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r>
      <w:tr>
        <w:trPr>
          <w:trHeight w:val="285"/>
        </w:trPr>
        <w:tc>
          <w:tcPr>
            <w:tcW w:w="670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231F20"/>
              </w:rPr>
              <w:t xml:space="preserve">Transaction and integration costs </w:t>
            </w:r>
            <w:r>
              <w:rPr>
                <w:rFonts w:ascii="Times New Roman" w:cs="Times New Roman" w:eastAsia="Times New Roman" w:hAnsi="Times New Roman"/>
                <w:sz w:val="20"/>
                <w:szCs w:val="20"/>
                <w:color w:val="B8BABC"/>
              </w:rPr>
              <w:t>. . . . . . . . . . . . . . . . . . . . . . . . . . . . .</w:t>
            </w: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r>
      <w:tr>
        <w:trPr>
          <w:trHeight w:val="285"/>
        </w:trPr>
        <w:tc>
          <w:tcPr>
            <w:tcW w:w="670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231F20"/>
              </w:rPr>
              <w:t xml:space="preserve">Purchase accounting adjustments </w:t>
            </w:r>
            <w:r>
              <w:rPr>
                <w:rFonts w:ascii="Times New Roman" w:cs="Times New Roman" w:eastAsia="Times New Roman" w:hAnsi="Times New Roman"/>
                <w:sz w:val="20"/>
                <w:szCs w:val="20"/>
                <w:color w:val="B8BABC"/>
              </w:rPr>
              <w:t>. . . . . . . . . . . . . . . . . . . . . . . . . . . . .</w:t>
            </w: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r>
      <w:tr>
        <w:trPr>
          <w:trHeight w:val="310"/>
        </w:trPr>
        <w:tc>
          <w:tcPr>
            <w:tcW w:w="670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231F20"/>
                <w:w w:val="99"/>
              </w:rPr>
              <w:t>Litigation charges</w:t>
            </w:r>
            <w:r>
              <w:rPr>
                <w:rFonts w:ascii="Times New Roman" w:cs="Times New Roman" w:eastAsia="Times New Roman" w:hAnsi="Times New Roman"/>
                <w:sz w:val="26"/>
                <w:szCs w:val="26"/>
                <w:color w:val="231F20"/>
                <w:w w:val="99"/>
                <w:vertAlign w:val="superscript"/>
              </w:rPr>
              <w:t>(1)</w:t>
            </w:r>
            <w:r>
              <w:rPr>
                <w:rFonts w:ascii="Times New Roman" w:cs="Times New Roman" w:eastAsia="Times New Roman" w:hAnsi="Times New Roman"/>
                <w:sz w:val="20"/>
                <w:szCs w:val="20"/>
                <w:color w:val="231F20"/>
                <w:w w:val="99"/>
              </w:rPr>
              <w:t xml:space="preserve"> </w:t>
            </w:r>
            <w:r>
              <w:rPr>
                <w:rFonts w:ascii="Times New Roman" w:cs="Times New Roman" w:eastAsia="Times New Roman" w:hAnsi="Times New Roman"/>
                <w:sz w:val="20"/>
                <w:szCs w:val="20"/>
                <w:color w:val="B8BABC"/>
                <w:w w:val="99"/>
              </w:rPr>
              <w:t>. . . . . . . . . . . . . . . . . . . . . . . . . . . . . . . . . . . . . . . .</w:t>
            </w: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r>
      <w:tr>
        <w:trPr>
          <w:trHeight w:val="285"/>
        </w:trPr>
        <w:tc>
          <w:tcPr>
            <w:tcW w:w="6700" w:type="dxa"/>
            <w:vAlign w:val="bottom"/>
          </w:tcPr>
          <w:p>
            <w:pPr>
              <w:jc w:val="right"/>
              <w:ind w:right="1000"/>
              <w:spacing w:after="0" w:line="285" w:lineRule="exact"/>
              <w:rPr>
                <w:sz w:val="20"/>
                <w:szCs w:val="20"/>
                <w:color w:val="auto"/>
              </w:rPr>
            </w:pPr>
            <w:r>
              <w:rPr>
                <w:rFonts w:ascii="Times New Roman" w:cs="Times New Roman" w:eastAsia="Times New Roman" w:hAnsi="Times New Roman"/>
                <w:sz w:val="20"/>
                <w:szCs w:val="20"/>
                <w:color w:val="231F20"/>
                <w:w w:val="99"/>
              </w:rPr>
              <w:t>Modernization</w:t>
            </w:r>
            <w:r>
              <w:rPr>
                <w:rFonts w:ascii="Times New Roman" w:cs="Times New Roman" w:eastAsia="Times New Roman" w:hAnsi="Times New Roman"/>
                <w:sz w:val="26"/>
                <w:szCs w:val="26"/>
                <w:color w:val="231F20"/>
                <w:w w:val="99"/>
                <w:vertAlign w:val="superscript"/>
              </w:rPr>
              <w:t>(1)</w:t>
            </w:r>
            <w:r>
              <w:rPr>
                <w:rFonts w:ascii="Times New Roman" w:cs="Times New Roman" w:eastAsia="Times New Roman" w:hAnsi="Times New Roman"/>
                <w:sz w:val="20"/>
                <w:szCs w:val="20"/>
                <w:color w:val="231F20"/>
                <w:w w:val="99"/>
              </w:rPr>
              <w:t xml:space="preserve">  </w:t>
            </w:r>
            <w:r>
              <w:rPr>
                <w:rFonts w:ascii="Times New Roman" w:cs="Times New Roman" w:eastAsia="Times New Roman" w:hAnsi="Times New Roman"/>
                <w:sz w:val="20"/>
                <w:szCs w:val="20"/>
                <w:color w:val="B8BABC"/>
                <w:w w:val="99"/>
              </w:rPr>
              <w:t>. . . . . . . . . . . . . . . . . . . . . . . . . . . . . . . . . . . . . . . . . .</w:t>
            </w: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r>
      <w:tr>
        <w:trPr>
          <w:trHeight w:val="285"/>
        </w:trPr>
        <w:tc>
          <w:tcPr>
            <w:tcW w:w="6700" w:type="dxa"/>
            <w:vAlign w:val="bottom"/>
          </w:tcPr>
          <w:p>
            <w:pPr>
              <w:jc w:val="right"/>
              <w:ind w:right="1000"/>
              <w:spacing w:after="0" w:line="285" w:lineRule="exact"/>
              <w:rPr>
                <w:sz w:val="20"/>
                <w:szCs w:val="20"/>
                <w:color w:val="auto"/>
              </w:rPr>
            </w:pPr>
            <w:r>
              <w:rPr>
                <w:rFonts w:ascii="Times New Roman" w:cs="Times New Roman" w:eastAsia="Times New Roman" w:hAnsi="Times New Roman"/>
                <w:sz w:val="20"/>
                <w:szCs w:val="20"/>
                <w:color w:val="231F20"/>
                <w:w w:val="98"/>
              </w:rPr>
              <w:t>Restructuring</w:t>
            </w:r>
            <w:r>
              <w:rPr>
                <w:rFonts w:ascii="Times New Roman" w:cs="Times New Roman" w:eastAsia="Times New Roman" w:hAnsi="Times New Roman"/>
                <w:sz w:val="26"/>
                <w:szCs w:val="26"/>
                <w:color w:val="231F20"/>
                <w:w w:val="98"/>
                <w:vertAlign w:val="superscript"/>
              </w:rPr>
              <w:t>(1)</w:t>
            </w:r>
            <w:r>
              <w:rPr>
                <w:rFonts w:ascii="Times New Roman" w:cs="Times New Roman" w:eastAsia="Times New Roman" w:hAnsi="Times New Roman"/>
                <w:sz w:val="20"/>
                <w:szCs w:val="20"/>
                <w:color w:val="231F20"/>
                <w:w w:val="98"/>
              </w:rPr>
              <w:t xml:space="preserve">  </w:t>
            </w:r>
            <w:r>
              <w:rPr>
                <w:rFonts w:ascii="Times New Roman" w:cs="Times New Roman" w:eastAsia="Times New Roman" w:hAnsi="Times New Roman"/>
                <w:sz w:val="20"/>
                <w:szCs w:val="20"/>
                <w:color w:val="B8BABC"/>
                <w:w w:val="98"/>
              </w:rPr>
              <w:t>. . . . . . . . . . . . . . . . . . . . . . . . . . . . . . . . . . . . . . . . . . .</w:t>
            </w:r>
          </w:p>
        </w:tc>
        <w:tc>
          <w:tcPr>
            <w:tcW w:w="3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r>
      <w:tr>
        <w:trPr>
          <w:trHeight w:val="260"/>
        </w:trPr>
        <w:tc>
          <w:tcPr>
            <w:tcW w:w="6700" w:type="dxa"/>
            <w:vAlign w:val="bottom"/>
          </w:tcPr>
          <w:p>
            <w:pPr>
              <w:jc w:val="right"/>
              <w:ind w:right="1000"/>
              <w:spacing w:after="0"/>
              <w:rPr>
                <w:sz w:val="20"/>
                <w:szCs w:val="20"/>
                <w:color w:val="auto"/>
              </w:rPr>
            </w:pPr>
            <w:r>
              <w:rPr>
                <w:rFonts w:ascii="Times New Roman" w:cs="Times New Roman" w:eastAsia="Times New Roman" w:hAnsi="Times New Roman"/>
                <w:sz w:val="20"/>
                <w:szCs w:val="20"/>
                <w:color w:val="231F20"/>
                <w:w w:val="99"/>
              </w:rPr>
              <w:t xml:space="preserve">Impairment  </w:t>
            </w:r>
            <w:r>
              <w:rPr>
                <w:rFonts w:ascii="Times New Roman" w:cs="Times New Roman" w:eastAsia="Times New Roman" w:hAnsi="Times New Roman"/>
                <w:sz w:val="20"/>
                <w:szCs w:val="20"/>
                <w:color w:val="B8BABC"/>
                <w:w w:val="99"/>
              </w:rPr>
              <w:t>. . . . . . . . . . . . . . . . . . . . . . . . . . . . . . . . . . . . . . . . . . . . . .</w:t>
            </w:r>
          </w:p>
        </w:tc>
        <w:tc>
          <w:tcPr>
            <w:tcW w:w="3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577</w:t>
            </w: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r>
      <w:tr>
        <w:trPr>
          <w:trHeight w:val="288"/>
        </w:trPr>
        <w:tc>
          <w:tcPr>
            <w:tcW w:w="6700" w:type="dxa"/>
            <w:vAlign w:val="bottom"/>
          </w:tcPr>
          <w:p>
            <w:pPr>
              <w:jc w:val="right"/>
              <w:ind w:right="980"/>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 . . . . . . . . . .</w:t>
            </w:r>
          </w:p>
        </w:tc>
        <w:tc>
          <w:tcPr>
            <w:tcW w:w="34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080" w:type="dxa"/>
            <w:vAlign w:val="bottom"/>
          </w:tcPr>
          <w:p>
            <w:pPr>
              <w:spacing w:after="0"/>
              <w:rPr>
                <w:sz w:val="24"/>
                <w:szCs w:val="24"/>
                <w:color w:val="auto"/>
              </w:rPr>
            </w:pPr>
          </w:p>
        </w:tc>
        <w:tc>
          <w:tcPr>
            <w:tcW w:w="40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r>
      <w:tr>
        <w:trPr>
          <w:trHeight w:val="245"/>
        </w:trPr>
        <w:tc>
          <w:tcPr>
            <w:tcW w:w="6700" w:type="dxa"/>
            <w:vAlign w:val="bottom"/>
          </w:tcPr>
          <w:p>
            <w:pPr>
              <w:jc w:val="right"/>
              <w:ind w:right="980"/>
              <w:spacing w:after="0" w:line="245" w:lineRule="exact"/>
              <w:rPr>
                <w:sz w:val="20"/>
                <w:szCs w:val="20"/>
                <w:color w:val="auto"/>
              </w:rPr>
            </w:pPr>
            <w:r>
              <w:rPr>
                <w:rFonts w:ascii="Times New Roman" w:cs="Times New Roman" w:eastAsia="Times New Roman" w:hAnsi="Times New Roman"/>
                <w:sz w:val="20"/>
                <w:szCs w:val="20"/>
                <w:b w:val="1"/>
                <w:bCs w:val="1"/>
                <w:color w:val="B8BABC"/>
              </w:rPr>
              <w:t>. . . . . . . . . . . . . . . . . . . . . . . . . . . . . . . . . . . . . .</w:t>
            </w:r>
            <w:r>
              <w:rPr>
                <w:rFonts w:ascii="Times New Roman" w:cs="Times New Roman" w:eastAsia="Times New Roman" w:hAnsi="Times New Roman"/>
                <w:sz w:val="20"/>
                <w:szCs w:val="20"/>
                <w:b w:val="1"/>
                <w:bCs w:val="1"/>
                <w:color w:val="231F20"/>
              </w:rPr>
              <w:t>TotalCertainitems</w:t>
            </w:r>
            <w:r>
              <w:rPr>
                <w:rFonts w:ascii="Times New Roman" w:cs="Times New Roman" w:eastAsia="Times New Roman" w:hAnsi="Times New Roman"/>
                <w:sz w:val="26"/>
                <w:szCs w:val="26"/>
                <w:b w:val="1"/>
                <w:bCs w:val="1"/>
                <w:color w:val="231F20"/>
                <w:vertAlign w:val="superscript"/>
              </w:rPr>
              <w:t>(1)</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689</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w:t>
            </w:r>
          </w:p>
        </w:tc>
      </w:tr>
      <w:tr>
        <w:trPr>
          <w:trHeight w:val="20"/>
        </w:trPr>
        <w:tc>
          <w:tcPr>
            <w:tcW w:w="670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r>
    </w:tbl>
    <w:p>
      <w:pPr>
        <w:spacing w:after="0" w:line="90" w:lineRule="exact"/>
        <w:rPr>
          <w:sz w:val="20"/>
          <w:szCs w:val="20"/>
          <w:color w:val="auto"/>
        </w:rPr>
      </w:pPr>
    </w:p>
    <w:p>
      <w:pPr>
        <w:ind w:left="360" w:hanging="360"/>
        <w:spacing w:after="0"/>
        <w:tabs>
          <w:tab w:leader="none" w:pos="360" w:val="left"/>
        </w:tabs>
        <w:numPr>
          <w:ilvl w:val="0"/>
          <w:numId w:val="13"/>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Prior year amounts have been reclassified to conform with our current year presentation.</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9720"/>
          </w:cols>
          <w:pgMar w:left="1080" w:top="838" w:right="108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231F20"/>
        </w:rPr>
        <w:t>Segment Adjusted EBITDA</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64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720" w:type="dxa"/>
            <w:vAlign w:val="bottom"/>
            <w:tcBorders>
              <w:bottom w:val="single" w:sz="8" w:color="231F20"/>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18"/>
                <w:szCs w:val="18"/>
                <w:b w:val="1"/>
                <w:bCs w:val="1"/>
                <w:color w:val="231F20"/>
              </w:rPr>
              <w:t>Fiscal Years</w:t>
            </w:r>
          </w:p>
        </w:tc>
        <w:tc>
          <w:tcPr>
            <w:tcW w:w="220" w:type="dxa"/>
            <w:vAlign w:val="bottom"/>
            <w:tcBorders>
              <w:bottom w:val="single" w:sz="8" w:color="231F20"/>
            </w:tcBorders>
          </w:tcPr>
          <w:p>
            <w:pPr>
              <w:spacing w:after="0"/>
              <w:rPr>
                <w:sz w:val="21"/>
                <w:szCs w:val="21"/>
                <w:color w:val="auto"/>
              </w:rPr>
            </w:pPr>
          </w:p>
        </w:tc>
        <w:tc>
          <w:tcPr>
            <w:tcW w:w="720" w:type="dxa"/>
            <w:vAlign w:val="bottom"/>
            <w:tcBorders>
              <w:bottom w:val="single" w:sz="8" w:color="231F20"/>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660" w:type="dxa"/>
            <w:vAlign w:val="bottom"/>
            <w:tcBorders>
              <w:bottom w:val="single" w:sz="8" w:color="231F20"/>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231F20"/>
                <w:w w:val="98"/>
              </w:rPr>
              <w:t>2025 vs. 2024</w:t>
            </w:r>
          </w:p>
        </w:tc>
      </w:tr>
      <w:tr>
        <w:trPr>
          <w:trHeight w:val="235"/>
        </w:trPr>
        <w:tc>
          <w:tcPr>
            <w:tcW w:w="4640" w:type="dxa"/>
            <w:vAlign w:val="bottom"/>
          </w:tcPr>
          <w:p>
            <w:pPr>
              <w:jc w:val="right"/>
              <w:ind w:right="3623"/>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2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660" w:type="dxa"/>
            <w:vAlign w:val="bottom"/>
            <w:tcBorders>
              <w:bottom w:val="single" w:sz="8" w:color="231F20"/>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231F20"/>
              </w:rPr>
              <w:t>Change</w:t>
            </w:r>
          </w:p>
        </w:tc>
      </w:tr>
      <w:tr>
        <w:trPr>
          <w:trHeight w:val="287"/>
        </w:trPr>
        <w:tc>
          <w:tcPr>
            <w:tcW w:w="4640" w:type="dxa"/>
            <w:vAlign w:val="bottom"/>
          </w:tcPr>
          <w:p>
            <w:pPr>
              <w:jc w:val="right"/>
              <w:spacing w:after="0" w:line="287" w:lineRule="exact"/>
              <w:rPr>
                <w:sz w:val="20"/>
                <w:szCs w:val="20"/>
                <w:color w:val="auto"/>
              </w:rPr>
            </w:pPr>
            <w:r>
              <w:rPr>
                <w:rFonts w:ascii="Times New Roman" w:cs="Times New Roman" w:eastAsia="Times New Roman" w:hAnsi="Times New Roman"/>
                <w:sz w:val="20"/>
                <w:szCs w:val="20"/>
                <w:color w:val="231F20"/>
                <w:w w:val="99"/>
              </w:rPr>
              <w:t>Vacation Ownership</w:t>
            </w:r>
            <w:r>
              <w:rPr>
                <w:rFonts w:ascii="Times New Roman" w:cs="Times New Roman" w:eastAsia="Times New Roman" w:hAnsi="Times New Roman"/>
                <w:sz w:val="26"/>
                <w:szCs w:val="26"/>
                <w:color w:val="231F20"/>
                <w:w w:val="99"/>
                <w:vertAlign w:val="superscript"/>
              </w:rPr>
              <w:t>(1)</w:t>
            </w:r>
            <w:r>
              <w:rPr>
                <w:rFonts w:ascii="Times New Roman" w:cs="Times New Roman" w:eastAsia="Times New Roman" w:hAnsi="Times New Roman"/>
                <w:sz w:val="20"/>
                <w:szCs w:val="20"/>
                <w:color w:val="231F20"/>
                <w:w w:val="99"/>
              </w:rPr>
              <w:t xml:space="preserve">  </w:t>
            </w:r>
            <w:r>
              <w:rPr>
                <w:rFonts w:ascii="Times New Roman" w:cs="Times New Roman" w:eastAsia="Times New Roman" w:hAnsi="Times New Roman"/>
                <w:sz w:val="20"/>
                <w:szCs w:val="20"/>
                <w:color w:val="B8BABC"/>
                <w:w w:val="99"/>
              </w:rPr>
              <w:t>. . . . . . . . . . . . . . . . . . . . . . . . . .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848</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231F20"/>
                <w:w w:val="97"/>
              </w:rPr>
              <w:t>2%</w:t>
            </w:r>
          </w:p>
        </w:tc>
      </w:tr>
      <w:tr>
        <w:trPr>
          <w:trHeight w:val="263"/>
        </w:trPr>
        <w:tc>
          <w:tcPr>
            <w:tcW w:w="46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Exchange &amp; Third-Party Management </w:t>
            </w:r>
            <w:r>
              <w:rPr>
                <w:rFonts w:ascii="Times New Roman" w:cs="Times New Roman" w:eastAsia="Times New Roman" w:hAnsi="Times New Roman"/>
                <w:sz w:val="20"/>
                <w:szCs w:val="20"/>
                <w:color w:val="B8BABC"/>
                <w:w w:val="99"/>
              </w:rPr>
              <w:t>. . . . . . . . . . . . . . .</w:t>
            </w:r>
          </w:p>
        </w:tc>
        <w:tc>
          <w:tcPr>
            <w:tcW w:w="220" w:type="dxa"/>
            <w:vAlign w:val="bottom"/>
            <w:tcBorders>
              <w:bottom w:val="single" w:sz="8" w:color="231F20"/>
            </w:tcBorders>
          </w:tcPr>
          <w:p>
            <w:pPr>
              <w:spacing w:after="0"/>
              <w:rPr>
                <w:sz w:val="22"/>
                <w:szCs w:val="22"/>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91</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102</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130</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231F20"/>
                <w:w w:val="99"/>
              </w:rPr>
              <w:t>(11%)</w:t>
            </w:r>
          </w:p>
        </w:tc>
      </w:tr>
      <w:tr>
        <w:trPr>
          <w:trHeight w:val="287"/>
        </w:trPr>
        <w:tc>
          <w:tcPr>
            <w:tcW w:w="4640" w:type="dxa"/>
            <w:vAlign w:val="bottom"/>
          </w:tcPr>
          <w:p>
            <w:pPr>
              <w:jc w:val="right"/>
              <w:spacing w:after="0" w:line="287" w:lineRule="exact"/>
              <w:rPr>
                <w:sz w:val="20"/>
                <w:szCs w:val="20"/>
                <w:color w:val="auto"/>
              </w:rPr>
            </w:pPr>
            <w:r>
              <w:rPr>
                <w:rFonts w:ascii="Times New Roman" w:cs="Times New Roman" w:eastAsia="Times New Roman" w:hAnsi="Times New Roman"/>
                <w:sz w:val="20"/>
                <w:szCs w:val="20"/>
                <w:b w:val="1"/>
                <w:bCs w:val="1"/>
                <w:color w:val="B8BABC"/>
              </w:rPr>
              <w:t>. . . . . . . . . . . . . . . . . . . .</w:t>
            </w:r>
            <w:r>
              <w:rPr>
                <w:rFonts w:ascii="Times New Roman" w:cs="Times New Roman" w:eastAsia="Times New Roman" w:hAnsi="Times New Roman"/>
                <w:sz w:val="20"/>
                <w:szCs w:val="20"/>
                <w:b w:val="1"/>
                <w:bCs w:val="1"/>
                <w:color w:val="231F20"/>
              </w:rPr>
              <w:t>SegmentAdjustedEBITDA</w:t>
            </w:r>
            <w:r>
              <w:rPr>
                <w:rFonts w:ascii="Times New Roman" w:cs="Times New Roman" w:eastAsia="Times New Roman" w:hAnsi="Times New Roman"/>
                <w:sz w:val="26"/>
                <w:szCs w:val="26"/>
                <w:b w:val="1"/>
                <w:bCs w:val="1"/>
                <w:color w:val="231F20"/>
                <w:vertAlign w:val="superscript"/>
              </w:rPr>
              <w:t>(1)</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231F20"/>
                <w:w w:val="97"/>
              </w:rPr>
              <w:t>1%</w:t>
            </w:r>
          </w:p>
        </w:tc>
      </w:tr>
      <w:tr>
        <w:trPr>
          <w:trHeight w:val="285"/>
        </w:trPr>
        <w:tc>
          <w:tcPr>
            <w:tcW w:w="4640" w:type="dxa"/>
            <w:vAlign w:val="bottom"/>
          </w:tcPr>
          <w:p>
            <w:pPr>
              <w:jc w:val="right"/>
              <w:spacing w:after="0" w:line="285" w:lineRule="exact"/>
              <w:rPr>
                <w:sz w:val="20"/>
                <w:szCs w:val="20"/>
                <w:color w:val="auto"/>
              </w:rPr>
            </w:pPr>
            <w:r>
              <w:rPr>
                <w:rFonts w:ascii="Times New Roman" w:cs="Times New Roman" w:eastAsia="Times New Roman" w:hAnsi="Times New Roman"/>
                <w:sz w:val="20"/>
                <w:szCs w:val="20"/>
                <w:color w:val="231F20"/>
                <w:w w:val="98"/>
              </w:rPr>
              <w:t>General and administrative</w:t>
            </w:r>
            <w:r>
              <w:rPr>
                <w:rFonts w:ascii="Times New Roman" w:cs="Times New Roman" w:eastAsia="Times New Roman" w:hAnsi="Times New Roman"/>
                <w:sz w:val="26"/>
                <w:szCs w:val="26"/>
                <w:color w:val="231F20"/>
                <w:w w:val="98"/>
                <w:vertAlign w:val="superscript"/>
              </w:rPr>
              <w:t>(1)</w:t>
            </w:r>
            <w:r>
              <w:rPr>
                <w:rFonts w:ascii="Times New Roman" w:cs="Times New Roman" w:eastAsia="Times New Roman" w:hAnsi="Times New Roman"/>
                <w:sz w:val="20"/>
                <w:szCs w:val="20"/>
                <w:color w:val="231F20"/>
                <w:w w:val="98"/>
              </w:rPr>
              <w:t xml:space="preserve">  </w:t>
            </w:r>
            <w:r>
              <w:rPr>
                <w:rFonts w:ascii="Times New Roman" w:cs="Times New Roman" w:eastAsia="Times New Roman" w:hAnsi="Times New Roman"/>
                <w:sz w:val="20"/>
                <w:szCs w:val="20"/>
                <w:color w:val="B8BABC"/>
                <w:w w:val="98"/>
              </w:rPr>
              <w:t>. . . . . . . . . . . . . . . . . . . . . .</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w:t>
            </w:r>
          </w:p>
        </w:tc>
      </w:tr>
      <w:tr>
        <w:trPr>
          <w:trHeight w:val="263"/>
        </w:trPr>
        <w:tc>
          <w:tcPr>
            <w:tcW w:w="4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w:t>
            </w:r>
          </w:p>
        </w:tc>
        <w:tc>
          <w:tcPr>
            <w:tcW w:w="220" w:type="dxa"/>
            <w:vAlign w:val="bottom"/>
            <w:tcBorders>
              <w:bottom w:val="single" w:sz="8" w:color="231F20"/>
            </w:tcBorders>
          </w:tcPr>
          <w:p>
            <w:pPr>
              <w:spacing w:after="0"/>
              <w:rPr>
                <w:sz w:val="22"/>
                <w:szCs w:val="22"/>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8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43%</w:t>
            </w:r>
          </w:p>
        </w:tc>
      </w:tr>
      <w:tr>
        <w:trPr>
          <w:trHeight w:val="245"/>
        </w:trPr>
        <w:tc>
          <w:tcPr>
            <w:tcW w:w="4640" w:type="dxa"/>
            <w:vAlign w:val="bottom"/>
          </w:tcPr>
          <w:p>
            <w:pPr>
              <w:jc w:val="right"/>
              <w:spacing w:after="0" w:line="245" w:lineRule="exact"/>
              <w:rPr>
                <w:sz w:val="20"/>
                <w:szCs w:val="20"/>
                <w:color w:val="auto"/>
              </w:rPr>
            </w:pPr>
            <w:r>
              <w:rPr>
                <w:rFonts w:ascii="Times New Roman" w:cs="Times New Roman" w:eastAsia="Times New Roman" w:hAnsi="Times New Roman"/>
                <w:sz w:val="20"/>
                <w:szCs w:val="20"/>
                <w:b w:val="1"/>
                <w:bCs w:val="1"/>
                <w:color w:val="B8BABC"/>
              </w:rPr>
              <w:t>. . . . . . . . . . . . . . . . . . . . . . . . . . . .</w:t>
            </w:r>
            <w:r>
              <w:rPr>
                <w:rFonts w:ascii="Times New Roman" w:cs="Times New Roman" w:eastAsia="Times New Roman" w:hAnsi="Times New Roman"/>
                <w:sz w:val="20"/>
                <w:szCs w:val="20"/>
                <w:b w:val="1"/>
                <w:bCs w:val="1"/>
                <w:color w:val="231F20"/>
              </w:rPr>
              <w:t>AdjustedEBITDA</w:t>
            </w:r>
            <w:r>
              <w:rPr>
                <w:rFonts w:ascii="Times New Roman" w:cs="Times New Roman" w:eastAsia="Times New Roman" w:hAnsi="Times New Roman"/>
                <w:sz w:val="26"/>
                <w:szCs w:val="26"/>
                <w:b w:val="1"/>
                <w:bCs w:val="1"/>
                <w:color w:val="231F20"/>
                <w:vertAlign w:val="super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736</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102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231F20"/>
                <w:w w:val="97"/>
              </w:rPr>
              <w:t>2%</w:t>
            </w:r>
          </w:p>
        </w:tc>
      </w:tr>
      <w:tr>
        <w:trPr>
          <w:trHeight w:val="20"/>
        </w:trPr>
        <w:tc>
          <w:tcPr>
            <w:tcW w:w="464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ind w:left="360" w:hanging="360"/>
        <w:spacing w:after="0" w:line="215" w:lineRule="auto"/>
        <w:tabs>
          <w:tab w:leader="none" w:pos="360" w:val="left"/>
        </w:tabs>
        <w:numPr>
          <w:ilvl w:val="0"/>
          <w:numId w:val="14"/>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Prior year amounts have been reclassified to conform with our current year presentation.</w:t>
      </w:r>
    </w:p>
    <w:p>
      <w:pPr>
        <w:spacing w:after="0" w:line="101"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20"/>
          <w:szCs w:val="20"/>
          <w:color w:val="231F20"/>
        </w:rPr>
        <w:t>The following tables present segment financial results attributable to common stockholders reconciled to segment Adjusted EBITDA.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Vacation Ownership</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64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660" w:type="dxa"/>
            <w:vAlign w:val="bottom"/>
            <w:tcBorders>
              <w:bottom w:val="single" w:sz="8" w:color="231F20"/>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231F20"/>
                <w:w w:val="98"/>
              </w:rPr>
              <w:t>2025 vs. 2024</w:t>
            </w:r>
          </w:p>
        </w:tc>
        <w:tc>
          <w:tcPr>
            <w:tcW w:w="0" w:type="dxa"/>
            <w:vAlign w:val="bottom"/>
          </w:tcPr>
          <w:p>
            <w:pPr>
              <w:spacing w:after="0"/>
              <w:rPr>
                <w:sz w:val="1"/>
                <w:szCs w:val="1"/>
                <w:color w:val="auto"/>
              </w:rPr>
            </w:pPr>
          </w:p>
        </w:tc>
      </w:tr>
      <w:tr>
        <w:trPr>
          <w:trHeight w:val="235"/>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center"/>
              <w:ind w:right="101"/>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gridSpan w:val="2"/>
          </w:tcPr>
          <w:p>
            <w:pPr>
              <w:jc w:val="center"/>
              <w:ind w:left="262"/>
              <w:spacing w:after="0"/>
              <w:rPr>
                <w:sz w:val="20"/>
                <w:szCs w:val="20"/>
                <w:color w:val="auto"/>
              </w:rPr>
            </w:pPr>
            <w:r>
              <w:rPr>
                <w:rFonts w:ascii="Times New Roman" w:cs="Times New Roman" w:eastAsia="Times New Roman" w:hAnsi="Times New Roman"/>
                <w:sz w:val="18"/>
                <w:szCs w:val="18"/>
                <w:b w:val="1"/>
                <w:bCs w:val="1"/>
                <w:color w:val="231F20"/>
              </w:rPr>
              <w:t>Change</w:t>
            </w:r>
          </w:p>
        </w:tc>
        <w:tc>
          <w:tcPr>
            <w:tcW w:w="6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Segment financial results </w:t>
            </w:r>
            <w:r>
              <w:rPr>
                <w:rFonts w:ascii="Times New Roman" w:cs="Times New Roman" w:eastAsia="Times New Roman" w:hAnsi="Times New Roman"/>
                <w:sz w:val="20"/>
                <w:szCs w:val="20"/>
                <w:color w:val="B8BABC"/>
              </w:rPr>
              <w:t>.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703</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777</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(358)</w:t>
            </w:r>
          </w:p>
        </w:tc>
        <w:tc>
          <w:tcPr>
            <w:tcW w:w="36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NM</w:t>
            </w: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Depreciation and amortization </w:t>
            </w:r>
            <w:r>
              <w:rPr>
                <w:rFonts w:ascii="Times New Roman" w:cs="Times New Roman" w:eastAsia="Times New Roman" w:hAnsi="Times New Roman"/>
                <w:sz w:val="20"/>
                <w:szCs w:val="20"/>
                <w:color w:val="B8BABC"/>
              </w:rPr>
              <w:t>. . . . . . . . . . . . . . . . . . . . .</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360" w:type="dxa"/>
            <w:vAlign w:val="bottom"/>
          </w:tcPr>
          <w:p>
            <w:pPr>
              <w:spacing w:after="0"/>
              <w:rPr>
                <w:sz w:val="24"/>
                <w:szCs w:val="24"/>
                <w:color w:val="auto"/>
              </w:rPr>
            </w:pPr>
          </w:p>
        </w:tc>
        <w:tc>
          <w:tcPr>
            <w:tcW w:w="6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7"/>
              </w:rPr>
              <w:t>7%</w:t>
            </w: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Share-based compensation expense </w:t>
            </w:r>
            <w:r>
              <w:rPr>
                <w:rFonts w:ascii="Times New Roman" w:cs="Times New Roman" w:eastAsia="Times New Roman" w:hAnsi="Times New Roman"/>
                <w:sz w:val="20"/>
                <w:szCs w:val="20"/>
                <w:color w:val="B8BABC"/>
              </w:rPr>
              <w:t>. . . . . . . . . . . . . . . . .</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360" w:type="dxa"/>
            <w:vAlign w:val="bottom"/>
          </w:tcPr>
          <w:p>
            <w:pPr>
              <w:spacing w:after="0"/>
              <w:rPr>
                <w:sz w:val="24"/>
                <w:szCs w:val="24"/>
                <w:color w:val="auto"/>
              </w:rPr>
            </w:pPr>
          </w:p>
        </w:tc>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8"/>
              </w:rPr>
              <w:t>11%</w:t>
            </w:r>
          </w:p>
        </w:tc>
        <w:tc>
          <w:tcPr>
            <w:tcW w:w="0" w:type="dxa"/>
            <w:vAlign w:val="bottom"/>
          </w:tcPr>
          <w:p>
            <w:pPr>
              <w:spacing w:after="0"/>
              <w:rPr>
                <w:sz w:val="1"/>
                <w:szCs w:val="1"/>
                <w:color w:val="auto"/>
              </w:rPr>
            </w:pPr>
          </w:p>
        </w:tc>
      </w:tr>
      <w:tr>
        <w:trPr>
          <w:trHeight w:val="205"/>
        </w:trPr>
        <w:tc>
          <w:tcPr>
            <w:tcW w:w="4640" w:type="dxa"/>
            <w:vAlign w:val="bottom"/>
          </w:tcPr>
          <w:p>
            <w:pPr>
              <w:spacing w:after="0" w:line="205" w:lineRule="exact"/>
              <w:rPr>
                <w:sz w:val="20"/>
                <w:szCs w:val="20"/>
                <w:color w:val="auto"/>
              </w:rPr>
            </w:pPr>
            <w:r>
              <w:rPr>
                <w:rFonts w:ascii="Times New Roman" w:cs="Times New Roman" w:eastAsia="Times New Roman" w:hAnsi="Times New Roman"/>
                <w:sz w:val="20"/>
                <w:szCs w:val="20"/>
                <w:color w:val="231F20"/>
              </w:rPr>
              <w:t>Amortization of cloud computing amortization</w:t>
            </w: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360" w:type="dxa"/>
            <w:vAlign w:val="bottom"/>
          </w:tcPr>
          <w:p>
            <w:pPr>
              <w:spacing w:after="0"/>
              <w:rPr>
                <w:sz w:val="17"/>
                <w:szCs w:val="17"/>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231F20"/>
              </w:rPr>
              <w:t>NM</w:t>
            </w:r>
          </w:p>
        </w:tc>
        <w:tc>
          <w:tcPr>
            <w:tcW w:w="0" w:type="dxa"/>
            <w:vAlign w:val="bottom"/>
          </w:tcPr>
          <w:p>
            <w:pPr>
              <w:spacing w:after="0"/>
              <w:rPr>
                <w:sz w:val="1"/>
                <w:szCs w:val="1"/>
                <w:color w:val="auto"/>
              </w:rPr>
            </w:pPr>
          </w:p>
        </w:tc>
      </w:tr>
      <w:tr>
        <w:trPr>
          <w:trHeight w:val="285"/>
        </w:trPr>
        <w:tc>
          <w:tcPr>
            <w:tcW w:w="4640" w:type="dxa"/>
            <w:vAlign w:val="bottom"/>
          </w:tcPr>
          <w:p>
            <w:pPr>
              <w:spacing w:after="0" w:line="285" w:lineRule="exact"/>
              <w:rPr>
                <w:sz w:val="20"/>
                <w:szCs w:val="20"/>
                <w:color w:val="auto"/>
              </w:rPr>
            </w:pPr>
            <w:r>
              <w:rPr>
                <w:rFonts w:ascii="Times New Roman" w:cs="Times New Roman" w:eastAsia="Times New Roman" w:hAnsi="Times New Roman"/>
                <w:sz w:val="20"/>
                <w:szCs w:val="20"/>
                <w:color w:val="231F20"/>
              </w:rPr>
              <w:t>implementation costs</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w:t>
            </w:r>
          </w:p>
        </w:tc>
        <w:tc>
          <w:tcPr>
            <w:tcW w:w="18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Certain items </w:t>
            </w:r>
            <w:r>
              <w:rPr>
                <w:rFonts w:ascii="Times New Roman" w:cs="Times New Roman" w:eastAsia="Times New Roman" w:hAnsi="Times New Roman"/>
                <w:sz w:val="20"/>
                <w:szCs w:val="20"/>
                <w:color w:val="B8BABC"/>
              </w:rPr>
              <w:t>. . . . . . . . . . . . . . . . . . . . . . . . . . . . . . . . . . .</w:t>
            </w:r>
          </w:p>
        </w:tc>
        <w:tc>
          <w:tcPr>
            <w:tcW w:w="18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403</w:t>
            </w:r>
          </w:p>
        </w:tc>
        <w:tc>
          <w:tcPr>
            <w:tcW w:w="8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8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8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369</w:t>
            </w:r>
          </w:p>
        </w:tc>
        <w:tc>
          <w:tcPr>
            <w:tcW w:w="36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NM</w:t>
            </w:r>
          </w:p>
        </w:tc>
        <w:tc>
          <w:tcPr>
            <w:tcW w:w="0" w:type="dxa"/>
            <w:vAlign w:val="bottom"/>
          </w:tcPr>
          <w:p>
            <w:pPr>
              <w:spacing w:after="0"/>
              <w:rPr>
                <w:sz w:val="1"/>
                <w:szCs w:val="1"/>
                <w:color w:val="auto"/>
              </w:rPr>
            </w:pPr>
          </w:p>
        </w:tc>
      </w:tr>
      <w:tr>
        <w:trPr>
          <w:trHeight w:val="245"/>
        </w:trPr>
        <w:tc>
          <w:tcPr>
            <w:tcW w:w="4640" w:type="dxa"/>
            <w:vAlign w:val="bottom"/>
          </w:tcPr>
          <w:p>
            <w:pPr>
              <w:jc w:val="right"/>
              <w:spacing w:after="0" w:line="245" w:lineRule="exact"/>
              <w:rPr>
                <w:sz w:val="20"/>
                <w:szCs w:val="20"/>
                <w:color w:val="auto"/>
              </w:rPr>
            </w:pPr>
            <w:r>
              <w:rPr>
                <w:rFonts w:ascii="Times New Roman" w:cs="Times New Roman" w:eastAsia="Times New Roman" w:hAnsi="Times New Roman"/>
                <w:sz w:val="20"/>
                <w:szCs w:val="20"/>
                <w:b w:val="1"/>
                <w:bCs w:val="1"/>
                <w:color w:val="B8BABC"/>
              </w:rPr>
              <w:t>. . . . . . . . . . . . . . . . . . . .</w:t>
            </w:r>
            <w:r>
              <w:rPr>
                <w:rFonts w:ascii="Times New Roman" w:cs="Times New Roman" w:eastAsia="Times New Roman" w:hAnsi="Times New Roman"/>
                <w:sz w:val="20"/>
                <w:szCs w:val="20"/>
                <w:b w:val="1"/>
                <w:bCs w:val="1"/>
                <w:color w:val="231F20"/>
              </w:rPr>
              <w:t>SegmentAdjustedEBITDA</w:t>
            </w:r>
            <w:r>
              <w:rPr>
                <w:rFonts w:ascii="Times New Roman" w:cs="Times New Roman" w:eastAsia="Times New Roman" w:hAnsi="Times New Roman"/>
                <w:sz w:val="26"/>
                <w:szCs w:val="26"/>
                <w:b w:val="1"/>
                <w:bCs w:val="1"/>
                <w:color w:val="231F20"/>
                <w:vertAlign w:val="superscript"/>
              </w:rPr>
              <w:t>(1)</w:t>
            </w: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868</w:t>
            </w:r>
          </w:p>
        </w:tc>
        <w:tc>
          <w:tcPr>
            <w:tcW w:w="80" w:type="dxa"/>
            <w:vAlign w:val="bottom"/>
          </w:tcPr>
          <w:p>
            <w:pPr>
              <w:spacing w:after="0"/>
              <w:rPr>
                <w:sz w:val="21"/>
                <w:szCs w:val="21"/>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848</w:t>
            </w:r>
          </w:p>
        </w:tc>
        <w:tc>
          <w:tcPr>
            <w:tcW w:w="80" w:type="dxa"/>
            <w:vAlign w:val="bottom"/>
          </w:tcPr>
          <w:p>
            <w:pPr>
              <w:spacing w:after="0"/>
              <w:rPr>
                <w:sz w:val="21"/>
                <w:szCs w:val="21"/>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883</w:t>
            </w:r>
          </w:p>
        </w:tc>
        <w:tc>
          <w:tcPr>
            <w:tcW w:w="80" w:type="dxa"/>
            <w:vAlign w:val="bottom"/>
          </w:tcPr>
          <w:p>
            <w:pPr>
              <w:spacing w:after="0"/>
              <w:rPr>
                <w:sz w:val="21"/>
                <w:szCs w:val="21"/>
                <w:color w:val="auto"/>
              </w:rPr>
            </w:pPr>
          </w:p>
        </w:tc>
        <w:tc>
          <w:tcPr>
            <w:tcW w:w="300" w:type="dxa"/>
            <w:vAlign w:val="bottom"/>
            <w:tcBorders>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360" w:type="dxa"/>
            <w:vAlign w:val="bottom"/>
          </w:tcPr>
          <w:p>
            <w:pPr>
              <w:spacing w:after="0"/>
              <w:rPr>
                <w:sz w:val="21"/>
                <w:szCs w:val="21"/>
                <w:color w:val="auto"/>
              </w:rPr>
            </w:pPr>
          </w:p>
        </w:tc>
        <w:tc>
          <w:tcPr>
            <w:tcW w:w="6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7"/>
              </w:rPr>
              <w:t>2%</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Segment Adjusted EBITDA Margin</w:t>
            </w:r>
            <w:r>
              <w:rPr>
                <w:rFonts w:ascii="Times New Roman" w:cs="Times New Roman" w:eastAsia="Times New Roman" w:hAnsi="Times New Roman"/>
                <w:sz w:val="26"/>
                <w:szCs w:val="26"/>
                <w:b w:val="1"/>
                <w:bCs w:val="1"/>
                <w:color w:val="231F20"/>
                <w:vertAlign w:val="superscript"/>
              </w:rPr>
              <w:t>(1)</w:t>
            </w: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40" w:type="dxa"/>
            <w:vAlign w:val="bottom"/>
            <w:vMerge w:val="continue"/>
          </w:tcPr>
          <w:p>
            <w:pPr>
              <w:jc w:val="right"/>
              <w:spacing w:after="0" w:line="182" w:lineRule="exact"/>
              <w:rPr>
                <w:sz w:val="20"/>
                <w:szCs w:val="20"/>
                <w:color w:val="auto"/>
              </w:rPr>
            </w:pPr>
            <w:r>
              <w:rPr>
                <w:rFonts w:ascii="Times New Roman" w:cs="Times New Roman" w:eastAsia="Times New Roman" w:hAnsi="Times New Roman"/>
                <w:sz w:val="20"/>
                <w:szCs w:val="20"/>
                <w:b w:val="1"/>
                <w:bCs w:val="1"/>
                <w:color w:val="B8BABC"/>
              </w:rPr>
              <w:t>. . . . . . . . . . . . .</w:t>
            </w:r>
          </w:p>
        </w:tc>
        <w:tc>
          <w:tcPr>
            <w:tcW w:w="180" w:type="dxa"/>
            <w:vAlign w:val="bottom"/>
          </w:tcPr>
          <w:p>
            <w:pPr>
              <w:spacing w:after="0"/>
              <w:rPr>
                <w:sz w:val="24"/>
                <w:szCs w:val="24"/>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28.3%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231F20"/>
              </w:rPr>
              <w:t>28.2%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30.7%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center"/>
              <w:ind w:left="282"/>
              <w:spacing w:after="0"/>
              <w:rPr>
                <w:sz w:val="20"/>
                <w:szCs w:val="20"/>
                <w:color w:val="auto"/>
              </w:rPr>
            </w:pPr>
            <w:r>
              <w:rPr>
                <w:rFonts w:ascii="Times New Roman" w:cs="Times New Roman" w:eastAsia="Times New Roman" w:hAnsi="Times New Roman"/>
                <w:sz w:val="20"/>
                <w:szCs w:val="20"/>
                <w:color w:val="231F20"/>
              </w:rPr>
              <w:t>0.1 pts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60" w:hanging="360"/>
        <w:spacing w:after="0" w:line="226" w:lineRule="auto"/>
        <w:tabs>
          <w:tab w:leader="none" w:pos="360" w:val="left"/>
        </w:tabs>
        <w:numPr>
          <w:ilvl w:val="0"/>
          <w:numId w:val="15"/>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Prior year amounts have been reclassified to conform with our current year presentation.</w:t>
      </w:r>
    </w:p>
    <w:p>
      <w:pPr>
        <w:spacing w:after="0" w:line="10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20"/>
          <w:szCs w:val="20"/>
          <w:color w:val="231F20"/>
        </w:rPr>
        <w:t>The table below details the components of Certain items for the Vacation Ownership segment financial results for fiscal years 2025 and 2024.</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040" w:type="dxa"/>
            <w:vAlign w:val="bottom"/>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231F20"/>
              </w:rPr>
              <w:t>Fiscal Years</w:t>
            </w:r>
          </w:p>
        </w:tc>
        <w:tc>
          <w:tcPr>
            <w:tcW w:w="1260" w:type="dxa"/>
            <w:vAlign w:val="bottom"/>
            <w:tcBorders>
              <w:bottom w:val="single" w:sz="8" w:color="231F20"/>
            </w:tcBorders>
          </w:tcPr>
          <w:p>
            <w:pPr>
              <w:spacing w:after="0"/>
              <w:rPr>
                <w:sz w:val="21"/>
                <w:szCs w:val="21"/>
                <w:color w:val="auto"/>
              </w:rPr>
            </w:pPr>
          </w:p>
        </w:tc>
      </w:tr>
      <w:tr>
        <w:trPr>
          <w:trHeight w:val="235"/>
        </w:trPr>
        <w:tc>
          <w:tcPr>
            <w:tcW w:w="6040" w:type="dxa"/>
            <w:vAlign w:val="bottom"/>
          </w:tcPr>
          <w:p>
            <w:pPr>
              <w:jc w:val="right"/>
              <w:ind w:right="5024"/>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320" w:type="dxa"/>
            <w:vAlign w:val="bottom"/>
            <w:tcBorders>
              <w:bottom w:val="single" w:sz="8" w:color="231F20"/>
            </w:tcBorders>
          </w:tcPr>
          <w:p>
            <w:pPr>
              <w:spacing w:after="0"/>
              <w:rPr>
                <w:sz w:val="20"/>
                <w:szCs w:val="20"/>
                <w:color w:val="auto"/>
              </w:rPr>
            </w:pPr>
          </w:p>
        </w:tc>
        <w:tc>
          <w:tcPr>
            <w:tcW w:w="880" w:type="dxa"/>
            <w:vAlign w:val="bottom"/>
            <w:tcBorders>
              <w:bottom w:val="single" w:sz="8" w:color="231F20"/>
            </w:tcBorders>
          </w:tcPr>
          <w:p>
            <w:pPr>
              <w:jc w:val="right"/>
              <w:ind w:right="42"/>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580" w:type="dxa"/>
            <w:vAlign w:val="bottom"/>
            <w:tcBorders>
              <w:bottom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231F20"/>
            </w:tcBorders>
          </w:tcPr>
          <w:p>
            <w:pPr>
              <w:spacing w:after="0"/>
              <w:rPr>
                <w:sz w:val="20"/>
                <w:szCs w:val="20"/>
                <w:color w:val="auto"/>
              </w:rPr>
            </w:pPr>
          </w:p>
        </w:tc>
        <w:tc>
          <w:tcPr>
            <w:tcW w:w="1260" w:type="dxa"/>
            <w:vAlign w:val="bottom"/>
            <w:tcBorders>
              <w:bottom w:val="single" w:sz="8" w:color="231F20"/>
            </w:tcBorders>
          </w:tcPr>
          <w:p>
            <w:pPr>
              <w:jc w:val="right"/>
              <w:ind w:right="602"/>
              <w:spacing w:after="0"/>
              <w:rPr>
                <w:sz w:val="20"/>
                <w:szCs w:val="20"/>
                <w:color w:val="auto"/>
              </w:rPr>
            </w:pPr>
            <w:r>
              <w:rPr>
                <w:rFonts w:ascii="Times New Roman" w:cs="Times New Roman" w:eastAsia="Times New Roman" w:hAnsi="Times New Roman"/>
                <w:sz w:val="18"/>
                <w:szCs w:val="18"/>
                <w:b w:val="1"/>
                <w:bCs w:val="1"/>
                <w:color w:val="231F20"/>
              </w:rPr>
              <w:t>2024</w:t>
            </w:r>
          </w:p>
        </w:tc>
      </w:tr>
      <w:tr>
        <w:trPr>
          <w:trHeight w:val="236"/>
        </w:trPr>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w:t>
            </w:r>
            <w:r>
              <w:rPr>
                <w:rFonts w:ascii="Times New Roman" w:cs="Times New Roman" w:eastAsia="Times New Roman" w:hAnsi="Times New Roman"/>
                <w:sz w:val="20"/>
                <w:szCs w:val="20"/>
                <w:color w:val="231F20"/>
              </w:rPr>
              <w:t>Gainondispositionofhotel,land,andother</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ind w:right="342"/>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tcPr>
          <w:p>
            <w:pPr>
              <w:jc w:val="right"/>
              <w:ind w:right="822"/>
              <w:spacing w:after="0"/>
              <w:rPr>
                <w:sz w:val="20"/>
                <w:szCs w:val="20"/>
                <w:color w:val="auto"/>
              </w:rPr>
            </w:pPr>
            <w:r>
              <w:rPr>
                <w:rFonts w:ascii="Times New Roman" w:cs="Times New Roman" w:eastAsia="Times New Roman" w:hAnsi="Times New Roman"/>
                <w:sz w:val="20"/>
                <w:szCs w:val="20"/>
                <w:color w:val="231F20"/>
              </w:rPr>
              <w:t>(7)</w:t>
            </w:r>
          </w:p>
        </w:tc>
      </w:tr>
      <w:tr>
        <w:trPr>
          <w:trHeight w:val="255"/>
        </w:trPr>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Insurance proceeds </w:t>
            </w:r>
            <w:r>
              <w:rPr>
                <w:rFonts w:ascii="Times New Roman" w:cs="Times New Roman" w:eastAsia="Times New Roman" w:hAnsi="Times New Roman"/>
                <w:sz w:val="20"/>
                <w:szCs w:val="20"/>
                <w:color w:val="B8BABC"/>
              </w:rPr>
              <w:t>. . . . . . . . . . . . . . . . . . . . . . . . . . . . . . . . . . . . . . . . . .</w:t>
            </w:r>
          </w:p>
        </w:tc>
        <w:tc>
          <w:tcPr>
            <w:tcW w:w="320" w:type="dxa"/>
            <w:vAlign w:val="bottom"/>
          </w:tcPr>
          <w:p>
            <w:pPr>
              <w:spacing w:after="0"/>
              <w:rPr>
                <w:sz w:val="22"/>
                <w:szCs w:val="22"/>
                <w:color w:val="auto"/>
              </w:rPr>
            </w:pPr>
          </w:p>
        </w:tc>
        <w:tc>
          <w:tcPr>
            <w:tcW w:w="88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231F20"/>
              </w:rPr>
              <w:t>(15)</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60" w:type="dxa"/>
            <w:vAlign w:val="bottom"/>
          </w:tcPr>
          <w:p>
            <w:pPr>
              <w:jc w:val="right"/>
              <w:ind w:right="822"/>
              <w:spacing w:after="0"/>
              <w:rPr>
                <w:sz w:val="20"/>
                <w:szCs w:val="20"/>
                <w:color w:val="auto"/>
              </w:rPr>
            </w:pPr>
            <w:r>
              <w:rPr>
                <w:rFonts w:ascii="Times New Roman" w:cs="Times New Roman" w:eastAsia="Times New Roman" w:hAnsi="Times New Roman"/>
                <w:sz w:val="20"/>
                <w:szCs w:val="20"/>
                <w:color w:val="231F20"/>
              </w:rPr>
              <w:t>(5)</w:t>
            </w:r>
          </w:p>
        </w:tc>
      </w:tr>
      <w:tr>
        <w:trPr>
          <w:trHeight w:val="255"/>
        </w:trPr>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Change in estimates relating to pre-acquisition contingencies </w:t>
            </w:r>
            <w:r>
              <w:rPr>
                <w:rFonts w:ascii="Times New Roman" w:cs="Times New Roman" w:eastAsia="Times New Roman" w:hAnsi="Times New Roman"/>
                <w:sz w:val="20"/>
                <w:szCs w:val="20"/>
                <w:color w:val="B8BABC"/>
              </w:rPr>
              <w:t>. . . . . . . .</w:t>
            </w:r>
          </w:p>
        </w:tc>
        <w:tc>
          <w:tcPr>
            <w:tcW w:w="320" w:type="dxa"/>
            <w:vAlign w:val="bottom"/>
          </w:tcPr>
          <w:p>
            <w:pPr>
              <w:spacing w:after="0"/>
              <w:rPr>
                <w:sz w:val="22"/>
                <w:szCs w:val="22"/>
                <w:color w:val="auto"/>
              </w:rPr>
            </w:pPr>
          </w:p>
        </w:tc>
        <w:tc>
          <w:tcPr>
            <w:tcW w:w="88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231F20"/>
              </w:rPr>
              <w:t>(2)</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60" w:type="dxa"/>
            <w:vAlign w:val="bottom"/>
          </w:tcPr>
          <w:p>
            <w:pPr>
              <w:jc w:val="right"/>
              <w:ind w:right="822"/>
              <w:spacing w:after="0"/>
              <w:rPr>
                <w:sz w:val="20"/>
                <w:szCs w:val="20"/>
                <w:color w:val="auto"/>
              </w:rPr>
            </w:pPr>
            <w:r>
              <w:rPr>
                <w:rFonts w:ascii="Times New Roman" w:cs="Times New Roman" w:eastAsia="Times New Roman" w:hAnsi="Times New Roman"/>
                <w:sz w:val="20"/>
                <w:szCs w:val="20"/>
                <w:color w:val="231F20"/>
              </w:rPr>
              <w:t>(4)</w:t>
            </w:r>
          </w:p>
        </w:tc>
      </w:tr>
      <w:tr>
        <w:trPr>
          <w:trHeight w:val="260"/>
        </w:trPr>
        <w:tc>
          <w:tcPr>
            <w:tcW w:w="6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 . . . . . . . . . . .</w:t>
            </w:r>
          </w:p>
        </w:tc>
        <w:tc>
          <w:tcPr>
            <w:tcW w:w="320" w:type="dxa"/>
            <w:vAlign w:val="bottom"/>
          </w:tcPr>
          <w:p>
            <w:pPr>
              <w:spacing w:after="0"/>
              <w:rPr>
                <w:sz w:val="22"/>
                <w:szCs w:val="22"/>
                <w:color w:val="auto"/>
              </w:rPr>
            </w:pPr>
          </w:p>
        </w:tc>
        <w:tc>
          <w:tcPr>
            <w:tcW w:w="88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231F20"/>
              </w:rPr>
              <w:t>(1)</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60" w:type="dxa"/>
            <w:vAlign w:val="bottom"/>
          </w:tcPr>
          <w:p>
            <w:pPr>
              <w:jc w:val="right"/>
              <w:ind w:right="902"/>
              <w:spacing w:after="0"/>
              <w:rPr>
                <w:sz w:val="20"/>
                <w:szCs w:val="20"/>
                <w:color w:val="auto"/>
              </w:rPr>
            </w:pPr>
            <w:r>
              <w:rPr>
                <w:rFonts w:ascii="Times New Roman" w:cs="Times New Roman" w:eastAsia="Times New Roman" w:hAnsi="Times New Roman"/>
                <w:sz w:val="20"/>
                <w:szCs w:val="20"/>
                <w:color w:val="231F2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3867150</wp:posOffset>
            </wp:positionH>
            <wp:positionV relativeFrom="paragraph">
              <wp:posOffset>-3175</wp:posOffset>
            </wp:positionV>
            <wp:extent cx="2305050" cy="12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7">
                      <a:extLst>
                        <a:ext uri="{28A0092B-C50C-407E-A947-70E740481C1C}"/>
                      </a:extLst>
                    </a:blip>
                    <a:srcRect/>
                    <a:stretch>
                      <a:fillRect/>
                    </a:stretch>
                  </pic:blipFill>
                  <pic:spPr bwMode="auto">
                    <a:xfrm>
                      <a:off x="0" y="0"/>
                      <a:ext cx="2305050" cy="1270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60"/>
        </w:trPr>
        <w:tc>
          <w:tcPr>
            <w:tcW w:w="6960" w:type="dxa"/>
            <w:vAlign w:val="bottom"/>
          </w:tcPr>
          <w:p>
            <w:pPr>
              <w:jc w:val="right"/>
              <w:ind w:right="880"/>
              <w:spacing w:after="0"/>
              <w:rPr>
                <w:sz w:val="20"/>
                <w:szCs w:val="20"/>
                <w:color w:val="auto"/>
              </w:rPr>
            </w:pPr>
            <w:r>
              <w:rPr>
                <w:rFonts w:ascii="Times New Roman" w:cs="Times New Roman" w:eastAsia="Times New Roman" w:hAnsi="Times New Roman"/>
                <w:sz w:val="20"/>
                <w:szCs w:val="20"/>
                <w:color w:val="231F20"/>
              </w:rPr>
              <w:t xml:space="preserve">Gains and other income, net </w:t>
            </w:r>
            <w:r>
              <w:rPr>
                <w:rFonts w:ascii="Times New Roman" w:cs="Times New Roman" w:eastAsia="Times New Roman" w:hAnsi="Times New Roman"/>
                <w:sz w:val="20"/>
                <w:szCs w:val="20"/>
                <w:color w:val="B8BABC"/>
              </w:rPr>
              <w:t>. . . . . . . . . . . . . . . . . . . . . . . . . . . . . . . . . . . . .</w:t>
            </w:r>
          </w:p>
        </w:tc>
        <w:tc>
          <w:tcPr>
            <w:tcW w:w="3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r>
      <w:tr>
        <w:trPr>
          <w:trHeight w:val="280"/>
        </w:trPr>
        <w:tc>
          <w:tcPr>
            <w:tcW w:w="6960" w:type="dxa"/>
            <w:vAlign w:val="bottom"/>
          </w:tcPr>
          <w:p>
            <w:pPr>
              <w:jc w:val="right"/>
              <w:ind w:right="880"/>
              <w:spacing w:after="0"/>
              <w:rPr>
                <w:sz w:val="20"/>
                <w:szCs w:val="20"/>
                <w:color w:val="auto"/>
              </w:rPr>
            </w:pPr>
            <w:r>
              <w:rPr>
                <w:rFonts w:ascii="Times New Roman" w:cs="Times New Roman" w:eastAsia="Times New Roman" w:hAnsi="Times New Roman"/>
                <w:sz w:val="20"/>
                <w:szCs w:val="20"/>
                <w:color w:val="231F20"/>
              </w:rPr>
              <w:t xml:space="preserve">Purchase accounting adjustments </w:t>
            </w:r>
            <w:r>
              <w:rPr>
                <w:rFonts w:ascii="Times New Roman" w:cs="Times New Roman" w:eastAsia="Times New Roman" w:hAnsi="Times New Roman"/>
                <w:sz w:val="20"/>
                <w:szCs w:val="20"/>
                <w:color w:val="B8BABC"/>
              </w:rPr>
              <w:t>. . . . . . . . . . . . . . . . . . . . . . . . . . . . . . . . .</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r>
      <w:tr>
        <w:trPr>
          <w:trHeight w:val="255"/>
        </w:trPr>
        <w:tc>
          <w:tcPr>
            <w:tcW w:w="6960" w:type="dxa"/>
            <w:vAlign w:val="bottom"/>
          </w:tcPr>
          <w:p>
            <w:pPr>
              <w:jc w:val="right"/>
              <w:ind w:right="880"/>
              <w:spacing w:after="0"/>
              <w:rPr>
                <w:sz w:val="20"/>
                <w:szCs w:val="20"/>
                <w:color w:val="auto"/>
              </w:rPr>
            </w:pPr>
            <w:r>
              <w:rPr>
                <w:rFonts w:ascii="Times New Roman" w:cs="Times New Roman" w:eastAsia="Times New Roman" w:hAnsi="Times New Roman"/>
                <w:sz w:val="20"/>
                <w:szCs w:val="20"/>
                <w:color w:val="231F20"/>
              </w:rPr>
              <w:t xml:space="preserve">Litigation charges </w:t>
            </w:r>
            <w:r>
              <w:rPr>
                <w:rFonts w:ascii="Times New Roman" w:cs="Times New Roman" w:eastAsia="Times New Roman" w:hAnsi="Times New Roman"/>
                <w:sz w:val="20"/>
                <w:szCs w:val="20"/>
                <w:color w:val="B8BABC"/>
              </w:rPr>
              <w:t>. . . . . . . . . . . . . . . . . . . . . . . . . . . . . . . . . . . . . . . . . . . . .</w:t>
            </w:r>
          </w:p>
        </w:tc>
        <w:tc>
          <w:tcPr>
            <w:tcW w:w="3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r>
      <w:tr>
        <w:trPr>
          <w:trHeight w:val="255"/>
        </w:trPr>
        <w:tc>
          <w:tcPr>
            <w:tcW w:w="6960" w:type="dxa"/>
            <w:vAlign w:val="bottom"/>
          </w:tcPr>
          <w:p>
            <w:pPr>
              <w:jc w:val="right"/>
              <w:ind w:right="900"/>
              <w:spacing w:after="0"/>
              <w:rPr>
                <w:sz w:val="20"/>
                <w:szCs w:val="20"/>
                <w:color w:val="auto"/>
              </w:rPr>
            </w:pPr>
            <w:r>
              <w:rPr>
                <w:rFonts w:ascii="Times New Roman" w:cs="Times New Roman" w:eastAsia="Times New Roman" w:hAnsi="Times New Roman"/>
                <w:sz w:val="20"/>
                <w:szCs w:val="20"/>
                <w:color w:val="231F20"/>
              </w:rPr>
              <w:t xml:space="preserve">Restructuring  </w:t>
            </w:r>
            <w:r>
              <w:rPr>
                <w:rFonts w:ascii="Times New Roman" w:cs="Times New Roman" w:eastAsia="Times New Roman" w:hAnsi="Times New Roman"/>
                <w:sz w:val="20"/>
                <w:szCs w:val="20"/>
                <w:color w:val="B8BABC"/>
              </w:rPr>
              <w:t>. . . . . . . . . . . . . . . . . . . . . . . . . . . . . . . . . . . . . . . . . . . . . . . .</w:t>
            </w:r>
          </w:p>
        </w:tc>
        <w:tc>
          <w:tcPr>
            <w:tcW w:w="3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r>
      <w:tr>
        <w:trPr>
          <w:trHeight w:val="264"/>
        </w:trPr>
        <w:tc>
          <w:tcPr>
            <w:tcW w:w="6960" w:type="dxa"/>
            <w:vAlign w:val="bottom"/>
          </w:tcPr>
          <w:p>
            <w:pPr>
              <w:jc w:val="right"/>
              <w:ind w:right="880"/>
              <w:spacing w:after="0"/>
              <w:rPr>
                <w:sz w:val="20"/>
                <w:szCs w:val="20"/>
                <w:color w:val="auto"/>
              </w:rPr>
            </w:pPr>
            <w:r>
              <w:rPr>
                <w:rFonts w:ascii="Times New Roman" w:cs="Times New Roman" w:eastAsia="Times New Roman" w:hAnsi="Times New Roman"/>
                <w:sz w:val="20"/>
                <w:szCs w:val="20"/>
                <w:color w:val="231F20"/>
              </w:rPr>
              <w:t xml:space="preserve">Impairment </w:t>
            </w:r>
            <w:r>
              <w:rPr>
                <w:rFonts w:ascii="Times New Roman" w:cs="Times New Roman" w:eastAsia="Times New Roman" w:hAnsi="Times New Roman"/>
                <w:sz w:val="20"/>
                <w:szCs w:val="20"/>
                <w:color w:val="B8BABC"/>
              </w:rPr>
              <w:t>. . . . . . . . . . . . . . . . . . . . . . . . . . . . . . . . . . . . . . . . . . . . . . . . . .</w:t>
            </w:r>
          </w:p>
        </w:tc>
        <w:tc>
          <w:tcPr>
            <w:tcW w:w="3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w:t>
            </w: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r>
      <w:tr>
        <w:trPr>
          <w:trHeight w:val="254"/>
        </w:trPr>
        <w:tc>
          <w:tcPr>
            <w:tcW w:w="6960" w:type="dxa"/>
            <w:vAlign w:val="bottom"/>
          </w:tcPr>
          <w:p>
            <w:pPr>
              <w:jc w:val="right"/>
              <w:ind w:right="880"/>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 . . . . . . . . . . . . . .</w:t>
            </w:r>
          </w:p>
        </w:tc>
        <w:tc>
          <w:tcPr>
            <w:tcW w:w="320" w:type="dxa"/>
            <w:vAlign w:val="bottom"/>
            <w:tcBorders>
              <w:bottom w:val="single" w:sz="8" w:color="231F20"/>
            </w:tcBorders>
          </w:tcPr>
          <w:p>
            <w:pPr>
              <w:spacing w:after="0"/>
              <w:rPr>
                <w:sz w:val="22"/>
                <w:szCs w:val="22"/>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r>
      <w:tr>
        <w:trPr>
          <w:trHeight w:val="215"/>
        </w:trPr>
        <w:tc>
          <w:tcPr>
            <w:tcW w:w="6960" w:type="dxa"/>
            <w:vAlign w:val="bottom"/>
          </w:tcPr>
          <w:p>
            <w:pPr>
              <w:jc w:val="right"/>
              <w:ind w:right="880"/>
              <w:spacing w:after="0" w:line="215" w:lineRule="exact"/>
              <w:rPr>
                <w:sz w:val="20"/>
                <w:szCs w:val="20"/>
                <w:color w:val="auto"/>
              </w:rPr>
            </w:pPr>
            <w:r>
              <w:rPr>
                <w:rFonts w:ascii="Times New Roman" w:cs="Times New Roman" w:eastAsia="Times New Roman" w:hAnsi="Times New Roman"/>
                <w:sz w:val="20"/>
                <w:szCs w:val="20"/>
                <w:color w:val="B8BABC"/>
              </w:rPr>
              <w:t>. . . . . . . . . . . . . . . . . . . . . . . . . . . . . . . . . . . . . . . . . . . .</w:t>
            </w:r>
            <w:r>
              <w:rPr>
                <w:rFonts w:ascii="Times New Roman" w:cs="Times New Roman" w:eastAsia="Times New Roman" w:hAnsi="Times New Roman"/>
                <w:sz w:val="20"/>
                <w:szCs w:val="20"/>
                <w:color w:val="231F20"/>
              </w:rPr>
              <w:t>TotalCertainitems</w:t>
            </w:r>
          </w:p>
        </w:tc>
        <w:tc>
          <w:tcPr>
            <w:tcW w:w="320" w:type="dxa"/>
            <w:vAlign w:val="bottom"/>
            <w:tcBorders>
              <w:bottom w:val="single" w:sz="8" w:color="231F20"/>
            </w:tcBorders>
          </w:tcPr>
          <w:p>
            <w:pPr>
              <w:jc w:val="right"/>
              <w:ind w:right="60"/>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54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403</w:t>
            </w:r>
          </w:p>
        </w:tc>
        <w:tc>
          <w:tcPr>
            <w:tcW w:w="980" w:type="dxa"/>
            <w:vAlign w:val="bottom"/>
          </w:tcPr>
          <w:p>
            <w:pPr>
              <w:spacing w:after="0"/>
              <w:rPr>
                <w:sz w:val="18"/>
                <w:szCs w:val="18"/>
                <w:color w:val="auto"/>
              </w:rPr>
            </w:pPr>
          </w:p>
        </w:tc>
        <w:tc>
          <w:tcPr>
            <w:tcW w:w="340" w:type="dxa"/>
            <w:vAlign w:val="bottom"/>
            <w:tcBorders>
              <w:bottom w:val="single" w:sz="8" w:color="231F20"/>
            </w:tcBorders>
          </w:tcPr>
          <w:p>
            <w:pPr>
              <w:jc w:val="right"/>
              <w:ind w:right="80"/>
              <w:spacing w:after="0" w:line="215" w:lineRule="exact"/>
              <w:rPr>
                <w:sz w:val="20"/>
                <w:szCs w:val="20"/>
                <w:color w:val="auto"/>
              </w:rPr>
            </w:pPr>
            <w:r>
              <w:rPr>
                <w:rFonts w:ascii="Times New Roman" w:cs="Times New Roman" w:eastAsia="Times New Roman" w:hAnsi="Times New Roman"/>
                <w:sz w:val="20"/>
                <w:szCs w:val="20"/>
                <w:color w:val="231F20"/>
              </w:rPr>
              <w:t>$</w:t>
            </w:r>
          </w:p>
        </w:tc>
        <w:tc>
          <w:tcPr>
            <w:tcW w:w="520" w:type="dxa"/>
            <w:vAlign w:val="bottom"/>
            <w:tcBorders>
              <w:bottom w:val="single" w:sz="8" w:color="231F20"/>
            </w:tcBorders>
          </w:tcPr>
          <w:p>
            <w:pPr>
              <w:jc w:val="right"/>
              <w:spacing w:after="0" w:line="215" w:lineRule="exact"/>
              <w:rPr>
                <w:sz w:val="20"/>
                <w:szCs w:val="20"/>
                <w:color w:val="auto"/>
              </w:rPr>
            </w:pPr>
            <w:r>
              <w:rPr>
                <w:rFonts w:ascii="Times New Roman" w:cs="Times New Roman" w:eastAsia="Times New Roman" w:hAnsi="Times New Roman"/>
                <w:sz w:val="20"/>
                <w:szCs w:val="20"/>
                <w:color w:val="231F20"/>
              </w:rPr>
              <w:t>34</w:t>
            </w: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Exchange &amp; Third-Party Management</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64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660" w:type="dxa"/>
            <w:vAlign w:val="bottom"/>
            <w:tcBorders>
              <w:bottom w:val="single" w:sz="8" w:color="231F20"/>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231F20"/>
                <w:w w:val="98"/>
              </w:rPr>
              <w:t>2025 vs. 2024</w:t>
            </w:r>
          </w:p>
        </w:tc>
        <w:tc>
          <w:tcPr>
            <w:tcW w:w="0" w:type="dxa"/>
            <w:vAlign w:val="bottom"/>
          </w:tcPr>
          <w:p>
            <w:pPr>
              <w:spacing w:after="0"/>
              <w:rPr>
                <w:sz w:val="1"/>
                <w:szCs w:val="1"/>
                <w:color w:val="auto"/>
              </w:rPr>
            </w:pPr>
          </w:p>
        </w:tc>
      </w:tr>
      <w:tr>
        <w:trPr>
          <w:trHeight w:val="235"/>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center"/>
              <w:ind w:right="101"/>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660" w:type="dxa"/>
            <w:vAlign w:val="bottom"/>
            <w:tcBorders>
              <w:bottom w:val="single" w:sz="8" w:color="231F20"/>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231F20"/>
              </w:rPr>
              <w:t>Change</w:t>
            </w:r>
          </w:p>
        </w:tc>
        <w:tc>
          <w:tcPr>
            <w:tcW w:w="0" w:type="dxa"/>
            <w:vAlign w:val="bottom"/>
          </w:tcPr>
          <w:p>
            <w:pPr>
              <w:spacing w:after="0"/>
              <w:rPr>
                <w:sz w:val="1"/>
                <w:szCs w:val="1"/>
                <w:color w:val="auto"/>
              </w:rPr>
            </w:pPr>
          </w:p>
        </w:tc>
      </w:tr>
      <w:tr>
        <w:trPr>
          <w:trHeight w:val="262"/>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Segment financial results </w:t>
            </w:r>
            <w:r>
              <w:rPr>
                <w:rFonts w:ascii="Times New Roman" w:cs="Times New Roman" w:eastAsia="Times New Roman" w:hAnsi="Times New Roman"/>
                <w:sz w:val="20"/>
                <w:szCs w:val="20"/>
                <w:color w:val="B8BABC"/>
              </w:rPr>
              <w:t>.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w:t>
            </w:r>
          </w:p>
        </w:tc>
        <w:tc>
          <w:tcPr>
            <w:tcW w:w="10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rPr>
              <w:t>NM</w:t>
            </w: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Depreciation and amortization </w:t>
            </w:r>
            <w:r>
              <w:rPr>
                <w:rFonts w:ascii="Times New Roman" w:cs="Times New Roman" w:eastAsia="Times New Roman" w:hAnsi="Times New Roman"/>
                <w:sz w:val="20"/>
                <w:szCs w:val="20"/>
                <w:color w:val="B8BABC"/>
              </w:rPr>
              <w:t>. . . . . . . . . . . . . . . . . . . . .</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(14%)</w:t>
            </w: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Share-based compensation expense </w:t>
            </w:r>
            <w:r>
              <w:rPr>
                <w:rFonts w:ascii="Times New Roman" w:cs="Times New Roman" w:eastAsia="Times New Roman" w:hAnsi="Times New Roman"/>
                <w:sz w:val="20"/>
                <w:szCs w:val="20"/>
                <w:color w:val="B8BABC"/>
              </w:rPr>
              <w:t>. . . . . . . . . . . . . . . . .</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11%</w:t>
            </w:r>
          </w:p>
        </w:tc>
        <w:tc>
          <w:tcPr>
            <w:tcW w:w="0" w:type="dxa"/>
            <w:vAlign w:val="bottom"/>
          </w:tcPr>
          <w:p>
            <w:pPr>
              <w:spacing w:after="0"/>
              <w:rPr>
                <w:sz w:val="1"/>
                <w:szCs w:val="1"/>
                <w:color w:val="auto"/>
              </w:rPr>
            </w:pPr>
          </w:p>
        </w:tc>
      </w:tr>
      <w:tr>
        <w:trPr>
          <w:trHeight w:val="288"/>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Certain items </w:t>
            </w:r>
            <w:r>
              <w:rPr>
                <w:rFonts w:ascii="Times New Roman" w:cs="Times New Roman" w:eastAsia="Times New Roman" w:hAnsi="Times New Roman"/>
                <w:sz w:val="20"/>
                <w:szCs w:val="20"/>
                <w:color w:val="B8BABC"/>
              </w:rPr>
              <w:t>. . . . . . . . . . . . . . . . . . . . . . . . . . . . . . . . . . .</w:t>
            </w: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181</w:t>
            </w:r>
          </w:p>
        </w:tc>
        <w:tc>
          <w:tcPr>
            <w:tcW w:w="8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8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8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178</w:t>
            </w:r>
          </w:p>
        </w:tc>
        <w:tc>
          <w:tcPr>
            <w:tcW w:w="10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rPr>
              <w:t>NM</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Segment Adjusted EBITDA </w:t>
            </w:r>
            <w:r>
              <w:rPr>
                <w:rFonts w:ascii="Times New Roman" w:cs="Times New Roman" w:eastAsia="Times New Roman" w:hAnsi="Times New Roman"/>
                <w:sz w:val="20"/>
                <w:szCs w:val="20"/>
                <w:color w:val="B8BABC"/>
              </w:rPr>
              <w:t>. . . . . . . . . . . . . . . . . . . . . . .</w:t>
            </w: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91</w:t>
            </w:r>
          </w:p>
        </w:tc>
        <w:tc>
          <w:tcPr>
            <w:tcW w:w="80" w:type="dxa"/>
            <w:vAlign w:val="bottom"/>
          </w:tcPr>
          <w:p>
            <w:pPr>
              <w:spacing w:after="0"/>
              <w:rPr>
                <w:sz w:val="21"/>
                <w:szCs w:val="21"/>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102</w:t>
            </w:r>
          </w:p>
        </w:tc>
        <w:tc>
          <w:tcPr>
            <w:tcW w:w="80" w:type="dxa"/>
            <w:vAlign w:val="bottom"/>
          </w:tcPr>
          <w:p>
            <w:pPr>
              <w:spacing w:after="0"/>
              <w:rPr>
                <w:sz w:val="21"/>
                <w:szCs w:val="21"/>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130</w:t>
            </w:r>
          </w:p>
        </w:tc>
        <w:tc>
          <w:tcPr>
            <w:tcW w:w="80" w:type="dxa"/>
            <w:vAlign w:val="bottom"/>
          </w:tcPr>
          <w:p>
            <w:pPr>
              <w:spacing w:after="0"/>
              <w:rPr>
                <w:sz w:val="21"/>
                <w:szCs w:val="21"/>
                <w:color w:val="auto"/>
              </w:rPr>
            </w:pPr>
          </w:p>
        </w:tc>
        <w:tc>
          <w:tcPr>
            <w:tcW w:w="300" w:type="dxa"/>
            <w:vAlign w:val="bottom"/>
            <w:tcBorders>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(11%)</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Segment Adjusted EBITDA Margin</w:t>
            </w: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640" w:type="dxa"/>
            <w:vAlign w:val="bottom"/>
            <w:vMerge w:val="continue"/>
          </w:tcPr>
          <w:p>
            <w:pPr>
              <w:ind w:left="3020"/>
              <w:spacing w:after="0" w:line="182" w:lineRule="exact"/>
              <w:rPr>
                <w:sz w:val="20"/>
                <w:szCs w:val="20"/>
                <w:color w:val="auto"/>
              </w:rPr>
            </w:pPr>
            <w:r>
              <w:rPr>
                <w:rFonts w:ascii="Times New Roman" w:cs="Times New Roman" w:eastAsia="Times New Roman" w:hAnsi="Times New Roman"/>
                <w:sz w:val="20"/>
                <w:szCs w:val="20"/>
                <w:color w:val="B8BABC"/>
              </w:rPr>
              <w:t>. . . . . . . . . . . . . . . .</w:t>
            </w:r>
          </w:p>
        </w:tc>
        <w:tc>
          <w:tcPr>
            <w:tcW w:w="180" w:type="dxa"/>
            <w:vAlign w:val="bottom"/>
          </w:tcPr>
          <w:p>
            <w:pPr>
              <w:spacing w:after="0"/>
              <w:rPr>
                <w:sz w:val="22"/>
                <w:szCs w:val="22"/>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44.6%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231F20"/>
              </w:rPr>
              <w:t>46.1%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52.5%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color w:val="231F20"/>
                <w:w w:val="98"/>
              </w:rPr>
              <w:t>(1.5 pts)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831" w:right="1080" w:bottom="0"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9720"/>
          </w:cols>
          <w:pgMar w:left="1080" w:top="831" w:right="1080" w:bottom="0" w:gutter="0" w:footer="0" w:header="0"/>
          <w:type w:val="continuous"/>
        </w:sectPr>
      </w:pPr>
    </w:p>
    <w:bookmarkStart w:id="53" w:name="page54"/>
    <w:bookmarkEnd w:id="53"/>
    <w:p>
      <w:pPr>
        <w:ind w:right="60"/>
        <w:spacing w:after="0" w:line="281" w:lineRule="auto"/>
        <w:rPr>
          <w:sz w:val="20"/>
          <w:szCs w:val="20"/>
          <w:color w:val="auto"/>
        </w:rPr>
      </w:pPr>
      <w:r>
        <w:rPr>
          <w:rFonts w:ascii="Times New Roman" w:cs="Times New Roman" w:eastAsia="Times New Roman" w:hAnsi="Times New Roman"/>
          <w:sz w:val="20"/>
          <w:szCs w:val="20"/>
          <w:color w:val="231F20"/>
        </w:rPr>
        <w:t>The table below details the components of Certain items for the Exchange &amp; Third-Party Management segment financial results for fiscal years 2025 and 2024.</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040" w:type="dxa"/>
            <w:vAlign w:val="bottom"/>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2000" w:type="dxa"/>
            <w:vAlign w:val="bottom"/>
            <w:tcBorders>
              <w:bottom w:val="single" w:sz="8" w:color="231F20"/>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231F20"/>
              </w:rPr>
              <w:t>Fiscal Years</w:t>
            </w:r>
          </w:p>
        </w:tc>
        <w:tc>
          <w:tcPr>
            <w:tcW w:w="1200" w:type="dxa"/>
            <w:vAlign w:val="bottom"/>
            <w:tcBorders>
              <w:bottom w:val="single" w:sz="8" w:color="231F20"/>
            </w:tcBorders>
          </w:tcPr>
          <w:p>
            <w:pPr>
              <w:spacing w:after="0"/>
              <w:rPr>
                <w:sz w:val="21"/>
                <w:szCs w:val="21"/>
                <w:color w:val="auto"/>
              </w:rPr>
            </w:pPr>
          </w:p>
        </w:tc>
      </w:tr>
      <w:tr>
        <w:trPr>
          <w:trHeight w:val="235"/>
        </w:trPr>
        <w:tc>
          <w:tcPr>
            <w:tcW w:w="60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42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jc w:val="right"/>
              <w:ind w:right="62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56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ind w:right="602"/>
              <w:spacing w:after="0"/>
              <w:rPr>
                <w:sz w:val="20"/>
                <w:szCs w:val="20"/>
                <w:color w:val="auto"/>
              </w:rPr>
            </w:pPr>
            <w:r>
              <w:rPr>
                <w:rFonts w:ascii="Times New Roman" w:cs="Times New Roman" w:eastAsia="Times New Roman" w:hAnsi="Times New Roman"/>
                <w:sz w:val="18"/>
                <w:szCs w:val="18"/>
                <w:b w:val="1"/>
                <w:bCs w:val="1"/>
                <w:color w:val="231F20"/>
              </w:rPr>
              <w:t>2024</w:t>
            </w:r>
          </w:p>
        </w:tc>
      </w:tr>
      <w:tr>
        <w:trPr>
          <w:trHeight w:val="262"/>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Gains and other income, net </w:t>
            </w:r>
            <w:r>
              <w:rPr>
                <w:rFonts w:ascii="Times New Roman" w:cs="Times New Roman" w:eastAsia="Times New Roman" w:hAnsi="Times New Roman"/>
                <w:sz w:val="20"/>
                <w:szCs w:val="20"/>
                <w:color w:val="B8BABC"/>
              </w:rPr>
              <w:t>. . . . . . . . . . . . . . . . . . . . . . . . . . . . . . . . . . . . .</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85"/>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Restructuring  </w:t>
            </w:r>
            <w:r>
              <w:rPr>
                <w:rFonts w:ascii="Times New Roman" w:cs="Times New Roman" w:eastAsia="Times New Roman" w:hAnsi="Times New Roman"/>
                <w:sz w:val="20"/>
                <w:szCs w:val="20"/>
                <w:color w:val="B8BABC"/>
              </w:rPr>
              <w:t>. . . . . . . . . . . . . . . . . . . . . . . . . . . . . . . . . . . . . . . . . . . . . . . .</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r>
      <w:tr>
        <w:trPr>
          <w:trHeight w:val="288"/>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Impairment </w:t>
            </w:r>
            <w:r>
              <w:rPr>
                <w:rFonts w:ascii="Times New Roman" w:cs="Times New Roman" w:eastAsia="Times New Roman" w:hAnsi="Times New Roman"/>
                <w:sz w:val="20"/>
                <w:szCs w:val="20"/>
                <w:color w:val="B8BABC"/>
              </w:rPr>
              <w:t>. . . . . . . . . . . . . . . . . . . . . . . . . . . . . . . . . . . . . . . . . . . . . . . . . .</w:t>
            </w:r>
          </w:p>
        </w:tc>
        <w:tc>
          <w:tcPr>
            <w:tcW w:w="420" w:type="dxa"/>
            <w:vAlign w:val="bottom"/>
            <w:tcBorders>
              <w:bottom w:val="single" w:sz="8" w:color="231F20"/>
            </w:tcBorders>
          </w:tcPr>
          <w:p>
            <w:pPr>
              <w:spacing w:after="0"/>
              <w:rPr>
                <w:sz w:val="24"/>
                <w:szCs w:val="24"/>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182</w:t>
            </w:r>
          </w:p>
        </w:tc>
        <w:tc>
          <w:tcPr>
            <w:tcW w:w="80" w:type="dxa"/>
            <w:vAlign w:val="bottom"/>
          </w:tcPr>
          <w:p>
            <w:pPr>
              <w:spacing w:after="0"/>
              <w:rPr>
                <w:sz w:val="24"/>
                <w:szCs w:val="24"/>
                <w:color w:val="auto"/>
              </w:rPr>
            </w:pPr>
          </w:p>
        </w:tc>
        <w:tc>
          <w:tcPr>
            <w:tcW w:w="560" w:type="dxa"/>
            <w:vAlign w:val="bottom"/>
            <w:tcBorders>
              <w:bottom w:val="single" w:sz="8" w:color="231F20"/>
            </w:tcBorders>
          </w:tcPr>
          <w:p>
            <w:pPr>
              <w:spacing w:after="0"/>
              <w:rPr>
                <w:sz w:val="24"/>
                <w:szCs w:val="24"/>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r>
      <w:tr>
        <w:trPr>
          <w:trHeight w:val="245"/>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Total Certain items </w:t>
            </w:r>
            <w:r>
              <w:rPr>
                <w:rFonts w:ascii="Times New Roman" w:cs="Times New Roman" w:eastAsia="Times New Roman" w:hAnsi="Times New Roman"/>
                <w:sz w:val="20"/>
                <w:szCs w:val="20"/>
                <w:color w:val="B8BABC"/>
              </w:rPr>
              <w:t>. . . . . . . . . . . . . . . . . . . . . . . . . . . . . . . . . . . . . . . . . . . .</w:t>
            </w:r>
          </w:p>
        </w:tc>
        <w:tc>
          <w:tcPr>
            <w:tcW w:w="4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181</w:t>
            </w:r>
          </w:p>
        </w:tc>
        <w:tc>
          <w:tcPr>
            <w:tcW w:w="64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r>
      <w:tr>
        <w:trPr>
          <w:trHeight w:val="20"/>
        </w:trPr>
        <w:tc>
          <w:tcPr>
            <w:tcW w:w="604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3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r>
    </w:tbl>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BUSINESS SEGMENTS</w:t>
      </w:r>
    </w:p>
    <w:p>
      <w:pPr>
        <w:spacing w:after="0" w:line="137"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20"/>
          <w:szCs w:val="20"/>
          <w:color w:val="231F20"/>
        </w:rPr>
        <w:t>Our business is grouped into two reportable business segments: Vacation Ownership and Exchange &amp; Third-Party Management. See Footnote 19 “Business Segments” to our Financial Statements for further information about our segments.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VACATION OWNERSHIP</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080" w:type="dxa"/>
            <w:vAlign w:val="bottom"/>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14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1280" w:type="dxa"/>
            <w:vAlign w:val="bottom"/>
            <w:tcBorders>
              <w:bottom w:val="single" w:sz="8" w:color="231F20"/>
            </w:tcBorders>
          </w:tcPr>
          <w:p>
            <w:pPr>
              <w:jc w:val="right"/>
              <w:ind w:right="181"/>
              <w:spacing w:after="0"/>
              <w:rPr>
                <w:sz w:val="20"/>
                <w:szCs w:val="20"/>
                <w:color w:val="auto"/>
              </w:rPr>
            </w:pPr>
            <w:r>
              <w:rPr>
                <w:rFonts w:ascii="Times New Roman" w:cs="Times New Roman" w:eastAsia="Times New Roman" w:hAnsi="Times New Roman"/>
                <w:sz w:val="18"/>
                <w:szCs w:val="18"/>
                <w:b w:val="1"/>
                <w:bCs w:val="1"/>
                <w:color w:val="231F20"/>
              </w:rPr>
              <w:t>Fiscal Years</w:t>
            </w:r>
          </w:p>
        </w:tc>
        <w:tc>
          <w:tcPr>
            <w:tcW w:w="60" w:type="dxa"/>
            <w:vAlign w:val="bottom"/>
            <w:tcBorders>
              <w:bottom w:val="single" w:sz="8" w:color="231F20"/>
            </w:tcBorders>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36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tcPr>
          <w:p>
            <w:pPr>
              <w:jc w:val="right"/>
              <w:ind w:right="48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tcBorders>
          </w:tcPr>
          <w:p>
            <w:pPr>
              <w:jc w:val="right"/>
              <w:ind w:right="46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right"/>
              <w:ind w:right="460"/>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0" w:type="dxa"/>
            <w:vAlign w:val="bottom"/>
          </w:tcPr>
          <w:p>
            <w:pPr>
              <w:spacing w:after="0"/>
              <w:rPr>
                <w:sz w:val="1"/>
                <w:szCs w:val="1"/>
                <w:color w:val="auto"/>
              </w:rPr>
            </w:pPr>
          </w:p>
        </w:tc>
      </w:tr>
      <w:tr>
        <w:trPr>
          <w:trHeight w:val="262"/>
        </w:trPr>
        <w:tc>
          <w:tcPr>
            <w:tcW w:w="50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REVENUES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Sale of vacation ownership products </w:t>
            </w:r>
            <w:r>
              <w:rPr>
                <w:rFonts w:ascii="Times New Roman" w:cs="Times New Roman" w:eastAsia="Times New Roman" w:hAnsi="Times New Roman"/>
                <w:sz w:val="20"/>
                <w:szCs w:val="20"/>
                <w:color w:val="B8BABC"/>
              </w:rPr>
              <w:t>. . . . . . . . . . . . . . . . . . .</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1,460</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Resort management and other services </w:t>
            </w:r>
            <w:r>
              <w:rPr>
                <w:rFonts w:ascii="Times New Roman" w:cs="Times New Roman" w:eastAsia="Times New Roman" w:hAnsi="Times New Roman"/>
                <w:sz w:val="20"/>
                <w:szCs w:val="20"/>
                <w:color w:val="B8BABC"/>
              </w:rPr>
              <w:t>.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568</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Rental  </w:t>
            </w:r>
            <w:r>
              <w:rPr>
                <w:rFonts w:ascii="Times New Roman" w:cs="Times New Roman" w:eastAsia="Times New Roman" w:hAnsi="Times New Roman"/>
                <w:sz w:val="20"/>
                <w:szCs w:val="20"/>
                <w:color w:val="B8BABC"/>
              </w:rPr>
              <w:t>. . . . .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531</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Financing </w:t>
            </w:r>
            <w:r>
              <w:rPr>
                <w:rFonts w:ascii="Times New Roman" w:cs="Times New Roman" w:eastAsia="Times New Roman" w:hAnsi="Times New Roman"/>
                <w:sz w:val="20"/>
                <w:szCs w:val="20"/>
                <w:color w:val="B8BABC"/>
              </w:rPr>
              <w:t>. . .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322</w:t>
            </w:r>
          </w:p>
        </w:tc>
        <w:tc>
          <w:tcPr>
            <w:tcW w:w="0" w:type="dxa"/>
            <w:vAlign w:val="bottom"/>
          </w:tcPr>
          <w:p>
            <w:pPr>
              <w:spacing w:after="0"/>
              <w:rPr>
                <w:sz w:val="1"/>
                <w:szCs w:val="1"/>
                <w:color w:val="auto"/>
              </w:rPr>
            </w:pPr>
          </w:p>
        </w:tc>
      </w:tr>
      <w:tr>
        <w:trPr>
          <w:trHeight w:val="288"/>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reimbursements </w:t>
            </w:r>
            <w:r>
              <w:rPr>
                <w:rFonts w:ascii="Times New Roman" w:cs="Times New Roman" w:eastAsia="Times New Roman" w:hAnsi="Times New Roman"/>
                <w:sz w:val="20"/>
                <w:szCs w:val="20"/>
                <w:color w:val="B8BABC"/>
              </w:rPr>
              <w:t>. . . . . . . . . . . . . . . . . . . . . . . . . . . . . . .</w:t>
            </w: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1,733</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1,723</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1,587</w:t>
            </w:r>
          </w:p>
        </w:tc>
        <w:tc>
          <w:tcPr>
            <w:tcW w:w="0" w:type="dxa"/>
            <w:vAlign w:val="bottom"/>
          </w:tcPr>
          <w:p>
            <w:pPr>
              <w:spacing w:after="0"/>
              <w:rPr>
                <w:sz w:val="1"/>
                <w:szCs w:val="1"/>
                <w:color w:val="auto"/>
              </w:rPr>
            </w:pPr>
          </w:p>
        </w:tc>
      </w:tr>
      <w:tr>
        <w:trPr>
          <w:trHeight w:val="26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B8BABC"/>
              </w:rPr>
              <w:t>. . . . . . . . . . . . . . . . . . . . . . . . . . .</w:t>
            </w:r>
            <w:r>
              <w:rPr>
                <w:rFonts w:ascii="Times New Roman" w:cs="Times New Roman" w:eastAsia="Times New Roman" w:hAnsi="Times New Roman"/>
                <w:sz w:val="20"/>
                <w:szCs w:val="20"/>
                <w:b w:val="1"/>
                <w:bCs w:val="1"/>
                <w:color w:val="231F20"/>
              </w:rPr>
              <w:t>TOTALREVENUES</w:t>
            </w:r>
          </w:p>
        </w:tc>
        <w:tc>
          <w:tcPr>
            <w:tcW w:w="360" w:type="dxa"/>
            <w:vAlign w:val="bottom"/>
            <w:tcBorders>
              <w:bottom w:val="single" w:sz="8" w:color="231F20"/>
            </w:tcBorders>
          </w:tcPr>
          <w:p>
            <w:pPr>
              <w:spacing w:after="0"/>
              <w:rPr>
                <w:sz w:val="23"/>
                <w:szCs w:val="23"/>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4,805</w:t>
            </w:r>
          </w:p>
        </w:tc>
        <w:tc>
          <w:tcPr>
            <w:tcW w:w="6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4,730</w:t>
            </w:r>
          </w:p>
        </w:tc>
        <w:tc>
          <w:tcPr>
            <w:tcW w:w="60" w:type="dxa"/>
            <w:vAlign w:val="bottom"/>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4,468</w:t>
            </w:r>
          </w:p>
        </w:tc>
        <w:tc>
          <w:tcPr>
            <w:tcW w:w="0" w:type="dxa"/>
            <w:vAlign w:val="bottom"/>
          </w:tcPr>
          <w:p>
            <w:pPr>
              <w:spacing w:after="0"/>
              <w:rPr>
                <w:sz w:val="1"/>
                <w:szCs w:val="1"/>
                <w:color w:val="auto"/>
              </w:rPr>
            </w:pPr>
          </w:p>
        </w:tc>
      </w:tr>
      <w:tr>
        <w:trPr>
          <w:trHeight w:val="262"/>
        </w:trPr>
        <w:tc>
          <w:tcPr>
            <w:tcW w:w="50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EXPENSES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of vacation ownership products </w:t>
            </w:r>
            <w:r>
              <w:rPr>
                <w:rFonts w:ascii="Times New Roman" w:cs="Times New Roman" w:eastAsia="Times New Roman" w:hAnsi="Times New Roman"/>
                <w:sz w:val="20"/>
                <w:szCs w:val="20"/>
                <w:color w:val="B8BABC"/>
              </w:rPr>
              <w:t>.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224</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Marketing and sales </w:t>
            </w:r>
            <w:r>
              <w:rPr>
                <w:rFonts w:ascii="Times New Roman" w:cs="Times New Roman" w:eastAsia="Times New Roman" w:hAnsi="Times New Roman"/>
                <w:sz w:val="20"/>
                <w:szCs w:val="20"/>
                <w:color w:val="B8BABC"/>
              </w:rPr>
              <w:t>.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823</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Resort management and other services </w:t>
            </w:r>
            <w:r>
              <w:rPr>
                <w:rFonts w:ascii="Times New Roman" w:cs="Times New Roman" w:eastAsia="Times New Roman" w:hAnsi="Times New Roman"/>
                <w:sz w:val="20"/>
                <w:szCs w:val="20"/>
                <w:color w:val="B8BABC"/>
              </w:rPr>
              <w:t>.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270</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Rental  </w:t>
            </w:r>
            <w:r>
              <w:rPr>
                <w:rFonts w:ascii="Times New Roman" w:cs="Times New Roman" w:eastAsia="Times New Roman" w:hAnsi="Times New Roman"/>
                <w:sz w:val="20"/>
                <w:szCs w:val="20"/>
                <w:color w:val="B8BABC"/>
              </w:rPr>
              <w:t>. . . . .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466</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Financing </w:t>
            </w:r>
            <w:r>
              <w:rPr>
                <w:rFonts w:ascii="Times New Roman" w:cs="Times New Roman" w:eastAsia="Times New Roman" w:hAnsi="Times New Roman"/>
                <w:sz w:val="20"/>
                <w:szCs w:val="20"/>
                <w:color w:val="B8BABC"/>
              </w:rPr>
              <w:t>. . .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Royalty fee </w:t>
            </w:r>
            <w:r>
              <w:rPr>
                <w:rFonts w:ascii="Times New Roman" w:cs="Times New Roman" w:eastAsia="Times New Roman" w:hAnsi="Times New Roman"/>
                <w:sz w:val="20"/>
                <w:szCs w:val="20"/>
                <w:color w:val="B8BABC"/>
              </w:rPr>
              <w:t>.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Depreciation and amortization </w:t>
            </w:r>
            <w:r>
              <w:rPr>
                <w:rFonts w:ascii="Times New Roman" w:cs="Times New Roman" w:eastAsia="Times New Roman" w:hAnsi="Times New Roman"/>
                <w:sz w:val="20"/>
                <w:szCs w:val="20"/>
                <w:color w:val="B8BABC"/>
              </w:rPr>
              <w:t>.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Litigation charges </w:t>
            </w:r>
            <w:r>
              <w:rPr>
                <w:rFonts w:ascii="Times New Roman" w:cs="Times New Roman" w:eastAsia="Times New Roman" w:hAnsi="Times New Roman"/>
                <w:sz w:val="20"/>
                <w:szCs w:val="20"/>
                <w:color w:val="B8BABC"/>
              </w:rPr>
              <w:t>.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Restructuring </w:t>
            </w:r>
            <w:r>
              <w:rPr>
                <w:rFonts w:ascii="Times New Roman" w:cs="Times New Roman" w:eastAsia="Times New Roman" w:hAnsi="Times New Roman"/>
                <w:sz w:val="20"/>
                <w:szCs w:val="20"/>
                <w:color w:val="B8BABC"/>
              </w:rPr>
              <w:t>.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Impairment </w:t>
            </w:r>
            <w:r>
              <w:rPr>
                <w:rFonts w:ascii="Times New Roman" w:cs="Times New Roman" w:eastAsia="Times New Roman" w:hAnsi="Times New Roman"/>
                <w:sz w:val="20"/>
                <w:szCs w:val="20"/>
                <w:color w:val="B8BABC"/>
              </w:rPr>
              <w:t>.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88"/>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reimbursements </w:t>
            </w:r>
            <w:r>
              <w:rPr>
                <w:rFonts w:ascii="Times New Roman" w:cs="Times New Roman" w:eastAsia="Times New Roman" w:hAnsi="Times New Roman"/>
                <w:sz w:val="20"/>
                <w:szCs w:val="20"/>
                <w:color w:val="B8BABC"/>
              </w:rPr>
              <w:t>. . . . . . . . . . . . . . . . . . . . . . . . . . . . . . .</w:t>
            </w: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1,733</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1,723</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1,587</w:t>
            </w:r>
          </w:p>
        </w:tc>
        <w:tc>
          <w:tcPr>
            <w:tcW w:w="0" w:type="dxa"/>
            <w:vAlign w:val="bottom"/>
          </w:tcPr>
          <w:p>
            <w:pPr>
              <w:spacing w:after="0"/>
              <w:rPr>
                <w:sz w:val="1"/>
                <w:szCs w:val="1"/>
                <w:color w:val="auto"/>
              </w:rPr>
            </w:pPr>
          </w:p>
        </w:tc>
      </w:tr>
      <w:tr>
        <w:trPr>
          <w:trHeight w:val="26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B8BABC"/>
              </w:rPr>
              <w:t>. . . . . . . . . . . . . . . . . . . . . . . . . . .</w:t>
            </w:r>
            <w:r>
              <w:rPr>
                <w:rFonts w:ascii="Times New Roman" w:cs="Times New Roman" w:eastAsia="Times New Roman" w:hAnsi="Times New Roman"/>
                <w:sz w:val="20"/>
                <w:szCs w:val="20"/>
                <w:b w:val="1"/>
                <w:bCs w:val="1"/>
                <w:color w:val="231F20"/>
              </w:rPr>
              <w:t>TOTALEXPENSES</w:t>
            </w:r>
          </w:p>
        </w:tc>
        <w:tc>
          <w:tcPr>
            <w:tcW w:w="360" w:type="dxa"/>
            <w:vAlign w:val="bottom"/>
            <w:tcBorders>
              <w:bottom w:val="single" w:sz="8" w:color="231F20"/>
            </w:tcBorders>
          </w:tcPr>
          <w:p>
            <w:pPr>
              <w:spacing w:after="0"/>
              <w:rPr>
                <w:sz w:val="23"/>
                <w:szCs w:val="23"/>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4,478</w:t>
            </w:r>
          </w:p>
        </w:tc>
        <w:tc>
          <w:tcPr>
            <w:tcW w:w="6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4,040</w:t>
            </w:r>
          </w:p>
        </w:tc>
        <w:tc>
          <w:tcPr>
            <w:tcW w:w="60" w:type="dxa"/>
            <w:vAlign w:val="bottom"/>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3,717</w:t>
            </w:r>
          </w:p>
        </w:tc>
        <w:tc>
          <w:tcPr>
            <w:tcW w:w="0" w:type="dxa"/>
            <w:vAlign w:val="bottom"/>
          </w:tcPr>
          <w:p>
            <w:pPr>
              <w:spacing w:after="0"/>
              <w:rPr>
                <w:sz w:val="1"/>
                <w:szCs w:val="1"/>
                <w:color w:val="auto"/>
              </w:rPr>
            </w:pPr>
          </w:p>
        </w:tc>
      </w:tr>
      <w:tr>
        <w:trPr>
          <w:trHeight w:val="262"/>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Gains and other income, net </w:t>
            </w:r>
            <w:r>
              <w:rPr>
                <w:rFonts w:ascii="Times New Roman" w:cs="Times New Roman" w:eastAsia="Times New Roman" w:hAnsi="Times New Roman"/>
                <w:sz w:val="20"/>
                <w:szCs w:val="20"/>
                <w:color w:val="B8BABC"/>
              </w:rPr>
              <w:t>. . . . . . . . . . . . . . . . . . . . . . . . .</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0" w:type="dxa"/>
            <w:vAlign w:val="bottom"/>
          </w:tcPr>
          <w:p>
            <w:pPr>
              <w:spacing w:after="0"/>
              <w:rPr>
                <w:sz w:val="1"/>
                <w:szCs w:val="1"/>
                <w:color w:val="auto"/>
              </w:rPr>
            </w:pPr>
          </w:p>
        </w:tc>
      </w:tr>
      <w:tr>
        <w:trPr>
          <w:trHeight w:val="288"/>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 . .</w:t>
            </w: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182"/>
        </w:trPr>
        <w:tc>
          <w:tcPr>
            <w:tcW w:w="5080" w:type="dxa"/>
            <w:vAlign w:val="bottom"/>
          </w:tcPr>
          <w:p>
            <w:pPr>
              <w:spacing w:after="0" w:line="182" w:lineRule="exact"/>
              <w:rPr>
                <w:sz w:val="20"/>
                <w:szCs w:val="20"/>
                <w:color w:val="auto"/>
              </w:rPr>
            </w:pPr>
            <w:r>
              <w:rPr>
                <w:rFonts w:ascii="Times New Roman" w:cs="Times New Roman" w:eastAsia="Times New Roman" w:hAnsi="Times New Roman"/>
                <w:sz w:val="20"/>
                <w:szCs w:val="20"/>
                <w:b w:val="1"/>
                <w:bCs w:val="1"/>
                <w:color w:val="231F20"/>
              </w:rPr>
              <w:t>SEGMENT FINANCIAL RESULTS ATTRIBUTABLE</w:t>
            </w:r>
          </w:p>
        </w:tc>
        <w:tc>
          <w:tcPr>
            <w:tcW w:w="36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345</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703</w:t>
            </w: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777</w:t>
            </w:r>
          </w:p>
        </w:tc>
        <w:tc>
          <w:tcPr>
            <w:tcW w:w="0" w:type="dxa"/>
            <w:vAlign w:val="bottom"/>
          </w:tcPr>
          <w:p>
            <w:pPr>
              <w:spacing w:after="0"/>
              <w:rPr>
                <w:sz w:val="1"/>
                <w:szCs w:val="1"/>
                <w:color w:val="auto"/>
              </w:rPr>
            </w:pPr>
          </w:p>
        </w:tc>
      </w:tr>
      <w:tr>
        <w:trPr>
          <w:trHeight w:val="243"/>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TO COMMON STOCKHOLDERS </w:t>
            </w:r>
            <w:r>
              <w:rPr>
                <w:rFonts w:ascii="Times New Roman" w:cs="Times New Roman" w:eastAsia="Times New Roman" w:hAnsi="Times New Roman"/>
                <w:sz w:val="20"/>
                <w:szCs w:val="20"/>
                <w:b w:val="1"/>
                <w:bCs w:val="1"/>
                <w:color w:val="B8BABC"/>
              </w:rPr>
              <w:t>. . . . . . . . . . . . . . . . . . .</w:t>
            </w:r>
          </w:p>
        </w:tc>
        <w:tc>
          <w:tcPr>
            <w:tcW w:w="3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9720"/>
          </w:cols>
          <w:pgMar w:left="1080" w:top="838" w:right="108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231F20"/>
        </w:rPr>
        <w:t>Sale of Vacation Ownership Products</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240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60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680" w:type="dxa"/>
            <w:vAlign w:val="bottom"/>
            <w:tcBorders>
              <w:bottom w:val="single" w:sz="8" w:color="231F20"/>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231F20"/>
              </w:rPr>
              <w:t>Fiscal Years</w:t>
            </w:r>
          </w:p>
        </w:tc>
        <w:tc>
          <w:tcPr>
            <w:tcW w:w="60" w:type="dxa"/>
            <w:vAlign w:val="bottom"/>
            <w:tcBorders>
              <w:bottom w:val="single" w:sz="8" w:color="231F20"/>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60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231F20"/>
                <w:w w:val="98"/>
              </w:rPr>
              <w:t>2025 vs. 2024</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231F20"/>
                <w:w w:val="95"/>
              </w:rPr>
              <w:t>% of</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231F20"/>
              </w:rPr>
              <w:t>% of</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231F20"/>
              </w:rPr>
              <w:t>% of</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Consolidated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Consolidated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Consolidated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7"/>
              </w:rPr>
              <w:t>Contract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Contract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rPr>
              <w:t>Contract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80" w:type="dxa"/>
            <w:vAlign w:val="bottom"/>
          </w:tcPr>
          <w:p>
            <w:pPr>
              <w:spacing w:after="0"/>
              <w:rPr>
                <w:sz w:val="13"/>
                <w:szCs w:val="13"/>
                <w:color w:val="auto"/>
              </w:rPr>
            </w:pPr>
          </w:p>
        </w:tc>
        <w:tc>
          <w:tcPr>
            <w:tcW w:w="600" w:type="dxa"/>
            <w:vAlign w:val="bottom"/>
            <w:vMerge w:val="restart"/>
          </w:tcPr>
          <w:p>
            <w:pPr>
              <w:jc w:val="right"/>
              <w:ind w:right="10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Sales, Net of</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0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Sales, Net of</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121"/>
              <w:spacing w:after="0"/>
              <w:rPr>
                <w:sz w:val="20"/>
                <w:szCs w:val="20"/>
                <w:color w:val="auto"/>
              </w:rPr>
            </w:pPr>
            <w:r>
              <w:rPr>
                <w:rFonts w:ascii="Times New Roman" w:cs="Times New Roman" w:eastAsia="Times New Roman" w:hAnsi="Times New Roman"/>
                <w:sz w:val="18"/>
                <w:szCs w:val="18"/>
                <w:b w:val="1"/>
                <w:bCs w:val="1"/>
                <w:color w:val="231F20"/>
                <w:w w:val="99"/>
              </w:rPr>
              <w:t>2023</w:t>
            </w:r>
          </w:p>
        </w:tc>
        <w:tc>
          <w:tcPr>
            <w:tcW w:w="60" w:type="dxa"/>
            <w:vAlign w:val="bottom"/>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231F20"/>
                <w:w w:val="99"/>
              </w:rPr>
              <w:t>Sales, Net of</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231F20"/>
              </w:rPr>
              <w:t>Change</w:t>
            </w:r>
          </w:p>
        </w:tc>
        <w:tc>
          <w:tcPr>
            <w:tcW w:w="0" w:type="dxa"/>
            <w:vAlign w:val="bottom"/>
          </w:tcPr>
          <w:p>
            <w:pPr>
              <w:spacing w:after="0"/>
              <w:rPr>
                <w:sz w:val="1"/>
                <w:szCs w:val="1"/>
                <w:color w:val="auto"/>
              </w:rPr>
            </w:pPr>
          </w:p>
        </w:tc>
      </w:tr>
      <w:tr>
        <w:trPr>
          <w:trHeight w:val="214"/>
        </w:trPr>
        <w:tc>
          <w:tcPr>
            <w:tcW w:w="2400" w:type="dxa"/>
            <w:vAlign w:val="bottom"/>
            <w:vMerge w:val="continue"/>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60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Resales</w:t>
            </w:r>
          </w:p>
        </w:tc>
        <w:tc>
          <w:tcPr>
            <w:tcW w:w="6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60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Resales</w:t>
            </w:r>
          </w:p>
        </w:tc>
        <w:tc>
          <w:tcPr>
            <w:tcW w:w="6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60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Resales</w:t>
            </w:r>
          </w:p>
        </w:tc>
        <w:tc>
          <w:tcPr>
            <w:tcW w:w="6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320" w:type="dxa"/>
            <w:vAlign w:val="bottom"/>
            <w:tcBorders>
              <w:bottom w:val="single" w:sz="8" w:color="231F20"/>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Consolidated contract sales </w:t>
            </w:r>
            <w:r>
              <w:rPr>
                <w:rFonts w:ascii="Times New Roman" w:cs="Times New Roman" w:eastAsia="Times New Roman" w:hAnsi="Times New Roman"/>
                <w:sz w:val="20"/>
                <w:szCs w:val="20"/>
                <w:color w:val="B8BABC"/>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1,762</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1,813</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1,772</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(3%)</w:t>
            </w:r>
          </w:p>
        </w:tc>
        <w:tc>
          <w:tcPr>
            <w:tcW w:w="0" w:type="dxa"/>
            <w:vAlign w:val="bottom"/>
          </w:tcPr>
          <w:p>
            <w:pPr>
              <w:spacing w:after="0"/>
              <w:rPr>
                <w:sz w:val="1"/>
                <w:szCs w:val="1"/>
                <w:color w:val="auto"/>
              </w:rPr>
            </w:pPr>
          </w:p>
        </w:tc>
      </w:tr>
      <w:tr>
        <w:trPr>
          <w:trHeight w:val="288"/>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Joint venture contract sales </w:t>
            </w:r>
            <w:r>
              <w:rPr>
                <w:rFonts w:ascii="Times New Roman" w:cs="Times New Roman" w:eastAsia="Times New Roman" w:hAnsi="Times New Roman"/>
                <w:sz w:val="20"/>
                <w:szCs w:val="20"/>
                <w:color w:val="B8BABC"/>
              </w:rPr>
              <w:t>.</w:t>
            </w:r>
          </w:p>
        </w:tc>
        <w:tc>
          <w:tcPr>
            <w:tcW w:w="18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28</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7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(1%)</w:t>
            </w:r>
          </w:p>
        </w:tc>
        <w:tc>
          <w:tcPr>
            <w:tcW w:w="0" w:type="dxa"/>
            <w:vAlign w:val="bottom"/>
          </w:tcPr>
          <w:p>
            <w:pPr>
              <w:spacing w:after="0"/>
              <w:rPr>
                <w:sz w:val="1"/>
                <w:szCs w:val="1"/>
                <w:color w:val="auto"/>
              </w:rPr>
            </w:pPr>
          </w:p>
        </w:tc>
      </w:tr>
      <w:tr>
        <w:trPr>
          <w:trHeight w:val="262"/>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Total contract sales </w:t>
            </w:r>
            <w:r>
              <w:rPr>
                <w:rFonts w:ascii="Times New Roman" w:cs="Times New Roman" w:eastAsia="Times New Roman" w:hAnsi="Times New Roman"/>
                <w:sz w:val="20"/>
                <w:szCs w:val="20"/>
                <w:color w:val="B8BABC"/>
              </w:rPr>
              <w:t>. . . . . . . .</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1,778</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1,829</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1,800</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(3%)</w:t>
            </w:r>
          </w:p>
        </w:tc>
        <w:tc>
          <w:tcPr>
            <w:tcW w:w="0" w:type="dxa"/>
            <w:vAlign w:val="bottom"/>
          </w:tcPr>
          <w:p>
            <w:pPr>
              <w:spacing w:after="0"/>
              <w:rPr>
                <w:sz w:val="1"/>
                <w:szCs w:val="1"/>
                <w:color w:val="auto"/>
              </w:rPr>
            </w:pPr>
          </w:p>
        </w:tc>
      </w:tr>
      <w:tr>
        <w:trPr>
          <w:trHeight w:val="285"/>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231F20"/>
              </w:rPr>
              <w:t>Less: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0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 xml:space="preserve">Resales contract sales </w:t>
            </w:r>
            <w:r>
              <w:rPr>
                <w:rFonts w:ascii="Times New Roman" w:cs="Times New Roman" w:eastAsia="Times New Roman" w:hAnsi="Times New Roman"/>
                <w:sz w:val="20"/>
                <w:szCs w:val="20"/>
                <w:color w:val="B8BABC"/>
              </w:rPr>
              <w:t>. .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9</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400" w:type="dxa"/>
            <w:vAlign w:val="bottom"/>
          </w:tcPr>
          <w:p>
            <w:pPr>
              <w:ind w:left="240"/>
              <w:spacing w:after="0" w:line="205" w:lineRule="exact"/>
              <w:rPr>
                <w:sz w:val="20"/>
                <w:szCs w:val="20"/>
                <w:color w:val="auto"/>
              </w:rPr>
            </w:pPr>
            <w:r>
              <w:rPr>
                <w:rFonts w:ascii="Times New Roman" w:cs="Times New Roman" w:eastAsia="Times New Roman" w:hAnsi="Times New Roman"/>
                <w:sz w:val="20"/>
                <w:szCs w:val="20"/>
                <w:color w:val="231F20"/>
              </w:rPr>
              <w:t>Joint venture contract</w:t>
            </w:r>
          </w:p>
        </w:tc>
        <w:tc>
          <w:tcPr>
            <w:tcW w:w="18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40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 xml:space="preserve">sales </w:t>
            </w:r>
            <w:r>
              <w:rPr>
                <w:rFonts w:ascii="Times New Roman" w:cs="Times New Roman" w:eastAsia="Times New Roman" w:hAnsi="Times New Roman"/>
                <w:sz w:val="20"/>
                <w:szCs w:val="20"/>
                <w:color w:val="B8BABC"/>
              </w:rPr>
              <w:t>. . . . . . . . . . . . . . . . .</w:t>
            </w:r>
          </w:p>
        </w:tc>
        <w:tc>
          <w:tcPr>
            <w:tcW w:w="180" w:type="dxa"/>
            <w:vAlign w:val="bottom"/>
            <w:tcBorders>
              <w:bottom w:val="single" w:sz="8" w:color="231F20"/>
            </w:tcBorders>
          </w:tcPr>
          <w:p>
            <w:pPr>
              <w:spacing w:after="0"/>
              <w:rPr>
                <w:sz w:val="22"/>
                <w:szCs w:val="22"/>
                <w:color w:val="auto"/>
              </w:rPr>
            </w:pPr>
          </w:p>
        </w:tc>
        <w:tc>
          <w:tcPr>
            <w:tcW w:w="60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60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60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54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400" w:type="dxa"/>
            <w:vAlign w:val="bottom"/>
          </w:tcPr>
          <w:p>
            <w:pPr>
              <w:spacing w:after="0" w:line="182" w:lineRule="exact"/>
              <w:rPr>
                <w:sz w:val="20"/>
                <w:szCs w:val="20"/>
                <w:color w:val="auto"/>
              </w:rPr>
            </w:pPr>
            <w:r>
              <w:rPr>
                <w:rFonts w:ascii="Times New Roman" w:cs="Times New Roman" w:eastAsia="Times New Roman" w:hAnsi="Times New Roman"/>
                <w:sz w:val="20"/>
                <w:szCs w:val="20"/>
                <w:color w:val="231F20"/>
              </w:rPr>
              <w:t>Consolidated contract sales,</w:t>
            </w: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1,733</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1,775</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231F20"/>
              </w:rPr>
              <w:t>1,730</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(2%)</w:t>
            </w: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net of resales </w:t>
            </w:r>
            <w:r>
              <w:rPr>
                <w:rFonts w:ascii="Times New Roman" w:cs="Times New Roman" w:eastAsia="Times New Roman" w:hAnsi="Times New Roman"/>
                <w:sz w:val="20"/>
                <w:szCs w:val="20"/>
                <w:color w:val="B8BABC"/>
              </w:rPr>
              <w:t>. . . . . . . . . . . . .</w:t>
            </w:r>
          </w:p>
        </w:tc>
        <w:tc>
          <w:tcPr>
            <w:tcW w:w="18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vMerge w:val="continue"/>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231F20"/>
              </w:rPr>
              <w:t>Plus: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0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Settlement revenue  </w:t>
            </w:r>
            <w:r>
              <w:rPr>
                <w:rFonts w:ascii="Times New Roman" w:cs="Times New Roman" w:eastAsia="Times New Roman" w:hAnsi="Times New Roman"/>
                <w:sz w:val="20"/>
                <w:szCs w:val="20"/>
                <w:color w:val="B8BABC"/>
              </w:rPr>
              <w:t>. . . .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39</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0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Resales revenue </w:t>
            </w:r>
            <w:r>
              <w:rPr>
                <w:rFonts w:ascii="Times New Roman" w:cs="Times New Roman" w:eastAsia="Times New Roman" w:hAnsi="Times New Roman"/>
                <w:sz w:val="20"/>
                <w:szCs w:val="20"/>
                <w:color w:val="B8BABC"/>
              </w:rPr>
              <w:t>. . . . . . .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22</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400" w:type="dxa"/>
            <w:vAlign w:val="bottom"/>
          </w:tcPr>
          <w:p>
            <w:pPr>
              <w:spacing w:after="0" w:line="205" w:lineRule="exact"/>
              <w:rPr>
                <w:sz w:val="20"/>
                <w:szCs w:val="20"/>
                <w:color w:val="auto"/>
              </w:rPr>
            </w:pPr>
            <w:r>
              <w:rPr>
                <w:rFonts w:ascii="Times New Roman" w:cs="Times New Roman" w:eastAsia="Times New Roman" w:hAnsi="Times New Roman"/>
                <w:sz w:val="20"/>
                <w:szCs w:val="20"/>
                <w:color w:val="231F20"/>
              </w:rPr>
              <w:t>Revenue recognition</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231F20"/>
              </w:rPr>
              <w:t>adjustments:</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40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Reportability </w:t>
            </w:r>
            <w:r>
              <w:rPr>
                <w:rFonts w:ascii="Times New Roman" w:cs="Times New Roman" w:eastAsia="Times New Roman" w:hAnsi="Times New Roman"/>
                <w:sz w:val="20"/>
                <w:szCs w:val="20"/>
                <w:color w:val="B8BABC"/>
              </w:rPr>
              <w:t>. . . . . . . . .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0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Sales reserve </w:t>
            </w:r>
            <w:r>
              <w:rPr>
                <w:rFonts w:ascii="Times New Roman" w:cs="Times New Roman" w:eastAsia="Times New Roman" w:hAnsi="Times New Roman"/>
                <w:sz w:val="20"/>
                <w:szCs w:val="20"/>
                <w:color w:val="B8BABC"/>
              </w:rPr>
              <w:t>. . . . . . . . . .</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(222)</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9"/>
              </w:rPr>
              <w:t>(13%)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(278)</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(16%)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(232)</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(13%)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56</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40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Other</w:t>
            </w:r>
            <w:r>
              <w:rPr>
                <w:rFonts w:ascii="Times New Roman" w:cs="Times New Roman" w:eastAsia="Times New Roman" w:hAnsi="Times New Roman"/>
                <w:sz w:val="10"/>
                <w:szCs w:val="10"/>
                <w:color w:val="231F20"/>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w:t>
            </w:r>
          </w:p>
        </w:tc>
        <w:tc>
          <w:tcPr>
            <w:tcW w:w="18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(6%)</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(104)</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(6%)</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(102)</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(6%)</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400" w:type="dxa"/>
            <w:vAlign w:val="bottom"/>
          </w:tcPr>
          <w:p>
            <w:pPr>
              <w:spacing w:after="0" w:line="182" w:lineRule="exact"/>
              <w:rPr>
                <w:sz w:val="20"/>
                <w:szCs w:val="20"/>
                <w:color w:val="auto"/>
              </w:rPr>
            </w:pPr>
            <w:r>
              <w:rPr>
                <w:rFonts w:ascii="Times New Roman" w:cs="Times New Roman" w:eastAsia="Times New Roman" w:hAnsi="Times New Roman"/>
                <w:sz w:val="20"/>
                <w:szCs w:val="20"/>
                <w:color w:val="231F20"/>
              </w:rPr>
              <w:t>Sale of vacation ownership</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1,464</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w w:val="98"/>
              </w:rPr>
              <w:t>84%</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1,448</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w w:val="98"/>
              </w:rPr>
              <w:t>82%</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231F20"/>
              </w:rPr>
              <w:t>1,460</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rPr>
              <w:t>84%</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231F20"/>
              </w:rPr>
              <w:t>16</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231F20"/>
                <w:w w:val="97"/>
              </w:rPr>
              <w:t>1%</w:t>
            </w:r>
          </w:p>
        </w:tc>
        <w:tc>
          <w:tcPr>
            <w:tcW w:w="0" w:type="dxa"/>
            <w:vAlign w:val="bottom"/>
          </w:tcPr>
          <w:p>
            <w:pPr>
              <w:spacing w:after="0"/>
              <w:rPr>
                <w:sz w:val="1"/>
                <w:szCs w:val="1"/>
                <w:color w:val="auto"/>
              </w:rPr>
            </w:pPr>
          </w:p>
        </w:tc>
      </w:tr>
      <w:tr>
        <w:trPr>
          <w:trHeight w:val="244"/>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products </w:t>
            </w:r>
            <w:r>
              <w:rPr>
                <w:rFonts w:ascii="Times New Roman" w:cs="Times New Roman" w:eastAsia="Times New Roman" w:hAnsi="Times New Roman"/>
                <w:sz w:val="20"/>
                <w:szCs w:val="20"/>
                <w:color w:val="B8BABC"/>
              </w:rPr>
              <w:t>. . . . . . . . . . . . . . . .</w:t>
            </w:r>
          </w:p>
        </w:tc>
        <w:tc>
          <w:tcPr>
            <w:tcW w:w="18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 xml:space="preserve">VPG </w:t>
            </w:r>
            <w:r>
              <w:rPr>
                <w:rFonts w:ascii="Times New Roman" w:cs="Times New Roman" w:eastAsia="Times New Roman" w:hAnsi="Times New Roman"/>
                <w:sz w:val="20"/>
                <w:szCs w:val="20"/>
                <w:color w:val="B8BABC"/>
              </w:rPr>
              <w:t>. . . . . . . . . . . . . . . . . . .</w:t>
            </w: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3,794</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3,911</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4,088</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(3%)</w:t>
            </w:r>
          </w:p>
        </w:tc>
        <w:tc>
          <w:tcPr>
            <w:tcW w:w="0" w:type="dxa"/>
            <w:vAlign w:val="bottom"/>
          </w:tcPr>
          <w:p>
            <w:pPr>
              <w:spacing w:after="0"/>
              <w:rPr>
                <w:sz w:val="1"/>
                <w:szCs w:val="1"/>
                <w:color w:val="auto"/>
              </w:rPr>
            </w:pPr>
          </w:p>
        </w:tc>
      </w:tr>
      <w:tr>
        <w:trPr>
          <w:trHeight w:val="285"/>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Tours </w:t>
            </w:r>
            <w:r>
              <w:rPr>
                <w:rFonts w:ascii="Times New Roman" w:cs="Times New Roman" w:eastAsia="Times New Roman" w:hAnsi="Times New Roman"/>
                <w:sz w:val="20"/>
                <w:szCs w:val="20"/>
                <w:color w:val="B8BABC"/>
              </w:rPr>
              <w:t>. . . . . . . . . . . . . . . . .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431,974</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432,716</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405,825</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(742)</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w:t>
            </w:r>
          </w:p>
        </w:tc>
        <w:tc>
          <w:tcPr>
            <w:tcW w:w="0" w:type="dxa"/>
            <w:vAlign w:val="bottom"/>
          </w:tcPr>
          <w:p>
            <w:pPr>
              <w:spacing w:after="0"/>
              <w:rPr>
                <w:sz w:val="1"/>
                <w:szCs w:val="1"/>
                <w:color w:val="auto"/>
              </w:rPr>
            </w:pPr>
          </w:p>
        </w:tc>
      </w:tr>
      <w:tr>
        <w:trPr>
          <w:trHeight w:val="285"/>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Financing propensity </w:t>
            </w:r>
            <w:r>
              <w:rPr>
                <w:rFonts w:ascii="Times New Roman" w:cs="Times New Roman" w:eastAsia="Times New Roman" w:hAnsi="Times New Roman"/>
                <w:sz w:val="20"/>
                <w:szCs w:val="20"/>
                <w:color w:val="B8BABC"/>
              </w:rPr>
              <w:t>. . . . . .</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231F20"/>
              </w:rPr>
              <w:t>56.7%</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231F20"/>
              </w:rPr>
              <w:t>55.9%</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gridSpan w:val="3"/>
          </w:tcPr>
          <w:p>
            <w:pPr>
              <w:jc w:val="right"/>
              <w:ind w:right="21"/>
              <w:spacing w:after="0"/>
              <w:rPr>
                <w:sz w:val="20"/>
                <w:szCs w:val="20"/>
                <w:color w:val="auto"/>
              </w:rPr>
            </w:pPr>
            <w:r>
              <w:rPr>
                <w:rFonts w:ascii="Times New Roman" w:cs="Times New Roman" w:eastAsia="Times New Roman" w:hAnsi="Times New Roman"/>
                <w:sz w:val="20"/>
                <w:szCs w:val="20"/>
                <w:color w:val="231F20"/>
              </w:rPr>
              <w:t>58.1%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color w:val="231F20"/>
                <w:w w:val="97"/>
              </w:rPr>
              <w:t>0.8 pts</w:t>
            </w:r>
          </w:p>
        </w:tc>
        <w:tc>
          <w:tcPr>
            <w:tcW w:w="0" w:type="dxa"/>
            <w:vAlign w:val="bottom"/>
          </w:tcPr>
          <w:p>
            <w:pPr>
              <w:spacing w:after="0"/>
              <w:rPr>
                <w:sz w:val="1"/>
                <w:szCs w:val="1"/>
                <w:color w:val="auto"/>
              </w:rPr>
            </w:pPr>
          </w:p>
        </w:tc>
      </w:tr>
      <w:tr>
        <w:trPr>
          <w:trHeight w:val="374"/>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231F20"/>
                <w:w w:val="99"/>
              </w:rPr>
              <w:t>Average FICO Score</w:t>
            </w:r>
            <w:r>
              <w:rPr>
                <w:rFonts w:ascii="Times New Roman" w:cs="Times New Roman" w:eastAsia="Times New Roman" w:hAnsi="Times New Roman"/>
                <w:sz w:val="26"/>
                <w:szCs w:val="26"/>
                <w:color w:val="231F20"/>
                <w:w w:val="99"/>
                <w:vertAlign w:val="superscript"/>
              </w:rPr>
              <w:t>(2)</w:t>
            </w:r>
            <w:r>
              <w:rPr>
                <w:rFonts w:ascii="Times New Roman" w:cs="Times New Roman" w:eastAsia="Times New Roman" w:hAnsi="Times New Roman"/>
                <w:sz w:val="20"/>
                <w:szCs w:val="20"/>
                <w:color w:val="231F20"/>
                <w:w w:val="99"/>
              </w:rPr>
              <w:t xml:space="preserve"> </w:t>
            </w:r>
            <w:r>
              <w:rPr>
                <w:rFonts w:ascii="Times New Roman" w:cs="Times New Roman" w:eastAsia="Times New Roman" w:hAnsi="Times New Roman"/>
                <w:sz w:val="20"/>
                <w:szCs w:val="20"/>
                <w:color w:val="B8BABC"/>
                <w:w w:val="99"/>
              </w:rPr>
              <w:t>. . . . .</w:t>
            </w:r>
          </w:p>
        </w:tc>
        <w:tc>
          <w:tcPr>
            <w:tcW w:w="180" w:type="dxa"/>
            <w:vAlign w:val="bottom"/>
          </w:tcPr>
          <w:p>
            <w:pPr>
              <w:spacing w:after="0"/>
              <w:rPr>
                <w:sz w:val="24"/>
                <w:szCs w:val="24"/>
                <w:color w:val="auto"/>
              </w:rPr>
            </w:pPr>
          </w:p>
        </w:tc>
        <w:tc>
          <w:tcPr>
            <w:tcW w:w="60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231F20"/>
              </w:rPr>
              <w:t>740</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231F20"/>
              </w:rPr>
              <w:t>737</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231F20"/>
              </w:rPr>
              <w:t>735</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60" w:hanging="360"/>
        <w:spacing w:after="0" w:line="226" w:lineRule="auto"/>
        <w:tabs>
          <w:tab w:leader="none" w:pos="360" w:val="left"/>
        </w:tabs>
        <w:numPr>
          <w:ilvl w:val="0"/>
          <w:numId w:val="16"/>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Adjustment for sales incentives that will not be recognized as Sale of vacation ownership products revenue and other adjustments to Sale of vacation ownership products revenue.</w:t>
      </w:r>
    </w:p>
    <w:p>
      <w:pPr>
        <w:spacing w:after="0" w:line="41" w:lineRule="exact"/>
        <w:rPr>
          <w:rFonts w:ascii="Times New Roman" w:cs="Times New Roman" w:eastAsia="Times New Roman" w:hAnsi="Times New Roman"/>
          <w:sz w:val="26"/>
          <w:szCs w:val="26"/>
          <w:color w:val="231F20"/>
          <w:vertAlign w:val="superscript"/>
        </w:rPr>
      </w:pPr>
    </w:p>
    <w:p>
      <w:pPr>
        <w:ind w:left="360" w:right="320" w:hanging="360"/>
        <w:spacing w:after="0" w:line="226" w:lineRule="auto"/>
        <w:tabs>
          <w:tab w:leader="none" w:pos="360" w:val="left"/>
        </w:tabs>
        <w:numPr>
          <w:ilvl w:val="0"/>
          <w:numId w:val="16"/>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For customers who financed a vacation ownership purchase and for whom a credit score was available, generally U.S. and Canadian residents.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Compared to 2024</w:t>
      </w:r>
    </w:p>
    <w:p>
      <w:pPr>
        <w:spacing w:after="0" w:line="134"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20"/>
          <w:szCs w:val="20"/>
          <w:color w:val="231F20"/>
        </w:rPr>
        <w:t>The increase in Sale of vacation ownership products was primarily due to a decrease in our sales reserve reflecting the $70 million sales reserve adjustment (the “additional sales reserve”) recorded in the second quarter of 2024, which did not recur in 2025. Lower contract sales were partially offset by higher revenue reportability and financing propensity in 2025. First time buyer contract sales were flat on 1% higher tours. Owner contract sales declined 4% on lower VPG and tours.</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Excluding the impact of the additional sales reserve recorded in the second quarter of 2024, our sales reserve as a percent of contract sales in 2025 is approximately 110 basis points higher than the prior year, reflecting our expectation that future defaults will be higher than those experienced prior to 2023. While our delinquency rates at December 31, 2025 have declined approximately 100 basis points compared to December 31, 2024, we do not expect to lower the sales reserve for new originations until we have sufficient, sustained evidence of continued improvement in delinquency and default rates.</w:t>
      </w:r>
    </w:p>
    <w:p>
      <w:pPr>
        <w:sectPr>
          <w:pgSz w:w="11880" w:h="15480" w:orient="portrait"/>
          <w:cols w:equalWidth="0" w:num="1">
            <w:col w:w="9720"/>
          </w:cols>
          <w:pgMar w:left="1080" w:top="83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9720"/>
          </w:cols>
          <w:pgMar w:left="1080" w:top="831" w:right="108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231F20"/>
        </w:rPr>
        <w:t>Development Profit</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3200" w:type="dxa"/>
            <w:vAlign w:val="bottom"/>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68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70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440" w:type="dxa"/>
            <w:vAlign w:val="bottom"/>
            <w:tcBorders>
              <w:bottom w:val="single" w:sz="8" w:color="231F20"/>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231F20"/>
              </w:rPr>
              <w:t>Fiscal Years</w:t>
            </w:r>
          </w:p>
        </w:tc>
        <w:tc>
          <w:tcPr>
            <w:tcW w:w="60" w:type="dxa"/>
            <w:vAlign w:val="bottom"/>
            <w:tcBorders>
              <w:bottom w:val="single" w:sz="8" w:color="231F20"/>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72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280" w:type="dxa"/>
            <w:vAlign w:val="bottom"/>
            <w:tcBorders>
              <w:bottom w:val="single" w:sz="8" w:color="231F20"/>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231F20"/>
              </w:rPr>
              <w:t>2025 vs. 2024</w:t>
            </w:r>
          </w:p>
        </w:tc>
        <w:tc>
          <w:tcPr>
            <w:tcW w:w="0" w:type="dxa"/>
            <w:vAlign w:val="bottom"/>
          </w:tcPr>
          <w:p>
            <w:pPr>
              <w:spacing w:after="0"/>
              <w:rPr>
                <w:sz w:val="1"/>
                <w:szCs w:val="1"/>
                <w:color w:val="auto"/>
              </w:rPr>
            </w:pPr>
          </w:p>
        </w:tc>
      </w:tr>
      <w:tr>
        <w:trPr>
          <w:trHeight w:val="201"/>
        </w:trPr>
        <w:tc>
          <w:tcPr>
            <w:tcW w:w="3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60" w:type="dxa"/>
            <w:vAlign w:val="bottom"/>
          </w:tcPr>
          <w:p>
            <w:pPr>
              <w:spacing w:after="0"/>
              <w:rPr>
                <w:sz w:val="17"/>
                <w:szCs w:val="17"/>
                <w:color w:val="auto"/>
              </w:rPr>
            </w:pPr>
          </w:p>
        </w:tc>
        <w:tc>
          <w:tcPr>
            <w:tcW w:w="680" w:type="dxa"/>
            <w:vAlign w:val="bottom"/>
            <w:vMerge w:val="restart"/>
          </w:tcPr>
          <w:p>
            <w:pPr>
              <w:jc w:val="right"/>
              <w:ind w:right="142"/>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restart"/>
          </w:tcPr>
          <w:p>
            <w:pPr>
              <w:jc w:val="right"/>
              <w:ind w:right="143"/>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restart"/>
          </w:tcPr>
          <w:p>
            <w:pPr>
              <w:jc w:val="right"/>
              <w:ind w:right="142"/>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6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5"/>
              </w:rPr>
              <w:t>%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231F20"/>
              </w:rPr>
              <w:t>Change</w:t>
            </w:r>
          </w:p>
        </w:tc>
        <w:tc>
          <w:tcPr>
            <w:tcW w:w="0" w:type="dxa"/>
            <w:vAlign w:val="bottom"/>
          </w:tcPr>
          <w:p>
            <w:pPr>
              <w:spacing w:after="0"/>
              <w:rPr>
                <w:sz w:val="1"/>
                <w:szCs w:val="1"/>
                <w:color w:val="auto"/>
              </w:rPr>
            </w:pPr>
          </w:p>
        </w:tc>
      </w:tr>
      <w:tr>
        <w:trPr>
          <w:trHeight w:val="214"/>
        </w:trPr>
        <w:tc>
          <w:tcPr>
            <w:tcW w:w="3200" w:type="dxa"/>
            <w:vAlign w:val="bottom"/>
            <w:vMerge w:val="continue"/>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Revenue</w:t>
            </w:r>
          </w:p>
        </w:tc>
        <w:tc>
          <w:tcPr>
            <w:tcW w:w="6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68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Revenue</w:t>
            </w:r>
          </w:p>
        </w:tc>
        <w:tc>
          <w:tcPr>
            <w:tcW w:w="6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Revenue</w:t>
            </w:r>
          </w:p>
        </w:tc>
        <w:tc>
          <w:tcPr>
            <w:tcW w:w="6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280" w:type="dxa"/>
            <w:vAlign w:val="bottom"/>
            <w:tcBorders>
              <w:bottom w:val="single" w:sz="8" w:color="231F20"/>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20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w:t>
            </w:r>
            <w:r>
              <w:rPr>
                <w:rFonts w:ascii="Times New Roman" w:cs="Times New Roman" w:eastAsia="Times New Roman" w:hAnsi="Times New Roman"/>
                <w:sz w:val="20"/>
                <w:szCs w:val="20"/>
                <w:color w:val="231F20"/>
              </w:rPr>
              <w:t>Saleofvacationownershipproducts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1,464</w:t>
            </w: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1,448</w:t>
            </w: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1,460</w:t>
            </w: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85"/>
        </w:trPr>
        <w:tc>
          <w:tcPr>
            <w:tcW w:w="3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Cost of vacation ownership products </w:t>
            </w:r>
            <w:r>
              <w:rPr>
                <w:rFonts w:ascii="Times New Roman" w:cs="Times New Roman" w:eastAsia="Times New Roman" w:hAnsi="Times New Roman"/>
                <w:sz w:val="20"/>
                <w:szCs w:val="20"/>
                <w:color w:val="B8BABC"/>
                <w:w w:val="99"/>
              </w:rPr>
              <w:t>. .</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13%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(224)</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15%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8%</w:t>
            </w:r>
          </w:p>
        </w:tc>
        <w:tc>
          <w:tcPr>
            <w:tcW w:w="0" w:type="dxa"/>
            <w:vAlign w:val="bottom"/>
          </w:tcPr>
          <w:p>
            <w:pPr>
              <w:spacing w:after="0"/>
              <w:rPr>
                <w:sz w:val="1"/>
                <w:szCs w:val="1"/>
                <w:color w:val="auto"/>
              </w:rPr>
            </w:pPr>
          </w:p>
        </w:tc>
      </w:tr>
      <w:tr>
        <w:trPr>
          <w:trHeight w:val="288"/>
        </w:trPr>
        <w:tc>
          <w:tcPr>
            <w:tcW w:w="3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Marketing and sales </w:t>
            </w:r>
            <w:r>
              <w:rPr>
                <w:rFonts w:ascii="Times New Roman" w:cs="Times New Roman" w:eastAsia="Times New Roman" w:hAnsi="Times New Roman"/>
                <w:sz w:val="20"/>
                <w:szCs w:val="20"/>
                <w:color w:val="B8BABC"/>
              </w:rPr>
              <w:t>. . . . . . . . . . . . . . .</w:t>
            </w:r>
          </w:p>
        </w:tc>
        <w:tc>
          <w:tcPr>
            <w:tcW w:w="16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(943)</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64%</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(919)</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63%</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(823)</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56%</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45"/>
        </w:trPr>
        <w:tc>
          <w:tcPr>
            <w:tcW w:w="320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w:t>
            </w:r>
            <w:r>
              <w:rPr>
                <w:rFonts w:ascii="Times New Roman" w:cs="Times New Roman" w:eastAsia="Times New Roman" w:hAnsi="Times New Roman"/>
                <w:sz w:val="20"/>
                <w:szCs w:val="20"/>
                <w:color w:val="231F20"/>
              </w:rPr>
              <w:t>Developmentprofit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337</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329</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413</w:t>
            </w: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Development profit margin</w:t>
            </w: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231F20"/>
              <w:bottom w:val="single" w:sz="8" w:color="231F20"/>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200" w:type="dxa"/>
            <w:vAlign w:val="bottom"/>
            <w:vMerge w:val="continue"/>
          </w:tcPr>
          <w:p>
            <w:pPr>
              <w:jc w:val="right"/>
              <w:spacing w:after="0" w:line="161" w:lineRule="exact"/>
              <w:rPr>
                <w:sz w:val="20"/>
                <w:szCs w:val="20"/>
                <w:color w:val="auto"/>
              </w:rPr>
            </w:pPr>
            <w:r>
              <w:rPr>
                <w:rFonts w:ascii="Times New Roman" w:cs="Times New Roman" w:eastAsia="Times New Roman" w:hAnsi="Times New Roman"/>
                <w:sz w:val="18"/>
                <w:szCs w:val="18"/>
                <w:color w:val="B8BABC"/>
              </w:rPr>
              <w:t>. . . . . . . . .</w:t>
            </w:r>
          </w:p>
        </w:tc>
        <w:tc>
          <w:tcPr>
            <w:tcW w:w="160" w:type="dxa"/>
            <w:vAlign w:val="bottom"/>
          </w:tcPr>
          <w:p>
            <w:pPr>
              <w:spacing w:after="0"/>
              <w:rPr>
                <w:sz w:val="22"/>
                <w:szCs w:val="22"/>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23.0%</w:t>
            </w: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22.7%</w:t>
            </w: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w w:val="96"/>
              </w:rPr>
              <w:t>28.3%</w:t>
            </w: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0.3 pts</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Compared to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increase in Development profit was due to the following:</w:t>
      </w:r>
    </w:p>
    <w:p>
      <w:pPr>
        <w:spacing w:after="0" w:line="70" w:lineRule="exact"/>
        <w:rPr>
          <w:sz w:val="20"/>
          <w:szCs w:val="20"/>
          <w:color w:val="auto"/>
        </w:rPr>
      </w:pPr>
    </w:p>
    <w:p>
      <w:pPr>
        <w:ind w:left="360" w:hanging="180"/>
        <w:spacing w:after="0"/>
        <w:tabs>
          <w:tab w:leader="none" w:pos="36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higher Sale of vacation ownership products (discussed above); and</w:t>
      </w:r>
    </w:p>
    <w:p>
      <w:pPr>
        <w:spacing w:after="0" w:line="70" w:lineRule="exact"/>
        <w:rPr>
          <w:rFonts w:ascii="Times New Roman" w:cs="Times New Roman" w:eastAsia="Times New Roman" w:hAnsi="Times New Roman"/>
          <w:sz w:val="20"/>
          <w:szCs w:val="20"/>
          <w:color w:val="231F20"/>
        </w:rPr>
      </w:pPr>
    </w:p>
    <w:p>
      <w:pPr>
        <w:ind w:left="360" w:right="80" w:hanging="180"/>
        <w:spacing w:after="0" w:line="281" w:lineRule="auto"/>
        <w:tabs>
          <w:tab w:leader="none" w:pos="360"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lower Cost of vacation ownership products due to the $13 million favorable impact of the additional sales reserve in 2024 partially offset by the sale of higher average cost inventory.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These were partially offset by:</w:t>
      </w:r>
    </w:p>
    <w:p>
      <w:pPr>
        <w:spacing w:after="0" w:line="70" w:lineRule="exact"/>
        <w:rPr>
          <w:sz w:val="20"/>
          <w:szCs w:val="20"/>
          <w:color w:val="auto"/>
        </w:rPr>
      </w:pPr>
    </w:p>
    <w:p>
      <w:pPr>
        <w:ind w:left="360" w:hanging="180"/>
        <w:spacing w:after="0"/>
        <w:tabs>
          <w:tab w:leader="none" w:pos="36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higher marketing and sales costs due to:</w:t>
      </w:r>
    </w:p>
    <w:p>
      <w:pPr>
        <w:spacing w:after="0" w:line="70" w:lineRule="exact"/>
        <w:rPr>
          <w:rFonts w:ascii="Times New Roman" w:cs="Times New Roman" w:eastAsia="Times New Roman" w:hAnsi="Times New Roman"/>
          <w:sz w:val="20"/>
          <w:szCs w:val="20"/>
          <w:color w:val="231F20"/>
        </w:rPr>
      </w:pPr>
    </w:p>
    <w:p>
      <w:pPr>
        <w:ind w:left="720" w:hanging="180"/>
        <w:spacing w:after="0"/>
        <w:tabs>
          <w:tab w:leader="none" w:pos="720" w:val="left"/>
        </w:tabs>
        <w:numPr>
          <w:ilvl w:val="1"/>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$10 million of higher costs for occupancy used for previews;</w:t>
      </w:r>
    </w:p>
    <w:p>
      <w:pPr>
        <w:spacing w:after="0" w:line="70" w:lineRule="exact"/>
        <w:rPr>
          <w:rFonts w:ascii="Times New Roman" w:cs="Times New Roman" w:eastAsia="Times New Roman" w:hAnsi="Times New Roman"/>
          <w:sz w:val="20"/>
          <w:szCs w:val="20"/>
          <w:color w:val="231F20"/>
        </w:rPr>
      </w:pPr>
    </w:p>
    <w:p>
      <w:pPr>
        <w:ind w:left="720" w:hanging="180"/>
        <w:spacing w:after="0"/>
        <w:tabs>
          <w:tab w:leader="none" w:pos="720" w:val="left"/>
        </w:tabs>
        <w:numPr>
          <w:ilvl w:val="1"/>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$8 million of higher marketing and other costs; and</w:t>
      </w:r>
    </w:p>
    <w:p>
      <w:pPr>
        <w:spacing w:after="0" w:line="70" w:lineRule="exact"/>
        <w:rPr>
          <w:rFonts w:ascii="Times New Roman" w:cs="Times New Roman" w:eastAsia="Times New Roman" w:hAnsi="Times New Roman"/>
          <w:sz w:val="20"/>
          <w:szCs w:val="20"/>
          <w:color w:val="231F20"/>
        </w:rPr>
      </w:pPr>
    </w:p>
    <w:p>
      <w:pPr>
        <w:ind w:left="720" w:hanging="180"/>
        <w:spacing w:after="0"/>
        <w:tabs>
          <w:tab w:leader="none" w:pos="720" w:val="left"/>
        </w:tabs>
        <w:numPr>
          <w:ilvl w:val="1"/>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$6 million of higher salaries, wages and benefits for sales executives, including variable compensation.</w:t>
      </w:r>
    </w:p>
    <w:p>
      <w:pPr>
        <w:spacing w:after="0" w:line="130"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20"/>
          <w:szCs w:val="20"/>
          <w:color w:val="231F20"/>
        </w:rPr>
        <w:t>Excluding the favorable impact of the additional sales reserve in 2024, both Cost of vacation ownership products and Cost of vacation ownership products as a percentage of sales were flat.</w:t>
      </w:r>
    </w:p>
    <w:p>
      <w:pPr>
        <w:spacing w:after="0" w:line="61" w:lineRule="exact"/>
        <w:rPr>
          <w:sz w:val="20"/>
          <w:szCs w:val="20"/>
          <w:color w:val="auto"/>
        </w:rPr>
      </w:pPr>
    </w:p>
    <w:p>
      <w:pPr>
        <w:ind w:right="1100"/>
        <w:spacing w:after="0" w:line="281" w:lineRule="auto"/>
        <w:rPr>
          <w:sz w:val="20"/>
          <w:szCs w:val="20"/>
          <w:color w:val="auto"/>
        </w:rPr>
      </w:pPr>
      <w:r>
        <w:rPr>
          <w:rFonts w:ascii="Times New Roman" w:cs="Times New Roman" w:eastAsia="Times New Roman" w:hAnsi="Times New Roman"/>
          <w:sz w:val="20"/>
          <w:szCs w:val="20"/>
          <w:color w:val="231F20"/>
        </w:rPr>
        <w:t>Excluding the impact of the additional sales reserve in 2024, Development profit decreased $49 million and Development profit margin decreased approximately 240 basis points in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Resort Management and Other Services Revenues, Expenses and Profit</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64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800" w:type="dxa"/>
            <w:vAlign w:val="bottom"/>
            <w:tcBorders>
              <w:bottom w:val="single" w:sz="8" w:color="231F20"/>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231F20"/>
                <w:w w:val="98"/>
              </w:rPr>
              <w:t>2025 vs. 2024</w:t>
            </w:r>
          </w:p>
        </w:tc>
        <w:tc>
          <w:tcPr>
            <w:tcW w:w="0" w:type="dxa"/>
            <w:vAlign w:val="bottom"/>
          </w:tcPr>
          <w:p>
            <w:pPr>
              <w:spacing w:after="0"/>
              <w:rPr>
                <w:sz w:val="1"/>
                <w:szCs w:val="1"/>
                <w:color w:val="auto"/>
              </w:rPr>
            </w:pPr>
          </w:p>
        </w:tc>
      </w:tr>
      <w:tr>
        <w:trPr>
          <w:trHeight w:val="235"/>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center"/>
              <w:ind w:right="101"/>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8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gridSpan w:val="2"/>
          </w:tcPr>
          <w:p>
            <w:pPr>
              <w:jc w:val="center"/>
              <w:ind w:left="402"/>
              <w:spacing w:after="0"/>
              <w:rPr>
                <w:sz w:val="20"/>
                <w:szCs w:val="20"/>
                <w:color w:val="auto"/>
              </w:rPr>
            </w:pPr>
            <w:r>
              <w:rPr>
                <w:rFonts w:ascii="Times New Roman" w:cs="Times New Roman" w:eastAsia="Times New Roman" w:hAnsi="Times New Roman"/>
                <w:sz w:val="18"/>
                <w:szCs w:val="18"/>
                <w:b w:val="1"/>
                <w:bCs w:val="1"/>
                <w:color w:val="231F20"/>
              </w:rPr>
              <w:t>Change</w:t>
            </w:r>
          </w:p>
        </w:tc>
        <w:tc>
          <w:tcPr>
            <w:tcW w:w="6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Management fee revenues  </w:t>
            </w:r>
            <w:r>
              <w:rPr>
                <w:rFonts w:ascii="Times New Roman" w:cs="Times New Roman" w:eastAsia="Times New Roman" w:hAnsi="Times New Roman"/>
                <w:sz w:val="20"/>
                <w:szCs w:val="20"/>
                <w:color w:val="B8BABC"/>
              </w:rPr>
              <w:t>.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207</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360" w:type="dxa"/>
            <w:vAlign w:val="bottom"/>
          </w:tcPr>
          <w:p>
            <w:pPr>
              <w:spacing w:after="0"/>
              <w:rPr>
                <w:sz w:val="22"/>
                <w:szCs w:val="22"/>
                <w:color w:val="auto"/>
              </w:rPr>
            </w:pPr>
          </w:p>
        </w:tc>
        <w:tc>
          <w:tcPr>
            <w:tcW w:w="6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7"/>
              </w:rPr>
              <w:t>7%</w:t>
            </w:r>
          </w:p>
        </w:tc>
        <w:tc>
          <w:tcPr>
            <w:tcW w:w="0" w:type="dxa"/>
            <w:vAlign w:val="bottom"/>
          </w:tcPr>
          <w:p>
            <w:pPr>
              <w:spacing w:after="0"/>
              <w:rPr>
                <w:sz w:val="1"/>
                <w:szCs w:val="1"/>
                <w:color w:val="auto"/>
              </w:rPr>
            </w:pPr>
          </w:p>
        </w:tc>
      </w:tr>
      <w:tr>
        <w:trPr>
          <w:trHeight w:val="28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Ancillary revenues </w:t>
            </w:r>
            <w:r>
              <w:rPr>
                <w:rFonts w:ascii="Times New Roman" w:cs="Times New Roman" w:eastAsia="Times New Roman" w:hAnsi="Times New Roman"/>
                <w:sz w:val="20"/>
                <w:szCs w:val="20"/>
                <w:color w:val="B8BABC"/>
              </w:rPr>
              <w:t>. . . . . . . . . . . . . . . . . . . . . . . . . . . . . .</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360" w:type="dxa"/>
            <w:vAlign w:val="bottom"/>
          </w:tcPr>
          <w:p>
            <w:pPr>
              <w:spacing w:after="0"/>
              <w:rPr>
                <w:sz w:val="24"/>
                <w:szCs w:val="24"/>
                <w:color w:val="auto"/>
              </w:rPr>
            </w:pPr>
          </w:p>
        </w:tc>
        <w:tc>
          <w:tcPr>
            <w:tcW w:w="6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7"/>
              </w:rPr>
              <w:t>2%</w:t>
            </w:r>
          </w:p>
        </w:tc>
        <w:tc>
          <w:tcPr>
            <w:tcW w:w="0" w:type="dxa"/>
            <w:vAlign w:val="bottom"/>
          </w:tcPr>
          <w:p>
            <w:pPr>
              <w:spacing w:after="0"/>
              <w:rPr>
                <w:sz w:val="1"/>
                <w:szCs w:val="1"/>
                <w:color w:val="auto"/>
              </w:rPr>
            </w:pPr>
          </w:p>
        </w:tc>
      </w:tr>
      <w:tr>
        <w:trPr>
          <w:trHeight w:val="288"/>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Other management and exchange revenues </w:t>
            </w:r>
            <w:r>
              <w:rPr>
                <w:rFonts w:ascii="Times New Roman" w:cs="Times New Roman" w:eastAsia="Times New Roman" w:hAnsi="Times New Roman"/>
                <w:sz w:val="20"/>
                <w:szCs w:val="20"/>
                <w:color w:val="B8BABC"/>
              </w:rPr>
              <w:t>. . . . . . . . . . .</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231F20"/>
                <w:w w:val="98"/>
              </w:rPr>
              <w:t>—%</w:t>
            </w:r>
          </w:p>
        </w:tc>
        <w:tc>
          <w:tcPr>
            <w:tcW w:w="0" w:type="dxa"/>
            <w:vAlign w:val="bottom"/>
          </w:tcPr>
          <w:p>
            <w:pPr>
              <w:spacing w:after="0"/>
              <w:rPr>
                <w:sz w:val="1"/>
                <w:szCs w:val="1"/>
                <w:color w:val="auto"/>
              </w:rPr>
            </w:pPr>
          </w:p>
        </w:tc>
      </w:tr>
      <w:tr>
        <w:trPr>
          <w:trHeight w:val="262"/>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Resort management and other services revenues </w:t>
            </w:r>
            <w:r>
              <w:rPr>
                <w:rFonts w:ascii="Times New Roman" w:cs="Times New Roman" w:eastAsia="Times New Roman" w:hAnsi="Times New Roman"/>
                <w:sz w:val="20"/>
                <w:szCs w:val="20"/>
                <w:color w:val="B8BABC"/>
              </w:rPr>
              <w:t>. . . . . . .</w:t>
            </w:r>
          </w:p>
        </w:tc>
        <w:tc>
          <w:tcPr>
            <w:tcW w:w="180" w:type="dxa"/>
            <w:vAlign w:val="bottom"/>
            <w:tcBorders>
              <w:top w:val="single" w:sz="8" w:color="231F20"/>
            </w:tcBorders>
          </w:tcPr>
          <w:p>
            <w:pPr>
              <w:spacing w:after="0"/>
              <w:rPr>
                <w:sz w:val="22"/>
                <w:szCs w:val="22"/>
                <w:color w:val="auto"/>
              </w:rPr>
            </w:pPr>
          </w:p>
        </w:tc>
        <w:tc>
          <w:tcPr>
            <w:tcW w:w="7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633</w:t>
            </w:r>
          </w:p>
        </w:tc>
        <w:tc>
          <w:tcPr>
            <w:tcW w:w="80" w:type="dxa"/>
            <w:vAlign w:val="bottom"/>
          </w:tcPr>
          <w:p>
            <w:pPr>
              <w:spacing w:after="0"/>
              <w:rPr>
                <w:sz w:val="22"/>
                <w:szCs w:val="22"/>
                <w:color w:val="auto"/>
              </w:rPr>
            </w:pPr>
          </w:p>
        </w:tc>
        <w:tc>
          <w:tcPr>
            <w:tcW w:w="180" w:type="dxa"/>
            <w:vAlign w:val="bottom"/>
            <w:tcBorders>
              <w:top w:val="single" w:sz="8" w:color="231F20"/>
            </w:tcBorders>
          </w:tcPr>
          <w:p>
            <w:pPr>
              <w:spacing w:after="0"/>
              <w:rPr>
                <w:sz w:val="22"/>
                <w:szCs w:val="22"/>
                <w:color w:val="auto"/>
              </w:rPr>
            </w:pPr>
          </w:p>
        </w:tc>
        <w:tc>
          <w:tcPr>
            <w:tcW w:w="7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612</w:t>
            </w:r>
          </w:p>
        </w:tc>
        <w:tc>
          <w:tcPr>
            <w:tcW w:w="80" w:type="dxa"/>
            <w:vAlign w:val="bottom"/>
          </w:tcPr>
          <w:p>
            <w:pPr>
              <w:spacing w:after="0"/>
              <w:rPr>
                <w:sz w:val="22"/>
                <w:szCs w:val="22"/>
                <w:color w:val="auto"/>
              </w:rPr>
            </w:pPr>
          </w:p>
        </w:tc>
        <w:tc>
          <w:tcPr>
            <w:tcW w:w="180" w:type="dxa"/>
            <w:vAlign w:val="bottom"/>
            <w:tcBorders>
              <w:top w:val="single" w:sz="8" w:color="231F20"/>
            </w:tcBorders>
          </w:tcPr>
          <w:p>
            <w:pPr>
              <w:spacing w:after="0"/>
              <w:rPr>
                <w:sz w:val="22"/>
                <w:szCs w:val="22"/>
                <w:color w:val="auto"/>
              </w:rPr>
            </w:pPr>
          </w:p>
        </w:tc>
        <w:tc>
          <w:tcPr>
            <w:tcW w:w="7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568</w:t>
            </w:r>
          </w:p>
        </w:tc>
        <w:tc>
          <w:tcPr>
            <w:tcW w:w="80" w:type="dxa"/>
            <w:vAlign w:val="bottom"/>
          </w:tcPr>
          <w:p>
            <w:pPr>
              <w:spacing w:after="0"/>
              <w:rPr>
                <w:sz w:val="22"/>
                <w:szCs w:val="22"/>
                <w:color w:val="auto"/>
              </w:rPr>
            </w:pPr>
          </w:p>
        </w:tc>
        <w:tc>
          <w:tcPr>
            <w:tcW w:w="160" w:type="dxa"/>
            <w:vAlign w:val="bottom"/>
            <w:tcBorders>
              <w:top w:val="single" w:sz="8" w:color="231F20"/>
            </w:tcBorders>
          </w:tcPr>
          <w:p>
            <w:pPr>
              <w:spacing w:after="0"/>
              <w:rPr>
                <w:sz w:val="22"/>
                <w:szCs w:val="22"/>
                <w:color w:val="auto"/>
              </w:rPr>
            </w:pPr>
          </w:p>
        </w:tc>
        <w:tc>
          <w:tcPr>
            <w:tcW w:w="7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360" w:type="dxa"/>
            <w:vAlign w:val="bottom"/>
          </w:tcPr>
          <w:p>
            <w:pPr>
              <w:spacing w:after="0"/>
              <w:rPr>
                <w:sz w:val="22"/>
                <w:szCs w:val="22"/>
                <w:color w:val="auto"/>
              </w:rPr>
            </w:pPr>
          </w:p>
        </w:tc>
        <w:tc>
          <w:tcPr>
            <w:tcW w:w="6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7"/>
              </w:rPr>
              <w:t>3%</w:t>
            </w:r>
          </w:p>
        </w:tc>
        <w:tc>
          <w:tcPr>
            <w:tcW w:w="0" w:type="dxa"/>
            <w:vAlign w:val="bottom"/>
          </w:tcPr>
          <w:p>
            <w:pPr>
              <w:spacing w:after="0"/>
              <w:rPr>
                <w:sz w:val="1"/>
                <w:szCs w:val="1"/>
                <w:color w:val="auto"/>
              </w:rPr>
            </w:pPr>
          </w:p>
        </w:tc>
      </w:tr>
      <w:tr>
        <w:trPr>
          <w:trHeight w:val="288"/>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Resort management and other services expenses </w:t>
            </w:r>
            <w:r>
              <w:rPr>
                <w:rFonts w:ascii="Times New Roman" w:cs="Times New Roman" w:eastAsia="Times New Roman" w:hAnsi="Times New Roman"/>
                <w:sz w:val="20"/>
                <w:szCs w:val="20"/>
                <w:color w:val="B8BABC"/>
              </w:rPr>
              <w:t>. . . . . . .</w:t>
            </w: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(291)</w:t>
            </w:r>
          </w:p>
        </w:tc>
        <w:tc>
          <w:tcPr>
            <w:tcW w:w="8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(293)</w:t>
            </w:r>
          </w:p>
        </w:tc>
        <w:tc>
          <w:tcPr>
            <w:tcW w:w="8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(270)</w:t>
            </w:r>
          </w:p>
        </w:tc>
        <w:tc>
          <w:tcPr>
            <w:tcW w:w="8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360" w:type="dxa"/>
            <w:vAlign w:val="bottom"/>
          </w:tcPr>
          <w:p>
            <w:pPr>
              <w:spacing w:after="0"/>
              <w:rPr>
                <w:sz w:val="24"/>
                <w:szCs w:val="24"/>
                <w:color w:val="auto"/>
              </w:rPr>
            </w:pPr>
          </w:p>
        </w:tc>
        <w:tc>
          <w:tcPr>
            <w:tcW w:w="6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7"/>
              </w:rPr>
              <w:t>1%</w:t>
            </w: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Resort management and other services profit </w:t>
            </w:r>
            <w:r>
              <w:rPr>
                <w:rFonts w:ascii="Times New Roman" w:cs="Times New Roman" w:eastAsia="Times New Roman" w:hAnsi="Times New Roman"/>
                <w:sz w:val="20"/>
                <w:szCs w:val="20"/>
                <w:color w:val="B8BABC"/>
              </w:rPr>
              <w:t>. . . . . . . . . .</w:t>
            </w: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342</w:t>
            </w:r>
          </w:p>
        </w:tc>
        <w:tc>
          <w:tcPr>
            <w:tcW w:w="80" w:type="dxa"/>
            <w:vAlign w:val="bottom"/>
          </w:tcPr>
          <w:p>
            <w:pPr>
              <w:spacing w:after="0"/>
              <w:rPr>
                <w:sz w:val="21"/>
                <w:szCs w:val="21"/>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319</w:t>
            </w:r>
          </w:p>
        </w:tc>
        <w:tc>
          <w:tcPr>
            <w:tcW w:w="80" w:type="dxa"/>
            <w:vAlign w:val="bottom"/>
          </w:tcPr>
          <w:p>
            <w:pPr>
              <w:spacing w:after="0"/>
              <w:rPr>
                <w:sz w:val="21"/>
                <w:szCs w:val="21"/>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298</w:t>
            </w:r>
          </w:p>
        </w:tc>
        <w:tc>
          <w:tcPr>
            <w:tcW w:w="80" w:type="dxa"/>
            <w:vAlign w:val="bottom"/>
          </w:tcPr>
          <w:p>
            <w:pPr>
              <w:spacing w:after="0"/>
              <w:rPr>
                <w:sz w:val="21"/>
                <w:szCs w:val="21"/>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360" w:type="dxa"/>
            <w:vAlign w:val="bottom"/>
          </w:tcPr>
          <w:p>
            <w:pPr>
              <w:spacing w:after="0"/>
              <w:rPr>
                <w:sz w:val="21"/>
                <w:szCs w:val="21"/>
                <w:color w:val="auto"/>
              </w:rPr>
            </w:pPr>
          </w:p>
        </w:tc>
        <w:tc>
          <w:tcPr>
            <w:tcW w:w="66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7"/>
              </w:rPr>
              <w:t>7%</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 xml:space="preserve">Resort management and other services profit margin  </w:t>
            </w:r>
            <w:r>
              <w:rPr>
                <w:rFonts w:ascii="Times New Roman" w:cs="Times New Roman" w:eastAsia="Times New Roman" w:hAnsi="Times New Roman"/>
                <w:sz w:val="20"/>
                <w:szCs w:val="20"/>
                <w:color w:val="B8BABC"/>
              </w:rPr>
              <w:t>. . .</w:t>
            </w: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640" w:type="dxa"/>
            <w:vAlign w:val="bottom"/>
            <w:vMerge w:val="continue"/>
          </w:tcPr>
          <w:p>
            <w:pPr>
              <w:spacing w:after="0"/>
              <w:rPr>
                <w:sz w:val="22"/>
                <w:szCs w:val="22"/>
                <w:color w:val="auto"/>
              </w:rPr>
            </w:pPr>
          </w:p>
        </w:tc>
        <w:tc>
          <w:tcPr>
            <w:tcW w:w="180" w:type="dxa"/>
            <w:vAlign w:val="bottom"/>
            <w:tcBorders>
              <w:top w:val="single" w:sz="8" w:color="231F20"/>
            </w:tcBorders>
          </w:tcPr>
          <w:p>
            <w:pPr>
              <w:spacing w:after="0"/>
              <w:rPr>
                <w:sz w:val="22"/>
                <w:szCs w:val="22"/>
                <w:color w:val="auto"/>
              </w:rPr>
            </w:pPr>
          </w:p>
        </w:tc>
        <w:tc>
          <w:tcPr>
            <w:tcW w:w="760" w:type="dxa"/>
            <w:vAlign w:val="bottom"/>
            <w:tcBorders>
              <w:top w:val="single" w:sz="8" w:color="231F20"/>
            </w:tcBorders>
          </w:tcPr>
          <w:p>
            <w:pPr>
              <w:jc w:val="right"/>
              <w:ind w:right="101"/>
              <w:spacing w:after="0"/>
              <w:rPr>
                <w:sz w:val="20"/>
                <w:szCs w:val="20"/>
                <w:color w:val="auto"/>
              </w:rPr>
            </w:pPr>
            <w:r>
              <w:rPr>
                <w:rFonts w:ascii="Times New Roman" w:cs="Times New Roman" w:eastAsia="Times New Roman" w:hAnsi="Times New Roman"/>
                <w:sz w:val="20"/>
                <w:szCs w:val="20"/>
                <w:color w:val="231F20"/>
              </w:rPr>
              <w:t>54.1%</w:t>
            </w:r>
          </w:p>
        </w:tc>
        <w:tc>
          <w:tcPr>
            <w:tcW w:w="80" w:type="dxa"/>
            <w:vAlign w:val="bottom"/>
          </w:tcPr>
          <w:p>
            <w:pPr>
              <w:spacing w:after="0"/>
              <w:rPr>
                <w:sz w:val="22"/>
                <w:szCs w:val="22"/>
                <w:color w:val="auto"/>
              </w:rPr>
            </w:pPr>
          </w:p>
        </w:tc>
        <w:tc>
          <w:tcPr>
            <w:tcW w:w="180" w:type="dxa"/>
            <w:vAlign w:val="bottom"/>
            <w:tcBorders>
              <w:top w:val="single" w:sz="8" w:color="231F20"/>
            </w:tcBorders>
          </w:tcPr>
          <w:p>
            <w:pPr>
              <w:spacing w:after="0"/>
              <w:rPr>
                <w:sz w:val="22"/>
                <w:szCs w:val="22"/>
                <w:color w:val="auto"/>
              </w:rPr>
            </w:pPr>
          </w:p>
        </w:tc>
        <w:tc>
          <w:tcPr>
            <w:tcW w:w="760" w:type="dxa"/>
            <w:vAlign w:val="bottom"/>
            <w:tcBorders>
              <w:top w:val="single" w:sz="8" w:color="231F20"/>
            </w:tcBorders>
          </w:tcPr>
          <w:p>
            <w:pPr>
              <w:jc w:val="center"/>
              <w:ind w:right="61"/>
              <w:spacing w:after="0"/>
              <w:rPr>
                <w:sz w:val="20"/>
                <w:szCs w:val="20"/>
                <w:color w:val="auto"/>
              </w:rPr>
            </w:pPr>
            <w:r>
              <w:rPr>
                <w:rFonts w:ascii="Times New Roman" w:cs="Times New Roman" w:eastAsia="Times New Roman" w:hAnsi="Times New Roman"/>
                <w:sz w:val="20"/>
                <w:szCs w:val="20"/>
                <w:color w:val="231F20"/>
              </w:rPr>
              <w:t>52.1%</w:t>
            </w:r>
          </w:p>
        </w:tc>
        <w:tc>
          <w:tcPr>
            <w:tcW w:w="80" w:type="dxa"/>
            <w:vAlign w:val="bottom"/>
          </w:tcPr>
          <w:p>
            <w:pPr>
              <w:spacing w:after="0"/>
              <w:rPr>
                <w:sz w:val="22"/>
                <w:szCs w:val="22"/>
                <w:color w:val="auto"/>
              </w:rPr>
            </w:pPr>
          </w:p>
        </w:tc>
        <w:tc>
          <w:tcPr>
            <w:tcW w:w="180" w:type="dxa"/>
            <w:vAlign w:val="bottom"/>
            <w:tcBorders>
              <w:top w:val="single" w:sz="8" w:color="231F20"/>
            </w:tcBorders>
          </w:tcPr>
          <w:p>
            <w:pPr>
              <w:spacing w:after="0"/>
              <w:rPr>
                <w:sz w:val="22"/>
                <w:szCs w:val="22"/>
                <w:color w:val="auto"/>
              </w:rPr>
            </w:pPr>
          </w:p>
        </w:tc>
        <w:tc>
          <w:tcPr>
            <w:tcW w:w="760" w:type="dxa"/>
            <w:vAlign w:val="bottom"/>
            <w:tcBorders>
              <w:top w:val="single" w:sz="8" w:color="231F20"/>
            </w:tcBorders>
          </w:tcPr>
          <w:p>
            <w:pPr>
              <w:jc w:val="right"/>
              <w:ind w:right="101"/>
              <w:spacing w:after="0"/>
              <w:rPr>
                <w:sz w:val="20"/>
                <w:szCs w:val="20"/>
                <w:color w:val="auto"/>
              </w:rPr>
            </w:pPr>
            <w:r>
              <w:rPr>
                <w:rFonts w:ascii="Times New Roman" w:cs="Times New Roman" w:eastAsia="Times New Roman" w:hAnsi="Times New Roman"/>
                <w:sz w:val="20"/>
                <w:szCs w:val="20"/>
                <w:color w:val="231F20"/>
              </w:rPr>
              <w:t>52.4%</w:t>
            </w:r>
          </w:p>
        </w:tc>
        <w:tc>
          <w:tcPr>
            <w:tcW w:w="80" w:type="dxa"/>
            <w:vAlign w:val="bottom"/>
          </w:tcPr>
          <w:p>
            <w:pPr>
              <w:spacing w:after="0"/>
              <w:rPr>
                <w:sz w:val="22"/>
                <w:szCs w:val="22"/>
                <w:color w:val="auto"/>
              </w:rPr>
            </w:pPr>
          </w:p>
        </w:tc>
        <w:tc>
          <w:tcPr>
            <w:tcW w:w="160" w:type="dxa"/>
            <w:vAlign w:val="bottom"/>
            <w:tcBorders>
              <w:top w:val="single" w:sz="8" w:color="231F20"/>
            </w:tcBorders>
          </w:tcPr>
          <w:p>
            <w:pPr>
              <w:spacing w:after="0"/>
              <w:rPr>
                <w:sz w:val="22"/>
                <w:szCs w:val="22"/>
                <w:color w:val="auto"/>
              </w:rPr>
            </w:pPr>
          </w:p>
        </w:tc>
        <w:tc>
          <w:tcPr>
            <w:tcW w:w="780" w:type="dxa"/>
            <w:vAlign w:val="bottom"/>
            <w:tcBorders>
              <w:top w:val="single" w:sz="8" w:color="231F20"/>
            </w:tcBorders>
          </w:tcPr>
          <w:p>
            <w:pPr>
              <w:jc w:val="center"/>
              <w:ind w:right="22"/>
              <w:spacing w:after="0"/>
              <w:rPr>
                <w:sz w:val="20"/>
                <w:szCs w:val="20"/>
                <w:color w:val="auto"/>
              </w:rPr>
            </w:pPr>
            <w:r>
              <w:rPr>
                <w:rFonts w:ascii="Times New Roman" w:cs="Times New Roman" w:eastAsia="Times New Roman" w:hAnsi="Times New Roman"/>
                <w:sz w:val="20"/>
                <w:szCs w:val="20"/>
                <w:color w:val="231F20"/>
              </w:rPr>
              <w:t>2.0 pts</w:t>
            </w: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Resort occupancy</w:t>
            </w:r>
            <w:r>
              <w:rPr>
                <w:rFonts w:ascii="Times New Roman" w:cs="Times New Roman" w:eastAsia="Times New Roman" w:hAnsi="Times New Roman"/>
                <w:sz w:val="10"/>
                <w:szCs w:val="10"/>
                <w:color w:val="231F20"/>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 . . .</w:t>
            </w:r>
          </w:p>
        </w:tc>
        <w:tc>
          <w:tcPr>
            <w:tcW w:w="180" w:type="dxa"/>
            <w:vAlign w:val="bottom"/>
          </w:tcPr>
          <w:p>
            <w:pPr>
              <w:spacing w:after="0"/>
              <w:rPr>
                <w:sz w:val="23"/>
                <w:szCs w:val="23"/>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89.2%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231F20"/>
              </w:rPr>
              <w:t>89.8%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88.1%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color w:val="231F20"/>
                <w:w w:val="98"/>
              </w:rPr>
              <w:t>(0.6 pts)</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60" w:right="220" w:hanging="360"/>
        <w:spacing w:after="0" w:line="226" w:lineRule="auto"/>
        <w:tabs>
          <w:tab w:leader="none" w:pos="360" w:val="left"/>
        </w:tabs>
        <w:numPr>
          <w:ilvl w:val="0"/>
          <w:numId w:val="19"/>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Resort occupancy represents all transient, preview, and owner keys divided by total keys available, net of keys out of service.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Compared to 2024</w:t>
      </w:r>
    </w:p>
    <w:p>
      <w:pPr>
        <w:spacing w:after="0" w:line="134" w:lineRule="exact"/>
        <w:rPr>
          <w:sz w:val="20"/>
          <w:szCs w:val="20"/>
          <w:color w:val="auto"/>
        </w:rPr>
      </w:pPr>
    </w:p>
    <w:p>
      <w:pPr>
        <w:ind w:right="260"/>
        <w:spacing w:after="0" w:line="309" w:lineRule="auto"/>
        <w:rPr>
          <w:sz w:val="20"/>
          <w:szCs w:val="20"/>
          <w:color w:val="auto"/>
        </w:rPr>
      </w:pPr>
      <w:r>
        <w:rPr>
          <w:rFonts w:ascii="Times New Roman" w:cs="Times New Roman" w:eastAsia="Times New Roman" w:hAnsi="Times New Roman"/>
          <w:sz w:val="19"/>
          <w:szCs w:val="19"/>
          <w:color w:val="231F20"/>
        </w:rPr>
        <w:t>The increase in Resort management and other services profit reflects $16 million of higher management and exchange profit reflecting continued growth in revenues and operating efficiencies, and $7 million of higher ancillary profit.</w:t>
      </w:r>
    </w:p>
    <w:p>
      <w:pPr>
        <w:sectPr>
          <w:pgSz w:w="11880" w:h="15480" w:orient="portrait"/>
          <w:cols w:equalWidth="0" w:num="1">
            <w:col w:w="9720"/>
          </w:cols>
          <w:pgMar w:left="1080" w:top="83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9720"/>
          </w:cols>
          <w:pgMar w:left="1080" w:top="831" w:right="108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231F20"/>
        </w:rPr>
        <w:t>Rental Revenues, Expenses and Margin</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 xml:space="preserve">Rental revenues </w:t>
      </w:r>
      <w:r>
        <w:rPr>
          <w:rFonts w:ascii="Times New Roman" w:cs="Times New Roman" w:eastAsia="Times New Roman" w:hAnsi="Times New Roman"/>
          <w:sz w:val="20"/>
          <w:szCs w:val="20"/>
          <w:color w:val="B8BABC"/>
        </w:rPr>
        <w:t>. . . . . . . . . . . . . . . . . . . . . . . . . . . . . . . . .</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 xml:space="preserve">Rental expenses </w:t>
      </w:r>
      <w:r>
        <w:rPr>
          <w:rFonts w:ascii="Times New Roman" w:cs="Times New Roman" w:eastAsia="Times New Roman" w:hAnsi="Times New Roman"/>
          <w:sz w:val="20"/>
          <w:szCs w:val="20"/>
          <w:color w:val="B8BABC"/>
        </w:rPr>
        <w:t>. . . . . . . . . . . . . . . . . . . . . . . . . . . . . . . . .</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 xml:space="preserve">Rental profit </w:t>
      </w:r>
      <w:r>
        <w:rPr>
          <w:rFonts w:ascii="Times New Roman" w:cs="Times New Roman" w:eastAsia="Times New Roman" w:hAnsi="Times New Roman"/>
          <w:sz w:val="20"/>
          <w:szCs w:val="20"/>
          <w:color w:val="B8BABC"/>
        </w:rPr>
        <w:t>. . . . . . . . . . . . . . . . . . . . . . . . . . . . . . . . . . . .</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 xml:space="preserve">Rental profit margin </w:t>
      </w:r>
      <w:r>
        <w:rPr>
          <w:rFonts w:ascii="Times New Roman" w:cs="Times New Roman" w:eastAsia="Times New Roman" w:hAnsi="Times New Roman"/>
          <w:sz w:val="20"/>
          <w:szCs w:val="20"/>
          <w:color w:val="B8BABC"/>
        </w:rPr>
        <w:t>. . . . . . . . . . . . . . . . . . . . . . . . . . . . . .</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Transient keys rented</w:t>
      </w:r>
      <w:r>
        <w:rPr>
          <w:rFonts w:ascii="Times New Roman" w:cs="Times New Roman" w:eastAsia="Times New Roman" w:hAnsi="Times New Roman"/>
          <w:sz w:val="10"/>
          <w:szCs w:val="10"/>
          <w:color w:val="231F20"/>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w:t>
      </w:r>
    </w:p>
    <w:p>
      <w:pPr>
        <w:spacing w:after="0" w:line="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 xml:space="preserve">Average transient key rate </w:t>
      </w:r>
      <w:r>
        <w:rPr>
          <w:rFonts w:ascii="Times New Roman" w:cs="Times New Roman" w:eastAsia="Times New Roman" w:hAnsi="Times New Roman"/>
          <w:sz w:val="20"/>
          <w:szCs w:val="20"/>
          <w:color w:val="B8BABC"/>
        </w:rPr>
        <w:t>. . . . . . . . . . . . . . . . . . . . . . . . .</w:t>
      </w:r>
    </w:p>
    <w:p>
      <w:pPr>
        <w:spacing w:after="0" w:line="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Rental occupancy</w:t>
      </w:r>
      <w:r>
        <w:rPr>
          <w:rFonts w:ascii="Times New Roman" w:cs="Times New Roman" w:eastAsia="Times New Roman" w:hAnsi="Times New Roman"/>
          <w:sz w:val="10"/>
          <w:szCs w:val="10"/>
          <w:color w:val="231F20"/>
        </w:rPr>
        <w:t>(2)</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color w:val="B8BABC"/>
        </w:rPr>
        <w:t>. . . . . . . . . . . . . . . . . . . . . . . . . . . . . . .</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20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800" w:type="dxa"/>
            <w:vAlign w:val="bottom"/>
            <w:tcBorders>
              <w:bottom w:val="single" w:sz="8" w:color="231F20"/>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231F20"/>
              </w:rPr>
              <w:t>2025 vs. 2024</w:t>
            </w:r>
          </w:p>
        </w:tc>
      </w:tr>
      <w:tr>
        <w:trPr>
          <w:trHeight w:val="235"/>
        </w:trPr>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tcPr>
          <w:p>
            <w:pPr>
              <w:jc w:val="center"/>
              <w:ind w:right="81"/>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6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6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1800" w:type="dxa"/>
            <w:vAlign w:val="bottom"/>
            <w:tcBorders>
              <w:bottom w:val="single" w:sz="8" w:color="231F20"/>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231F20"/>
                <w:w w:val="98"/>
              </w:rPr>
              <w:t>Change</w:t>
            </w:r>
          </w:p>
        </w:tc>
      </w:tr>
      <w:tr>
        <w:trPr>
          <w:trHeight w:val="262"/>
        </w:trPr>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605</w:t>
            </w:r>
          </w:p>
        </w:tc>
        <w:tc>
          <w:tcPr>
            <w:tcW w:w="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531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2%</w:t>
            </w:r>
          </w:p>
        </w:tc>
      </w:tr>
      <w:tr>
        <w:trPr>
          <w:trHeight w:val="288"/>
        </w:trPr>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(537)</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(498)</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(466)</w:t>
            </w: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(8%)</w:t>
            </w:r>
          </w:p>
        </w:tc>
      </w:tr>
      <w:tr>
        <w:trPr>
          <w:trHeight w:val="245"/>
        </w:trPr>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(27%)</w:t>
            </w:r>
          </w:p>
        </w:tc>
      </w:tr>
      <w:tr>
        <w:trPr>
          <w:trHeight w:val="20"/>
        </w:trPr>
        <w:tc>
          <w:tcPr>
            <w:tcW w:w="18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0"/>
        </w:trPr>
        <w:tc>
          <w:tcPr>
            <w:tcW w:w="180" w:type="dxa"/>
            <w:vAlign w:val="bottom"/>
          </w:tcPr>
          <w:p>
            <w:pPr>
              <w:spacing w:after="0"/>
              <w:rPr>
                <w:sz w:val="22"/>
                <w:szCs w:val="22"/>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12.7%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231F20"/>
                <w:w w:val="96"/>
              </w:rPr>
              <w:t>17.6%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12.4%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w w:val="98"/>
              </w:rPr>
              <w:t>(4.9 pts)</w:t>
            </w:r>
          </w:p>
        </w:tc>
        <w:tc>
          <w:tcPr>
            <w:tcW w:w="1000" w:type="dxa"/>
            <w:vAlign w:val="bottom"/>
          </w:tcPr>
          <w:p>
            <w:pPr>
              <w:spacing w:after="0"/>
              <w:rPr>
                <w:sz w:val="22"/>
                <w:szCs w:val="22"/>
                <w:color w:val="auto"/>
              </w:rPr>
            </w:pPr>
          </w:p>
        </w:tc>
      </w:tr>
      <w:tr>
        <w:trPr>
          <w:trHeight w:val="327"/>
        </w:trPr>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2,236,229</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2,172,529</w:t>
            </w:r>
          </w:p>
        </w:tc>
        <w:tc>
          <w:tcPr>
            <w:tcW w:w="60" w:type="dxa"/>
            <w:vAlign w:val="bottom"/>
          </w:tcPr>
          <w:p>
            <w:pPr>
              <w:spacing w:after="0"/>
              <w:rPr>
                <w:sz w:val="24"/>
                <w:szCs w:val="24"/>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231F20"/>
              </w:rPr>
              <w:t>2,072,590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63,700</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3%</w:t>
            </w:r>
          </w:p>
        </w:tc>
      </w:tr>
      <w:tr>
        <w:trPr>
          <w:trHeight w:val="275"/>
        </w:trPr>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257</w:t>
            </w:r>
          </w:p>
        </w:tc>
        <w:tc>
          <w:tcPr>
            <w:tcW w:w="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w:t>
            </w:r>
          </w:p>
        </w:tc>
      </w:tr>
      <w:tr>
        <w:trPr>
          <w:trHeight w:val="295"/>
        </w:trPr>
        <w:tc>
          <w:tcPr>
            <w:tcW w:w="180" w:type="dxa"/>
            <w:vAlign w:val="bottom"/>
          </w:tcPr>
          <w:p>
            <w:pPr>
              <w:spacing w:after="0"/>
              <w:rPr>
                <w:sz w:val="24"/>
                <w:szCs w:val="24"/>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72.0%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231F20"/>
                <w:w w:val="96"/>
              </w:rPr>
              <w:t>72.3%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68.2%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231F20"/>
                <w:w w:val="98"/>
              </w:rPr>
              <w:t>(0.3 pts)</w:t>
            </w:r>
          </w:p>
        </w:tc>
        <w:tc>
          <w:tcPr>
            <w:tcW w:w="1000" w:type="dxa"/>
            <w:vAlign w:val="bottom"/>
          </w:tcPr>
          <w:p>
            <w:pPr>
              <w:spacing w:after="0"/>
              <w:rPr>
                <w:sz w:val="24"/>
                <w:szCs w:val="24"/>
                <w:color w:val="auto"/>
              </w:rPr>
            </w:pPr>
          </w:p>
        </w:tc>
      </w:tr>
    </w:tbl>
    <w:p>
      <w:pPr>
        <w:spacing w:after="0" w:line="73" w:lineRule="exact"/>
        <w:rPr>
          <w:sz w:val="20"/>
          <w:szCs w:val="20"/>
          <w:color w:val="auto"/>
        </w:rPr>
      </w:pPr>
    </w:p>
    <w:p>
      <w:pPr>
        <w:sectPr>
          <w:pgSz w:w="11880" w:h="15480" w:orient="portrait"/>
          <w:cols w:equalWidth="0" w:num="2">
            <w:col w:w="4700" w:space="60"/>
            <w:col w:w="4960"/>
          </w:cols>
          <w:pgMar w:left="1080" w:top="831" w:right="1080" w:bottom="0" w:gutter="0" w:footer="0" w:header="0"/>
        </w:sectPr>
      </w:pPr>
    </w:p>
    <w:p>
      <w:pPr>
        <w:ind w:left="360" w:hanging="360"/>
        <w:spacing w:after="0"/>
        <w:tabs>
          <w:tab w:leader="none" w:pos="360" w:val="left"/>
        </w:tabs>
        <w:numPr>
          <w:ilvl w:val="0"/>
          <w:numId w:val="20"/>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Transient keys rented exclude plus points and preview stays.</w:t>
      </w:r>
    </w:p>
    <w:p>
      <w:pPr>
        <w:spacing w:after="0" w:line="61" w:lineRule="exact"/>
        <w:rPr>
          <w:rFonts w:ascii="Times New Roman" w:cs="Times New Roman" w:eastAsia="Times New Roman" w:hAnsi="Times New Roman"/>
          <w:sz w:val="26"/>
          <w:szCs w:val="26"/>
          <w:color w:val="231F20"/>
          <w:vertAlign w:val="superscript"/>
        </w:rPr>
      </w:pPr>
    </w:p>
    <w:p>
      <w:pPr>
        <w:ind w:left="360" w:right="280" w:hanging="360"/>
        <w:spacing w:after="0" w:line="216" w:lineRule="auto"/>
        <w:tabs>
          <w:tab w:leader="none" w:pos="360" w:val="left"/>
        </w:tabs>
        <w:numPr>
          <w:ilvl w:val="0"/>
          <w:numId w:val="20"/>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Rental occupancy represents transient and preview keys divided by keys available to rent, which is total available keys excluding owner usage.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Compared to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Rental profit declined due to:</w:t>
      </w:r>
    </w:p>
    <w:p>
      <w:pPr>
        <w:spacing w:after="0" w:line="70" w:lineRule="exact"/>
        <w:rPr>
          <w:sz w:val="20"/>
          <w:szCs w:val="20"/>
          <w:color w:val="auto"/>
        </w:rPr>
      </w:pPr>
    </w:p>
    <w:p>
      <w:pPr>
        <w:jc w:val="both"/>
        <w:ind w:left="720" w:right="40" w:hanging="360"/>
        <w:spacing w:after="0" w:line="266" w:lineRule="auto"/>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$23 million of lower plus point revenue resulting from the non-recurring impact of sales incentive programs put in place during the COVID pandemic, which increased the amount of plus points issued and lengthened the use period through the end of 2024, resulting in higher non-recurring revenues in 2024;</w:t>
      </w:r>
    </w:p>
    <w:p>
      <w:pPr>
        <w:spacing w:after="0" w:line="15" w:lineRule="exact"/>
        <w:rPr>
          <w:rFonts w:ascii="Times New Roman" w:cs="Times New Roman" w:eastAsia="Times New Roman" w:hAnsi="Times New Roman"/>
          <w:sz w:val="20"/>
          <w:szCs w:val="20"/>
          <w:color w:val="231F20"/>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$13 million of higher unsold maintenance fees associated with developer-owned inventory;</w:t>
      </w:r>
    </w:p>
    <w:p>
      <w:pPr>
        <w:spacing w:after="0" w:line="70" w:lineRule="exact"/>
        <w:rPr>
          <w:rFonts w:ascii="Times New Roman" w:cs="Times New Roman" w:eastAsia="Times New Roman" w:hAnsi="Times New Roman"/>
          <w:sz w:val="20"/>
          <w:szCs w:val="20"/>
          <w:color w:val="231F20"/>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$17 million of higher marketing, variable and other costs; and</w:t>
      </w:r>
    </w:p>
    <w:p>
      <w:pPr>
        <w:spacing w:after="0" w:line="70" w:lineRule="exact"/>
        <w:rPr>
          <w:rFonts w:ascii="Times New Roman" w:cs="Times New Roman" w:eastAsia="Times New Roman" w:hAnsi="Times New Roman"/>
          <w:sz w:val="20"/>
          <w:szCs w:val="20"/>
          <w:color w:val="231F20"/>
        </w:rPr>
      </w:pPr>
    </w:p>
    <w:p>
      <w:pPr>
        <w:ind w:left="720" w:hanging="360"/>
        <w:spacing w:after="0"/>
        <w:tabs>
          <w:tab w:leader="none" w:pos="720" w:val="left"/>
        </w:tabs>
        <w:numPr>
          <w:ilvl w:val="0"/>
          <w:numId w:val="2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 million of increased costs due to higher owner utilization of third-party vacation offerings.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These amounts are partially offset by:</w:t>
      </w:r>
    </w:p>
    <w:p>
      <w:pPr>
        <w:spacing w:after="0" w:line="70" w:lineRule="exact"/>
        <w:rPr>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$16 million increase in transient rental revenues; and</w:t>
      </w:r>
    </w:p>
    <w:p>
      <w:pPr>
        <w:spacing w:after="0" w:line="70" w:lineRule="exact"/>
        <w:rPr>
          <w:rFonts w:ascii="Times New Roman" w:cs="Times New Roman" w:eastAsia="Times New Roman" w:hAnsi="Times New Roman"/>
          <w:sz w:val="20"/>
          <w:szCs w:val="20"/>
          <w:color w:val="231F20"/>
        </w:rPr>
      </w:pPr>
    </w:p>
    <w:p>
      <w:pPr>
        <w:ind w:left="720" w:hanging="360"/>
        <w:spacing w:after="0"/>
        <w:tabs>
          <w:tab w:leader="none" w:pos="720" w:val="left"/>
        </w:tabs>
        <w:numPr>
          <w:ilvl w:val="0"/>
          <w:numId w:val="2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$10 million increase in costs allocated to marketing and sales expense for occupancy used for previews.</w:t>
      </w:r>
    </w:p>
    <w:p>
      <w:pPr>
        <w:spacing w:after="0" w:line="130" w:lineRule="exact"/>
        <w:rPr>
          <w:sz w:val="20"/>
          <w:szCs w:val="20"/>
          <w:color w:val="auto"/>
        </w:rPr>
      </w:pPr>
    </w:p>
    <w:p>
      <w:pPr>
        <w:ind w:right="300"/>
        <w:spacing w:after="0" w:line="309" w:lineRule="auto"/>
        <w:rPr>
          <w:sz w:val="20"/>
          <w:szCs w:val="20"/>
          <w:color w:val="auto"/>
        </w:rPr>
      </w:pPr>
      <w:r>
        <w:rPr>
          <w:rFonts w:ascii="Times New Roman" w:cs="Times New Roman" w:eastAsia="Times New Roman" w:hAnsi="Times New Roman"/>
          <w:sz w:val="19"/>
          <w:szCs w:val="19"/>
          <w:color w:val="231F20"/>
        </w:rPr>
        <w:t>Rental revenues and Rental expenses are both $17 million higher due to the year over year change in the amount reclassified for costs in excess of rental revenues for developer-owned inventory which is registered and held for sale.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Financing Revenues, Expenses and Margin</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78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680" w:type="dxa"/>
            <w:vAlign w:val="bottom"/>
            <w:tcBorders>
              <w:bottom w:val="single" w:sz="8" w:color="231F20"/>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231F20"/>
              </w:rPr>
              <w:t>2025 vs. 2024</w:t>
            </w:r>
          </w:p>
        </w:tc>
        <w:tc>
          <w:tcPr>
            <w:tcW w:w="0" w:type="dxa"/>
            <w:vAlign w:val="bottom"/>
          </w:tcPr>
          <w:p>
            <w:pPr>
              <w:spacing w:after="0"/>
              <w:rPr>
                <w:sz w:val="1"/>
                <w:szCs w:val="1"/>
                <w:color w:val="auto"/>
              </w:rPr>
            </w:pPr>
          </w:p>
        </w:tc>
      </w:tr>
      <w:tr>
        <w:trPr>
          <w:trHeight w:val="235"/>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20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center"/>
              <w:ind w:right="101"/>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gridSpan w:val="2"/>
          </w:tcPr>
          <w:p>
            <w:pPr>
              <w:jc w:val="center"/>
              <w:ind w:left="343"/>
              <w:spacing w:after="0"/>
              <w:rPr>
                <w:sz w:val="20"/>
                <w:szCs w:val="20"/>
                <w:color w:val="auto"/>
              </w:rPr>
            </w:pPr>
            <w:r>
              <w:rPr>
                <w:rFonts w:ascii="Times New Roman" w:cs="Times New Roman" w:eastAsia="Times New Roman" w:hAnsi="Times New Roman"/>
                <w:sz w:val="18"/>
                <w:szCs w:val="18"/>
                <w:b w:val="1"/>
                <w:bCs w:val="1"/>
                <w:color w:val="231F20"/>
                <w:w w:val="98"/>
              </w:rPr>
              <w:t>Change</w:t>
            </w:r>
          </w:p>
        </w:tc>
        <w:tc>
          <w:tcPr>
            <w:tcW w:w="62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Financing revenues </w:t>
            </w:r>
            <w:r>
              <w:rPr>
                <w:rFonts w:ascii="Times New Roman" w:cs="Times New Roman" w:eastAsia="Times New Roman" w:hAnsi="Times New Roman"/>
                <w:sz w:val="20"/>
                <w:szCs w:val="20"/>
                <w:color w:val="B8BABC"/>
              </w:rPr>
              <w:t>. . . . . . . . . . . . . .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360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342</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300" w:type="dxa"/>
            <w:vAlign w:val="bottom"/>
          </w:tcPr>
          <w:p>
            <w:pPr>
              <w:spacing w:after="0"/>
              <w:rPr>
                <w:sz w:val="24"/>
                <w:szCs w:val="24"/>
                <w:color w:val="auto"/>
              </w:rPr>
            </w:pP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231F20"/>
                <w:w w:val="97"/>
              </w:rPr>
              <w:t>5%</w:t>
            </w:r>
          </w:p>
        </w:tc>
        <w:tc>
          <w:tcPr>
            <w:tcW w:w="0" w:type="dxa"/>
            <w:vAlign w:val="bottom"/>
          </w:tcPr>
          <w:p>
            <w:pPr>
              <w:spacing w:after="0"/>
              <w:rPr>
                <w:sz w:val="1"/>
                <w:szCs w:val="1"/>
                <w:color w:val="auto"/>
              </w:rPr>
            </w:pPr>
          </w:p>
        </w:tc>
      </w:tr>
      <w:tr>
        <w:trPr>
          <w:trHeight w:val="300"/>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Financing expenses </w:t>
            </w:r>
            <w:r>
              <w:rPr>
                <w:rFonts w:ascii="Times New Roman" w:cs="Times New Roman" w:eastAsia="Times New Roman" w:hAnsi="Times New Roman"/>
                <w:sz w:val="20"/>
                <w:szCs w:val="20"/>
                <w:color w:val="B8BABC"/>
              </w:rPr>
              <w:t>. . . . . . . . . . . . . . . . . . . . . . . . . . . . . . .</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300" w:type="dxa"/>
            <w:vAlign w:val="bottom"/>
          </w:tcPr>
          <w:p>
            <w:pPr>
              <w:spacing w:after="0"/>
              <w:rPr>
                <w:sz w:val="24"/>
                <w:szCs w:val="24"/>
                <w:color w:val="auto"/>
              </w:rPr>
            </w:pPr>
          </w:p>
        </w:tc>
        <w:tc>
          <w:tcPr>
            <w:tcW w:w="6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w w:val="99"/>
              </w:rPr>
              <w:t>(9%)</w:t>
            </w:r>
          </w:p>
        </w:tc>
        <w:tc>
          <w:tcPr>
            <w:tcW w:w="0" w:type="dxa"/>
            <w:vAlign w:val="bottom"/>
          </w:tcPr>
          <w:p>
            <w:pPr>
              <w:spacing w:after="0"/>
              <w:rPr>
                <w:sz w:val="1"/>
                <w:szCs w:val="1"/>
                <w:color w:val="auto"/>
              </w:rPr>
            </w:pPr>
          </w:p>
        </w:tc>
      </w:tr>
      <w:tr>
        <w:trPr>
          <w:trHeight w:val="288"/>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Consumer financing interest expense </w:t>
            </w:r>
            <w:r>
              <w:rPr>
                <w:rFonts w:ascii="Times New Roman" w:cs="Times New Roman" w:eastAsia="Times New Roman" w:hAnsi="Times New Roman"/>
                <w:sz w:val="20"/>
                <w:szCs w:val="20"/>
                <w:color w:val="B8BABC"/>
              </w:rPr>
              <w:t>. . . . . . . . . . . . . . . . .</w:t>
            </w:r>
          </w:p>
        </w:tc>
        <w:tc>
          <w:tcPr>
            <w:tcW w:w="20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(106)</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(77)</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300" w:type="dxa"/>
            <w:vAlign w:val="bottom"/>
          </w:tcPr>
          <w:p>
            <w:pPr>
              <w:spacing w:after="0"/>
              <w:rPr>
                <w:sz w:val="24"/>
                <w:szCs w:val="24"/>
                <w:color w:val="auto"/>
              </w:rPr>
            </w:pP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0"/>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Financing profit </w:t>
            </w:r>
            <w:r>
              <w:rPr>
                <w:rFonts w:ascii="Times New Roman" w:cs="Times New Roman" w:eastAsia="Times New Roman" w:hAnsi="Times New Roman"/>
                <w:sz w:val="20"/>
                <w:szCs w:val="20"/>
                <w:color w:val="B8BABC"/>
              </w:rPr>
              <w:t>. . . . . . . . . . . . . . . . . . . . . . . . . . . . . . . . . .</w:t>
            </w: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210</w:t>
            </w:r>
          </w:p>
        </w:tc>
        <w:tc>
          <w:tcPr>
            <w:tcW w:w="60" w:type="dxa"/>
            <w:vAlign w:val="bottom"/>
          </w:tcPr>
          <w:p>
            <w:pPr>
              <w:spacing w:after="0"/>
              <w:rPr>
                <w:sz w:val="22"/>
                <w:szCs w:val="22"/>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196</w:t>
            </w:r>
          </w:p>
        </w:tc>
        <w:tc>
          <w:tcPr>
            <w:tcW w:w="60" w:type="dxa"/>
            <w:vAlign w:val="bottom"/>
          </w:tcPr>
          <w:p>
            <w:pPr>
              <w:spacing w:after="0"/>
              <w:rPr>
                <w:sz w:val="22"/>
                <w:szCs w:val="22"/>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209</w:t>
            </w:r>
          </w:p>
        </w:tc>
        <w:tc>
          <w:tcPr>
            <w:tcW w:w="60" w:type="dxa"/>
            <w:vAlign w:val="bottom"/>
          </w:tcPr>
          <w:p>
            <w:pPr>
              <w:spacing w:after="0"/>
              <w:rPr>
                <w:sz w:val="22"/>
                <w:szCs w:val="22"/>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300" w:type="dxa"/>
            <w:vAlign w:val="bottom"/>
          </w:tcPr>
          <w:p>
            <w:pPr>
              <w:spacing w:after="0"/>
              <w:rPr>
                <w:sz w:val="22"/>
                <w:szCs w:val="22"/>
                <w:color w:val="auto"/>
              </w:rPr>
            </w:pP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231F20"/>
                <w:w w:val="97"/>
              </w:rPr>
              <w:t>7%</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Financing profit margin</w:t>
            </w: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780" w:type="dxa"/>
            <w:vAlign w:val="bottom"/>
            <w:vMerge w:val="continue"/>
          </w:tcPr>
          <w:p>
            <w:pPr>
              <w:ind w:left="1980"/>
              <w:spacing w:after="0" w:line="182" w:lineRule="exact"/>
              <w:rPr>
                <w:sz w:val="20"/>
                <w:szCs w:val="20"/>
                <w:color w:val="auto"/>
              </w:rPr>
            </w:pPr>
            <w:r>
              <w:rPr>
                <w:rFonts w:ascii="Times New Roman" w:cs="Times New Roman" w:eastAsia="Times New Roman" w:hAnsi="Times New Roman"/>
                <w:sz w:val="20"/>
                <w:szCs w:val="20"/>
                <w:color w:val="B8BABC"/>
              </w:rPr>
              <w:t>. . . . . . . . . . . . . . . . . . . . . . . . . . . .</w:t>
            </w:r>
          </w:p>
        </w:tc>
        <w:tc>
          <w:tcPr>
            <w:tcW w:w="200" w:type="dxa"/>
            <w:vAlign w:val="bottom"/>
            <w:tcBorders>
              <w:top w:val="single" w:sz="8" w:color="231F20"/>
            </w:tcBorders>
          </w:tcPr>
          <w:p>
            <w:pPr>
              <w:spacing w:after="0"/>
              <w:rPr>
                <w:sz w:val="22"/>
                <w:szCs w:val="22"/>
                <w:color w:val="auto"/>
              </w:rPr>
            </w:pPr>
          </w:p>
        </w:tc>
        <w:tc>
          <w:tcPr>
            <w:tcW w:w="760" w:type="dxa"/>
            <w:vAlign w:val="bottom"/>
            <w:tcBorders>
              <w:top w:val="single" w:sz="8" w:color="231F20"/>
            </w:tcBorders>
          </w:tcPr>
          <w:p>
            <w:pPr>
              <w:jc w:val="right"/>
              <w:ind w:right="101"/>
              <w:spacing w:after="0"/>
              <w:rPr>
                <w:sz w:val="20"/>
                <w:szCs w:val="20"/>
                <w:color w:val="auto"/>
              </w:rPr>
            </w:pPr>
            <w:r>
              <w:rPr>
                <w:rFonts w:ascii="Times New Roman" w:cs="Times New Roman" w:eastAsia="Times New Roman" w:hAnsi="Times New Roman"/>
                <w:sz w:val="20"/>
                <w:szCs w:val="20"/>
                <w:color w:val="231F20"/>
              </w:rPr>
              <w:t>58.3%</w:t>
            </w:r>
          </w:p>
        </w:tc>
        <w:tc>
          <w:tcPr>
            <w:tcW w:w="60" w:type="dxa"/>
            <w:vAlign w:val="bottom"/>
          </w:tcPr>
          <w:p>
            <w:pPr>
              <w:spacing w:after="0"/>
              <w:rPr>
                <w:sz w:val="22"/>
                <w:szCs w:val="22"/>
                <w:color w:val="auto"/>
              </w:rPr>
            </w:pPr>
          </w:p>
        </w:tc>
        <w:tc>
          <w:tcPr>
            <w:tcW w:w="180" w:type="dxa"/>
            <w:vAlign w:val="bottom"/>
            <w:tcBorders>
              <w:top w:val="single" w:sz="8" w:color="231F20"/>
            </w:tcBorders>
          </w:tcPr>
          <w:p>
            <w:pPr>
              <w:spacing w:after="0"/>
              <w:rPr>
                <w:sz w:val="22"/>
                <w:szCs w:val="22"/>
                <w:color w:val="auto"/>
              </w:rPr>
            </w:pPr>
          </w:p>
        </w:tc>
        <w:tc>
          <w:tcPr>
            <w:tcW w:w="760" w:type="dxa"/>
            <w:vAlign w:val="bottom"/>
            <w:tcBorders>
              <w:top w:val="single" w:sz="8" w:color="231F20"/>
            </w:tcBorders>
          </w:tcPr>
          <w:p>
            <w:pPr>
              <w:jc w:val="center"/>
              <w:ind w:right="61"/>
              <w:spacing w:after="0"/>
              <w:rPr>
                <w:sz w:val="20"/>
                <w:szCs w:val="20"/>
                <w:color w:val="auto"/>
              </w:rPr>
            </w:pPr>
            <w:r>
              <w:rPr>
                <w:rFonts w:ascii="Times New Roman" w:cs="Times New Roman" w:eastAsia="Times New Roman" w:hAnsi="Times New Roman"/>
                <w:sz w:val="20"/>
                <w:szCs w:val="20"/>
                <w:color w:val="231F20"/>
              </w:rPr>
              <w:t>57.4%</w:t>
            </w:r>
          </w:p>
        </w:tc>
        <w:tc>
          <w:tcPr>
            <w:tcW w:w="60" w:type="dxa"/>
            <w:vAlign w:val="bottom"/>
          </w:tcPr>
          <w:p>
            <w:pPr>
              <w:spacing w:after="0"/>
              <w:rPr>
                <w:sz w:val="22"/>
                <w:szCs w:val="22"/>
                <w:color w:val="auto"/>
              </w:rPr>
            </w:pPr>
          </w:p>
        </w:tc>
        <w:tc>
          <w:tcPr>
            <w:tcW w:w="180" w:type="dxa"/>
            <w:vAlign w:val="bottom"/>
            <w:tcBorders>
              <w:top w:val="single" w:sz="8" w:color="231F20"/>
            </w:tcBorders>
          </w:tcPr>
          <w:p>
            <w:pPr>
              <w:spacing w:after="0"/>
              <w:rPr>
                <w:sz w:val="22"/>
                <w:szCs w:val="22"/>
                <w:color w:val="auto"/>
              </w:rPr>
            </w:pPr>
          </w:p>
        </w:tc>
        <w:tc>
          <w:tcPr>
            <w:tcW w:w="760" w:type="dxa"/>
            <w:vAlign w:val="bottom"/>
            <w:tcBorders>
              <w:top w:val="single" w:sz="8" w:color="231F20"/>
            </w:tcBorders>
          </w:tcPr>
          <w:p>
            <w:pPr>
              <w:jc w:val="right"/>
              <w:ind w:right="101"/>
              <w:spacing w:after="0"/>
              <w:rPr>
                <w:sz w:val="20"/>
                <w:szCs w:val="20"/>
                <w:color w:val="auto"/>
              </w:rPr>
            </w:pPr>
            <w:r>
              <w:rPr>
                <w:rFonts w:ascii="Times New Roman" w:cs="Times New Roman" w:eastAsia="Times New Roman" w:hAnsi="Times New Roman"/>
                <w:sz w:val="20"/>
                <w:szCs w:val="20"/>
                <w:color w:val="231F20"/>
              </w:rPr>
              <w:t>64.9%</w:t>
            </w:r>
          </w:p>
        </w:tc>
        <w:tc>
          <w:tcPr>
            <w:tcW w:w="60" w:type="dxa"/>
            <w:vAlign w:val="bottom"/>
          </w:tcPr>
          <w:p>
            <w:pPr>
              <w:spacing w:after="0"/>
              <w:rPr>
                <w:sz w:val="22"/>
                <w:szCs w:val="22"/>
                <w:color w:val="auto"/>
              </w:rPr>
            </w:pPr>
          </w:p>
        </w:tc>
        <w:tc>
          <w:tcPr>
            <w:tcW w:w="180" w:type="dxa"/>
            <w:vAlign w:val="bottom"/>
            <w:tcBorders>
              <w:top w:val="single" w:sz="8" w:color="231F20"/>
            </w:tcBorders>
          </w:tcPr>
          <w:p>
            <w:pPr>
              <w:spacing w:after="0"/>
              <w:rPr>
                <w:sz w:val="22"/>
                <w:szCs w:val="22"/>
                <w:color w:val="auto"/>
              </w:rPr>
            </w:pPr>
          </w:p>
        </w:tc>
        <w:tc>
          <w:tcPr>
            <w:tcW w:w="760" w:type="dxa"/>
            <w:vAlign w:val="bottom"/>
            <w:tcBorders>
              <w:top w:val="single" w:sz="8" w:color="231F20"/>
            </w:tcBorders>
          </w:tcPr>
          <w:p>
            <w:pPr>
              <w:jc w:val="right"/>
              <w:ind w:right="83"/>
              <w:spacing w:after="0"/>
              <w:rPr>
                <w:sz w:val="20"/>
                <w:szCs w:val="20"/>
                <w:color w:val="auto"/>
              </w:rPr>
            </w:pPr>
            <w:r>
              <w:rPr>
                <w:rFonts w:ascii="Times New Roman" w:cs="Times New Roman" w:eastAsia="Times New Roman" w:hAnsi="Times New Roman"/>
                <w:sz w:val="20"/>
                <w:szCs w:val="20"/>
                <w:color w:val="231F20"/>
              </w:rPr>
              <w:t>0.9 pts</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Financing propensity </w:t>
            </w:r>
            <w:r>
              <w:rPr>
                <w:rFonts w:ascii="Times New Roman" w:cs="Times New Roman" w:eastAsia="Times New Roman" w:hAnsi="Times New Roman"/>
                <w:sz w:val="20"/>
                <w:szCs w:val="20"/>
                <w:color w:val="B8BABC"/>
              </w:rPr>
              <w:t>. . . . . . . . . . . . . . . . . . . . . . . . . . . . . .</w:t>
            </w:r>
          </w:p>
        </w:tc>
        <w:tc>
          <w:tcPr>
            <w:tcW w:w="200" w:type="dxa"/>
            <w:vAlign w:val="bottom"/>
          </w:tcPr>
          <w:p>
            <w:pPr>
              <w:spacing w:after="0"/>
              <w:rPr>
                <w:sz w:val="23"/>
                <w:szCs w:val="23"/>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56.7%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231F20"/>
              </w:rPr>
              <w:t>55.9%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231F20"/>
              </w:rPr>
              <w:t>58.1%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231F20"/>
              </w:rPr>
              <w:t>0.8 pts</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Compared to 2024</w:t>
      </w:r>
    </w:p>
    <w:p>
      <w:pPr>
        <w:spacing w:after="0" w:line="134" w:lineRule="exact"/>
        <w:rPr>
          <w:sz w:val="20"/>
          <w:szCs w:val="20"/>
          <w:color w:val="auto"/>
        </w:rPr>
      </w:pPr>
    </w:p>
    <w:p>
      <w:pPr>
        <w:ind w:left="360" w:hanging="180"/>
        <w:spacing w:after="0"/>
        <w:tabs>
          <w:tab w:leader="none" w:pos="360" w:val="left"/>
        </w:tabs>
        <w:numPr>
          <w:ilvl w:val="0"/>
          <w:numId w:val="2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Financing revenues reflect higher interest income as a result of a higher average notes receivable balance.</w:t>
      </w:r>
    </w:p>
    <w:p>
      <w:pPr>
        <w:spacing w:after="0" w:line="70" w:lineRule="exact"/>
        <w:rPr>
          <w:rFonts w:ascii="Times New Roman" w:cs="Times New Roman" w:eastAsia="Times New Roman" w:hAnsi="Times New Roman"/>
          <w:sz w:val="20"/>
          <w:szCs w:val="20"/>
          <w:color w:val="231F20"/>
        </w:rPr>
      </w:pPr>
    </w:p>
    <w:p>
      <w:pPr>
        <w:ind w:left="360" w:right="120" w:hanging="180"/>
        <w:spacing w:after="0" w:line="309" w:lineRule="auto"/>
        <w:tabs>
          <w:tab w:leader="none" w:pos="360" w:val="left"/>
        </w:tabs>
        <w:numPr>
          <w:ilvl w:val="0"/>
          <w:numId w:val="2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increase in financing expense is primarily attributed to higher credit card fees, partially offset by lower operating costs, including those resulting from our cost savings initiatives implemented in the third quarter of 2025.</w:t>
      </w:r>
    </w:p>
    <w:p>
      <w:pPr>
        <w:sectPr>
          <w:pgSz w:w="11880" w:h="15480" w:orient="portrait"/>
          <w:cols w:equalWidth="0" w:num="1">
            <w:col w:w="9720"/>
          </w:cols>
          <w:pgMar w:left="1080" w:top="831"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9720"/>
          </w:cols>
          <w:pgMar w:left="1080" w:top="831" w:right="108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231F20"/>
        </w:rPr>
        <w:t>Litigation Charges</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700" w:type="dxa"/>
            <w:vAlign w:val="bottom"/>
          </w:tcPr>
          <w:p>
            <w:pPr>
              <w:spacing w:after="0"/>
              <w:rPr>
                <w:sz w:val="21"/>
                <w:szCs w:val="21"/>
                <w:color w:val="auto"/>
              </w:rPr>
            </w:pPr>
          </w:p>
        </w:tc>
        <w:tc>
          <w:tcPr>
            <w:tcW w:w="660" w:type="dxa"/>
            <w:vAlign w:val="bottom"/>
            <w:tcBorders>
              <w:bottom w:val="single" w:sz="8" w:color="231F20"/>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220" w:type="dxa"/>
            <w:vAlign w:val="bottom"/>
            <w:tcBorders>
              <w:bottom w:val="single" w:sz="8" w:color="231F20"/>
            </w:tcBorders>
          </w:tcPr>
          <w:p>
            <w:pPr>
              <w:spacing w:after="0"/>
              <w:rPr>
                <w:sz w:val="21"/>
                <w:szCs w:val="21"/>
                <w:color w:val="auto"/>
              </w:rPr>
            </w:pPr>
          </w:p>
        </w:tc>
        <w:tc>
          <w:tcPr>
            <w:tcW w:w="74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640" w:type="dxa"/>
            <w:vAlign w:val="bottom"/>
            <w:tcBorders>
              <w:bottom w:val="single" w:sz="8" w:color="231F20"/>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231F20"/>
              </w:rPr>
              <w:t>2025 vs. 2024</w:t>
            </w:r>
          </w:p>
        </w:tc>
      </w:tr>
      <w:tr>
        <w:trPr>
          <w:trHeight w:val="235"/>
        </w:trPr>
        <w:tc>
          <w:tcPr>
            <w:tcW w:w="4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8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tcPr>
          <w:p>
            <w:pPr>
              <w:jc w:val="right"/>
              <w:ind w:right="205"/>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640" w:type="dxa"/>
            <w:vAlign w:val="bottom"/>
            <w:tcBorders>
              <w:bottom w:val="single" w:sz="8" w:color="231F20"/>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231F20"/>
              </w:rPr>
              <w:t>Change</w:t>
            </w:r>
          </w:p>
        </w:tc>
      </w:tr>
      <w:tr>
        <w:trPr>
          <w:trHeight w:val="277"/>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Litigation charges </w:t>
            </w:r>
            <w:r>
              <w:rPr>
                <w:rFonts w:ascii="Times New Roman" w:cs="Times New Roman" w:eastAsia="Times New Roman" w:hAnsi="Times New Roman"/>
                <w:sz w:val="20"/>
                <w:szCs w:val="20"/>
                <w:color w:val="B8BABC"/>
              </w:rPr>
              <w:t>. . . . . . . . . . . . . . . . . . . . . . . . . . . . . . . .</w:t>
            </w:r>
          </w:p>
        </w:tc>
        <w:tc>
          <w:tcPr>
            <w:tcW w:w="660" w:type="dxa"/>
            <w:vAlign w:val="bottom"/>
          </w:tcPr>
          <w:p>
            <w:pPr>
              <w:jc w:val="right"/>
              <w:ind w:right="425"/>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89"/>
              </w:rPr>
              <w:t>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12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(7)</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(38%)</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Compared to 2024</w:t>
      </w:r>
    </w:p>
    <w:p>
      <w:pPr>
        <w:spacing w:after="0" w:line="13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231F20"/>
        </w:rPr>
        <w:t>During 2025 and 2024, litigation charges relate primarily to certain resorts in Europe, as well as a land disposition in the U.S. during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Restructuring Charges</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700" w:type="dxa"/>
            <w:vAlign w:val="bottom"/>
          </w:tcPr>
          <w:p>
            <w:pPr>
              <w:spacing w:after="0"/>
              <w:rPr>
                <w:sz w:val="21"/>
                <w:szCs w:val="21"/>
                <w:color w:val="auto"/>
              </w:rPr>
            </w:pPr>
          </w:p>
        </w:tc>
        <w:tc>
          <w:tcPr>
            <w:tcW w:w="660" w:type="dxa"/>
            <w:vAlign w:val="bottom"/>
            <w:tcBorders>
              <w:bottom w:val="single" w:sz="8" w:color="231F20"/>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660" w:type="dxa"/>
            <w:vAlign w:val="bottom"/>
            <w:tcBorders>
              <w:bottom w:val="single" w:sz="8" w:color="231F20"/>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640" w:type="dxa"/>
            <w:vAlign w:val="bottom"/>
            <w:tcBorders>
              <w:bottom w:val="single" w:sz="8" w:color="231F20"/>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231F20"/>
              </w:rPr>
              <w:t>2025 vs. 2024</w:t>
            </w:r>
          </w:p>
        </w:tc>
      </w:tr>
      <w:tr>
        <w:trPr>
          <w:trHeight w:val="235"/>
        </w:trPr>
        <w:tc>
          <w:tcPr>
            <w:tcW w:w="4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8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30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ind w:left="380"/>
              <w:spacing w:after="0"/>
              <w:rPr>
                <w:sz w:val="20"/>
                <w:szCs w:val="20"/>
                <w:color w:val="auto"/>
              </w:rPr>
            </w:pPr>
            <w:r>
              <w:rPr>
                <w:rFonts w:ascii="Times New Roman" w:cs="Times New Roman" w:eastAsia="Times New Roman" w:hAnsi="Times New Roman"/>
                <w:sz w:val="18"/>
                <w:szCs w:val="18"/>
                <w:b w:val="1"/>
                <w:bCs w:val="1"/>
                <w:color w:val="231F20"/>
              </w:rPr>
              <w:t>Change</w:t>
            </w:r>
          </w:p>
        </w:tc>
        <w:tc>
          <w:tcPr>
            <w:tcW w:w="640" w:type="dxa"/>
            <w:vAlign w:val="bottom"/>
            <w:tcBorders>
              <w:bottom w:val="single" w:sz="8" w:color="231F20"/>
            </w:tcBorders>
          </w:tcPr>
          <w:p>
            <w:pPr>
              <w:spacing w:after="0"/>
              <w:rPr>
                <w:sz w:val="20"/>
                <w:szCs w:val="20"/>
                <w:color w:val="auto"/>
              </w:rPr>
            </w:pPr>
          </w:p>
        </w:tc>
      </w:tr>
      <w:tr>
        <w:trPr>
          <w:trHeight w:val="277"/>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Restructuring </w:t>
            </w:r>
            <w:r>
              <w:rPr>
                <w:rFonts w:ascii="Times New Roman" w:cs="Times New Roman" w:eastAsia="Times New Roman" w:hAnsi="Times New Roman"/>
                <w:sz w:val="20"/>
                <w:szCs w:val="20"/>
                <w:color w:val="B8BABC"/>
              </w:rPr>
              <w:t>. . . . . . . . . . . . . . . . . . . . . . . . . . . . . . . . . . .</w:t>
            </w:r>
          </w:p>
        </w:tc>
        <w:tc>
          <w:tcPr>
            <w:tcW w:w="660" w:type="dxa"/>
            <w:vAlign w:val="bottom"/>
          </w:tcPr>
          <w:p>
            <w:pPr>
              <w:jc w:val="right"/>
              <w:ind w:right="425"/>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89"/>
              </w:rPr>
              <w:t>15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660" w:type="dxa"/>
            <w:vAlign w:val="bottom"/>
          </w:tcPr>
          <w:p>
            <w:pPr>
              <w:jc w:val="right"/>
              <w:ind w:right="405"/>
              <w:spacing w:after="0"/>
              <w:rPr>
                <w:sz w:val="20"/>
                <w:szCs w:val="20"/>
                <w:color w:val="auto"/>
              </w:rPr>
            </w:pPr>
            <w:r>
              <w:rPr>
                <w:rFonts w:ascii="Times New Roman" w:cs="Times New Roman" w:eastAsia="Times New Roman" w:hAnsi="Times New Roman"/>
                <w:sz w:val="20"/>
                <w:szCs w:val="20"/>
                <w:color w:val="231F20"/>
              </w:rPr>
              <w:t>$</w:t>
            </w:r>
          </w:p>
        </w:tc>
        <w:tc>
          <w:tcPr>
            <w:tcW w:w="66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  $</w:t>
            </w:r>
          </w:p>
        </w:tc>
        <w:tc>
          <w:tcPr>
            <w:tcW w:w="100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14</w:t>
            </w:r>
          </w:p>
        </w:tc>
        <w:tc>
          <w:tcPr>
            <w:tcW w:w="64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NM</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Compared to 2024</w:t>
      </w:r>
    </w:p>
    <w:p>
      <w:pPr>
        <w:spacing w:after="0" w:line="13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231F20"/>
        </w:rPr>
        <w:t>During 2025, we recorded $15 million of restructuring costs, all of which related to the strategy change in our Asia Pacific business, consisting of $10 million for the cancellation of a purchase commitment for 26 vacation ownership units in Bali ($8 million related to the write-off of progress payments and $2 million for the contract termination fee) and $5 million of severance.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Impairment</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64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720" w:type="dxa"/>
            <w:vAlign w:val="bottom"/>
            <w:tcBorders>
              <w:bottom w:val="single" w:sz="8" w:color="231F20"/>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660" w:type="dxa"/>
            <w:vAlign w:val="bottom"/>
            <w:tcBorders>
              <w:bottom w:val="single" w:sz="8" w:color="231F20"/>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660" w:type="dxa"/>
            <w:vAlign w:val="bottom"/>
            <w:tcBorders>
              <w:bottom w:val="single" w:sz="8" w:color="231F20"/>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231F20"/>
                <w:w w:val="98"/>
              </w:rPr>
              <w:t>2025 vs. 2024</w:t>
            </w:r>
          </w:p>
        </w:tc>
      </w:tr>
      <w:tr>
        <w:trPr>
          <w:trHeight w:val="235"/>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2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ind w:right="205"/>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ind w:right="205"/>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Pr>
          <w:p>
            <w:pPr>
              <w:spacing w:after="0"/>
              <w:rPr>
                <w:sz w:val="20"/>
                <w:szCs w:val="20"/>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280" w:type="dxa"/>
            <w:vAlign w:val="bottom"/>
            <w:tcBorders>
              <w:bottom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center"/>
              <w:ind w:left="267"/>
              <w:spacing w:after="0"/>
              <w:rPr>
                <w:sz w:val="20"/>
                <w:szCs w:val="20"/>
                <w:color w:val="auto"/>
              </w:rPr>
            </w:pPr>
            <w:r>
              <w:rPr>
                <w:rFonts w:ascii="Times New Roman" w:cs="Times New Roman" w:eastAsia="Times New Roman" w:hAnsi="Times New Roman"/>
                <w:sz w:val="18"/>
                <w:szCs w:val="18"/>
                <w:b w:val="1"/>
                <w:bCs w:val="1"/>
                <w:color w:val="231F20"/>
              </w:rPr>
              <w:t>Change</w:t>
            </w:r>
          </w:p>
        </w:tc>
        <w:tc>
          <w:tcPr>
            <w:tcW w:w="660" w:type="dxa"/>
            <w:vAlign w:val="bottom"/>
            <w:tcBorders>
              <w:bottom w:val="single" w:sz="8" w:color="231F20"/>
            </w:tcBorders>
          </w:tcPr>
          <w:p>
            <w:pPr>
              <w:spacing w:after="0"/>
              <w:rPr>
                <w:sz w:val="20"/>
                <w:szCs w:val="20"/>
                <w:color w:val="auto"/>
              </w:rPr>
            </w:pPr>
          </w:p>
        </w:tc>
      </w:tr>
      <w:tr>
        <w:trPr>
          <w:trHeight w:val="262"/>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Impairment </w:t>
            </w:r>
            <w:r>
              <w:rPr>
                <w:rFonts w:ascii="Times New Roman" w:cs="Times New Roman" w:eastAsia="Times New Roman" w:hAnsi="Times New Roman"/>
                <w:sz w:val="20"/>
                <w:szCs w:val="20"/>
                <w:color w:val="B8BABC"/>
              </w:rPr>
              <w:t>. . . . . . . . . . . . . . . . . . . . . . . . . . . . . . . . . . .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80" w:type="dxa"/>
            <w:vAlign w:val="bottom"/>
          </w:tcPr>
          <w:p>
            <w:pPr>
              <w:spacing w:after="0"/>
              <w:rPr>
                <w:sz w:val="22"/>
                <w:szCs w:val="22"/>
                <w:color w:val="auto"/>
              </w:rPr>
            </w:pPr>
          </w:p>
        </w:tc>
        <w:tc>
          <w:tcPr>
            <w:tcW w:w="660" w:type="dxa"/>
            <w:vAlign w:val="bottom"/>
          </w:tcPr>
          <w:p>
            <w:pPr>
              <w:jc w:val="right"/>
              <w:ind w:right="425"/>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89"/>
              </w:rPr>
              <w:t>12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ind w:right="347"/>
              <w:spacing w:after="0"/>
              <w:rPr>
                <w:sz w:val="20"/>
                <w:szCs w:val="20"/>
                <w:color w:val="auto"/>
              </w:rPr>
            </w:pPr>
            <w:r>
              <w:rPr>
                <w:rFonts w:ascii="Times New Roman" w:cs="Times New Roman" w:eastAsia="Times New Roman" w:hAnsi="Times New Roman"/>
                <w:sz w:val="20"/>
                <w:szCs w:val="20"/>
                <w:color w:val="231F20"/>
              </w:rPr>
              <w:t>367</w:t>
            </w:r>
          </w:p>
        </w:tc>
        <w:tc>
          <w:tcPr>
            <w:tcW w:w="66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NM</w:t>
            </w:r>
          </w:p>
        </w:tc>
      </w:tr>
    </w:tbl>
    <w:p>
      <w:pPr>
        <w:spacing w:after="0" w:line="171"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20"/>
          <w:szCs w:val="20"/>
          <w:color w:val="231F20"/>
        </w:rPr>
        <w:t>During 2025, we recorded non-cash impairment charges of $395 million related to our development strategy change including:</w:t>
      </w:r>
    </w:p>
    <w:p>
      <w:pPr>
        <w:spacing w:after="0" w:line="61" w:lineRule="exact"/>
        <w:rPr>
          <w:sz w:val="20"/>
          <w:szCs w:val="20"/>
          <w:color w:val="auto"/>
        </w:rPr>
      </w:pPr>
    </w:p>
    <w:p>
      <w:pPr>
        <w:ind w:left="540" w:right="240" w:hanging="180"/>
        <w:spacing w:after="0" w:line="281" w:lineRule="auto"/>
        <w:tabs>
          <w:tab w:leader="none" w:pos="54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$160 million to write down the basis of certain non-core Property and equipment and Other assets identified for disposition to their estimated fair values;</w:t>
      </w:r>
    </w:p>
    <w:p>
      <w:pPr>
        <w:spacing w:after="0" w:line="61" w:lineRule="exact"/>
        <w:rPr>
          <w:rFonts w:ascii="Times New Roman" w:cs="Times New Roman" w:eastAsia="Times New Roman" w:hAnsi="Times New Roman"/>
          <w:sz w:val="20"/>
          <w:szCs w:val="20"/>
          <w:color w:val="231F20"/>
        </w:rPr>
      </w:pPr>
    </w:p>
    <w:p>
      <w:pPr>
        <w:jc w:val="both"/>
        <w:ind w:left="540" w:right="80" w:hanging="180"/>
        <w:spacing w:after="0" w:line="266" w:lineRule="auto"/>
        <w:tabs>
          <w:tab w:leader="none" w:pos="54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$131 million related to decisions to forego build out of future phases of existing resorts primarily attributed to the fact that the book values of these assets include the historical allocations of common costs incurred when we built the infrastructure of these resorts;</w:t>
      </w:r>
    </w:p>
    <w:p>
      <w:pPr>
        <w:spacing w:after="0" w:line="75" w:lineRule="exact"/>
        <w:rPr>
          <w:rFonts w:ascii="Times New Roman" w:cs="Times New Roman" w:eastAsia="Times New Roman" w:hAnsi="Times New Roman"/>
          <w:sz w:val="20"/>
          <w:szCs w:val="20"/>
          <w:color w:val="231F20"/>
        </w:rPr>
      </w:pPr>
    </w:p>
    <w:p>
      <w:pPr>
        <w:jc w:val="both"/>
        <w:ind w:left="540" w:right="240" w:hanging="180"/>
        <w:spacing w:after="0" w:line="266" w:lineRule="auto"/>
        <w:tabs>
          <w:tab w:leader="none" w:pos="54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$75 million to write down the value of vacation ownership interests related to Legacy-Welk reflecting a further elongated pace of sales at a higher marketing and selling cost as the Hyatt-branded vacation ownership business continues to underperform expectations;</w:t>
      </w:r>
    </w:p>
    <w:p>
      <w:pPr>
        <w:spacing w:after="0" w:line="75" w:lineRule="exact"/>
        <w:rPr>
          <w:rFonts w:ascii="Times New Roman" w:cs="Times New Roman" w:eastAsia="Times New Roman" w:hAnsi="Times New Roman"/>
          <w:sz w:val="20"/>
          <w:szCs w:val="20"/>
          <w:color w:val="231F20"/>
        </w:rPr>
      </w:pPr>
    </w:p>
    <w:p>
      <w:pPr>
        <w:ind w:left="540" w:right="200" w:hanging="180"/>
        <w:spacing w:after="0" w:line="266" w:lineRule="auto"/>
        <w:tabs>
          <w:tab w:leader="none" w:pos="54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$27 million for the impairment of vacation ownership units in Khao Lak, Thailand classified in Inventory due to the change in strategy for the in Asia Pacific region which elongated the pace of sales and changes in our marketing approach; and</w:t>
      </w:r>
    </w:p>
    <w:p>
      <w:pPr>
        <w:spacing w:after="0" w:line="75" w:lineRule="exact"/>
        <w:rPr>
          <w:rFonts w:ascii="Times New Roman" w:cs="Times New Roman" w:eastAsia="Times New Roman" w:hAnsi="Times New Roman"/>
          <w:sz w:val="20"/>
          <w:szCs w:val="20"/>
          <w:color w:val="231F20"/>
        </w:rPr>
      </w:pPr>
    </w:p>
    <w:p>
      <w:pPr>
        <w:ind w:left="540" w:hanging="180"/>
        <w:spacing w:after="0"/>
        <w:tabs>
          <w:tab w:leader="none" w:pos="540" w:val="left"/>
        </w:tabs>
        <w:numPr>
          <w:ilvl w:val="0"/>
          <w:numId w:val="2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 million for the impairment of inventory in an equity method investment.</w:t>
      </w:r>
    </w:p>
    <w:p>
      <w:pPr>
        <w:spacing w:after="0" w:line="13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20"/>
          <w:szCs w:val="20"/>
          <w:color w:val="231F20"/>
        </w:rPr>
        <w:t>During 2024, we recorded non-cash impairment charges of $28 million related to Legacy-Welk inventory. The impairment charge reflects an elongated pace of sales at a higher marketing and selling cost than the estimates used in purchase accounting when we acquired the inventory.</w:t>
      </w:r>
    </w:p>
    <w:p>
      <w:pPr>
        <w:sectPr>
          <w:pgSz w:w="11880" w:h="15480" w:orient="portrait"/>
          <w:cols w:equalWidth="0" w:num="1">
            <w:col w:w="9720"/>
          </w:cols>
          <w:pgMar w:left="1080" w:top="83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9720"/>
          </w:cols>
          <w:pgMar w:left="1080" w:top="831" w:right="108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231F20"/>
        </w:rPr>
        <w:t>Gains and Other Income</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700" w:type="dxa"/>
            <w:vAlign w:val="bottom"/>
          </w:tcPr>
          <w:p>
            <w:pPr>
              <w:spacing w:after="0"/>
              <w:rPr>
                <w:sz w:val="21"/>
                <w:szCs w:val="21"/>
                <w:color w:val="auto"/>
              </w:rPr>
            </w:pPr>
          </w:p>
        </w:tc>
        <w:tc>
          <w:tcPr>
            <w:tcW w:w="660" w:type="dxa"/>
            <w:vAlign w:val="bottom"/>
            <w:tcBorders>
              <w:bottom w:val="single" w:sz="8" w:color="231F20"/>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220" w:type="dxa"/>
            <w:vAlign w:val="bottom"/>
            <w:tcBorders>
              <w:bottom w:val="single" w:sz="8" w:color="231F20"/>
            </w:tcBorders>
          </w:tcPr>
          <w:p>
            <w:pPr>
              <w:spacing w:after="0"/>
              <w:rPr>
                <w:sz w:val="21"/>
                <w:szCs w:val="21"/>
                <w:color w:val="auto"/>
              </w:rPr>
            </w:pPr>
          </w:p>
        </w:tc>
        <w:tc>
          <w:tcPr>
            <w:tcW w:w="74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640" w:type="dxa"/>
            <w:vAlign w:val="bottom"/>
            <w:tcBorders>
              <w:bottom w:val="single" w:sz="8" w:color="231F20"/>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231F20"/>
              </w:rPr>
              <w:t>2025 vs. 2024</w:t>
            </w:r>
          </w:p>
        </w:tc>
      </w:tr>
      <w:tr>
        <w:trPr>
          <w:trHeight w:val="235"/>
        </w:trPr>
        <w:tc>
          <w:tcPr>
            <w:tcW w:w="4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8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tcPr>
          <w:p>
            <w:pPr>
              <w:jc w:val="right"/>
              <w:ind w:right="205"/>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center"/>
              <w:ind w:left="247"/>
              <w:spacing w:after="0"/>
              <w:rPr>
                <w:sz w:val="20"/>
                <w:szCs w:val="20"/>
                <w:color w:val="auto"/>
              </w:rPr>
            </w:pPr>
            <w:r>
              <w:rPr>
                <w:rFonts w:ascii="Times New Roman" w:cs="Times New Roman" w:eastAsia="Times New Roman" w:hAnsi="Times New Roman"/>
                <w:sz w:val="18"/>
                <w:szCs w:val="18"/>
                <w:b w:val="1"/>
                <w:bCs w:val="1"/>
                <w:color w:val="231F20"/>
                <w:w w:val="98"/>
              </w:rPr>
              <w:t>Change</w:t>
            </w:r>
          </w:p>
        </w:tc>
        <w:tc>
          <w:tcPr>
            <w:tcW w:w="640" w:type="dxa"/>
            <w:vAlign w:val="bottom"/>
            <w:tcBorders>
              <w:bottom w:val="single" w:sz="8" w:color="231F20"/>
            </w:tcBorders>
          </w:tcPr>
          <w:p>
            <w:pPr>
              <w:spacing w:after="0"/>
              <w:rPr>
                <w:sz w:val="20"/>
                <w:szCs w:val="20"/>
                <w:color w:val="auto"/>
              </w:rPr>
            </w:pPr>
          </w:p>
        </w:tc>
      </w:tr>
      <w:tr>
        <w:trPr>
          <w:trHeight w:val="277"/>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Gains and other income, net </w:t>
            </w:r>
            <w:r>
              <w:rPr>
                <w:rFonts w:ascii="Times New Roman" w:cs="Times New Roman" w:eastAsia="Times New Roman" w:hAnsi="Times New Roman"/>
                <w:sz w:val="20"/>
                <w:szCs w:val="20"/>
                <w:color w:val="B8BABC"/>
              </w:rPr>
              <w:t>. . . . . . . . . . . . . . . . . . . . . . . .</w:t>
            </w:r>
          </w:p>
        </w:tc>
        <w:tc>
          <w:tcPr>
            <w:tcW w:w="660" w:type="dxa"/>
            <w:vAlign w:val="bottom"/>
          </w:tcPr>
          <w:p>
            <w:pPr>
              <w:jc w:val="right"/>
              <w:ind w:right="425"/>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89"/>
              </w:rPr>
              <w:t>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29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ind w:right="347"/>
              <w:spacing w:after="0"/>
              <w:rPr>
                <w:sz w:val="20"/>
                <w:szCs w:val="20"/>
                <w:color w:val="auto"/>
              </w:rPr>
            </w:pPr>
            <w:r>
              <w:rPr>
                <w:rFonts w:ascii="Times New Roman" w:cs="Times New Roman" w:eastAsia="Times New Roman" w:hAnsi="Times New Roman"/>
                <w:sz w:val="20"/>
                <w:szCs w:val="20"/>
                <w:color w:val="231F20"/>
              </w:rPr>
              <w:t>2</w:t>
            </w:r>
          </w:p>
        </w:tc>
        <w:tc>
          <w:tcPr>
            <w:tcW w:w="64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NM</w:t>
            </w:r>
          </w:p>
        </w:tc>
      </w:tr>
    </w:tbl>
    <w:p>
      <w:pPr>
        <w:spacing w:after="0" w:line="17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20"/>
          <w:szCs w:val="20"/>
          <w:color w:val="231F20"/>
        </w:rPr>
        <w:t>During 2025 we benefited from $15 million of proceeds from service interruption insurance relating to the Maui wildfires, a $2 million reduction in certain pre-acquisition contingencies associated with the ILG Acquisition, and $1 million of other miscellaneous gains.</w:t>
      </w:r>
    </w:p>
    <w:p>
      <w:pPr>
        <w:spacing w:after="0" w:line="7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20"/>
          <w:szCs w:val="20"/>
          <w:color w:val="231F20"/>
        </w:rPr>
        <w:t>During 2024 we benefited from $6 million of gains on the disposition of excess real estate, $5 million related to the receipt of business interruption insurance proceeds, a $4 million reduction in certain pre-acquisition contingencies associated with the ILG Acquisition, and $1 million of other miscellaneous gains.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EXCHANGE &amp; THIRD-PARTY MANAGEMENT</w:t>
      </w:r>
    </w:p>
    <w:p>
      <w:pPr>
        <w:spacing w:after="0" w:line="137" w:lineRule="exact"/>
        <w:rPr>
          <w:sz w:val="20"/>
          <w:szCs w:val="20"/>
          <w:color w:val="auto"/>
        </w:rPr>
      </w:pPr>
    </w:p>
    <w:p>
      <w:pPr>
        <w:ind w:right="880"/>
        <w:spacing w:after="0" w:line="281" w:lineRule="auto"/>
        <w:rPr>
          <w:sz w:val="20"/>
          <w:szCs w:val="20"/>
          <w:color w:val="auto"/>
        </w:rPr>
      </w:pPr>
      <w:r>
        <w:rPr>
          <w:rFonts w:ascii="Times New Roman" w:cs="Times New Roman" w:eastAsia="Times New Roman" w:hAnsi="Times New Roman"/>
          <w:sz w:val="20"/>
          <w:szCs w:val="20"/>
          <w:color w:val="231F20"/>
        </w:rPr>
        <w:t>Our Exchange &amp; Third-Party Management segment is comprised of the Interval International and Aqua-Aston businesses.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44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6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46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231F20"/>
              </w:rPr>
              <w:t>($ in millions)</w:t>
            </w:r>
          </w:p>
        </w:tc>
        <w:tc>
          <w:tcPr>
            <w:tcW w:w="18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160" w:type="dxa"/>
            <w:vAlign w:val="bottom"/>
            <w:tcBorders>
              <w:bottom w:val="single" w:sz="8" w:color="231F20"/>
            </w:tcBorders>
          </w:tcPr>
          <w:p>
            <w:pPr>
              <w:spacing w:after="0"/>
              <w:rPr>
                <w:sz w:val="20"/>
                <w:szCs w:val="20"/>
                <w:color w:val="auto"/>
              </w:rPr>
            </w:pPr>
          </w:p>
        </w:tc>
        <w:tc>
          <w:tcPr>
            <w:tcW w:w="44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40" w:type="dxa"/>
            <w:vAlign w:val="bottom"/>
            <w:tcBorders>
              <w:bottom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center"/>
              <w:ind w:right="63"/>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8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46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231F20"/>
                <w:w w:val="94"/>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7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231F20"/>
              </w:rPr>
              <w:t>REVENUES</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and exchange </w:t>
            </w:r>
            <w:r>
              <w:rPr>
                <w:rFonts w:ascii="Times New Roman" w:cs="Times New Roman" w:eastAsia="Times New Roman" w:hAnsi="Times New Roman"/>
                <w:sz w:val="20"/>
                <w:szCs w:val="20"/>
                <w:color w:val="B8BABC"/>
              </w:rPr>
              <w:t>.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170</w:t>
            </w:r>
          </w:p>
        </w:tc>
        <w:tc>
          <w:tcPr>
            <w:tcW w:w="60" w:type="dxa"/>
            <w:vAlign w:val="bottom"/>
          </w:tcPr>
          <w:p>
            <w:pPr>
              <w:spacing w:after="0"/>
              <w:rPr>
                <w:sz w:val="24"/>
                <w:szCs w:val="24"/>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w w:val="93"/>
              </w:rPr>
              <w:t>182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Rental </w:t>
            </w:r>
            <w:r>
              <w:rPr>
                <w:rFonts w:ascii="Times New Roman" w:cs="Times New Roman" w:eastAsia="Times New Roman" w:hAnsi="Times New Roman"/>
                <w:sz w:val="20"/>
                <w:szCs w:val="20"/>
                <w:color w:val="B8BABC"/>
              </w:rPr>
              <w:t>. . . . . . . . . . . . . . . . . . . . . . . . . . . . . . . . . . . . . . .</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reimbursements </w:t>
            </w:r>
            <w:r>
              <w:rPr>
                <w:rFonts w:ascii="Times New Roman" w:cs="Times New Roman" w:eastAsia="Times New Roman" w:hAnsi="Times New Roman"/>
                <w:sz w:val="20"/>
                <w:szCs w:val="20"/>
                <w:color w:val="B8BABC"/>
              </w:rPr>
              <w:t>. . . . . . . . . . . . . . . . . . . . . . . . . . .</w:t>
            </w: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spacing w:after="0"/>
              <w:rPr>
                <w:sz w:val="24"/>
                <w:szCs w:val="24"/>
                <w:color w:val="auto"/>
              </w:rPr>
            </w:pPr>
          </w:p>
        </w:tc>
        <w:tc>
          <w:tcPr>
            <w:tcW w:w="38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B8BABC"/>
              </w:rPr>
              <w:t>. . . . . . . . . . . . . . . . . . . . . . .</w:t>
            </w:r>
            <w:r>
              <w:rPr>
                <w:rFonts w:ascii="Times New Roman" w:cs="Times New Roman" w:eastAsia="Times New Roman" w:hAnsi="Times New Roman"/>
                <w:sz w:val="20"/>
                <w:szCs w:val="20"/>
                <w:b w:val="1"/>
                <w:bCs w:val="1"/>
                <w:color w:val="231F20"/>
              </w:rPr>
              <w:t>TOTALREVENUES</w:t>
            </w:r>
          </w:p>
        </w:tc>
        <w:tc>
          <w:tcPr>
            <w:tcW w:w="180" w:type="dxa"/>
            <w:vAlign w:val="bottom"/>
            <w:tcBorders>
              <w:bottom w:val="single" w:sz="8" w:color="231F20"/>
            </w:tcBorders>
          </w:tcPr>
          <w:p>
            <w:pPr>
              <w:spacing w:after="0"/>
              <w:rPr>
                <w:sz w:val="23"/>
                <w:szCs w:val="23"/>
                <w:color w:val="auto"/>
              </w:rPr>
            </w:pPr>
          </w:p>
        </w:tc>
        <w:tc>
          <w:tcPr>
            <w:tcW w:w="760" w:type="dxa"/>
            <w:vAlign w:val="bottom"/>
            <w:tcBorders>
              <w:bottom w:val="single" w:sz="8" w:color="231F20"/>
            </w:tcBorders>
          </w:tcPr>
          <w:p>
            <w:pPr>
              <w:spacing w:after="0"/>
              <w:rPr>
                <w:sz w:val="23"/>
                <w:szCs w:val="23"/>
                <w:color w:val="auto"/>
              </w:rPr>
            </w:pPr>
          </w:p>
        </w:tc>
        <w:tc>
          <w:tcPr>
            <w:tcW w:w="60" w:type="dxa"/>
            <w:vAlign w:val="bottom"/>
            <w:tcBorders>
              <w:bottom w:val="single" w:sz="8" w:color="231F20"/>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213</w:t>
            </w:r>
          </w:p>
        </w:tc>
        <w:tc>
          <w:tcPr>
            <w:tcW w:w="60" w:type="dxa"/>
            <w:vAlign w:val="bottom"/>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20" w:type="dxa"/>
            <w:vAlign w:val="bottom"/>
            <w:tcBorders>
              <w:bottom w:val="single" w:sz="8" w:color="231F20"/>
            </w:tcBorders>
          </w:tcPr>
          <w:p>
            <w:pPr>
              <w:spacing w:after="0"/>
              <w:rPr>
                <w:sz w:val="23"/>
                <w:szCs w:val="23"/>
                <w:color w:val="auto"/>
              </w:rPr>
            </w:pPr>
          </w:p>
        </w:tc>
        <w:tc>
          <w:tcPr>
            <w:tcW w:w="40" w:type="dxa"/>
            <w:vAlign w:val="bottom"/>
            <w:tcBorders>
              <w:bottom w:val="single" w:sz="8" w:color="231F20"/>
            </w:tcBorders>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680" w:type="dxa"/>
            <w:vAlign w:val="bottom"/>
            <w:tcBorders>
              <w:bottom w:val="single" w:sz="8" w:color="231F20"/>
            </w:tcBorders>
          </w:tcPr>
          <w:p>
            <w:pPr>
              <w:spacing w:after="0"/>
              <w:rPr>
                <w:sz w:val="23"/>
                <w:szCs w:val="23"/>
                <w:color w:val="auto"/>
              </w:rPr>
            </w:pPr>
          </w:p>
        </w:tc>
        <w:tc>
          <w:tcPr>
            <w:tcW w:w="38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w w:val="93"/>
              </w:rPr>
              <w:t>231</w:t>
            </w:r>
          </w:p>
        </w:tc>
        <w:tc>
          <w:tcPr>
            <w:tcW w:w="60" w:type="dxa"/>
            <w:vAlign w:val="bottom"/>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46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262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7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231F20"/>
              </w:rPr>
              <w:t>EXPENSES</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and exchange </w:t>
            </w:r>
            <w:r>
              <w:rPr>
                <w:rFonts w:ascii="Times New Roman" w:cs="Times New Roman" w:eastAsia="Times New Roman" w:hAnsi="Times New Roman"/>
                <w:sz w:val="20"/>
                <w:szCs w:val="20"/>
                <w:color w:val="B8BABC"/>
              </w:rPr>
              <w:t>. . . . . . . . . . . . . . . . . . . . . .</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w w:val="93"/>
              </w:rPr>
              <w:t>122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Depreciation and amortization  </w:t>
            </w:r>
            <w:r>
              <w:rPr>
                <w:rFonts w:ascii="Times New Roman" w:cs="Times New Roman" w:eastAsia="Times New Roman" w:hAnsi="Times New Roman"/>
                <w:sz w:val="20"/>
                <w:szCs w:val="20"/>
                <w:color w:val="B8BABC"/>
              </w:rPr>
              <w:t>. . . . . . . . . . . . . . . . . . .</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Litigation charges </w:t>
            </w:r>
            <w:r>
              <w:rPr>
                <w:rFonts w:ascii="Times New Roman" w:cs="Times New Roman" w:eastAsia="Times New Roman" w:hAnsi="Times New Roman"/>
                <w:sz w:val="20"/>
                <w:szCs w:val="20"/>
                <w:color w:val="B8BABC"/>
              </w:rPr>
              <w:t>. . . . . . . . . . . . . . . . . . . . . . . . . . . . .</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Restructuring </w:t>
            </w:r>
            <w:r>
              <w:rPr>
                <w:rFonts w:ascii="Times New Roman" w:cs="Times New Roman" w:eastAsia="Times New Roman" w:hAnsi="Times New Roman"/>
                <w:sz w:val="20"/>
                <w:szCs w:val="20"/>
                <w:color w:val="B8BABC"/>
              </w:rPr>
              <w:t>. . . . . . . . . . . . . . . . . . . . . . . . . . . . . . . . .</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Impairment  </w:t>
            </w:r>
            <w:r>
              <w:rPr>
                <w:rFonts w:ascii="Times New Roman" w:cs="Times New Roman" w:eastAsia="Times New Roman" w:hAnsi="Times New Roman"/>
                <w:sz w:val="20"/>
                <w:szCs w:val="20"/>
                <w:color w:val="B8BABC"/>
              </w:rPr>
              <w:t>. . . . . . . . . . . . . . . . . . . . . . . . . . . . . . . . . .</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reimbursements </w:t>
            </w:r>
            <w:r>
              <w:rPr>
                <w:rFonts w:ascii="Times New Roman" w:cs="Times New Roman" w:eastAsia="Times New Roman" w:hAnsi="Times New Roman"/>
                <w:sz w:val="20"/>
                <w:szCs w:val="20"/>
                <w:color w:val="B8BABC"/>
              </w:rPr>
              <w:t>. . . . . . . . . . . . . . . . . . . . . . . . . . .</w:t>
            </w: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spacing w:after="0"/>
              <w:rPr>
                <w:sz w:val="24"/>
                <w:szCs w:val="24"/>
                <w:color w:val="auto"/>
              </w:rPr>
            </w:pPr>
          </w:p>
        </w:tc>
        <w:tc>
          <w:tcPr>
            <w:tcW w:w="38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B8BABC"/>
              </w:rPr>
              <w:t>. . . . . . . . . . . . . . . . . . . . . . .</w:t>
            </w:r>
            <w:r>
              <w:rPr>
                <w:rFonts w:ascii="Times New Roman" w:cs="Times New Roman" w:eastAsia="Times New Roman" w:hAnsi="Times New Roman"/>
                <w:sz w:val="20"/>
                <w:szCs w:val="20"/>
                <w:b w:val="1"/>
                <w:bCs w:val="1"/>
                <w:color w:val="231F20"/>
              </w:rPr>
              <w:t>TOTALEXPENSES</w:t>
            </w:r>
          </w:p>
        </w:tc>
        <w:tc>
          <w:tcPr>
            <w:tcW w:w="180" w:type="dxa"/>
            <w:vAlign w:val="bottom"/>
            <w:tcBorders>
              <w:bottom w:val="single" w:sz="8" w:color="231F20"/>
            </w:tcBorders>
          </w:tcPr>
          <w:p>
            <w:pPr>
              <w:spacing w:after="0"/>
              <w:rPr>
                <w:sz w:val="23"/>
                <w:szCs w:val="23"/>
                <w:color w:val="auto"/>
              </w:rPr>
            </w:pPr>
          </w:p>
        </w:tc>
        <w:tc>
          <w:tcPr>
            <w:tcW w:w="760" w:type="dxa"/>
            <w:vAlign w:val="bottom"/>
            <w:tcBorders>
              <w:bottom w:val="single" w:sz="8" w:color="231F20"/>
            </w:tcBorders>
          </w:tcPr>
          <w:p>
            <w:pPr>
              <w:spacing w:after="0"/>
              <w:rPr>
                <w:sz w:val="23"/>
                <w:szCs w:val="23"/>
                <w:color w:val="auto"/>
              </w:rPr>
            </w:pPr>
          </w:p>
        </w:tc>
        <w:tc>
          <w:tcPr>
            <w:tcW w:w="60" w:type="dxa"/>
            <w:vAlign w:val="bottom"/>
            <w:tcBorders>
              <w:bottom w:val="single" w:sz="8" w:color="231F20"/>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331</w:t>
            </w:r>
          </w:p>
        </w:tc>
        <w:tc>
          <w:tcPr>
            <w:tcW w:w="60" w:type="dxa"/>
            <w:vAlign w:val="bottom"/>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20" w:type="dxa"/>
            <w:vAlign w:val="bottom"/>
            <w:tcBorders>
              <w:bottom w:val="single" w:sz="8" w:color="231F20"/>
            </w:tcBorders>
          </w:tcPr>
          <w:p>
            <w:pPr>
              <w:spacing w:after="0"/>
              <w:rPr>
                <w:sz w:val="23"/>
                <w:szCs w:val="23"/>
                <w:color w:val="auto"/>
              </w:rPr>
            </w:pPr>
          </w:p>
        </w:tc>
        <w:tc>
          <w:tcPr>
            <w:tcW w:w="40" w:type="dxa"/>
            <w:vAlign w:val="bottom"/>
            <w:tcBorders>
              <w:bottom w:val="single" w:sz="8" w:color="231F20"/>
            </w:tcBorders>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680" w:type="dxa"/>
            <w:vAlign w:val="bottom"/>
            <w:tcBorders>
              <w:bottom w:val="single" w:sz="8" w:color="231F20"/>
            </w:tcBorders>
          </w:tcPr>
          <w:p>
            <w:pPr>
              <w:spacing w:after="0"/>
              <w:rPr>
                <w:sz w:val="23"/>
                <w:szCs w:val="23"/>
                <w:color w:val="auto"/>
              </w:rPr>
            </w:pPr>
          </w:p>
        </w:tc>
        <w:tc>
          <w:tcPr>
            <w:tcW w:w="38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w w:val="93"/>
              </w:rPr>
              <w:t>162</w:t>
            </w:r>
          </w:p>
        </w:tc>
        <w:tc>
          <w:tcPr>
            <w:tcW w:w="60" w:type="dxa"/>
            <w:vAlign w:val="bottom"/>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46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170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Gains and other income, net </w:t>
            </w:r>
            <w:r>
              <w:rPr>
                <w:rFonts w:ascii="Times New Roman" w:cs="Times New Roman" w:eastAsia="Times New Roman" w:hAnsi="Times New Roman"/>
                <w:sz w:val="20"/>
                <w:szCs w:val="20"/>
                <w:color w:val="B8BABC"/>
              </w:rPr>
              <w:t>. . . . . . . . . . . . . . . . . . . . .</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w:t>
            </w: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760" w:type="dxa"/>
            <w:vAlign w:val="bottom"/>
          </w:tcPr>
          <w:p>
            <w:pPr>
              <w:ind w:left="60"/>
              <w:spacing w:after="0" w:line="192" w:lineRule="exact"/>
              <w:rPr>
                <w:sz w:val="20"/>
                <w:szCs w:val="20"/>
                <w:color w:val="auto"/>
              </w:rPr>
            </w:pPr>
            <w:r>
              <w:rPr>
                <w:rFonts w:ascii="Times New Roman" w:cs="Times New Roman" w:eastAsia="Times New Roman" w:hAnsi="Times New Roman"/>
                <w:sz w:val="20"/>
                <w:szCs w:val="20"/>
                <w:b w:val="1"/>
                <w:bCs w:val="1"/>
                <w:color w:val="231F20"/>
              </w:rPr>
              <w:t>SEGMENT FINANCIAL RESULTS</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7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231F20"/>
              </w:rPr>
              <w:t>ATTRIBUTABLE TO COMMON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w w:val="92"/>
              </w:rPr>
              <w:t>(116)</w:t>
            </w:r>
          </w:p>
        </w:tc>
        <w:tc>
          <w:tcPr>
            <w:tcW w:w="60" w:type="dxa"/>
            <w:vAlign w:val="bottom"/>
          </w:tcPr>
          <w:p>
            <w:pPr>
              <w:spacing w:after="0"/>
              <w:rPr>
                <w:sz w:val="17"/>
                <w:szCs w:val="17"/>
                <w:color w:val="auto"/>
              </w:rPr>
            </w:pP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60" w:type="dxa"/>
            <w:vAlign w:val="bottom"/>
          </w:tcPr>
          <w:p>
            <w:pPr>
              <w:spacing w:after="0"/>
              <w:rPr>
                <w:sz w:val="17"/>
                <w:szCs w:val="17"/>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STOCKHOLDERS </w:t>
            </w:r>
            <w:r>
              <w:rPr>
                <w:rFonts w:ascii="Times New Roman" w:cs="Times New Roman" w:eastAsia="Times New Roman" w:hAnsi="Times New Roman"/>
                <w:sz w:val="20"/>
                <w:szCs w:val="20"/>
                <w:b w:val="1"/>
                <w:bCs w:val="1"/>
                <w:color w:val="B8BABC"/>
              </w:rPr>
              <w:t>. . . . . . . . . . . . . . . . . . . . . . . . . . . . .</w:t>
            </w:r>
          </w:p>
        </w:tc>
        <w:tc>
          <w:tcPr>
            <w:tcW w:w="180" w:type="dxa"/>
            <w:vAlign w:val="bottom"/>
            <w:vMerge w:val="continue"/>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gridSpan w:val="3"/>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jc w:val="right"/>
              <w:ind w:right="1742"/>
              <w:spacing w:after="0"/>
              <w:rPr>
                <w:sz w:val="20"/>
                <w:szCs w:val="20"/>
                <w:color w:val="auto"/>
              </w:rPr>
            </w:pPr>
            <w:r>
              <w:rPr>
                <w:rFonts w:ascii="Times New Roman" w:cs="Times New Roman" w:eastAsia="Times New Roman" w:hAnsi="Times New Roman"/>
                <w:sz w:val="20"/>
                <w:szCs w:val="20"/>
                <w:b w:val="1"/>
                <w:bCs w:val="1"/>
                <w:color w:val="231F20"/>
                <w:w w:val="99"/>
              </w:rPr>
              <w:t>Management and Exchange Profit</w:t>
            </w: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4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4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7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4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460" w:type="dxa"/>
            <w:vAlign w:val="bottom"/>
            <w:tcBorders>
              <w:bottom w:val="single" w:sz="8" w:color="231F20"/>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231F20"/>
                <w:w w:val="98"/>
              </w:rPr>
              <w:t>2025 vs. 2024</w:t>
            </w:r>
          </w:p>
        </w:tc>
        <w:tc>
          <w:tcPr>
            <w:tcW w:w="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76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0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500" w:type="dxa"/>
            <w:vAlign w:val="bottom"/>
            <w:tcBorders>
              <w:bottom w:val="single" w:sz="8" w:color="231F20"/>
            </w:tcBorders>
            <w:gridSpan w:val="2"/>
          </w:tcPr>
          <w:p>
            <w:pPr>
              <w:jc w:val="center"/>
              <w:ind w:left="41"/>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280" w:type="dxa"/>
            <w:vAlign w:val="bottom"/>
            <w:tcBorders>
              <w:bottom w:val="single" w:sz="8" w:color="231F20"/>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680" w:type="dxa"/>
            <w:vAlign w:val="bottom"/>
            <w:tcBorders>
              <w:bottom w:val="single" w:sz="8" w:color="231F20"/>
            </w:tcBorders>
          </w:tcPr>
          <w:p>
            <w:pPr>
              <w:jc w:val="center"/>
              <w:ind w:right="23"/>
              <w:spacing w:after="0"/>
              <w:rPr>
                <w:sz w:val="20"/>
                <w:szCs w:val="20"/>
                <w:color w:val="auto"/>
              </w:rPr>
            </w:pPr>
            <w:r>
              <w:rPr>
                <w:rFonts w:ascii="Times New Roman" w:cs="Times New Roman" w:eastAsia="Times New Roman" w:hAnsi="Times New Roman"/>
                <w:sz w:val="18"/>
                <w:szCs w:val="18"/>
                <w:b w:val="1"/>
                <w:bCs w:val="1"/>
                <w:color w:val="231F20"/>
                <w:w w:val="99"/>
              </w:rPr>
              <w:t>2023</w:t>
            </w:r>
          </w:p>
        </w:tc>
        <w:tc>
          <w:tcPr>
            <w:tcW w:w="8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460" w:type="dxa"/>
            <w:vAlign w:val="bottom"/>
            <w:tcBorders>
              <w:bottom w:val="single" w:sz="8" w:color="231F20"/>
            </w:tcBorders>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231F20"/>
              </w:rPr>
              <w:t>Change</w:t>
            </w:r>
          </w:p>
        </w:tc>
        <w:tc>
          <w:tcPr>
            <w:tcW w:w="2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and exchange revenue </w:t>
            </w:r>
            <w:r>
              <w:rPr>
                <w:rFonts w:ascii="Times New Roman" w:cs="Times New Roman" w:eastAsia="Times New Roman" w:hAnsi="Times New Roman"/>
                <w:sz w:val="20"/>
                <w:szCs w:val="20"/>
                <w:color w:val="B8BABC"/>
              </w:rPr>
              <w:t>.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170</w:t>
            </w: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182</w:t>
            </w:r>
          </w:p>
        </w:tc>
        <w:tc>
          <w:tcPr>
            <w:tcW w:w="2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206</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1000" w:type="dxa"/>
            <w:vAlign w:val="bottom"/>
            <w:gridSpan w:val="2"/>
          </w:tcPr>
          <w:p>
            <w:pPr>
              <w:jc w:val="center"/>
              <w:ind w:left="21"/>
              <w:spacing w:after="0"/>
              <w:rPr>
                <w:sz w:val="20"/>
                <w:szCs w:val="20"/>
                <w:color w:val="auto"/>
              </w:rPr>
            </w:pPr>
            <w:r>
              <w:rPr>
                <w:rFonts w:ascii="Times New Roman" w:cs="Times New Roman" w:eastAsia="Times New Roman" w:hAnsi="Times New Roman"/>
                <w:sz w:val="20"/>
                <w:szCs w:val="20"/>
                <w:color w:val="231F20"/>
                <w:w w:val="9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and exchange expense </w:t>
            </w:r>
            <w:r>
              <w:rPr>
                <w:rFonts w:ascii="Times New Roman" w:cs="Times New Roman" w:eastAsia="Times New Roman" w:hAnsi="Times New Roman"/>
                <w:sz w:val="20"/>
                <w:szCs w:val="20"/>
                <w:color w:val="B8BABC"/>
              </w:rPr>
              <w:t>. . . . . . . . . . . . . . . . .</w:t>
            </w: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(117)</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(122)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(118)</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4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20" w:type="dxa"/>
            <w:vAlign w:val="bottom"/>
            <w:tcBorders>
              <w:bottom w:val="single" w:sz="8" w:color="231F20"/>
            </w:tcBorders>
          </w:tcPr>
          <w:p>
            <w:pPr>
              <w:spacing w:after="0"/>
              <w:rPr>
                <w:sz w:val="24"/>
                <w:szCs w:val="24"/>
                <w:color w:val="auto"/>
              </w:rPr>
            </w:pPr>
          </w:p>
        </w:tc>
        <w:tc>
          <w:tcPr>
            <w:tcW w:w="98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231F20"/>
                <w:w w:val="97"/>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and exchange profit </w:t>
            </w:r>
            <w:r>
              <w:rPr>
                <w:rFonts w:ascii="Times New Roman" w:cs="Times New Roman" w:eastAsia="Times New Roman" w:hAnsi="Times New Roman"/>
                <w:sz w:val="20"/>
                <w:szCs w:val="20"/>
                <w:color w:val="B8BABC"/>
              </w:rPr>
              <w:t>.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w:t>
            </w: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89"/>
              </w:rPr>
              <w:t>60</w:t>
            </w:r>
          </w:p>
        </w:tc>
        <w:tc>
          <w:tcPr>
            <w:tcW w:w="20" w:type="dxa"/>
            <w:vAlign w:val="bottom"/>
          </w:tcPr>
          <w:p>
            <w:pPr>
              <w:spacing w:after="0"/>
              <w:rPr>
                <w:sz w:val="22"/>
                <w:szCs w:val="22"/>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1000" w:type="dxa"/>
            <w:vAlign w:val="bottom"/>
            <w:gridSpan w:val="2"/>
          </w:tcPr>
          <w:p>
            <w:pPr>
              <w:jc w:val="center"/>
              <w:ind w:left="41"/>
              <w:spacing w:after="0"/>
              <w:rPr>
                <w:sz w:val="20"/>
                <w:szCs w:val="20"/>
                <w:color w:val="auto"/>
              </w:rPr>
            </w:pPr>
            <w:r>
              <w:rPr>
                <w:rFonts w:ascii="Times New Roman" w:cs="Times New Roman" w:eastAsia="Times New Roman" w:hAnsi="Times New Roman"/>
                <w:sz w:val="20"/>
                <w:szCs w:val="20"/>
                <w:color w:val="231F20"/>
                <w:w w:val="99"/>
              </w:rPr>
              <w:t>(12%)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231F20"/>
              <w:bottom w:val="single" w:sz="8" w:color="231F20"/>
            </w:tcBorders>
            <w:gridSpan w:val="4"/>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and exchange profit margin </w:t>
            </w:r>
            <w:r>
              <w:rPr>
                <w:rFonts w:ascii="Times New Roman" w:cs="Times New Roman" w:eastAsia="Times New Roman" w:hAnsi="Times New Roman"/>
                <w:sz w:val="20"/>
                <w:szCs w:val="20"/>
                <w:color w:val="B8BABC"/>
              </w:rPr>
              <w:t>. . . . . . . . . . . . .</w:t>
            </w:r>
          </w:p>
        </w:tc>
        <w:tc>
          <w:tcPr>
            <w:tcW w:w="180" w:type="dxa"/>
            <w:vAlign w:val="bottom"/>
          </w:tcPr>
          <w:p>
            <w:pPr>
              <w:spacing w:after="0"/>
              <w:rPr>
                <w:sz w:val="23"/>
                <w:szCs w:val="23"/>
                <w:color w:val="auto"/>
              </w:rPr>
            </w:pPr>
          </w:p>
        </w:tc>
        <w:tc>
          <w:tcPr>
            <w:tcW w:w="760" w:type="dxa"/>
            <w:vAlign w:val="bottom"/>
          </w:tcPr>
          <w:p>
            <w:pPr>
              <w:jc w:val="right"/>
              <w:ind w:right="103"/>
              <w:spacing w:after="0"/>
              <w:rPr>
                <w:sz w:val="20"/>
                <w:szCs w:val="20"/>
                <w:color w:val="auto"/>
              </w:rPr>
            </w:pPr>
            <w:r>
              <w:rPr>
                <w:rFonts w:ascii="Times New Roman" w:cs="Times New Roman" w:eastAsia="Times New Roman" w:hAnsi="Times New Roman"/>
                <w:sz w:val="20"/>
                <w:szCs w:val="20"/>
                <w:color w:val="231F20"/>
              </w:rPr>
              <w:t>31.3%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231F20"/>
                <w:w w:val="96"/>
              </w:rPr>
              <w:t>33.2%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42.5%</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gridSpan w:val="4"/>
          </w:tcPr>
          <w:p>
            <w:pPr>
              <w:jc w:val="right"/>
              <w:ind w:right="4"/>
              <w:spacing w:after="0"/>
              <w:rPr>
                <w:sz w:val="20"/>
                <w:szCs w:val="20"/>
                <w:color w:val="auto"/>
              </w:rPr>
            </w:pPr>
            <w:r>
              <w:rPr>
                <w:rFonts w:ascii="Times New Roman" w:cs="Times New Roman" w:eastAsia="Times New Roman" w:hAnsi="Times New Roman"/>
                <w:sz w:val="20"/>
                <w:szCs w:val="20"/>
                <w:color w:val="231F20"/>
              </w:rPr>
              <w:t>(1.9 pts)</w:t>
            </w: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Compared to 2024</w:t>
      </w:r>
    </w:p>
    <w:p>
      <w:pPr>
        <w:spacing w:after="0" w:line="154" w:lineRule="exact"/>
        <w:rPr>
          <w:sz w:val="20"/>
          <w:szCs w:val="20"/>
          <w:color w:val="auto"/>
        </w:rPr>
      </w:pPr>
    </w:p>
    <w:p>
      <w:pPr>
        <w:ind w:left="360" w:right="120" w:hanging="180"/>
        <w:spacing w:after="0" w:line="281" w:lineRule="auto"/>
        <w:tabs>
          <w:tab w:leader="none" w:pos="360" w:val="left"/>
        </w:tabs>
        <w:numPr>
          <w:ilvl w:val="0"/>
          <w:numId w:val="25"/>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color w:val="231F20"/>
        </w:rPr>
        <w:t>Interval International management and exchange revenues declined $6 million primarily due to 9% lower exchange transaction volume, partially offset by a 6% increase in average exchange fees.</w:t>
      </w:r>
    </w:p>
    <w:p>
      <w:pPr>
        <w:spacing w:after="0" w:line="1" w:lineRule="exact"/>
        <w:rPr>
          <w:rFonts w:ascii="Times New Roman" w:cs="Times New Roman" w:eastAsia="Times New Roman" w:hAnsi="Times New Roman"/>
          <w:sz w:val="20"/>
          <w:szCs w:val="20"/>
          <w:i w:val="1"/>
          <w:iCs w:val="1"/>
          <w:color w:val="231F20"/>
        </w:rPr>
      </w:pPr>
    </w:p>
    <w:p>
      <w:pPr>
        <w:ind w:left="360" w:right="400" w:hanging="180"/>
        <w:spacing w:after="0" w:line="281" w:lineRule="auto"/>
        <w:tabs>
          <w:tab w:leader="none" w:pos="360" w:val="left"/>
        </w:tabs>
        <w:numPr>
          <w:ilvl w:val="0"/>
          <w:numId w:val="2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Management and exchange revenue reflects a $4 million decline in Aqua-Aston management revenues resulting from fewer available nights for rent and a lower average daily rate in the Hawaii market.</w:t>
      </w:r>
    </w:p>
    <w:p>
      <w:pPr>
        <w:sectPr>
          <w:pgSz w:w="11880" w:h="15480" w:orient="portrait"/>
          <w:cols w:equalWidth="0" w:num="1">
            <w:col w:w="9720"/>
          </w:cols>
          <w:pgMar w:left="1080" w:top="831" w:right="108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9720"/>
          </w:cols>
          <w:pgMar w:left="1080" w:top="831" w:right="1080" w:bottom="0" w:gutter="0" w:footer="0" w:header="0"/>
          <w:type w:val="continuous"/>
        </w:sectPr>
      </w:pPr>
    </w:p>
    <w:bookmarkStart w:id="59" w:name="page60"/>
    <w:bookmarkEnd w:id="59"/>
    <w:p>
      <w:pPr>
        <w:ind w:left="360" w:right="420" w:hanging="180"/>
        <w:spacing w:after="0" w:line="281" w:lineRule="auto"/>
        <w:tabs>
          <w:tab w:leader="none" w:pos="36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Management and exchange revenue declined $2 million as a result of the sale of an immaterial subsidiary in the second quarter of 2024.</w:t>
      </w:r>
    </w:p>
    <w:p>
      <w:pPr>
        <w:spacing w:after="0" w:line="1" w:lineRule="exact"/>
        <w:rPr>
          <w:rFonts w:ascii="Times New Roman" w:cs="Times New Roman" w:eastAsia="Times New Roman" w:hAnsi="Times New Roman"/>
          <w:sz w:val="20"/>
          <w:szCs w:val="20"/>
          <w:color w:val="231F20"/>
        </w:rPr>
      </w:pPr>
    </w:p>
    <w:p>
      <w:pPr>
        <w:ind w:left="360" w:right="380" w:hanging="180"/>
        <w:spacing w:after="0" w:line="281" w:lineRule="auto"/>
        <w:tabs>
          <w:tab w:leader="none" w:pos="360" w:val="left"/>
        </w:tabs>
        <w:numPr>
          <w:ilvl w:val="0"/>
          <w:numId w:val="2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The decrease in management and exchange expenses was primarily attributable to lower wages and benefits and other costs.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Rental Revenues</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700" w:type="dxa"/>
            <w:vAlign w:val="bottom"/>
          </w:tcPr>
          <w:p>
            <w:pPr>
              <w:spacing w:after="0"/>
              <w:rPr>
                <w:sz w:val="21"/>
                <w:szCs w:val="21"/>
                <w:color w:val="auto"/>
              </w:rPr>
            </w:pPr>
          </w:p>
        </w:tc>
        <w:tc>
          <w:tcPr>
            <w:tcW w:w="660" w:type="dxa"/>
            <w:vAlign w:val="bottom"/>
            <w:tcBorders>
              <w:bottom w:val="single" w:sz="8" w:color="231F20"/>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220" w:type="dxa"/>
            <w:vAlign w:val="bottom"/>
            <w:tcBorders>
              <w:bottom w:val="single" w:sz="8" w:color="231F20"/>
            </w:tcBorders>
          </w:tcPr>
          <w:p>
            <w:pPr>
              <w:spacing w:after="0"/>
              <w:rPr>
                <w:sz w:val="21"/>
                <w:szCs w:val="21"/>
                <w:color w:val="auto"/>
              </w:rPr>
            </w:pPr>
          </w:p>
        </w:tc>
        <w:tc>
          <w:tcPr>
            <w:tcW w:w="74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640" w:type="dxa"/>
            <w:vAlign w:val="bottom"/>
            <w:tcBorders>
              <w:bottom w:val="single" w:sz="8" w:color="231F20"/>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231F20"/>
              </w:rPr>
              <w:t>2025 vs. 2024</w:t>
            </w:r>
          </w:p>
        </w:tc>
      </w:tr>
      <w:tr>
        <w:trPr>
          <w:trHeight w:val="235"/>
        </w:trPr>
        <w:tc>
          <w:tcPr>
            <w:tcW w:w="4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8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tcPr>
          <w:p>
            <w:pPr>
              <w:jc w:val="right"/>
              <w:ind w:right="205"/>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640" w:type="dxa"/>
            <w:vAlign w:val="bottom"/>
            <w:tcBorders>
              <w:bottom w:val="single" w:sz="8" w:color="231F20"/>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231F20"/>
              </w:rPr>
              <w:t>Change</w:t>
            </w:r>
          </w:p>
        </w:tc>
      </w:tr>
      <w:tr>
        <w:trPr>
          <w:trHeight w:val="277"/>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Rental revenues </w:t>
            </w:r>
            <w:r>
              <w:rPr>
                <w:rFonts w:ascii="Times New Roman" w:cs="Times New Roman" w:eastAsia="Times New Roman" w:hAnsi="Times New Roman"/>
                <w:sz w:val="20"/>
                <w:szCs w:val="20"/>
                <w:color w:val="B8BABC"/>
              </w:rPr>
              <w:t>. . . . . . . . . . . . . . . . . . . . . . . . . . . . . . . . .</w:t>
            </w:r>
          </w:p>
        </w:tc>
        <w:tc>
          <w:tcPr>
            <w:tcW w:w="660" w:type="dxa"/>
            <w:vAlign w:val="bottom"/>
          </w:tcPr>
          <w:p>
            <w:pPr>
              <w:jc w:val="right"/>
              <w:ind w:right="425"/>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89"/>
              </w:rPr>
              <w:t>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40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ind w:left="380"/>
              <w:spacing w:after="0"/>
              <w:rPr>
                <w:sz w:val="20"/>
                <w:szCs w:val="20"/>
                <w:color w:val="auto"/>
              </w:rPr>
            </w:pPr>
            <w:r>
              <w:rPr>
                <w:rFonts w:ascii="Times New Roman" w:cs="Times New Roman" w:eastAsia="Times New Roman" w:hAnsi="Times New Roman"/>
                <w:sz w:val="20"/>
                <w:szCs w:val="20"/>
                <w:color w:val="231F20"/>
              </w:rPr>
              <w:t>(5)</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(12%)</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Compared to 2024</w:t>
      </w:r>
    </w:p>
    <w:p>
      <w:pPr>
        <w:spacing w:after="0" w:line="94"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20"/>
          <w:szCs w:val="20"/>
          <w:color w:val="231F20"/>
        </w:rPr>
        <w:t>The decrease in rental revenues reflects a 15% decrease in transaction volume, partially offset by a 9% increase in average fees per transaction.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Impairment</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70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70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72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640" w:type="dxa"/>
            <w:vAlign w:val="bottom"/>
            <w:tcBorders>
              <w:bottom w:val="single" w:sz="8" w:color="231F20"/>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231F20"/>
              </w:rPr>
              <w:t>2025 vs. 2024</w:t>
            </w:r>
          </w:p>
        </w:tc>
      </w:t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220" w:type="dxa"/>
            <w:vAlign w:val="bottom"/>
          </w:tcPr>
          <w:p>
            <w:pPr>
              <w:spacing w:after="0"/>
              <w:rPr>
                <w:sz w:val="20"/>
                <w:szCs w:val="20"/>
                <w:color w:val="auto"/>
              </w:rPr>
            </w:pPr>
          </w:p>
        </w:tc>
        <w:tc>
          <w:tcPr>
            <w:tcW w:w="700" w:type="dxa"/>
            <w:vAlign w:val="bottom"/>
          </w:tcPr>
          <w:p>
            <w:pPr>
              <w:jc w:val="right"/>
              <w:ind w:right="185"/>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300" w:type="dxa"/>
            <w:vAlign w:val="bottom"/>
          </w:tcPr>
          <w:p>
            <w:pPr>
              <w:spacing w:after="0"/>
              <w:rPr>
                <w:sz w:val="20"/>
                <w:szCs w:val="20"/>
                <w:color w:val="auto"/>
              </w:rPr>
            </w:pPr>
          </w:p>
        </w:tc>
        <w:tc>
          <w:tcPr>
            <w:tcW w:w="780" w:type="dxa"/>
            <w:vAlign w:val="bottom"/>
          </w:tcPr>
          <w:p>
            <w:pPr>
              <w:jc w:val="right"/>
              <w:ind w:right="245"/>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ind w:left="247"/>
              <w:spacing w:after="0"/>
              <w:rPr>
                <w:sz w:val="20"/>
                <w:szCs w:val="20"/>
                <w:color w:val="auto"/>
              </w:rPr>
            </w:pPr>
            <w:r>
              <w:rPr>
                <w:rFonts w:ascii="Times New Roman" w:cs="Times New Roman" w:eastAsia="Times New Roman" w:hAnsi="Times New Roman"/>
                <w:sz w:val="18"/>
                <w:szCs w:val="18"/>
                <w:b w:val="1"/>
                <w:bCs w:val="1"/>
                <w:color w:val="231F20"/>
                <w:w w:val="98"/>
              </w:rPr>
              <w:t>Change</w:t>
            </w:r>
          </w:p>
        </w:tc>
        <w:tc>
          <w:tcPr>
            <w:tcW w:w="640" w:type="dxa"/>
            <w:vAlign w:val="bottom"/>
          </w:tcPr>
          <w:p>
            <w:pPr>
              <w:spacing w:after="0"/>
              <w:rPr>
                <w:sz w:val="20"/>
                <w:szCs w:val="20"/>
                <w:color w:val="auto"/>
              </w:rPr>
            </w:pPr>
          </w:p>
        </w:tc>
      </w:tr>
      <w:tr>
        <w:trPr>
          <w:trHeight w:val="294"/>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Impairment </w:t>
            </w:r>
            <w:r>
              <w:rPr>
                <w:rFonts w:ascii="Times New Roman" w:cs="Times New Roman" w:eastAsia="Times New Roman" w:hAnsi="Times New Roman"/>
                <w:sz w:val="20"/>
                <w:szCs w:val="20"/>
                <w:color w:val="B8BABC"/>
              </w:rPr>
              <w:t>. . . . . . . . . . . . . . . . . . . . . . . . . . . . . . . . . . . .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182</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231F20"/>
              </w:rPr>
              <w:t>2</w:t>
            </w:r>
          </w:p>
        </w:tc>
        <w:tc>
          <w:tcPr>
            <w:tcW w:w="720" w:type="dxa"/>
            <w:vAlign w:val="bottom"/>
          </w:tcPr>
          <w:p>
            <w:pPr>
              <w:jc w:val="right"/>
              <w:ind w:right="465"/>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ind w:right="347"/>
              <w:spacing w:after="0"/>
              <w:rPr>
                <w:sz w:val="20"/>
                <w:szCs w:val="20"/>
                <w:color w:val="auto"/>
              </w:rPr>
            </w:pPr>
            <w:r>
              <w:rPr>
                <w:rFonts w:ascii="Times New Roman" w:cs="Times New Roman" w:eastAsia="Times New Roman" w:hAnsi="Times New Roman"/>
                <w:sz w:val="20"/>
                <w:szCs w:val="20"/>
                <w:color w:val="231F20"/>
              </w:rPr>
              <w:t>180</w:t>
            </w:r>
          </w:p>
        </w:tc>
        <w:tc>
          <w:tcPr>
            <w:tcW w:w="64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NM</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Compared to 2024</w:t>
      </w:r>
    </w:p>
    <w:p>
      <w:pPr>
        <w:spacing w:after="0" w:line="13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231F20"/>
        </w:rPr>
        <w:t>In 2025, we recorded a non-cash impairment of $182 million primarily to write down the value of our goodwill ($159 million) as a result of (i) the change in expected future operating results based on a sustained decline in operating performance in comparison to prior expectations; and (ii) the impact of market factors, including a decline in our stock price and market capitalization. In addition, we recorded a $21 million non-cash impairment to write down the value of trade names which was primarily attributed to the decline in estimated future revenues of each of the related businesses and a $2 million impairment related to an operating lease and related assets. See Footnote 10 “Goodwill” and Footnote 11 “Intangible Assets” to our Financial Statements for additional information.</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9720"/>
          </w:cols>
          <w:pgMar w:left="1080" w:top="838" w:right="108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231F20"/>
        </w:rPr>
        <w:t>CORPORATE AND OTHER</w:t>
      </w:r>
    </w:p>
    <w:p>
      <w:pPr>
        <w:spacing w:after="0" w:line="7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9"/>
          <w:szCs w:val="19"/>
          <w:color w:val="231F20"/>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the Consolidated Property Owners’ Associations.</w:t>
      </w:r>
    </w:p>
    <w:p>
      <w:pPr>
        <w:spacing w:after="0" w:line="51" w:lineRule="exact"/>
        <w:rPr>
          <w:sz w:val="20"/>
          <w:szCs w:val="20"/>
          <w:color w:val="auto"/>
        </w:rPr>
      </w:pPr>
    </w:p>
    <w:tbl>
      <w:tblPr>
        <w:tblLayout w:type="fixed"/>
        <w:tblInd w:w="60" w:type="dxa"/>
        <w:tblCellMar>
          <w:top w:w="0" w:type="dxa"/>
          <w:left w:w="0" w:type="dxa"/>
          <w:bottom w:w="0" w:type="dxa"/>
          <w:right w:w="0" w:type="dxa"/>
        </w:tblCellMar>
      </w:tblPr>
      <w:tr>
        <w:trPr>
          <w:trHeight w:val="240"/>
        </w:trPr>
        <w:tc>
          <w:tcPr>
            <w:tcW w:w="5080" w:type="dxa"/>
            <w:vAlign w:val="bottom"/>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140" w:type="dxa"/>
            <w:vAlign w:val="bottom"/>
            <w:tcBorders>
              <w:bottom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tcBorders>
          </w:tcPr>
          <w:p>
            <w:pPr>
              <w:jc w:val="right"/>
              <w:ind w:right="181"/>
              <w:spacing w:after="0"/>
              <w:rPr>
                <w:sz w:val="20"/>
                <w:szCs w:val="20"/>
                <w:color w:val="auto"/>
              </w:rPr>
            </w:pPr>
            <w:r>
              <w:rPr>
                <w:rFonts w:ascii="Times New Roman" w:cs="Times New Roman" w:eastAsia="Times New Roman" w:hAnsi="Times New Roman"/>
                <w:sz w:val="18"/>
                <w:szCs w:val="18"/>
                <w:b w:val="1"/>
                <w:bCs w:val="1"/>
                <w:color w:val="231F20"/>
              </w:rPr>
              <w:t>Fiscal Years</w:t>
            </w:r>
          </w:p>
        </w:tc>
        <w:tc>
          <w:tcPr>
            <w:tcW w:w="60" w:type="dxa"/>
            <w:vAlign w:val="bottom"/>
            <w:tcBorders>
              <w:bottom w:val="single" w:sz="8" w:color="231F20"/>
            </w:tcBorders>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80" w:type="dxa"/>
            <w:vAlign w:val="bottom"/>
          </w:tcPr>
          <w:p>
            <w:pPr>
              <w:spacing w:after="0"/>
              <w:rPr>
                <w:sz w:val="20"/>
                <w:szCs w:val="20"/>
                <w:color w:val="auto"/>
              </w:rPr>
            </w:pPr>
            <w:r>
              <w:rPr>
                <w:rFonts w:ascii="Times New Roman" w:cs="Times New Roman" w:eastAsia="Times New Roman" w:hAnsi="Times New Roman"/>
                <w:sz w:val="16"/>
                <w:szCs w:val="16"/>
                <w:i w:val="1"/>
                <w:iCs w:val="1"/>
                <w:color w:val="231F20"/>
              </w:rPr>
              <w:t>($ in millions)</w:t>
            </w:r>
          </w:p>
        </w:tc>
        <w:tc>
          <w:tcPr>
            <w:tcW w:w="360" w:type="dxa"/>
            <w:vAlign w:val="bottom"/>
            <w:tcBorders>
              <w:bottom w:val="single" w:sz="8" w:color="231F20"/>
            </w:tcBorders>
          </w:tcPr>
          <w:p>
            <w:pPr>
              <w:spacing w:after="0"/>
              <w:rPr>
                <w:sz w:val="19"/>
                <w:szCs w:val="19"/>
                <w:color w:val="auto"/>
              </w:rPr>
            </w:pPr>
          </w:p>
        </w:tc>
        <w:tc>
          <w:tcPr>
            <w:tcW w:w="1140" w:type="dxa"/>
            <w:vAlign w:val="bottom"/>
            <w:tcBorders>
              <w:bottom w:val="single" w:sz="8" w:color="231F20"/>
            </w:tcBorders>
          </w:tcPr>
          <w:p>
            <w:pPr>
              <w:jc w:val="right"/>
              <w:ind w:right="48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1280" w:type="dxa"/>
            <w:vAlign w:val="bottom"/>
            <w:tcBorders>
              <w:bottom w:val="single" w:sz="8" w:color="231F20"/>
            </w:tcBorders>
          </w:tcPr>
          <w:p>
            <w:pPr>
              <w:jc w:val="right"/>
              <w:ind w:right="46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ind w:right="460"/>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0" w:type="dxa"/>
            <w:vAlign w:val="bottom"/>
          </w:tcPr>
          <w:p>
            <w:pPr>
              <w:spacing w:after="0"/>
              <w:rPr>
                <w:sz w:val="1"/>
                <w:szCs w:val="1"/>
                <w:color w:val="auto"/>
              </w:rPr>
            </w:pPr>
          </w:p>
        </w:tc>
      </w:tr>
      <w:tr>
        <w:trPr>
          <w:trHeight w:val="244"/>
        </w:trPr>
        <w:tc>
          <w:tcPr>
            <w:tcW w:w="50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REVENUES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Resort management and other services </w:t>
            </w:r>
            <w:r>
              <w:rPr>
                <w:rFonts w:ascii="Times New Roman" w:cs="Times New Roman" w:eastAsia="Times New Roman" w:hAnsi="Times New Roman"/>
                <w:sz w:val="20"/>
                <w:szCs w:val="20"/>
                <w:color w:val="B8BABC"/>
              </w:rPr>
              <w:t>. . . . . . . . . . . . . . . . .</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0" w:type="dxa"/>
            <w:vAlign w:val="bottom"/>
          </w:tcPr>
          <w:p>
            <w:pPr>
              <w:spacing w:after="0"/>
              <w:rPr>
                <w:sz w:val="1"/>
                <w:szCs w:val="1"/>
                <w:color w:val="auto"/>
              </w:rPr>
            </w:pPr>
          </w:p>
        </w:tc>
      </w:tr>
      <w:tr>
        <w:trPr>
          <w:trHeight w:val="288"/>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reimbursements </w:t>
            </w:r>
            <w:r>
              <w:rPr>
                <w:rFonts w:ascii="Times New Roman" w:cs="Times New Roman" w:eastAsia="Times New Roman" w:hAnsi="Times New Roman"/>
                <w:sz w:val="20"/>
                <w:szCs w:val="20"/>
                <w:color w:val="B8BABC"/>
              </w:rPr>
              <w:t>. . . . . . . . . . . . . . . . . . . . . . . . . . . . . . .</w:t>
            </w: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0" w:type="dxa"/>
            <w:vAlign w:val="bottom"/>
          </w:tcPr>
          <w:p>
            <w:pPr>
              <w:spacing w:after="0"/>
              <w:rPr>
                <w:sz w:val="1"/>
                <w:szCs w:val="1"/>
                <w:color w:val="auto"/>
              </w:rPr>
            </w:pPr>
          </w:p>
        </w:tc>
      </w:tr>
      <w:tr>
        <w:trPr>
          <w:trHeight w:val="26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B8BABC"/>
              </w:rPr>
              <w:t>. . . . . . . . . . . . . . . . . . . . . . . . . . .</w:t>
            </w:r>
            <w:r>
              <w:rPr>
                <w:rFonts w:ascii="Times New Roman" w:cs="Times New Roman" w:eastAsia="Times New Roman" w:hAnsi="Times New Roman"/>
                <w:sz w:val="20"/>
                <w:szCs w:val="20"/>
                <w:b w:val="1"/>
                <w:bCs w:val="1"/>
                <w:color w:val="231F20"/>
              </w:rPr>
              <w:t>TOTALREVENUES</w:t>
            </w:r>
          </w:p>
        </w:tc>
        <w:tc>
          <w:tcPr>
            <w:tcW w:w="360" w:type="dxa"/>
            <w:vAlign w:val="bottom"/>
            <w:tcBorders>
              <w:bottom w:val="single" w:sz="8" w:color="231F20"/>
            </w:tcBorders>
          </w:tcPr>
          <w:p>
            <w:pPr>
              <w:spacing w:after="0"/>
              <w:rPr>
                <w:sz w:val="23"/>
                <w:szCs w:val="23"/>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6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60" w:type="dxa"/>
            <w:vAlign w:val="bottom"/>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62"/>
        </w:trPr>
        <w:tc>
          <w:tcPr>
            <w:tcW w:w="50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EXPENSES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Resort management and other services </w:t>
            </w:r>
            <w:r>
              <w:rPr>
                <w:rFonts w:ascii="Times New Roman" w:cs="Times New Roman" w:eastAsia="Times New Roman" w:hAnsi="Times New Roman"/>
                <w:sz w:val="20"/>
                <w:szCs w:val="20"/>
                <w:color w:val="B8BABC"/>
              </w:rPr>
              <w:t>.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Rental  </w:t>
            </w:r>
            <w:r>
              <w:rPr>
                <w:rFonts w:ascii="Times New Roman" w:cs="Times New Roman" w:eastAsia="Times New Roman" w:hAnsi="Times New Roman"/>
                <w:sz w:val="20"/>
                <w:szCs w:val="20"/>
                <w:color w:val="B8BABC"/>
              </w:rPr>
              <w:t>. . . . .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General and administrative </w:t>
            </w:r>
            <w:r>
              <w:rPr>
                <w:rFonts w:ascii="Times New Roman" w:cs="Times New Roman" w:eastAsia="Times New Roman" w:hAnsi="Times New Roman"/>
                <w:sz w:val="20"/>
                <w:szCs w:val="20"/>
                <w:color w:val="B8BABC"/>
              </w:rPr>
              <w:t>.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273</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Depreciation and amortization </w:t>
            </w:r>
            <w:r>
              <w:rPr>
                <w:rFonts w:ascii="Times New Roman" w:cs="Times New Roman" w:eastAsia="Times New Roman" w:hAnsi="Times New Roman"/>
                <w:sz w:val="20"/>
                <w:szCs w:val="20"/>
                <w:color w:val="B8BABC"/>
              </w:rPr>
              <w:t>.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0" w:type="dxa"/>
            <w:vAlign w:val="bottom"/>
          </w:tcPr>
          <w:p>
            <w:pPr>
              <w:spacing w:after="0"/>
              <w:rPr>
                <w:sz w:val="1"/>
                <w:szCs w:val="1"/>
                <w:color w:val="auto"/>
              </w:rPr>
            </w:pPr>
          </w:p>
        </w:tc>
      </w:tr>
      <w:tr>
        <w:trPr>
          <w:trHeight w:val="310"/>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Litigation charges</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line="285" w:lineRule="exact"/>
              <w:rPr>
                <w:sz w:val="20"/>
                <w:szCs w:val="20"/>
                <w:color w:val="auto"/>
              </w:rPr>
            </w:pPr>
            <w:r>
              <w:rPr>
                <w:rFonts w:ascii="Times New Roman" w:cs="Times New Roman" w:eastAsia="Times New Roman" w:hAnsi="Times New Roman"/>
                <w:sz w:val="20"/>
                <w:szCs w:val="20"/>
                <w:color w:val="231F20"/>
              </w:rPr>
              <w:t>Modernization</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line="285" w:lineRule="exact"/>
              <w:rPr>
                <w:sz w:val="20"/>
                <w:szCs w:val="20"/>
                <w:color w:val="auto"/>
              </w:rPr>
            </w:pPr>
            <w:r>
              <w:rPr>
                <w:rFonts w:ascii="Times New Roman" w:cs="Times New Roman" w:eastAsia="Times New Roman" w:hAnsi="Times New Roman"/>
                <w:sz w:val="20"/>
                <w:szCs w:val="20"/>
                <w:color w:val="231F20"/>
              </w:rPr>
              <w:t>Restructuring</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0" w:type="dxa"/>
            <w:vAlign w:val="bottom"/>
          </w:tcPr>
          <w:p>
            <w:pPr>
              <w:spacing w:after="0"/>
              <w:rPr>
                <w:sz w:val="1"/>
                <w:szCs w:val="1"/>
                <w:color w:val="auto"/>
              </w:rPr>
            </w:pPr>
          </w:p>
        </w:tc>
      </w:tr>
      <w:tr>
        <w:trPr>
          <w:trHeight w:val="260"/>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Impairment </w:t>
            </w:r>
            <w:r>
              <w:rPr>
                <w:rFonts w:ascii="Times New Roman" w:cs="Times New Roman" w:eastAsia="Times New Roman" w:hAnsi="Times New Roman"/>
                <w:sz w:val="20"/>
                <w:szCs w:val="20"/>
                <w:color w:val="B8BABC"/>
              </w:rPr>
              <w:t>. . . . . . . . . . . . . . . . . . . . . . . . . . . . . . . . . . . . . .</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0" w:type="dxa"/>
            <w:vAlign w:val="bottom"/>
          </w:tcPr>
          <w:p>
            <w:pPr>
              <w:spacing w:after="0"/>
              <w:rPr>
                <w:sz w:val="1"/>
                <w:szCs w:val="1"/>
                <w:color w:val="auto"/>
              </w:rPr>
            </w:pPr>
          </w:p>
        </w:tc>
      </w:tr>
      <w:tr>
        <w:trPr>
          <w:trHeight w:val="288"/>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reimbursements </w:t>
            </w:r>
            <w:r>
              <w:rPr>
                <w:rFonts w:ascii="Times New Roman" w:cs="Times New Roman" w:eastAsia="Times New Roman" w:hAnsi="Times New Roman"/>
                <w:sz w:val="20"/>
                <w:szCs w:val="20"/>
                <w:color w:val="B8BABC"/>
              </w:rPr>
              <w:t>. . . . . . . . . . . . . . . . . . . . . . . . . . . . . . .</w:t>
            </w: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0" w:type="dxa"/>
            <w:vAlign w:val="bottom"/>
          </w:tcPr>
          <w:p>
            <w:pPr>
              <w:spacing w:after="0"/>
              <w:rPr>
                <w:sz w:val="1"/>
                <w:szCs w:val="1"/>
                <w:color w:val="auto"/>
              </w:rPr>
            </w:pPr>
          </w:p>
        </w:tc>
      </w:tr>
      <w:tr>
        <w:trPr>
          <w:trHeight w:val="26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B8BABC"/>
              </w:rPr>
              <w:t>. . . . . . . . . . . . . . . . . . . . . . . . . . .</w:t>
            </w:r>
            <w:r>
              <w:rPr>
                <w:rFonts w:ascii="Times New Roman" w:cs="Times New Roman" w:eastAsia="Times New Roman" w:hAnsi="Times New Roman"/>
                <w:sz w:val="20"/>
                <w:szCs w:val="20"/>
                <w:b w:val="1"/>
                <w:bCs w:val="1"/>
                <w:color w:val="231F20"/>
              </w:rPr>
              <w:t>TOTALEXPENSES</w:t>
            </w:r>
          </w:p>
        </w:tc>
        <w:tc>
          <w:tcPr>
            <w:tcW w:w="360" w:type="dxa"/>
            <w:vAlign w:val="bottom"/>
            <w:tcBorders>
              <w:bottom w:val="single" w:sz="8" w:color="231F20"/>
            </w:tcBorders>
          </w:tcPr>
          <w:p>
            <w:pPr>
              <w:spacing w:after="0"/>
              <w:rPr>
                <w:sz w:val="23"/>
                <w:szCs w:val="23"/>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400</w:t>
            </w:r>
          </w:p>
        </w:tc>
        <w:tc>
          <w:tcPr>
            <w:tcW w:w="6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275</w:t>
            </w:r>
          </w:p>
        </w:tc>
        <w:tc>
          <w:tcPr>
            <w:tcW w:w="60" w:type="dxa"/>
            <w:vAlign w:val="bottom"/>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304</w:t>
            </w:r>
          </w:p>
        </w:tc>
        <w:tc>
          <w:tcPr>
            <w:tcW w:w="0" w:type="dxa"/>
            <w:vAlign w:val="bottom"/>
          </w:tcPr>
          <w:p>
            <w:pPr>
              <w:spacing w:after="0"/>
              <w:rPr>
                <w:sz w:val="1"/>
                <w:szCs w:val="1"/>
                <w:color w:val="auto"/>
              </w:rPr>
            </w:pPr>
          </w:p>
        </w:tc>
      </w:tr>
      <w:tr>
        <w:trPr>
          <w:trHeight w:val="262"/>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Gains (losses) and other income (expense), net </w:t>
            </w:r>
            <w:r>
              <w:rPr>
                <w:rFonts w:ascii="Times New Roman" w:cs="Times New Roman" w:eastAsia="Times New Roman" w:hAnsi="Times New Roman"/>
                <w:sz w:val="20"/>
                <w:szCs w:val="20"/>
                <w:color w:val="B8BABC"/>
              </w:rPr>
              <w:t>. . . . . . . . . .</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Interest expense, net </w:t>
            </w:r>
            <w:r>
              <w:rPr>
                <w:rFonts w:ascii="Times New Roman" w:cs="Times New Roman" w:eastAsia="Times New Roman" w:hAnsi="Times New Roman"/>
                <w:sz w:val="20"/>
                <w:szCs w:val="20"/>
                <w:color w:val="B8BABC"/>
              </w:rPr>
              <w:t>.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w:t>
            </w:r>
          </w:p>
        </w:tc>
        <w:tc>
          <w:tcPr>
            <w:tcW w:w="0" w:type="dxa"/>
            <w:vAlign w:val="bottom"/>
          </w:tcPr>
          <w:p>
            <w:pPr>
              <w:spacing w:after="0"/>
              <w:rPr>
                <w:sz w:val="1"/>
                <w:szCs w:val="1"/>
                <w:color w:val="auto"/>
              </w:rPr>
            </w:pPr>
          </w:p>
        </w:tc>
      </w:tr>
      <w:tr>
        <w:trPr>
          <w:trHeight w:val="285"/>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Transaction and integration costs </w:t>
            </w:r>
            <w:r>
              <w:rPr>
                <w:rFonts w:ascii="Times New Roman" w:cs="Times New Roman" w:eastAsia="Times New Roman" w:hAnsi="Times New Roman"/>
                <w:sz w:val="20"/>
                <w:szCs w:val="20"/>
                <w:color w:val="B8BABC"/>
              </w:rPr>
              <w:t>.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0" w:type="dxa"/>
            <w:vAlign w:val="bottom"/>
          </w:tcPr>
          <w:p>
            <w:pPr>
              <w:spacing w:after="0"/>
              <w:rPr>
                <w:sz w:val="1"/>
                <w:szCs w:val="1"/>
                <w:color w:val="auto"/>
              </w:rPr>
            </w:pPr>
          </w:p>
        </w:tc>
      </w:tr>
      <w:tr>
        <w:trPr>
          <w:trHeight w:val="288"/>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 . .</w:t>
            </w: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182"/>
        </w:trPr>
        <w:tc>
          <w:tcPr>
            <w:tcW w:w="5080" w:type="dxa"/>
            <w:vAlign w:val="bottom"/>
          </w:tcPr>
          <w:p>
            <w:pPr>
              <w:spacing w:after="0" w:line="182" w:lineRule="exact"/>
              <w:rPr>
                <w:sz w:val="20"/>
                <w:szCs w:val="20"/>
                <w:color w:val="auto"/>
              </w:rPr>
            </w:pPr>
            <w:r>
              <w:rPr>
                <w:rFonts w:ascii="Times New Roman" w:cs="Times New Roman" w:eastAsia="Times New Roman" w:hAnsi="Times New Roman"/>
                <w:sz w:val="20"/>
                <w:szCs w:val="20"/>
                <w:b w:val="1"/>
                <w:bCs w:val="1"/>
                <w:color w:val="231F20"/>
              </w:rPr>
              <w:t>FINANCIAL RESULTS BEFORE INCOME TAXES</w:t>
            </w:r>
          </w:p>
        </w:tc>
        <w:tc>
          <w:tcPr>
            <w:tcW w:w="3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(528)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(466)</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(472)</w:t>
            </w:r>
          </w:p>
        </w:tc>
        <w:tc>
          <w:tcPr>
            <w:tcW w:w="0" w:type="dxa"/>
            <w:vAlign w:val="bottom"/>
          </w:tcPr>
          <w:p>
            <w:pPr>
              <w:spacing w:after="0"/>
              <w:rPr>
                <w:sz w:val="1"/>
                <w:szCs w:val="1"/>
                <w:color w:val="auto"/>
              </w:rPr>
            </w:pPr>
          </w:p>
        </w:tc>
      </w:tr>
      <w:tr>
        <w:trPr>
          <w:trHeight w:val="264"/>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 xml:space="preserve">AND NONCONTROLLING INTERESTS </w:t>
            </w:r>
            <w:r>
              <w:rPr>
                <w:rFonts w:ascii="Times New Roman" w:cs="Times New Roman" w:eastAsia="Times New Roman" w:hAnsi="Times New Roman"/>
                <w:sz w:val="20"/>
                <w:szCs w:val="20"/>
                <w:b w:val="1"/>
                <w:bCs w:val="1"/>
                <w:color w:val="B8BABC"/>
                <w:w w:val="99"/>
              </w:rPr>
              <w:t>. . . . . . . . . . . . . .</w:t>
            </w:r>
          </w:p>
        </w:tc>
        <w:tc>
          <w:tcPr>
            <w:tcW w:w="3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Provision for income taxes  </w:t>
            </w:r>
            <w:r>
              <w:rPr>
                <w:rFonts w:ascii="Times New Roman" w:cs="Times New Roman" w:eastAsia="Times New Roman" w:hAnsi="Times New Roman"/>
                <w:sz w:val="20"/>
                <w:szCs w:val="20"/>
                <w:color w:val="B8BABC"/>
                <w:w w:val="99"/>
              </w:rPr>
              <w:t>.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0" w:type="dxa"/>
            <w:vAlign w:val="bottom"/>
          </w:tcPr>
          <w:p>
            <w:pPr>
              <w:spacing w:after="0"/>
              <w:rPr>
                <w:sz w:val="1"/>
                <w:szCs w:val="1"/>
                <w:color w:val="auto"/>
              </w:rPr>
            </w:pPr>
          </w:p>
        </w:tc>
      </w:tr>
      <w:tr>
        <w:trPr>
          <w:trHeight w:val="288"/>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Net (income) loss attributable to noncontrolling interests </w:t>
            </w:r>
            <w:r>
              <w:rPr>
                <w:rFonts w:ascii="Times New Roman" w:cs="Times New Roman" w:eastAsia="Times New Roman" w:hAnsi="Times New Roman"/>
                <w:sz w:val="20"/>
                <w:szCs w:val="20"/>
                <w:color w:val="B8BABC"/>
                <w:w w:val="99"/>
              </w:rPr>
              <w:t>. . . . .</w:t>
            </w: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182"/>
        </w:trPr>
        <w:tc>
          <w:tcPr>
            <w:tcW w:w="5080" w:type="dxa"/>
            <w:vAlign w:val="bottom"/>
          </w:tcPr>
          <w:p>
            <w:pPr>
              <w:spacing w:after="0" w:line="182" w:lineRule="exact"/>
              <w:rPr>
                <w:sz w:val="20"/>
                <w:szCs w:val="20"/>
                <w:color w:val="auto"/>
              </w:rPr>
            </w:pPr>
            <w:r>
              <w:rPr>
                <w:rFonts w:ascii="Times New Roman" w:cs="Times New Roman" w:eastAsia="Times New Roman" w:hAnsi="Times New Roman"/>
                <w:sz w:val="20"/>
                <w:szCs w:val="20"/>
                <w:b w:val="1"/>
                <w:bCs w:val="1"/>
                <w:color w:val="231F20"/>
              </w:rPr>
              <w:t>FINANCIAL RESULTS ATTRIBUTABLE TO</w:t>
            </w:r>
          </w:p>
        </w:tc>
        <w:tc>
          <w:tcPr>
            <w:tcW w:w="36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(537)</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(554)</w:t>
            </w: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(616)</w:t>
            </w:r>
          </w:p>
        </w:tc>
        <w:tc>
          <w:tcPr>
            <w:tcW w:w="0" w:type="dxa"/>
            <w:vAlign w:val="bottom"/>
          </w:tcPr>
          <w:p>
            <w:pPr>
              <w:spacing w:after="0"/>
              <w:rPr>
                <w:sz w:val="1"/>
                <w:szCs w:val="1"/>
                <w:color w:val="auto"/>
              </w:rPr>
            </w:pPr>
          </w:p>
        </w:tc>
      </w:tr>
      <w:tr>
        <w:trPr>
          <w:trHeight w:val="243"/>
        </w:trPr>
        <w:tc>
          <w:tcPr>
            <w:tcW w:w="5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 xml:space="preserve">COMMON STOCKHOLDERS </w:t>
            </w:r>
            <w:r>
              <w:rPr>
                <w:rFonts w:ascii="Times New Roman" w:cs="Times New Roman" w:eastAsia="Times New Roman" w:hAnsi="Times New Roman"/>
                <w:sz w:val="20"/>
                <w:szCs w:val="20"/>
                <w:b w:val="1"/>
                <w:bCs w:val="1"/>
                <w:color w:val="B8BABC"/>
                <w:w w:val="99"/>
              </w:rPr>
              <w:t>. . . . . . . . . . . . . . . . . . . . . . .</w:t>
            </w:r>
          </w:p>
        </w:tc>
        <w:tc>
          <w:tcPr>
            <w:tcW w:w="3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60" w:hanging="360"/>
        <w:spacing w:after="0"/>
        <w:tabs>
          <w:tab w:leader="none" w:pos="360" w:val="left"/>
        </w:tabs>
        <w:numPr>
          <w:ilvl w:val="0"/>
          <w:numId w:val="27"/>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Prior year amounts have been reclassified to conform with our current year presentation.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 and Administrative</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76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70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220" w:type="dxa"/>
            <w:vAlign w:val="bottom"/>
            <w:tcBorders>
              <w:bottom w:val="single" w:sz="8" w:color="231F20"/>
            </w:tcBorders>
          </w:tcPr>
          <w:p>
            <w:pPr>
              <w:spacing w:after="0"/>
              <w:rPr>
                <w:sz w:val="21"/>
                <w:szCs w:val="21"/>
                <w:color w:val="auto"/>
              </w:rPr>
            </w:pPr>
          </w:p>
        </w:tc>
        <w:tc>
          <w:tcPr>
            <w:tcW w:w="70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231F20"/>
              </w:rPr>
              <w:t>2025 vs. 2024</w:t>
            </w:r>
          </w:p>
        </w:tc>
      </w:tr>
      <w:tr>
        <w:trPr>
          <w:trHeight w:val="235"/>
        </w:trPr>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220" w:type="dxa"/>
            <w:vAlign w:val="bottom"/>
            <w:tcBorders>
              <w:bottom w:val="single" w:sz="8" w:color="231F20"/>
            </w:tcBorders>
          </w:tcPr>
          <w:p>
            <w:pPr>
              <w:spacing w:after="0"/>
              <w:rPr>
                <w:sz w:val="20"/>
                <w:szCs w:val="20"/>
                <w:color w:val="auto"/>
              </w:rPr>
            </w:pPr>
          </w:p>
        </w:tc>
        <w:tc>
          <w:tcPr>
            <w:tcW w:w="70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0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center"/>
              <w:ind w:left="247"/>
              <w:spacing w:after="0"/>
              <w:rPr>
                <w:sz w:val="20"/>
                <w:szCs w:val="20"/>
                <w:color w:val="auto"/>
              </w:rPr>
            </w:pPr>
            <w:r>
              <w:rPr>
                <w:rFonts w:ascii="Times New Roman" w:cs="Times New Roman" w:eastAsia="Times New Roman" w:hAnsi="Times New Roman"/>
                <w:sz w:val="18"/>
                <w:szCs w:val="18"/>
                <w:b w:val="1"/>
                <w:bCs w:val="1"/>
                <w:color w:val="231F20"/>
                <w:w w:val="98"/>
              </w:rPr>
              <w:t>Change</w:t>
            </w:r>
          </w:p>
        </w:tc>
        <w:tc>
          <w:tcPr>
            <w:tcW w:w="620" w:type="dxa"/>
            <w:vAlign w:val="bottom"/>
            <w:tcBorders>
              <w:bottom w:val="single" w:sz="8" w:color="231F20"/>
            </w:tcBorders>
          </w:tcPr>
          <w:p>
            <w:pPr>
              <w:spacing w:after="0"/>
              <w:rPr>
                <w:sz w:val="20"/>
                <w:szCs w:val="20"/>
                <w:color w:val="auto"/>
              </w:rPr>
            </w:pPr>
          </w:p>
        </w:tc>
      </w:tr>
      <w:tr>
        <w:trPr>
          <w:trHeight w:val="262"/>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General and administrative </w:t>
            </w:r>
            <w:r>
              <w:rPr>
                <w:rFonts w:ascii="Times New Roman" w:cs="Times New Roman" w:eastAsia="Times New Roman" w:hAnsi="Times New Roman"/>
                <w:sz w:val="20"/>
                <w:szCs w:val="20"/>
                <w:color w:val="B8BABC"/>
              </w:rPr>
              <w:t>. . . . . . . . . . . . . . . . . . . . . . . .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ind w:right="347"/>
              <w:spacing w:after="0"/>
              <w:rPr>
                <w:sz w:val="20"/>
                <w:szCs w:val="20"/>
                <w:color w:val="auto"/>
              </w:rPr>
            </w:pPr>
            <w:r>
              <w:rPr>
                <w:rFonts w:ascii="Times New Roman" w:cs="Times New Roman" w:eastAsia="Times New Roman" w:hAnsi="Times New Roman"/>
                <w:sz w:val="20"/>
                <w:szCs w:val="20"/>
                <w:color w:val="231F20"/>
              </w:rPr>
              <w:t>5</w:t>
            </w:r>
          </w:p>
        </w:tc>
        <w:tc>
          <w:tcPr>
            <w:tcW w:w="6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231F20"/>
              </w:rPr>
              <w:t>2%</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Compared to 2024</w:t>
      </w:r>
    </w:p>
    <w:p>
      <w:pPr>
        <w:spacing w:after="0" w:line="13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231F20"/>
        </w:rPr>
        <w:t>The increase in General and administrative expenses is attributed to $27 million of higher wages, benefits and variable compensation and $6 million of severance for our former chief executive officer, partially offset by $8 million of net savings from outsourcing certain finance and accounting and human resources functions, $7 million of lower insurance, $4 million of lower consulting costs and $9 million of other individually insignificant cost reductions.</w:t>
      </w:r>
    </w:p>
    <w:p>
      <w:pPr>
        <w:sectPr>
          <w:pgSz w:w="11880" w:h="15480" w:orient="portrait"/>
          <w:cols w:equalWidth="0" w:num="1">
            <w:col w:w="9720"/>
          </w:cols>
          <w:pgMar w:left="1080" w:top="83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9720"/>
          </w:cols>
          <w:pgMar w:left="1080" w:top="831" w:right="108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231F20"/>
        </w:rPr>
        <w:t>Litigation Charges</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700" w:type="dxa"/>
            <w:vAlign w:val="bottom"/>
          </w:tcPr>
          <w:p>
            <w:pPr>
              <w:spacing w:after="0"/>
              <w:rPr>
                <w:sz w:val="21"/>
                <w:szCs w:val="21"/>
                <w:color w:val="auto"/>
              </w:rPr>
            </w:pPr>
          </w:p>
        </w:tc>
        <w:tc>
          <w:tcPr>
            <w:tcW w:w="70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220" w:type="dxa"/>
            <w:vAlign w:val="bottom"/>
            <w:tcBorders>
              <w:bottom w:val="single" w:sz="8" w:color="231F20"/>
            </w:tcBorders>
          </w:tcPr>
          <w:p>
            <w:pPr>
              <w:spacing w:after="0"/>
              <w:rPr>
                <w:sz w:val="21"/>
                <w:szCs w:val="21"/>
                <w:color w:val="auto"/>
              </w:rPr>
            </w:pPr>
          </w:p>
        </w:tc>
        <w:tc>
          <w:tcPr>
            <w:tcW w:w="74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640" w:type="dxa"/>
            <w:vAlign w:val="bottom"/>
            <w:tcBorders>
              <w:bottom w:val="single" w:sz="8" w:color="231F20"/>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231F20"/>
              </w:rPr>
              <w:t>2025 vs. 2024</w:t>
            </w:r>
          </w:p>
        </w:tc>
      </w:tr>
      <w:tr>
        <w:trPr>
          <w:trHeight w:val="235"/>
        </w:trPr>
        <w:tc>
          <w:tcPr>
            <w:tcW w:w="4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24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tcPr>
          <w:p>
            <w:pPr>
              <w:jc w:val="right"/>
              <w:ind w:right="205"/>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center"/>
              <w:ind w:left="247"/>
              <w:spacing w:after="0"/>
              <w:rPr>
                <w:sz w:val="20"/>
                <w:szCs w:val="20"/>
                <w:color w:val="auto"/>
              </w:rPr>
            </w:pPr>
            <w:r>
              <w:rPr>
                <w:rFonts w:ascii="Times New Roman" w:cs="Times New Roman" w:eastAsia="Times New Roman" w:hAnsi="Times New Roman"/>
                <w:sz w:val="18"/>
                <w:szCs w:val="18"/>
                <w:b w:val="1"/>
                <w:bCs w:val="1"/>
                <w:color w:val="231F20"/>
                <w:w w:val="98"/>
              </w:rPr>
              <w:t>Change</w:t>
            </w:r>
          </w:p>
        </w:tc>
        <w:tc>
          <w:tcPr>
            <w:tcW w:w="640" w:type="dxa"/>
            <w:vAlign w:val="bottom"/>
            <w:tcBorders>
              <w:bottom w:val="single" w:sz="8" w:color="231F20"/>
            </w:tcBorders>
          </w:tcPr>
          <w:p>
            <w:pPr>
              <w:spacing w:after="0"/>
              <w:rPr>
                <w:sz w:val="20"/>
                <w:szCs w:val="20"/>
                <w:color w:val="auto"/>
              </w:rPr>
            </w:pPr>
          </w:p>
        </w:tc>
      </w:tr>
      <w:tr>
        <w:trPr>
          <w:trHeight w:val="366"/>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231F20"/>
                <w:w w:val="99"/>
              </w:rPr>
              <w:t>Litigation charges</w:t>
            </w:r>
            <w:r>
              <w:rPr>
                <w:rFonts w:ascii="Times New Roman" w:cs="Times New Roman" w:eastAsia="Times New Roman" w:hAnsi="Times New Roman"/>
                <w:sz w:val="26"/>
                <w:szCs w:val="26"/>
                <w:color w:val="231F20"/>
                <w:w w:val="99"/>
                <w:vertAlign w:val="superscript"/>
              </w:rPr>
              <w:t>(1)</w:t>
            </w:r>
            <w:r>
              <w:rPr>
                <w:rFonts w:ascii="Times New Roman" w:cs="Times New Roman" w:eastAsia="Times New Roman" w:hAnsi="Times New Roman"/>
                <w:sz w:val="20"/>
                <w:szCs w:val="20"/>
                <w:color w:val="231F20"/>
                <w:w w:val="99"/>
              </w:rPr>
              <w:t xml:space="preserve">  </w:t>
            </w:r>
            <w:r>
              <w:rPr>
                <w:rFonts w:ascii="Times New Roman" w:cs="Times New Roman" w:eastAsia="Times New Roman" w:hAnsi="Times New Roman"/>
                <w:sz w:val="20"/>
                <w:szCs w:val="20"/>
                <w:color w:val="B8BABC"/>
                <w:w w:val="99"/>
              </w:rPr>
              <w:t>. . . . . . . . . . . . . . . . . . . . . . . . . . . . . .</w:t>
            </w:r>
          </w:p>
        </w:tc>
        <w:tc>
          <w:tcPr>
            <w:tcW w:w="700" w:type="dxa"/>
            <w:vAlign w:val="bottom"/>
          </w:tcPr>
          <w:p>
            <w:pPr>
              <w:jc w:val="right"/>
              <w:ind w:right="465"/>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231F20"/>
              </w:rPr>
              <w:t>—  $</w:t>
            </w:r>
          </w:p>
        </w:tc>
        <w:tc>
          <w:tcPr>
            <w:tcW w:w="1000" w:type="dxa"/>
            <w:vAlign w:val="bottom"/>
          </w:tcPr>
          <w:p>
            <w:pPr>
              <w:jc w:val="right"/>
              <w:ind w:right="347"/>
              <w:spacing w:after="0"/>
              <w:rPr>
                <w:sz w:val="20"/>
                <w:szCs w:val="20"/>
                <w:color w:val="auto"/>
              </w:rPr>
            </w:pPr>
            <w:r>
              <w:rPr>
                <w:rFonts w:ascii="Times New Roman" w:cs="Times New Roman" w:eastAsia="Times New Roman" w:hAnsi="Times New Roman"/>
                <w:sz w:val="20"/>
                <w:szCs w:val="20"/>
                <w:color w:val="231F20"/>
              </w:rPr>
              <w:t>1</w:t>
            </w:r>
          </w:p>
        </w:tc>
        <w:tc>
          <w:tcPr>
            <w:tcW w:w="6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3%</w:t>
            </w:r>
          </w:p>
        </w:tc>
      </w:tr>
    </w:tbl>
    <w:p>
      <w:pPr>
        <w:ind w:left="360" w:hanging="360"/>
        <w:spacing w:after="0" w:line="226" w:lineRule="auto"/>
        <w:tabs>
          <w:tab w:leader="none" w:pos="360" w:val="left"/>
        </w:tabs>
        <w:numPr>
          <w:ilvl w:val="0"/>
          <w:numId w:val="28"/>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Prior year amounts have been reclassified to conform with our current year presentation.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Compared to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Litigation charges during 2025 and 2024 relate to a dispute with a service provider.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Modernization Charges</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76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70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640" w:type="dxa"/>
            <w:vAlign w:val="bottom"/>
            <w:tcBorders>
              <w:bottom w:val="single" w:sz="8" w:color="231F20"/>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231F20"/>
              </w:rPr>
              <w:t>2025 vs. 2024</w:t>
            </w:r>
          </w:p>
        </w:tc>
      </w:tr>
      <w:tr>
        <w:trPr>
          <w:trHeight w:val="235"/>
        </w:trPr>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220" w:type="dxa"/>
            <w:vAlign w:val="bottom"/>
            <w:tcBorders>
              <w:bottom w:val="single" w:sz="8" w:color="231F20"/>
            </w:tcBorders>
          </w:tcPr>
          <w:p>
            <w:pPr>
              <w:spacing w:after="0"/>
              <w:rPr>
                <w:sz w:val="20"/>
                <w:szCs w:val="20"/>
                <w:color w:val="auto"/>
              </w:rPr>
            </w:pPr>
          </w:p>
        </w:tc>
        <w:tc>
          <w:tcPr>
            <w:tcW w:w="70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28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jc w:val="center"/>
              <w:ind w:left="267"/>
              <w:spacing w:after="0"/>
              <w:rPr>
                <w:sz w:val="20"/>
                <w:szCs w:val="20"/>
                <w:color w:val="auto"/>
              </w:rPr>
            </w:pPr>
            <w:r>
              <w:rPr>
                <w:rFonts w:ascii="Times New Roman" w:cs="Times New Roman" w:eastAsia="Times New Roman" w:hAnsi="Times New Roman"/>
                <w:sz w:val="18"/>
                <w:szCs w:val="18"/>
                <w:b w:val="1"/>
                <w:bCs w:val="1"/>
                <w:color w:val="231F20"/>
                <w:w w:val="98"/>
              </w:rPr>
              <w:t>Change</w:t>
            </w:r>
          </w:p>
        </w:tc>
        <w:tc>
          <w:tcPr>
            <w:tcW w:w="640" w:type="dxa"/>
            <w:vAlign w:val="bottom"/>
            <w:tcBorders>
              <w:bottom w:val="single" w:sz="8" w:color="231F20"/>
            </w:tcBorders>
          </w:tcPr>
          <w:p>
            <w:pPr>
              <w:spacing w:after="0"/>
              <w:rPr>
                <w:sz w:val="20"/>
                <w:szCs w:val="20"/>
                <w:color w:val="auto"/>
              </w:rPr>
            </w:pPr>
          </w:p>
        </w:tc>
      </w:tr>
      <w:tr>
        <w:trPr>
          <w:trHeight w:val="351"/>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231F20"/>
              </w:rPr>
              <w:t>Modernization</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 . . . . .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60" w:type="dxa"/>
            <w:vAlign w:val="bottom"/>
          </w:tcPr>
          <w:p>
            <w:pPr>
              <w:spacing w:after="0"/>
              <w:rPr>
                <w:sz w:val="24"/>
                <w:szCs w:val="24"/>
                <w:color w:val="auto"/>
              </w:rPr>
            </w:pPr>
          </w:p>
        </w:tc>
        <w:tc>
          <w:tcPr>
            <w:tcW w:w="640" w:type="dxa"/>
            <w:vAlign w:val="bottom"/>
          </w:tcPr>
          <w:p>
            <w:pPr>
              <w:jc w:val="right"/>
              <w:ind w:right="405"/>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gridSpan w:val="3"/>
          </w:tcPr>
          <w:p>
            <w:pPr>
              <w:spacing w:after="0"/>
              <w:rPr>
                <w:sz w:val="20"/>
                <w:szCs w:val="20"/>
                <w:color w:val="auto"/>
              </w:rPr>
            </w:pPr>
            <w:r>
              <w:rPr>
                <w:rFonts w:ascii="Times New Roman" w:cs="Times New Roman" w:eastAsia="Times New Roman" w:hAnsi="Times New Roman"/>
                <w:sz w:val="20"/>
                <w:szCs w:val="20"/>
                <w:color w:val="231F20"/>
              </w:rPr>
              <w:t>—  $</w:t>
            </w:r>
          </w:p>
        </w:tc>
        <w:tc>
          <w:tcPr>
            <w:tcW w:w="980" w:type="dxa"/>
            <w:vAlign w:val="bottom"/>
          </w:tcPr>
          <w:p>
            <w:pPr>
              <w:jc w:val="right"/>
              <w:ind w:right="327"/>
              <w:spacing w:after="0"/>
              <w:rPr>
                <w:sz w:val="20"/>
                <w:szCs w:val="20"/>
                <w:color w:val="auto"/>
              </w:rPr>
            </w:pPr>
            <w:r>
              <w:rPr>
                <w:rFonts w:ascii="Times New Roman" w:cs="Times New Roman" w:eastAsia="Times New Roman" w:hAnsi="Times New Roman"/>
                <w:sz w:val="20"/>
                <w:szCs w:val="20"/>
                <w:color w:val="231F20"/>
              </w:rPr>
              <w:t>118</w:t>
            </w:r>
          </w:p>
        </w:tc>
        <w:tc>
          <w:tcPr>
            <w:tcW w:w="64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NM</w:t>
            </w:r>
          </w:p>
        </w:tc>
      </w:tr>
    </w:tbl>
    <w:p>
      <w:pPr>
        <w:ind w:left="360" w:hanging="360"/>
        <w:spacing w:after="0" w:line="226" w:lineRule="auto"/>
        <w:tabs>
          <w:tab w:leader="none" w:pos="360" w:val="left"/>
        </w:tabs>
        <w:numPr>
          <w:ilvl w:val="0"/>
          <w:numId w:val="29"/>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Prior year amounts have been reclassified to conform with our current year presentation.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Compared to 2024</w:t>
      </w:r>
    </w:p>
    <w:p>
      <w:pPr>
        <w:spacing w:after="0" w:line="134"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0"/>
          <w:szCs w:val="20"/>
          <w:color w:val="231F20"/>
        </w:rPr>
        <w:t>In November 2024, we announced the creation of a Strategic Business Operations office focused on accelerating our growth and driving operating efficiencies in all areas of our business while increasing organizational agility. The Strategic Business Operations office was created to modernize and optimize our processes and systems, including through advanced technology and automation; increase sales efficiency and inventory optimization; and capture significant savings from initiatives related to procurement and corporate overhead.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2025 Modernization charges related to:</w:t>
      </w:r>
    </w:p>
    <w:p>
      <w:pPr>
        <w:spacing w:after="0" w:line="70" w:lineRule="exact"/>
        <w:rPr>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$87 million of advisory services;</w:t>
      </w:r>
    </w:p>
    <w:p>
      <w:pPr>
        <w:spacing w:after="0" w:line="70" w:lineRule="exact"/>
        <w:rPr>
          <w:rFonts w:ascii="Times New Roman" w:cs="Times New Roman" w:eastAsia="Times New Roman" w:hAnsi="Times New Roman"/>
          <w:sz w:val="20"/>
          <w:szCs w:val="20"/>
          <w:color w:val="231F20"/>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$18 million for the partial outsourcing of corporate overhead functions;</w:t>
      </w:r>
    </w:p>
    <w:p>
      <w:pPr>
        <w:spacing w:after="0" w:line="70" w:lineRule="exact"/>
        <w:rPr>
          <w:rFonts w:ascii="Times New Roman" w:cs="Times New Roman" w:eastAsia="Times New Roman" w:hAnsi="Times New Roman"/>
          <w:sz w:val="20"/>
          <w:szCs w:val="20"/>
          <w:color w:val="231F20"/>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$12 million for technology; and</w:t>
      </w:r>
    </w:p>
    <w:p>
      <w:pPr>
        <w:spacing w:after="0" w:line="70" w:lineRule="exact"/>
        <w:rPr>
          <w:rFonts w:ascii="Times New Roman" w:cs="Times New Roman" w:eastAsia="Times New Roman" w:hAnsi="Times New Roman"/>
          <w:sz w:val="20"/>
          <w:szCs w:val="20"/>
          <w:color w:val="231F20"/>
        </w:rPr>
      </w:pPr>
    </w:p>
    <w:p>
      <w:pPr>
        <w:ind w:left="720" w:hanging="360"/>
        <w:spacing w:after="0"/>
        <w:tabs>
          <w:tab w:leader="none" w:pos="720" w:val="left"/>
        </w:tabs>
        <w:numPr>
          <w:ilvl w:val="0"/>
          <w:numId w:val="3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$5 million related to other initiatives.</w:t>
      </w:r>
    </w:p>
    <w:p>
      <w:pPr>
        <w:spacing w:after="0" w:line="13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231F20"/>
        </w:rPr>
        <w:t>In the third quarter of 2025, we outsourced a portion of our human resources and finance and accounting functions to third-party service providers, which we expect will result in annual cost savings of approximately $20 million that will be reflected in multiple expense lines on our income statements.</w:t>
      </w:r>
    </w:p>
    <w:p>
      <w:pPr>
        <w:spacing w:after="0" w:line="75"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20"/>
          <w:szCs w:val="20"/>
          <w:color w:val="231F20"/>
        </w:rPr>
        <w:t>We expect to incur non-recurring expenses of approximately $100 million in 2026 related to these modernization initiatives.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Gains (Losses) and Other Income (Expense)</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74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72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231F20"/>
                <w:w w:val="99"/>
              </w:rPr>
              <w:t>Fiscal Years</w:t>
            </w:r>
          </w:p>
        </w:tc>
        <w:tc>
          <w:tcPr>
            <w:tcW w:w="640" w:type="dxa"/>
            <w:vAlign w:val="bottom"/>
            <w:tcBorders>
              <w:bottom w:val="single" w:sz="8" w:color="231F20"/>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231F20"/>
              </w:rPr>
              <w:t>2025 vs. 2024</w:t>
            </w:r>
          </w:p>
        </w:tc>
      </w:tr>
      <w:tr>
        <w:trPr>
          <w:trHeight w:val="235"/>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22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ind w:right="205"/>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ind w:right="185"/>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30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ind w:left="360"/>
              <w:spacing w:after="0"/>
              <w:rPr>
                <w:sz w:val="20"/>
                <w:szCs w:val="20"/>
                <w:color w:val="auto"/>
              </w:rPr>
            </w:pPr>
            <w:r>
              <w:rPr>
                <w:rFonts w:ascii="Times New Roman" w:cs="Times New Roman" w:eastAsia="Times New Roman" w:hAnsi="Times New Roman"/>
                <w:sz w:val="18"/>
                <w:szCs w:val="18"/>
                <w:b w:val="1"/>
                <w:bCs w:val="1"/>
                <w:color w:val="231F20"/>
              </w:rPr>
              <w:t>Change</w:t>
            </w:r>
          </w:p>
        </w:tc>
        <w:tc>
          <w:tcPr>
            <w:tcW w:w="640" w:type="dxa"/>
            <w:vAlign w:val="bottom"/>
            <w:tcBorders>
              <w:bottom w:val="single" w:sz="8" w:color="231F20"/>
            </w:tcBorders>
          </w:tcPr>
          <w:p>
            <w:pPr>
              <w:spacing w:after="0"/>
              <w:rPr>
                <w:sz w:val="20"/>
                <w:szCs w:val="20"/>
                <w:color w:val="auto"/>
              </w:rPr>
            </w:pPr>
          </w:p>
        </w:tc>
      </w:tr>
      <w:tr>
        <w:trPr>
          <w:trHeight w:val="262"/>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 xml:space="preserve">Gains (losses) and other income (expense), net </w:t>
            </w:r>
            <w:r>
              <w:rPr>
                <w:rFonts w:ascii="Times New Roman" w:cs="Times New Roman" w:eastAsia="Times New Roman" w:hAnsi="Times New Roman"/>
                <w:sz w:val="20"/>
                <w:szCs w:val="20"/>
                <w:color w:val="B8BABC"/>
              </w:rPr>
              <w:t>. . . . . . . . .</w:t>
            </w:r>
            <w:r>
              <w:rPr>
                <w:rFonts w:ascii="Times New Roman" w:cs="Times New Roman" w:eastAsia="Times New Roman" w:hAnsi="Times New Roman"/>
                <w:sz w:val="20"/>
                <w:szCs w:val="20"/>
                <w:color w:val="231F20"/>
              </w:rPr>
              <w:t xml:space="preserve"> $</w:t>
            </w: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28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60" w:type="dxa"/>
            <w:vAlign w:val="bottom"/>
          </w:tcPr>
          <w:p>
            <w:pPr>
              <w:spacing w:after="0"/>
              <w:rPr>
                <w:sz w:val="22"/>
                <w:szCs w:val="22"/>
                <w:color w:val="auto"/>
              </w:rPr>
            </w:pPr>
          </w:p>
        </w:tc>
        <w:tc>
          <w:tcPr>
            <w:tcW w:w="640" w:type="dxa"/>
            <w:vAlign w:val="bottom"/>
          </w:tcPr>
          <w:p>
            <w:pPr>
              <w:jc w:val="right"/>
              <w:ind w:right="385"/>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89"/>
              </w:rPr>
              <w:t>17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ind w:left="340"/>
              <w:spacing w:after="0"/>
              <w:rPr>
                <w:sz w:val="20"/>
                <w:szCs w:val="20"/>
                <w:color w:val="auto"/>
              </w:rPr>
            </w:pPr>
            <w:r>
              <w:rPr>
                <w:rFonts w:ascii="Times New Roman" w:cs="Times New Roman" w:eastAsia="Times New Roman" w:hAnsi="Times New Roman"/>
                <w:sz w:val="20"/>
                <w:szCs w:val="20"/>
                <w:color w:val="231F20"/>
              </w:rPr>
              <w:t>45</w:t>
            </w:r>
          </w:p>
        </w:tc>
        <w:tc>
          <w:tcPr>
            <w:tcW w:w="64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NM</w:t>
            </w:r>
          </w:p>
        </w:tc>
      </w:tr>
    </w:tbl>
    <w:p>
      <w:pPr>
        <w:spacing w:after="0" w:line="171" w:lineRule="exact"/>
        <w:rPr>
          <w:sz w:val="20"/>
          <w:szCs w:val="20"/>
          <w:color w:val="auto"/>
        </w:rPr>
      </w:pPr>
    </w:p>
    <w:p>
      <w:pPr>
        <w:jc w:val="both"/>
        <w:ind w:right="500"/>
        <w:spacing w:after="0" w:line="309" w:lineRule="auto"/>
        <w:rPr>
          <w:sz w:val="20"/>
          <w:szCs w:val="20"/>
          <w:color w:val="auto"/>
        </w:rPr>
      </w:pPr>
      <w:r>
        <w:rPr>
          <w:rFonts w:ascii="Times New Roman" w:cs="Times New Roman" w:eastAsia="Times New Roman" w:hAnsi="Times New Roman"/>
          <w:sz w:val="19"/>
          <w:szCs w:val="19"/>
          <w:color w:val="231F20"/>
        </w:rPr>
        <w:t>In 2025, we recorded $22 million of foreign currency translation gains, a $4 million increase in the receivable from Marriott International for indemnified tax matters, $1 million of insurance proceeds, and $1 million of other gains.</w:t>
      </w:r>
    </w:p>
    <w:p>
      <w:pPr>
        <w:spacing w:after="0" w:line="3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231F20"/>
        </w:rPr>
        <w:t>In 2024, we recorded $12 million of foreign currency translation losses and a $5 million reduction in the receivable from Marriott International for indemnified tax matters.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Income Tax</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760" w:type="dxa"/>
            <w:vAlign w:val="bottom"/>
          </w:tcPr>
          <w:p>
            <w:pPr>
              <w:spacing w:after="0"/>
              <w:rPr>
                <w:sz w:val="21"/>
                <w:szCs w:val="21"/>
                <w:color w:val="auto"/>
              </w:rPr>
            </w:pPr>
          </w:p>
        </w:tc>
        <w:tc>
          <w:tcPr>
            <w:tcW w:w="1220" w:type="dxa"/>
            <w:vAlign w:val="bottom"/>
            <w:tcBorders>
              <w:bottom w:val="single" w:sz="8" w:color="231F20"/>
            </w:tcBorders>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1360" w:type="dxa"/>
            <w:vAlign w:val="bottom"/>
            <w:tcBorders>
              <w:bottom w:val="single" w:sz="8" w:color="231F20"/>
            </w:tcBorders>
          </w:tcPr>
          <w:p>
            <w:pPr>
              <w:jc w:val="center"/>
              <w:ind w:right="145"/>
              <w:spacing w:after="0"/>
              <w:rPr>
                <w:sz w:val="20"/>
                <w:szCs w:val="20"/>
                <w:color w:val="auto"/>
              </w:rPr>
            </w:pPr>
            <w:r>
              <w:rPr>
                <w:rFonts w:ascii="Times New Roman" w:cs="Times New Roman" w:eastAsia="Times New Roman" w:hAnsi="Times New Roman"/>
                <w:sz w:val="18"/>
                <w:szCs w:val="18"/>
                <w:b w:val="1"/>
                <w:bCs w:val="1"/>
                <w:color w:val="231F20"/>
              </w:rPr>
              <w:t>Fiscal Years</w:t>
            </w:r>
          </w:p>
        </w:tc>
        <w:tc>
          <w:tcPr>
            <w:tcW w:w="60" w:type="dxa"/>
            <w:vAlign w:val="bottom"/>
            <w:tcBorders>
              <w:bottom w:val="single" w:sz="8" w:color="231F20"/>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240" w:type="dxa"/>
            <w:vAlign w:val="bottom"/>
            <w:tcBorders>
              <w:bottom w:val="single" w:sz="8" w:color="231F20"/>
            </w:tcBorders>
          </w:tcPr>
          <w:p>
            <w:pPr>
              <w:spacing w:after="0"/>
              <w:rPr>
                <w:sz w:val="21"/>
                <w:szCs w:val="21"/>
                <w:color w:val="auto"/>
              </w:rPr>
            </w:pPr>
          </w:p>
        </w:tc>
      </w:tr>
      <w:tr>
        <w:trPr>
          <w:trHeight w:val="235"/>
        </w:trPr>
        <w:tc>
          <w:tcPr>
            <w:tcW w:w="47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220" w:type="dxa"/>
            <w:vAlign w:val="bottom"/>
            <w:tcBorders>
              <w:bottom w:val="single" w:sz="8" w:color="231F20"/>
            </w:tcBorders>
          </w:tcPr>
          <w:p>
            <w:pPr>
              <w:jc w:val="right"/>
              <w:ind w:right="14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36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jc w:val="center"/>
              <w:ind w:right="145"/>
              <w:spacing w:after="0"/>
              <w:rPr>
                <w:sz w:val="20"/>
                <w:szCs w:val="20"/>
                <w:color w:val="auto"/>
              </w:rPr>
            </w:pPr>
            <w:r>
              <w:rPr>
                <w:rFonts w:ascii="Times New Roman" w:cs="Times New Roman" w:eastAsia="Times New Roman" w:hAnsi="Times New Roman"/>
                <w:sz w:val="18"/>
                <w:szCs w:val="18"/>
                <w:b w:val="1"/>
                <w:bCs w:val="1"/>
                <w:color w:val="231F20"/>
                <w:w w:val="99"/>
              </w:rPr>
              <w:t>2024</w:t>
            </w:r>
          </w:p>
        </w:tc>
        <w:tc>
          <w:tcPr>
            <w:tcW w:w="60" w:type="dxa"/>
            <w:vAlign w:val="bottom"/>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jc w:val="right"/>
              <w:ind w:right="503"/>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62"/>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Provision for income taxes </w:t>
            </w:r>
            <w:r>
              <w:rPr>
                <w:rFonts w:ascii="Times New Roman" w:cs="Times New Roman" w:eastAsia="Times New Roman" w:hAnsi="Times New Roman"/>
                <w:sz w:val="20"/>
                <w:szCs w:val="20"/>
                <w:color w:val="B8BABC"/>
              </w:rPr>
              <w:t>. . . . . . . . . . . . . . . . . . . . . . . . .</w:t>
            </w:r>
          </w:p>
        </w:tc>
        <w:tc>
          <w:tcPr>
            <w:tcW w:w="1220" w:type="dxa"/>
            <w:vAlign w:val="bottom"/>
          </w:tcPr>
          <w:p>
            <w:pPr>
              <w:jc w:val="right"/>
              <w:ind w:right="983"/>
              <w:spacing w:after="0"/>
              <w:rPr>
                <w:sz w:val="20"/>
                <w:szCs w:val="20"/>
                <w:color w:val="auto"/>
              </w:rPr>
            </w:pPr>
            <w:r>
              <w:rPr>
                <w:rFonts w:ascii="Times New Roman" w:cs="Times New Roman" w:eastAsia="Times New Roman" w:hAnsi="Times New Roman"/>
                <w:sz w:val="20"/>
                <w:szCs w:val="20"/>
                <w:color w:val="231F2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w:t>
            </w:r>
          </w:p>
        </w:tc>
      </w:tr>
      <w:tr>
        <w:trPr>
          <w:trHeight w:val="285"/>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Effective tax rate </w:t>
            </w:r>
            <w:r>
              <w:rPr>
                <w:rFonts w:ascii="Times New Roman" w:cs="Times New Roman" w:eastAsia="Times New Roman" w:hAnsi="Times New Roman"/>
                <w:sz w:val="20"/>
                <w:szCs w:val="20"/>
                <w:color w:val="B8BABC"/>
              </w:rPr>
              <w:t>. . . . . . . . . . . . . . . . . . . . . . . . . . . . . . . . .</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231F20"/>
              </w:rPr>
              <w:t>(2.8%)</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center"/>
              <w:ind w:right="105"/>
              <w:spacing w:after="0"/>
              <w:rPr>
                <w:sz w:val="20"/>
                <w:szCs w:val="20"/>
                <w:color w:val="auto"/>
              </w:rPr>
            </w:pPr>
            <w:r>
              <w:rPr>
                <w:rFonts w:ascii="Times New Roman" w:cs="Times New Roman" w:eastAsia="Times New Roman" w:hAnsi="Times New Roman"/>
                <w:sz w:val="20"/>
                <w:szCs w:val="20"/>
                <w:color w:val="231F20"/>
              </w:rPr>
              <w:t>29.0%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423"/>
              <w:spacing w:after="0"/>
              <w:rPr>
                <w:sz w:val="20"/>
                <w:szCs w:val="20"/>
                <w:color w:val="auto"/>
              </w:rPr>
            </w:pPr>
            <w:r>
              <w:rPr>
                <w:rFonts w:ascii="Times New Roman" w:cs="Times New Roman" w:eastAsia="Times New Roman" w:hAnsi="Times New Roman"/>
                <w:sz w:val="20"/>
                <w:szCs w:val="20"/>
                <w:color w:val="231F20"/>
              </w:rPr>
              <w:t>36.5%</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Compared to 2024</w:t>
      </w:r>
    </w:p>
    <w:p>
      <w:pPr>
        <w:spacing w:after="0" w:line="134" w:lineRule="exact"/>
        <w:rPr>
          <w:sz w:val="20"/>
          <w:szCs w:val="20"/>
          <w:color w:val="auto"/>
        </w:rPr>
      </w:pPr>
    </w:p>
    <w:p>
      <w:pPr>
        <w:ind w:right="160"/>
        <w:spacing w:after="0" w:line="309" w:lineRule="auto"/>
        <w:rPr>
          <w:sz w:val="20"/>
          <w:szCs w:val="20"/>
          <w:color w:val="auto"/>
        </w:rPr>
      </w:pPr>
      <w:r>
        <w:rPr>
          <w:rFonts w:ascii="Times New Roman" w:cs="Times New Roman" w:eastAsia="Times New Roman" w:hAnsi="Times New Roman"/>
          <w:sz w:val="19"/>
          <w:szCs w:val="19"/>
          <w:color w:val="231F20"/>
        </w:rPr>
        <w:t>The decrease in income tax expense for 2025 primarily reflects losses before income taxes and noncontrolling interests, as well as the establishment of valuation allowances on certain deferred tax assets. The decrease was further driven by</w:t>
      </w:r>
    </w:p>
    <w:p>
      <w:pPr>
        <w:sectPr>
          <w:pgSz w:w="11880" w:h="15480" w:orient="portrait"/>
          <w:cols w:equalWidth="0" w:num="1">
            <w:col w:w="9720"/>
          </w:cols>
          <w:pgMar w:left="1080" w:top="831" w:right="1080" w:bottom="0"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9720"/>
          </w:cols>
          <w:pgMar w:left="1080" w:top="831" w:right="1080" w:bottom="0" w:gutter="0" w:footer="0" w:header="0"/>
          <w:type w:val="continuous"/>
        </w:sectPr>
      </w:pPr>
    </w:p>
    <w:bookmarkStart w:id="62" w:name="page63"/>
    <w:bookmarkEnd w:id="62"/>
    <w:p>
      <w:pPr>
        <w:ind w:right="320"/>
        <w:spacing w:after="0" w:line="260" w:lineRule="auto"/>
        <w:rPr>
          <w:sz w:val="20"/>
          <w:szCs w:val="20"/>
          <w:color w:val="auto"/>
        </w:rPr>
      </w:pPr>
      <w:r>
        <w:rPr>
          <w:rFonts w:ascii="Times New Roman" w:cs="Times New Roman" w:eastAsia="Times New Roman" w:hAnsi="Times New Roman"/>
          <w:sz w:val="20"/>
          <w:szCs w:val="20"/>
          <w:color w:val="231F20"/>
        </w:rPr>
        <w:t>the absence of the tax expense recognized in 2024 related to the removal of our permanent reinvestment assertion for earnings in certain non-U.S. entities, partially offset by tax benefits associated with 2025 restructuring activity. These decreases were partially offset by the impact of certain state and federal permanent differences and the absence of a benefit recognized in 2024 related to changes in uncertain tax positions.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Timing of Estimated Tax Payments</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As part of the federal tax relief provided by the Internal Revenue Service for businesses in areas of Florida affected by hurricanes during 2024, we were permitted to defer certain federal income tax payments without incurring interest or penalties. As a result, we deferred $38 million of estimated tax payments from 2024 to 2025. Similarly, in 2024, under comparable relief measures related to hurricanes in 2023, we deferred $32 million of estimated tax payments from 2023 to 2024. In addition, in 2023, under similar circumstances, we deferred $45 million of estimated tax payments from 2022 to 2023. None of our 2025 estimated tax payments were deferred into 2026.</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Refer to Footnote 4 “Income Taxes” for additional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Consolidated Property Owners’ Associations</w:t>
      </w:r>
    </w:p>
    <w:p>
      <w:pPr>
        <w:spacing w:after="0" w:line="77"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20"/>
          <w:szCs w:val="20"/>
          <w:color w:val="231F20"/>
        </w:rPr>
        <w:t>The following table illustrates the impact of certain Consolidated Property Owners’ Associations under the relevant accounting guidance.</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060" w:type="dxa"/>
            <w:vAlign w:val="bottom"/>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1280" w:type="dxa"/>
            <w:vAlign w:val="bottom"/>
            <w:tcBorders>
              <w:bottom w:val="single" w:sz="8" w:color="231F20"/>
            </w:tcBorders>
          </w:tcPr>
          <w:p>
            <w:pPr>
              <w:jc w:val="right"/>
              <w:ind w:right="161"/>
              <w:spacing w:after="0"/>
              <w:rPr>
                <w:sz w:val="20"/>
                <w:szCs w:val="20"/>
                <w:color w:val="auto"/>
              </w:rPr>
            </w:pPr>
            <w:r>
              <w:rPr>
                <w:rFonts w:ascii="Times New Roman" w:cs="Times New Roman" w:eastAsia="Times New Roman" w:hAnsi="Times New Roman"/>
                <w:sz w:val="18"/>
                <w:szCs w:val="18"/>
                <w:b w:val="1"/>
                <w:bCs w:val="1"/>
                <w:color w:val="231F20"/>
              </w:rPr>
              <w:t>Fiscal Years</w:t>
            </w:r>
          </w:p>
        </w:tc>
        <w:tc>
          <w:tcPr>
            <w:tcW w:w="80" w:type="dxa"/>
            <w:vAlign w:val="bottom"/>
            <w:tcBorders>
              <w:bottom w:val="single" w:sz="8" w:color="231F20"/>
            </w:tcBorders>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060" w:type="dxa"/>
            <w:vAlign w:val="bottom"/>
          </w:tcPr>
          <w:p>
            <w:pPr>
              <w:spacing w:after="0"/>
              <w:rPr>
                <w:sz w:val="20"/>
                <w:szCs w:val="20"/>
                <w:color w:val="auto"/>
              </w:rPr>
            </w:pPr>
            <w:r>
              <w:rPr>
                <w:rFonts w:ascii="Times New Roman" w:cs="Times New Roman" w:eastAsia="Times New Roman" w:hAnsi="Times New Roman"/>
                <w:sz w:val="16"/>
                <w:szCs w:val="16"/>
                <w:i w:val="1"/>
                <w:iCs w:val="1"/>
                <w:color w:val="231F20"/>
              </w:rPr>
              <w:t>($ in millions)</w:t>
            </w:r>
          </w:p>
        </w:tc>
        <w:tc>
          <w:tcPr>
            <w:tcW w:w="36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ind w:right="46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1280" w:type="dxa"/>
            <w:vAlign w:val="bottom"/>
            <w:tcBorders>
              <w:bottom w:val="single" w:sz="8" w:color="231F20"/>
            </w:tcBorders>
          </w:tcPr>
          <w:p>
            <w:pPr>
              <w:jc w:val="right"/>
              <w:ind w:right="46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ind w:right="461"/>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0" w:type="dxa"/>
            <w:vAlign w:val="bottom"/>
          </w:tcPr>
          <w:p>
            <w:pPr>
              <w:spacing w:after="0"/>
              <w:rPr>
                <w:sz w:val="1"/>
                <w:szCs w:val="1"/>
                <w:color w:val="auto"/>
              </w:rPr>
            </w:pPr>
          </w:p>
        </w:tc>
      </w:tr>
      <w:tr>
        <w:trPr>
          <w:trHeight w:val="244"/>
        </w:trPr>
        <w:tc>
          <w:tcPr>
            <w:tcW w:w="50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REVENUES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Resort management and other services </w:t>
            </w:r>
            <w:r>
              <w:rPr>
                <w:rFonts w:ascii="Times New Roman" w:cs="Times New Roman" w:eastAsia="Times New Roman" w:hAnsi="Times New Roman"/>
                <w:sz w:val="20"/>
                <w:szCs w:val="20"/>
                <w:color w:val="B8BABC"/>
              </w:rPr>
              <w:t>. . . . . . . . . . . . . . . . .</w:t>
            </w:r>
          </w:p>
        </w:tc>
        <w:tc>
          <w:tcPr>
            <w:tcW w:w="3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0" w:type="dxa"/>
            <w:vAlign w:val="bottom"/>
          </w:tcPr>
          <w:p>
            <w:pPr>
              <w:spacing w:after="0"/>
              <w:rPr>
                <w:sz w:val="1"/>
                <w:szCs w:val="1"/>
                <w:color w:val="auto"/>
              </w:rPr>
            </w:pPr>
          </w:p>
        </w:tc>
      </w:tr>
      <w:tr>
        <w:trPr>
          <w:trHeight w:val="288"/>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reimbursements  </w:t>
            </w:r>
            <w:r>
              <w:rPr>
                <w:rFonts w:ascii="Times New Roman" w:cs="Times New Roman" w:eastAsia="Times New Roman" w:hAnsi="Times New Roman"/>
                <w:sz w:val="20"/>
                <w:szCs w:val="20"/>
                <w:color w:val="B8BABC"/>
              </w:rPr>
              <w:t>. . . . . . . . . . . . . . . . . . . . . . . . . . . . . .</w:t>
            </w: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8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0" w:type="dxa"/>
            <w:vAlign w:val="bottom"/>
          </w:tcPr>
          <w:p>
            <w:pPr>
              <w:spacing w:after="0"/>
              <w:rPr>
                <w:sz w:val="1"/>
                <w:szCs w:val="1"/>
                <w:color w:val="auto"/>
              </w:rPr>
            </w:pPr>
          </w:p>
        </w:tc>
      </w:tr>
      <w:tr>
        <w:trPr>
          <w:trHeight w:val="26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B8BABC"/>
              </w:rPr>
              <w:t>. . . . . . . . . . . . . . . . . . . . . . . . . .</w:t>
            </w:r>
            <w:r>
              <w:rPr>
                <w:rFonts w:ascii="Times New Roman" w:cs="Times New Roman" w:eastAsia="Times New Roman" w:hAnsi="Times New Roman"/>
                <w:sz w:val="20"/>
                <w:szCs w:val="20"/>
                <w:b w:val="1"/>
                <w:bCs w:val="1"/>
                <w:color w:val="231F20"/>
              </w:rPr>
              <w:t>TOTALREVENUES</w:t>
            </w:r>
          </w:p>
        </w:tc>
        <w:tc>
          <w:tcPr>
            <w:tcW w:w="360" w:type="dxa"/>
            <w:vAlign w:val="bottom"/>
            <w:tcBorders>
              <w:bottom w:val="single" w:sz="8" w:color="231F20"/>
            </w:tcBorders>
          </w:tcPr>
          <w:p>
            <w:pPr>
              <w:spacing w:after="0"/>
              <w:rPr>
                <w:sz w:val="23"/>
                <w:szCs w:val="23"/>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8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80" w:type="dxa"/>
            <w:vAlign w:val="bottom"/>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62"/>
        </w:trPr>
        <w:tc>
          <w:tcPr>
            <w:tcW w:w="50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EXPENSES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Resort management and other services </w:t>
            </w:r>
            <w:r>
              <w:rPr>
                <w:rFonts w:ascii="Times New Roman" w:cs="Times New Roman" w:eastAsia="Times New Roman" w:hAnsi="Times New Roman"/>
                <w:sz w:val="20"/>
                <w:szCs w:val="20"/>
                <w:color w:val="B8BABC"/>
              </w:rPr>
              <w:t>.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w:t>
            </w:r>
          </w:p>
        </w:tc>
        <w:tc>
          <w:tcPr>
            <w:tcW w:w="0" w:type="dxa"/>
            <w:vAlign w:val="bottom"/>
          </w:tcPr>
          <w:p>
            <w:pPr>
              <w:spacing w:after="0"/>
              <w:rPr>
                <w:sz w:val="1"/>
                <w:szCs w:val="1"/>
                <w:color w:val="auto"/>
              </w:rPr>
            </w:pPr>
          </w:p>
        </w:tc>
      </w:tr>
      <w:tr>
        <w:trPr>
          <w:trHeight w:val="28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Rental </w:t>
            </w:r>
            <w:r>
              <w:rPr>
                <w:rFonts w:ascii="Times New Roman" w:cs="Times New Roman" w:eastAsia="Times New Roman" w:hAnsi="Times New Roman"/>
                <w:sz w:val="20"/>
                <w:szCs w:val="20"/>
                <w:color w:val="B8BABC"/>
              </w:rPr>
              <w:t>. . . . . . . . . . . . . . . . . . . . . . . . . .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0" w:type="dxa"/>
            <w:vAlign w:val="bottom"/>
          </w:tcPr>
          <w:p>
            <w:pPr>
              <w:spacing w:after="0"/>
              <w:rPr>
                <w:sz w:val="1"/>
                <w:szCs w:val="1"/>
                <w:color w:val="auto"/>
              </w:rPr>
            </w:pPr>
          </w:p>
        </w:tc>
      </w:tr>
      <w:tr>
        <w:trPr>
          <w:trHeight w:val="288"/>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reimbursements  </w:t>
            </w:r>
            <w:r>
              <w:rPr>
                <w:rFonts w:ascii="Times New Roman" w:cs="Times New Roman" w:eastAsia="Times New Roman" w:hAnsi="Times New Roman"/>
                <w:sz w:val="20"/>
                <w:szCs w:val="20"/>
                <w:color w:val="B8BABC"/>
              </w:rPr>
              <w:t>. . . . . . . . . . . . . . . . . . . . . . . . . . . . . .</w:t>
            </w: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8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0" w:type="dxa"/>
            <w:vAlign w:val="bottom"/>
          </w:tcPr>
          <w:p>
            <w:pPr>
              <w:spacing w:after="0"/>
              <w:rPr>
                <w:sz w:val="1"/>
                <w:szCs w:val="1"/>
                <w:color w:val="auto"/>
              </w:rPr>
            </w:pPr>
          </w:p>
        </w:tc>
      </w:tr>
      <w:tr>
        <w:trPr>
          <w:trHeight w:val="26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B8BABC"/>
              </w:rPr>
              <w:t>. . . . . . . . . . . . . . . . . . . . . . . . . . .</w:t>
            </w:r>
            <w:r>
              <w:rPr>
                <w:rFonts w:ascii="Times New Roman" w:cs="Times New Roman" w:eastAsia="Times New Roman" w:hAnsi="Times New Roman"/>
                <w:sz w:val="20"/>
                <w:szCs w:val="20"/>
                <w:b w:val="1"/>
                <w:bCs w:val="1"/>
                <w:color w:val="231F20"/>
              </w:rPr>
              <w:t>TOTALEXPENSES</w:t>
            </w:r>
          </w:p>
        </w:tc>
        <w:tc>
          <w:tcPr>
            <w:tcW w:w="360" w:type="dxa"/>
            <w:vAlign w:val="bottom"/>
            <w:tcBorders>
              <w:bottom w:val="single" w:sz="8" w:color="231F20"/>
            </w:tcBorders>
          </w:tcPr>
          <w:p>
            <w:pPr>
              <w:spacing w:after="0"/>
              <w:rPr>
                <w:sz w:val="23"/>
                <w:szCs w:val="23"/>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8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80" w:type="dxa"/>
            <w:vAlign w:val="bottom"/>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265"/>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Interest expense, net </w:t>
            </w:r>
            <w:r>
              <w:rPr>
                <w:rFonts w:ascii="Times New Roman" w:cs="Times New Roman" w:eastAsia="Times New Roman" w:hAnsi="Times New Roman"/>
                <w:sz w:val="20"/>
                <w:szCs w:val="20"/>
                <w:color w:val="B8BABC"/>
              </w:rPr>
              <w:t>. . . . . . . . . . . . . . . . . . . . . . . . . . . . . . .</w:t>
            </w:r>
          </w:p>
        </w:tc>
        <w:tc>
          <w:tcPr>
            <w:tcW w:w="360" w:type="dxa"/>
            <w:vAlign w:val="bottom"/>
            <w:tcBorders>
              <w:bottom w:val="single" w:sz="8" w:color="231F20"/>
            </w:tcBorders>
          </w:tcPr>
          <w:p>
            <w:pPr>
              <w:spacing w:after="0"/>
              <w:rPr>
                <w:sz w:val="23"/>
                <w:szCs w:val="23"/>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80" w:type="dxa"/>
            <w:vAlign w:val="bottom"/>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182"/>
        </w:trPr>
        <w:tc>
          <w:tcPr>
            <w:tcW w:w="5060" w:type="dxa"/>
            <w:vAlign w:val="bottom"/>
          </w:tcPr>
          <w:p>
            <w:pPr>
              <w:spacing w:after="0" w:line="182" w:lineRule="exact"/>
              <w:rPr>
                <w:sz w:val="20"/>
                <w:szCs w:val="20"/>
                <w:color w:val="auto"/>
              </w:rPr>
            </w:pPr>
            <w:r>
              <w:rPr>
                <w:rFonts w:ascii="Times New Roman" w:cs="Times New Roman" w:eastAsia="Times New Roman" w:hAnsi="Times New Roman"/>
                <w:sz w:val="20"/>
                <w:szCs w:val="20"/>
                <w:b w:val="1"/>
                <w:bCs w:val="1"/>
                <w:color w:val="231F20"/>
              </w:rPr>
              <w:t>FINANCIAL RESULTS BEFORE INCOME TAXES</w:t>
            </w: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4"/>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AND NONCONTROLLING INTERESTS </w:t>
            </w:r>
            <w:r>
              <w:rPr>
                <w:rFonts w:ascii="Times New Roman" w:cs="Times New Roman" w:eastAsia="Times New Roman" w:hAnsi="Times New Roman"/>
                <w:sz w:val="20"/>
                <w:szCs w:val="20"/>
                <w:b w:val="1"/>
                <w:bCs w:val="1"/>
                <w:color w:val="B8BABC"/>
              </w:rPr>
              <w:t>. . . . . . . . . . . . .</w:t>
            </w:r>
          </w:p>
        </w:tc>
        <w:tc>
          <w:tcPr>
            <w:tcW w:w="3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Provision for income taxes </w:t>
            </w:r>
            <w:r>
              <w:rPr>
                <w:rFonts w:ascii="Times New Roman" w:cs="Times New Roman" w:eastAsia="Times New Roman" w:hAnsi="Times New Roman"/>
                <w:sz w:val="20"/>
                <w:szCs w:val="20"/>
                <w:color w:val="B8BABC"/>
              </w:rPr>
              <w:t>. . . . . . . . . . . . . . . . . . . . . . . . . . . .</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88"/>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Net (income) loss attributable to noncontrolling interests </w:t>
            </w:r>
            <w:r>
              <w:rPr>
                <w:rFonts w:ascii="Times New Roman" w:cs="Times New Roman" w:eastAsia="Times New Roman" w:hAnsi="Times New Roman"/>
                <w:sz w:val="20"/>
                <w:szCs w:val="20"/>
                <w:color w:val="B8BABC"/>
              </w:rPr>
              <w:t>. . . .</w:t>
            </w: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8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182"/>
        </w:trPr>
        <w:tc>
          <w:tcPr>
            <w:tcW w:w="5060" w:type="dxa"/>
            <w:vAlign w:val="bottom"/>
          </w:tcPr>
          <w:p>
            <w:pPr>
              <w:spacing w:after="0" w:line="182" w:lineRule="exact"/>
              <w:rPr>
                <w:sz w:val="20"/>
                <w:szCs w:val="20"/>
                <w:color w:val="auto"/>
              </w:rPr>
            </w:pPr>
            <w:r>
              <w:rPr>
                <w:rFonts w:ascii="Times New Roman" w:cs="Times New Roman" w:eastAsia="Times New Roman" w:hAnsi="Times New Roman"/>
                <w:sz w:val="20"/>
                <w:szCs w:val="20"/>
                <w:b w:val="1"/>
                <w:bCs w:val="1"/>
                <w:color w:val="231F20"/>
              </w:rPr>
              <w:t>FINANCIAL RESULTS ATTRIBUTABLE TO</w:t>
            </w:r>
          </w:p>
        </w:tc>
        <w:tc>
          <w:tcPr>
            <w:tcW w:w="36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43"/>
        </w:trPr>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 xml:space="preserve">COMMON STOCKHOLDERS </w:t>
            </w:r>
            <w:r>
              <w:rPr>
                <w:rFonts w:ascii="Times New Roman" w:cs="Times New Roman" w:eastAsia="Times New Roman" w:hAnsi="Times New Roman"/>
                <w:sz w:val="20"/>
                <w:szCs w:val="20"/>
                <w:b w:val="1"/>
                <w:bCs w:val="1"/>
                <w:color w:val="B8BABC"/>
                <w:w w:val="99"/>
              </w:rPr>
              <w:t>. . . . . . . . . . . . . . . . . . . . . . .</w:t>
            </w:r>
          </w:p>
        </w:tc>
        <w:tc>
          <w:tcPr>
            <w:tcW w:w="3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440" w:type="dxa"/>
            <w:vAlign w:val="bottom"/>
            <w:gridSpan w:val="2"/>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1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231F20"/>
        </w:rPr>
        <w:t>Typically, our capital needs are supported by cash on hand, cash generated from operations, our ability to access funds under the Warehouse Credit Facility and the Revolving Corporate Credit Facility, our ability to raise capital through securitizations in the ABS market, and, to the extent necessary, our ability to issue new debt and refinance existing debt. We believe these sources of capital will be adequate to meet our short-term and long-term liquidity requirements, finance our long-term growth plans, satisfy debt service requirements, fulfill other cash requirements, and return capital to stockholders. We continuously monitor the capital markets to evaluate the effect that changes in market conditions may have on our ability to fund our liquidity needs.</w:t>
      </w:r>
    </w:p>
    <w:p>
      <w:pPr>
        <w:spacing w:after="0" w:line="90" w:lineRule="exact"/>
        <w:rPr>
          <w:sz w:val="20"/>
          <w:szCs w:val="20"/>
          <w:color w:val="auto"/>
        </w:rPr>
      </w:pPr>
    </w:p>
    <w:p>
      <w:pPr>
        <w:ind w:right="1000"/>
        <w:spacing w:after="0" w:line="281" w:lineRule="auto"/>
        <w:rPr>
          <w:sz w:val="20"/>
          <w:szCs w:val="20"/>
          <w:color w:val="auto"/>
        </w:rPr>
      </w:pPr>
      <w:r>
        <w:rPr>
          <w:rFonts w:ascii="Times New Roman" w:cs="Times New Roman" w:eastAsia="Times New Roman" w:hAnsi="Times New Roman"/>
          <w:sz w:val="20"/>
          <w:szCs w:val="20"/>
          <w:color w:val="231F20"/>
        </w:rPr>
        <w:t>At December 31, 2025, our corporate debt, net of cash and equivalents, to Adjusted EBITDA ratio was 4.2, a manageable leverage level, and we remain focused on reducing this ratio over time.</w:t>
      </w:r>
    </w:p>
    <w:p>
      <w:pPr>
        <w:spacing w:after="0" w:line="6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231F20"/>
        </w:rPr>
        <w:t>Subsequent to the end of 2025, we used the proceeds from the 2033 Notes to repay our 2026 Convertible Notes upon maturity. See Footnote 15 “Debt” to our Financial Statements for further information related to maturities of our debt.</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9720"/>
          </w:cols>
          <w:pgMar w:left="1080" w:top="838" w:right="108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color w:val="231F20"/>
        </w:rPr>
        <w:t>Sources of Liquidity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Cash from Operations</w:t>
      </w:r>
    </w:p>
    <w:p>
      <w:pPr>
        <w:spacing w:after="0" w:line="13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cash generated from our rental and resort management and other services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Vacation Ownership Notes Receivable Securitizations</w:t>
      </w:r>
    </w:p>
    <w:p>
      <w:pPr>
        <w:spacing w:after="0" w:line="13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231F20"/>
        </w:rPr>
        <w:t>We periodically securitize, without recourse, through bankruptcy remote special purpose entities, the majority of the notes receivable originated in connection with the sale of vacation ownership products to institutional investors in the ABS term securitization market. These vacation ownership notes receivable securitizations provide liquidity for general corporate purposes. In a vacation ownership notes receivable term securitization, several classes of debt securities issued by a special purpose entity are collateralized by a single pool of transferred vacation ownership notes receivable. In connection with each vacation ownership notes receivable securitization, we may retain all or a portion of the securities that are issued.</w:t>
      </w:r>
    </w:p>
    <w:p>
      <w:pPr>
        <w:spacing w:after="0" w:line="9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231F20"/>
        </w:rPr>
        <w:t>Typically, we receive cash at inception of the term securitization transaction for the amount of notes issued less fees and monies held in reserve and we receive cash during the life of the transaction in amounts reflecting the excess spread of interest received on the related vacation ownership notes receivable less the interest payable on the ABS securities, less administrative fees and amounts from related vacation ownership notes receivable that default. Loan defaults under securitizations offset a portion of the excess spread we receive, on a monthly basis. We completed two term securitization transactions in 2025 resulting in net proceeds of $908 million.</w:t>
      </w:r>
    </w:p>
    <w:p>
      <w:pPr>
        <w:spacing w:after="0" w:line="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parameters (default or delinquency thresholds vary by transaction), transaction provisions effectively redirect the monthly excess spread of interest accruing on the related vacation ownership notes receivable less the interest accruing on the ABS securities and fees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At the recent level of defaults, there is no impact to cash whether we repurchase defaulted vacation ownership notes receivable from a securitization VIE and pursue foreclosure or foreclose on behalf of a securitization VIE. During 2025, and as of December 31, 2025, no securitized vacation ownership notes receivable pools were out of compliance with their respective required parameters. As of December 31, 2025, we had 12 term securitization transactions outstanding. Since 2000, we have issued approximately $10.7 billion of debt securities in securitization transactions in the term ABS market, excluding amounts securitized through warehouse credit facilities or private bank transactions.</w:t>
      </w:r>
    </w:p>
    <w:p>
      <w:pPr>
        <w:spacing w:after="0" w:line="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On an ongoing basis, we have the ability to use our Warehouse Credit Facility to securitize, on a revolving non-recourse basis, eligible consumer loans derived from certain vacation ownership sales. Those loans may later be transferred to term securitization transactions in the ABS market, which typically occur twice a year. During 2025, we amended certain agreements associated with our Warehouse Credit Facility, which among other things extended the revolving period from June 11, 2026 to June 11, 2027. At December 31, 2025, no borrowings were outstanding on our Warehouse Credit Facility.</w:t>
      </w:r>
    </w:p>
    <w:p>
      <w:pPr>
        <w:spacing w:after="0" w:line="88"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9"/>
          <w:szCs w:val="19"/>
          <w:color w:val="231F20"/>
        </w:rPr>
        <w:t>As of December 31, 2025, $176 million of gross vacation ownership notes receivable were eligible for securitization. See Footnote 14 “Securitized Debt” and Footnote 18 “Variable Interest Entities” for further information on these facilities.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Issuance of Senior Unsecured Notes</w:t>
      </w:r>
    </w:p>
    <w:p>
      <w:pPr>
        <w:spacing w:after="0" w:line="13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231F20"/>
        </w:rPr>
        <w:t>During the third quarter of 2025, we issued the 2033 Notes with an aggregate principal amount of $575 million and we received net proceeds of $567 million from the offering, after deducting the underwriting fees and transaction expenses. We used the net proceeds to repay our 2026 Convertible Notes due in January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Corporate Credit Facility</w:t>
      </w:r>
    </w:p>
    <w:p>
      <w:pPr>
        <w:spacing w:after="0" w:line="134"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9"/>
          <w:szCs w:val="19"/>
          <w:color w:val="231F20"/>
        </w:rPr>
        <w:t>During 2025, we entered into an amendment to the Corporate Credit Facility (the “Amendment”), which, among other things, increased the borrowing capacity on our Revolving Corporate Credit Facility from $750 million to $800 million of aggregate borrowings for general corporate needs, including working capital, capital expenditures, letters of credit, and acquisitions. The Amendment also extended the termination date from March 31, 2027 to March 24, 2030, reduced</w:t>
      </w:r>
    </w:p>
    <w:p>
      <w:pPr>
        <w:sectPr>
          <w:pgSz w:w="11880" w:h="15480" w:orient="portrait"/>
          <w:cols w:equalWidth="0" w:num="1">
            <w:col w:w="9720"/>
          </w:cols>
          <w:pgMar w:left="1080" w:top="831" w:right="1080" w:bottom="0"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9720"/>
          </w:cols>
          <w:pgMar w:left="1080" w:top="831" w:right="1080" w:bottom="0" w:gutter="0" w:footer="0" w:header="0"/>
          <w:type w:val="continuous"/>
        </w:sectPr>
      </w:pPr>
    </w:p>
    <w:bookmarkStart w:id="64" w:name="page65"/>
    <w:bookmarkEnd w:id="64"/>
    <w:p>
      <w:pPr>
        <w:ind w:right="20"/>
        <w:spacing w:after="0" w:line="260" w:lineRule="auto"/>
        <w:rPr>
          <w:sz w:val="20"/>
          <w:szCs w:val="20"/>
          <w:color w:val="auto"/>
        </w:rPr>
      </w:pPr>
      <w:r>
        <w:rPr>
          <w:rFonts w:ascii="Times New Roman" w:cs="Times New Roman" w:eastAsia="Times New Roman" w:hAnsi="Times New Roman"/>
          <w:sz w:val="20"/>
          <w:szCs w:val="20"/>
          <w:color w:val="231F20"/>
        </w:rPr>
        <w:t>certain fees and interest costs, and increased the letter of credit sub-facility of the Revolving Corporate Credit Facility from $75 million to $150 million. At December 31, 2025, no borrowings and $13 million of letters of credit were outstanding under our Revolving Corporate Credit Facility. See Footnote 15 “Debt” to our Financial Statements for more information pertaining to this facility.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Uses of Cash</w:t>
      </w:r>
    </w:p>
    <w:p>
      <w:pPr>
        <w:spacing w:after="0" w:line="13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231F20"/>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timing and amount of voluntary repurchases of defaulted vacation ownership notes receivable, the closing or recording of sales contracts for vacation ownership products, financing propensity, and cash outlays for inventory acquisitions and development.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Seasonality</w:t>
      </w:r>
    </w:p>
    <w:p>
      <w:pPr>
        <w:spacing w:after="0" w:line="13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231F20"/>
        </w:rPr>
        <w:t>Our cash flow from operations fluctuates during the year due to the timing of certain receipts and contractual and compensation-related payments. Significant changes in cash flow can result from the timing of our collection of maintenance fees, club dues, and other customer payments, which typically occurs in either the fourth quarter or the first quarter of each year. Generally, cash outflows related to our payment of maintenance fees associated with unsold inventory occurs in the fourth quarter for our points-based products, and in the first quarter for our weeks-based products. In addition, during the first quarter of each year, we generally have variable compensation-related cash outflows associated with payment of annual bonuses.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Operations</w:t>
      </w:r>
    </w:p>
    <w:p>
      <w:pPr>
        <w:spacing w:after="0" w:line="13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231F20"/>
        </w:rPr>
        <w:t>In addition to net income or loss and adjustments for non-cash items, the following are key drivers of our cash flow from operating activities: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Inventory Spending (In Excess of) Less Than Cost of Sales</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940" w:type="dxa"/>
            <w:vAlign w:val="bottom"/>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200" w:type="dxa"/>
            <w:vAlign w:val="bottom"/>
            <w:tcBorders>
              <w:bottom w:val="single" w:sz="8" w:color="231F20"/>
            </w:tcBorders>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231F20"/>
              </w:rPr>
              <w:t>Fiscal Years</w:t>
            </w:r>
          </w:p>
        </w:tc>
        <w:tc>
          <w:tcPr>
            <w:tcW w:w="60" w:type="dxa"/>
            <w:vAlign w:val="bottom"/>
            <w:tcBorders>
              <w:bottom w:val="single" w:sz="8" w:color="231F20"/>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r>
      <w:tr>
        <w:trPr>
          <w:trHeight w:val="235"/>
        </w:trPr>
        <w:tc>
          <w:tcPr>
            <w:tcW w:w="5940" w:type="dxa"/>
            <w:vAlign w:val="bottom"/>
          </w:tcPr>
          <w:p>
            <w:pPr>
              <w:jc w:val="right"/>
              <w:ind w:right="4924"/>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6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 . . . . . . . . . . . . . . . .</w:t>
            </w:r>
            <w:r>
              <w:rPr>
                <w:rFonts w:ascii="Times New Roman" w:cs="Times New Roman" w:eastAsia="Times New Roman" w:hAnsi="Times New Roman"/>
                <w:sz w:val="20"/>
                <w:szCs w:val="20"/>
                <w:color w:val="231F20"/>
              </w:rPr>
              <w:t>Inventoryspending</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w:t>
            </w:r>
          </w:p>
        </w:tc>
        <w:tc>
          <w:tcPr>
            <w:tcW w:w="60" w:type="dxa"/>
            <w:vAlign w:val="bottom"/>
          </w:tcPr>
          <w:p>
            <w:pPr>
              <w:spacing w:after="0"/>
              <w:rPr>
                <w:sz w:val="22"/>
                <w:szCs w:val="22"/>
                <w:color w:val="auto"/>
              </w:rPr>
            </w:pP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(183)</w:t>
            </w:r>
          </w:p>
        </w:tc>
        <w:tc>
          <w:tcPr>
            <w:tcW w:w="60" w:type="dxa"/>
            <w:vAlign w:val="bottom"/>
          </w:tcPr>
          <w:p>
            <w:pPr>
              <w:spacing w:after="0"/>
              <w:rPr>
                <w:sz w:val="22"/>
                <w:szCs w:val="22"/>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w:t>
            </w:r>
          </w:p>
        </w:tc>
      </w:tr>
      <w:tr>
        <w:trPr>
          <w:trHeight w:val="276"/>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Purchase and development of property for future transfer to inventory </w:t>
            </w:r>
            <w:r>
              <w:rPr>
                <w:rFonts w:ascii="Times New Roman" w:cs="Times New Roman" w:eastAsia="Times New Roman" w:hAnsi="Times New Roman"/>
                <w:sz w:val="20"/>
                <w:szCs w:val="20"/>
                <w:color w:val="B8BABC"/>
                <w:w w:val="99"/>
              </w:rPr>
              <w:t>.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w:t>
            </w:r>
          </w:p>
        </w:tc>
      </w:tr>
      <w:tr>
        <w:trPr>
          <w:trHeight w:val="298"/>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Inventory costs </w:t>
            </w:r>
            <w:r>
              <w:rPr>
                <w:rFonts w:ascii="Times New Roman" w:cs="Times New Roman" w:eastAsia="Times New Roman" w:hAnsi="Times New Roman"/>
                <w:sz w:val="20"/>
                <w:szCs w:val="20"/>
                <w:color w:val="B8BABC"/>
              </w:rPr>
              <w:t>. . . . . . . . . . . . . . . . . . . . . . . . . . . . . . . . . . . . . . . . . . . . . .</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136</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150</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176</w:t>
            </w:r>
          </w:p>
        </w:tc>
      </w:tr>
      <w:tr>
        <w:trPr>
          <w:trHeight w:val="245"/>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w:t>
            </w:r>
            <w:r>
              <w:rPr>
                <w:rFonts w:ascii="Times New Roman" w:cs="Times New Roman" w:eastAsia="Times New Roman" w:hAnsi="Times New Roman"/>
                <w:sz w:val="20"/>
                <w:szCs w:val="20"/>
                <w:color w:val="231F20"/>
              </w:rPr>
              <w:t>Inventoryspending(inexcessof)lessthancostofsales</w:t>
            </w: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(115)</w:t>
            </w:r>
          </w:p>
        </w:tc>
        <w:tc>
          <w:tcPr>
            <w:tcW w:w="60" w:type="dxa"/>
            <w:vAlign w:val="bottom"/>
          </w:tcPr>
          <w:p>
            <w:pPr>
              <w:spacing w:after="0"/>
              <w:rPr>
                <w:sz w:val="21"/>
                <w:szCs w:val="21"/>
                <w:color w:val="auto"/>
              </w:rPr>
            </w:pPr>
          </w:p>
        </w:tc>
        <w:tc>
          <w:tcPr>
            <w:tcW w:w="280" w:type="dxa"/>
            <w:vAlign w:val="bottom"/>
            <w:tcBorders>
              <w:bottom w:val="single" w:sz="8" w:color="231F20"/>
            </w:tcBorders>
          </w:tcPr>
          <w:p>
            <w:pPr>
              <w:jc w:val="right"/>
              <w:ind w:right="23"/>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60" w:type="dxa"/>
            <w:vAlign w:val="bottom"/>
          </w:tcPr>
          <w:p>
            <w:pPr>
              <w:spacing w:after="0"/>
              <w:rPr>
                <w:sz w:val="21"/>
                <w:szCs w:val="21"/>
                <w:color w:val="auto"/>
              </w:rPr>
            </w:pP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60</w:t>
            </w: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r>
    </w:tbl>
    <w:p>
      <w:pPr>
        <w:spacing w:after="0" w:line="12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231F20"/>
        </w:rPr>
        <w:t>We plan to restrict our new inventory spending to capital efficient arrangements where our cash outlay coincides with start of sales, as well as low-cost reacquired inventory. Through our existing VOI repurchase program, we proactively acquire previously sold VOIs from owners’ associations and individual owners at lower costs than would be required to develop new inventory. Among other reasons for repurchasing inventory, we expect these repurchases will help stabilize the future cost of our vacation ownership products. In 2025, we fulfilled existing commitments to purchase property in Waikiki and Thailand.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Vacation Ownership Notes Receivable Collections Less Than Originations</w:t>
      </w:r>
    </w:p>
    <w:p>
      <w:pPr>
        <w:spacing w:after="0" w:line="137"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200" w:type="dxa"/>
            <w:vAlign w:val="bottom"/>
            <w:tcBorders>
              <w:bottom w:val="single" w:sz="8" w:color="231F20"/>
            </w:tcBorders>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231F20"/>
              </w:rPr>
              <w:t>Fiscal Years</w:t>
            </w:r>
          </w:p>
        </w:tc>
        <w:tc>
          <w:tcPr>
            <w:tcW w:w="60" w:type="dxa"/>
            <w:vAlign w:val="bottom"/>
            <w:tcBorders>
              <w:bottom w:val="single" w:sz="8" w:color="231F20"/>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r>
      <w:tr>
        <w:trPr>
          <w:trHeight w:val="235"/>
        </w:trPr>
        <w:tc>
          <w:tcPr>
            <w:tcW w:w="5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24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22"/>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62"/>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B8BABC"/>
              </w:rPr>
              <w:t>.</w:t>
            </w:r>
            <w:r>
              <w:rPr>
                <w:rFonts w:ascii="Times New Roman" w:cs="Times New Roman" w:eastAsia="Times New Roman" w:hAnsi="Times New Roman"/>
                <w:sz w:val="20"/>
                <w:szCs w:val="20"/>
                <w:color w:val="231F20"/>
              </w:rPr>
              <w:t>Vacationownershipnotesreceivablecollections—non-securitized</w:t>
            </w:r>
            <w:r>
              <w:rPr>
                <w:rFonts w:ascii="Times New Roman" w:cs="Times New Roman" w:eastAsia="Times New Roman" w:hAnsi="Times New Roman"/>
                <w:sz w:val="20"/>
                <w:szCs w:val="20"/>
                <w:color w:val="B8BABC"/>
              </w:rPr>
              <w:t>..</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B8BABC"/>
              </w:rPr>
              <w:t xml:space="preserve">. . </w:t>
            </w: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160</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w:t>
            </w:r>
          </w:p>
        </w:tc>
      </w:tr>
      <w:tr>
        <w:trPr>
          <w:trHeight w:val="285"/>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Vacation ownership notes receivable collections — securitized </w:t>
            </w:r>
            <w:r>
              <w:rPr>
                <w:rFonts w:ascii="Times New Roman" w:cs="Times New Roman" w:eastAsia="Times New Roman" w:hAnsi="Times New Roman"/>
                <w:sz w:val="20"/>
                <w:szCs w:val="20"/>
                <w:color w:val="B8BABC"/>
              </w:rPr>
              <w:t>. . . . . .</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B8BABC"/>
              </w:rPr>
              <w:t>.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444</w:t>
            </w:r>
          </w:p>
        </w:tc>
      </w:tr>
      <w:tr>
        <w:trPr>
          <w:trHeight w:val="288"/>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Vacation ownership notes receivable originations </w:t>
            </w:r>
            <w:r>
              <w:rPr>
                <w:rFonts w:ascii="Times New Roman" w:cs="Times New Roman" w:eastAsia="Times New Roman" w:hAnsi="Times New Roman"/>
                <w:sz w:val="20"/>
                <w:szCs w:val="20"/>
                <w:color w:val="B8BABC"/>
              </w:rPr>
              <w:t>. . . . . . . . . . . . . . . . .</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B8BABC"/>
              </w:rPr>
              <w:t>. .</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(1,030)</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(1,015)</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(987)</w:t>
            </w:r>
          </w:p>
        </w:tc>
      </w:tr>
      <w:tr>
        <w:trPr>
          <w:trHeight w:val="245"/>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231F20"/>
              </w:rPr>
              <w:t>Vacation ownership notes receivable collections less than originations</w:t>
            </w:r>
          </w:p>
        </w:tc>
        <w:tc>
          <w:tcPr>
            <w:tcW w:w="240" w:type="dxa"/>
            <w:vAlign w:val="bottom"/>
          </w:tcPr>
          <w:p>
            <w:pPr>
              <w:ind w:left="20"/>
              <w:spacing w:after="0"/>
              <w:rPr>
                <w:sz w:val="20"/>
                <w:szCs w:val="20"/>
                <w:color w:val="auto"/>
              </w:rPr>
            </w:pPr>
            <w:r>
              <w:rPr>
                <w:rFonts w:ascii="Times New Roman" w:cs="Times New Roman" w:eastAsia="Times New Roman" w:hAnsi="Times New Roman"/>
                <w:sz w:val="20"/>
                <w:szCs w:val="20"/>
                <w:color w:val="B8BABC"/>
              </w:rPr>
              <w:t>. .</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(351)</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(391)</w:t>
            </w:r>
          </w:p>
        </w:tc>
      </w:tr>
      <w:tr>
        <w:trPr>
          <w:trHeight w:val="20"/>
        </w:trPr>
        <w:tc>
          <w:tcPr>
            <w:tcW w:w="5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r>
    </w:tbl>
    <w:p>
      <w:pPr>
        <w:spacing w:after="0" w:line="12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231F20"/>
        </w:rPr>
        <w:t>Vacation ownership notes receivable collections were less than originations in 2025, 2024 and 2023 due to the growth of our vacation ownership notes receivable portfolio.</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9720"/>
          </w:cols>
          <w:pgMar w:left="1080" w:top="838" w:right="108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i w:val="1"/>
          <w:iCs w:val="1"/>
          <w:color w:val="231F20"/>
        </w:rPr>
        <w:t>Repurchase of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summarizes share repurchase activity under our Share Repurchase Program:</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rPr>
              <w:t>Number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65"/>
              <w:spacing w:after="0"/>
              <w:rPr>
                <w:sz w:val="20"/>
                <w:szCs w:val="20"/>
                <w:color w:val="auto"/>
              </w:rPr>
            </w:pPr>
            <w:r>
              <w:rPr>
                <w:rFonts w:ascii="Times New Roman" w:cs="Times New Roman" w:eastAsia="Times New Roman" w:hAnsi="Times New Roman"/>
                <w:sz w:val="18"/>
                <w:szCs w:val="18"/>
                <w:b w:val="1"/>
                <w:bCs w:val="1"/>
                <w:color w:val="231F20"/>
                <w:w w:val="98"/>
              </w:rPr>
              <w:t>Cost Basis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restart"/>
          </w:tcPr>
          <w:p>
            <w:pPr>
              <w:jc w:val="right"/>
              <w:ind w:right="63"/>
              <w:spacing w:after="0"/>
              <w:rPr>
                <w:sz w:val="20"/>
                <w:szCs w:val="20"/>
                <w:color w:val="auto"/>
              </w:rPr>
            </w:pPr>
            <w:r>
              <w:rPr>
                <w:rFonts w:ascii="Times New Roman" w:cs="Times New Roman" w:eastAsia="Times New Roman" w:hAnsi="Times New Roman"/>
                <w:sz w:val="18"/>
                <w:szCs w:val="18"/>
                <w:b w:val="1"/>
                <w:bCs w:val="1"/>
                <w:color w:val="231F20"/>
                <w:w w:val="97"/>
              </w:rPr>
              <w:t>Average Price</w:t>
            </w: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14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Shares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right="85"/>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Shares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360" w:type="dxa"/>
            <w:vAlign w:val="bottom"/>
          </w:tcPr>
          <w:p>
            <w:pPr>
              <w:jc w:val="right"/>
              <w:ind w:right="2565"/>
              <w:spacing w:after="0"/>
              <w:rPr>
                <w:sz w:val="20"/>
                <w:szCs w:val="20"/>
                <w:color w:val="auto"/>
              </w:rPr>
            </w:pPr>
            <w:r>
              <w:rPr>
                <w:rFonts w:ascii="Times New Roman" w:cs="Times New Roman" w:eastAsia="Times New Roman" w:hAnsi="Times New Roman"/>
                <w:sz w:val="16"/>
                <w:szCs w:val="16"/>
                <w:b w:val="1"/>
                <w:bCs w:val="1"/>
                <w:i w:val="1"/>
                <w:iCs w:val="1"/>
                <w:color w:val="231F20"/>
                <w:w w:val="99"/>
              </w:rPr>
              <w:t>($ in millions, except per share amounts)</w:t>
            </w:r>
          </w:p>
        </w:tc>
        <w:tc>
          <w:tcPr>
            <w:tcW w:w="14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Repurchased</w:t>
            </w:r>
          </w:p>
        </w:tc>
        <w:tc>
          <w:tcPr>
            <w:tcW w:w="6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jc w:val="center"/>
              <w:ind w:right="65"/>
              <w:spacing w:after="0"/>
              <w:rPr>
                <w:sz w:val="20"/>
                <w:szCs w:val="20"/>
                <w:color w:val="auto"/>
              </w:rPr>
            </w:pPr>
            <w:r>
              <w:rPr>
                <w:rFonts w:ascii="Times New Roman" w:cs="Times New Roman" w:eastAsia="Times New Roman" w:hAnsi="Times New Roman"/>
                <w:sz w:val="18"/>
                <w:szCs w:val="18"/>
                <w:b w:val="1"/>
                <w:bCs w:val="1"/>
                <w:color w:val="231F20"/>
              </w:rPr>
              <w:t>Repurchased</w:t>
            </w:r>
          </w:p>
        </w:tc>
        <w:tc>
          <w:tcPr>
            <w:tcW w:w="60" w:type="dxa"/>
            <w:vAlign w:val="bottom"/>
          </w:tcPr>
          <w:p>
            <w:pPr>
              <w:spacing w:after="0"/>
              <w:rPr>
                <w:sz w:val="20"/>
                <w:szCs w:val="20"/>
                <w:color w:val="auto"/>
              </w:rPr>
            </w:pPr>
          </w:p>
        </w:tc>
        <w:tc>
          <w:tcPr>
            <w:tcW w:w="1400" w:type="dxa"/>
            <w:vAlign w:val="bottom"/>
            <w:tcBorders>
              <w:bottom w:val="single" w:sz="8" w:color="231F20"/>
            </w:tcBorders>
            <w:gridSpan w:val="2"/>
          </w:tcPr>
          <w:p>
            <w:pPr>
              <w:jc w:val="right"/>
              <w:ind w:right="23"/>
              <w:spacing w:after="0"/>
              <w:rPr>
                <w:sz w:val="20"/>
                <w:szCs w:val="20"/>
                <w:color w:val="auto"/>
              </w:rPr>
            </w:pPr>
            <w:r>
              <w:rPr>
                <w:rFonts w:ascii="Times New Roman" w:cs="Times New Roman" w:eastAsia="Times New Roman" w:hAnsi="Times New Roman"/>
                <w:sz w:val="18"/>
                <w:szCs w:val="18"/>
                <w:b w:val="1"/>
                <w:bCs w:val="1"/>
                <w:color w:val="231F20"/>
              </w:rPr>
              <w:t>Paid per Share</w:t>
            </w:r>
          </w:p>
        </w:tc>
        <w:tc>
          <w:tcPr>
            <w:tcW w:w="0" w:type="dxa"/>
            <w:vAlign w:val="bottom"/>
          </w:tcPr>
          <w:p>
            <w:pPr>
              <w:spacing w:after="0"/>
              <w:rPr>
                <w:sz w:val="1"/>
                <w:szCs w:val="1"/>
                <w:color w:val="auto"/>
              </w:rPr>
            </w:pPr>
          </w:p>
        </w:tc>
      </w:tr>
      <w:tr>
        <w:trPr>
          <w:trHeight w:val="262"/>
        </w:trPr>
        <w:tc>
          <w:tcPr>
            <w:tcW w:w="536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 . . . . .</w:t>
            </w:r>
            <w:r>
              <w:rPr>
                <w:rFonts w:ascii="Times New Roman" w:cs="Times New Roman" w:eastAsia="Times New Roman" w:hAnsi="Times New Roman"/>
                <w:sz w:val="20"/>
                <w:szCs w:val="20"/>
                <w:color w:val="231F20"/>
              </w:rPr>
              <w:t>AsofDecember31,2024</w:t>
            </w: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25,790,550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2,461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95.40</w:t>
            </w:r>
          </w:p>
        </w:tc>
        <w:tc>
          <w:tcPr>
            <w:tcW w:w="0" w:type="dxa"/>
            <w:vAlign w:val="bottom"/>
          </w:tcPr>
          <w:p>
            <w:pPr>
              <w:spacing w:after="0"/>
              <w:rPr>
                <w:sz w:val="1"/>
                <w:szCs w:val="1"/>
                <w:color w:val="auto"/>
              </w:rPr>
            </w:pPr>
          </w:p>
        </w:tc>
      </w:tr>
      <w:tr>
        <w:trPr>
          <w:trHeight w:val="288"/>
        </w:trPr>
        <w:tc>
          <w:tcPr>
            <w:tcW w:w="5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For the year ended December 31, 2025 </w:t>
            </w:r>
            <w:r>
              <w:rPr>
                <w:rFonts w:ascii="Times New Roman" w:cs="Times New Roman" w:eastAsia="Times New Roman" w:hAnsi="Times New Roman"/>
                <w:sz w:val="20"/>
                <w:szCs w:val="20"/>
                <w:color w:val="B8BABC"/>
              </w:rPr>
              <w:t>. . . . . . . . . . . . . . . . . . .</w:t>
            </w:r>
          </w:p>
        </w:tc>
        <w:tc>
          <w:tcPr>
            <w:tcW w:w="140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20"/>
                <w:szCs w:val="20"/>
                <w:color w:val="231F20"/>
              </w:rPr>
              <w:t>1,004,613</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61.26</w:t>
            </w:r>
          </w:p>
        </w:tc>
        <w:tc>
          <w:tcPr>
            <w:tcW w:w="0" w:type="dxa"/>
            <w:vAlign w:val="bottom"/>
          </w:tcPr>
          <w:p>
            <w:pPr>
              <w:spacing w:after="0"/>
              <w:rPr>
                <w:sz w:val="1"/>
                <w:szCs w:val="1"/>
                <w:color w:val="auto"/>
              </w:rPr>
            </w:pPr>
          </w:p>
        </w:tc>
      </w:tr>
      <w:tr>
        <w:trPr>
          <w:trHeight w:val="245"/>
        </w:trPr>
        <w:tc>
          <w:tcPr>
            <w:tcW w:w="536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 . . . . .</w:t>
            </w:r>
            <w:r>
              <w:rPr>
                <w:rFonts w:ascii="Times New Roman" w:cs="Times New Roman" w:eastAsia="Times New Roman" w:hAnsi="Times New Roman"/>
                <w:sz w:val="20"/>
                <w:szCs w:val="20"/>
                <w:color w:val="231F20"/>
              </w:rPr>
              <w:t>AsofDecember31,2025</w:t>
            </w: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26,795,163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94.12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2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20"/>
          <w:szCs w:val="20"/>
          <w:color w:val="231F20"/>
        </w:rPr>
        <w:t>See Footnote 16 “Stockholders' Equity” to our Financial Statements for further information related to our current share repurchase program.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Payment of Dividends to Common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distributed cash dividends to holders of our common stock during the year ended December 31, 2025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Declaration Date</w:t>
            </w:r>
          </w:p>
        </w:tc>
        <w:tc>
          <w:tcPr>
            <w:tcW w:w="80" w:type="dxa"/>
            <w:vAlign w:val="bottom"/>
          </w:tcPr>
          <w:p>
            <w:pPr>
              <w:spacing w:after="0"/>
              <w:rPr>
                <w:sz w:val="21"/>
                <w:szCs w:val="21"/>
                <w:color w:val="auto"/>
              </w:rPr>
            </w:pPr>
          </w:p>
        </w:tc>
        <w:tc>
          <w:tcPr>
            <w:tcW w:w="26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Stockholder Record Date</w:t>
            </w:r>
          </w:p>
        </w:tc>
        <w:tc>
          <w:tcPr>
            <w:tcW w:w="80" w:type="dxa"/>
            <w:vAlign w:val="bottom"/>
          </w:tcPr>
          <w:p>
            <w:pPr>
              <w:spacing w:after="0"/>
              <w:rPr>
                <w:sz w:val="21"/>
                <w:szCs w:val="21"/>
                <w:color w:val="auto"/>
              </w:rPr>
            </w:pPr>
          </w:p>
        </w:tc>
        <w:tc>
          <w:tcPr>
            <w:tcW w:w="26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Distribution Date</w:t>
            </w:r>
          </w:p>
        </w:tc>
        <w:tc>
          <w:tcPr>
            <w:tcW w:w="80" w:type="dxa"/>
            <w:vAlign w:val="bottom"/>
          </w:tcPr>
          <w:p>
            <w:pPr>
              <w:spacing w:after="0"/>
              <w:rPr>
                <w:sz w:val="21"/>
                <w:szCs w:val="21"/>
                <w:color w:val="auto"/>
              </w:rPr>
            </w:pPr>
          </w:p>
        </w:tc>
        <w:tc>
          <w:tcPr>
            <w:tcW w:w="16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Dividend per Share</w:t>
            </w:r>
          </w:p>
        </w:tc>
      </w:tr>
      <w:tr>
        <w:trPr>
          <w:trHeight w:val="262"/>
        </w:trPr>
        <w:tc>
          <w:tcPr>
            <w:tcW w:w="2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December 6, 2024</w:t>
            </w:r>
          </w:p>
        </w:tc>
        <w:tc>
          <w:tcPr>
            <w:tcW w:w="8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December 19, 2024</w:t>
            </w:r>
          </w:p>
        </w:tc>
        <w:tc>
          <w:tcPr>
            <w:tcW w:w="80" w:type="dxa"/>
            <w:vAlign w:val="bottom"/>
          </w:tcPr>
          <w:p>
            <w:pPr>
              <w:spacing w:after="0"/>
              <w:rPr>
                <w:sz w:val="22"/>
                <w:szCs w:val="22"/>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January 3, 2025</w:t>
            </w:r>
          </w:p>
        </w:tc>
        <w:tc>
          <w:tcPr>
            <w:tcW w:w="17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rPr>
              <w:t>$0.79</w:t>
            </w:r>
          </w:p>
        </w:tc>
      </w:tr>
      <w:tr>
        <w:trPr>
          <w:trHeight w:val="285"/>
        </w:trPr>
        <w:tc>
          <w:tcPr>
            <w:tcW w:w="2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 20, 2025</w:t>
            </w:r>
          </w:p>
        </w:tc>
        <w:tc>
          <w:tcPr>
            <w:tcW w:w="8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March 5, 2025</w:t>
            </w:r>
          </w:p>
        </w:tc>
        <w:tc>
          <w:tcPr>
            <w:tcW w:w="8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March 19, 2025</w:t>
            </w:r>
          </w:p>
        </w:tc>
        <w:tc>
          <w:tcPr>
            <w:tcW w:w="17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rPr>
              <w:t>$0.79</w:t>
            </w:r>
          </w:p>
        </w:tc>
      </w:tr>
      <w:tr>
        <w:trPr>
          <w:trHeight w:val="285"/>
        </w:trPr>
        <w:tc>
          <w:tcPr>
            <w:tcW w:w="2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12, 2025</w:t>
            </w:r>
          </w:p>
        </w:tc>
        <w:tc>
          <w:tcPr>
            <w:tcW w:w="8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23, 2025</w:t>
            </w:r>
          </w:p>
        </w:tc>
        <w:tc>
          <w:tcPr>
            <w:tcW w:w="8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June 6, 2025</w:t>
            </w:r>
          </w:p>
        </w:tc>
        <w:tc>
          <w:tcPr>
            <w:tcW w:w="17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rPr>
              <w:t>$0.79</w:t>
            </w:r>
          </w:p>
        </w:tc>
      </w:tr>
      <w:tr>
        <w:trPr>
          <w:trHeight w:val="285"/>
        </w:trPr>
        <w:tc>
          <w:tcPr>
            <w:tcW w:w="2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September 3, 2025</w:t>
            </w:r>
          </w:p>
        </w:tc>
        <w:tc>
          <w:tcPr>
            <w:tcW w:w="8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September 17, 2025</w:t>
            </w:r>
          </w:p>
        </w:tc>
        <w:tc>
          <w:tcPr>
            <w:tcW w:w="8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October 1, 2025</w:t>
            </w:r>
          </w:p>
        </w:tc>
        <w:tc>
          <w:tcPr>
            <w:tcW w:w="17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rPr>
              <w:t>$0.79</w:t>
            </w:r>
          </w:p>
        </w:tc>
      </w:tr>
    </w:tbl>
    <w:p>
      <w:pPr>
        <w:spacing w:after="0" w:line="17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231F20"/>
        </w:rPr>
        <w:t>On December 12, 2025, our Board of Directors declared a quarterly dividend of $0.80 per share that was paid subsequent to the end of 2025, on January 7, 2026, to stockholders of record as of December 24, 2025.</w:t>
      </w:r>
    </w:p>
    <w:p>
      <w:pPr>
        <w:spacing w:after="0" w:line="6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0"/>
          <w:szCs w:val="20"/>
          <w:color w:val="231F20"/>
        </w:rPr>
        <w:t>Subsequent to the end of 2025, on February 19, 2026, our Board of Directors declared a quarterly dividend of $0.80 per share to be paid on March 18, 2026 to stockholders of record as of March 4, 2026.</w:t>
      </w:r>
    </w:p>
    <w:p>
      <w:pPr>
        <w:spacing w:after="0" w:line="6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231F20"/>
        </w:rPr>
        <w:t>We currently expect to pay quarterly dividends in the future, but any future dividend payments will be subject to the approval of our Board of Directors, which will depend on our financial condition, results of operations and capital requirements at the time,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Material Cash Requirements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summarizes our future material cash requirements from known contractual or other obligations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2025:</w:t>
      </w:r>
    </w:p>
    <w:p>
      <w:pPr>
        <w:spacing w:after="0" w:line="38"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2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2480" w:type="dxa"/>
            <w:vAlign w:val="bottom"/>
            <w:tcBorders>
              <w:bottom w:val="single" w:sz="8" w:color="231F20"/>
            </w:tcBorders>
            <w:gridSpan w:val="4"/>
          </w:tcPr>
          <w:p>
            <w:pPr>
              <w:jc w:val="right"/>
              <w:ind w:right="301"/>
              <w:spacing w:after="0"/>
              <w:rPr>
                <w:sz w:val="20"/>
                <w:szCs w:val="20"/>
                <w:color w:val="auto"/>
              </w:rPr>
            </w:pPr>
            <w:r>
              <w:rPr>
                <w:rFonts w:ascii="Times New Roman" w:cs="Times New Roman" w:eastAsia="Times New Roman" w:hAnsi="Times New Roman"/>
                <w:sz w:val="18"/>
                <w:szCs w:val="18"/>
                <w:b w:val="1"/>
                <w:bCs w:val="1"/>
                <w:color w:val="231F20"/>
              </w:rPr>
              <w:t>Payments Due by Period</w:t>
            </w:r>
          </w:p>
        </w:tc>
        <w:tc>
          <w:tcPr>
            <w:tcW w:w="60" w:type="dxa"/>
            <w:vAlign w:val="bottom"/>
            <w:tcBorders>
              <w:bottom w:val="single" w:sz="8" w:color="231F20"/>
            </w:tcBorders>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ind w:right="341"/>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6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82"/>
              <w:spacing w:after="0" w:line="176" w:lineRule="exact"/>
              <w:rPr>
                <w:sz w:val="20"/>
                <w:szCs w:val="20"/>
                <w:color w:val="auto"/>
              </w:rPr>
            </w:pPr>
            <w:r>
              <w:rPr>
                <w:rFonts w:ascii="Times New Roman" w:cs="Times New Roman" w:eastAsia="Times New Roman" w:hAnsi="Times New Roman"/>
                <w:sz w:val="18"/>
                <w:szCs w:val="18"/>
                <w:b w:val="1"/>
                <w:bCs w:val="1"/>
                <w:color w:val="231F20"/>
                <w:w w:val="98"/>
              </w:rPr>
              <w:t>Less Than 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ind w:right="142"/>
              <w:spacing w:after="0"/>
              <w:rPr>
                <w:sz w:val="20"/>
                <w:szCs w:val="20"/>
                <w:color w:val="auto"/>
              </w:rPr>
            </w:pPr>
            <w:r>
              <w:rPr>
                <w:rFonts w:ascii="Times New Roman" w:cs="Times New Roman" w:eastAsia="Times New Roman" w:hAnsi="Times New Roman"/>
                <w:sz w:val="18"/>
                <w:szCs w:val="18"/>
                <w:b w:val="1"/>
                <w:bCs w:val="1"/>
                <w:color w:val="231F20"/>
              </w:rPr>
              <w:t>1 - 3 Years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right"/>
              <w:ind w:right="141"/>
              <w:spacing w:after="0"/>
              <w:rPr>
                <w:sz w:val="20"/>
                <w:szCs w:val="20"/>
                <w:color w:val="auto"/>
              </w:rPr>
            </w:pPr>
            <w:r>
              <w:rPr>
                <w:rFonts w:ascii="Times New Roman" w:cs="Times New Roman" w:eastAsia="Times New Roman" w:hAnsi="Times New Roman"/>
                <w:sz w:val="18"/>
                <w:szCs w:val="18"/>
                <w:b w:val="1"/>
                <w:bCs w:val="1"/>
                <w:color w:val="231F20"/>
              </w:rPr>
              <w:t>3 - 5 Years</w:t>
            </w:r>
          </w:p>
        </w:tc>
        <w:tc>
          <w:tcPr>
            <w:tcW w:w="60" w:type="dxa"/>
            <w:vAlign w:val="bottom"/>
          </w:tcPr>
          <w:p>
            <w:pPr>
              <w:spacing w:after="0"/>
              <w:rPr>
                <w:sz w:val="15"/>
                <w:szCs w:val="15"/>
                <w:color w:val="auto"/>
              </w:rPr>
            </w:pPr>
          </w:p>
        </w:tc>
        <w:tc>
          <w:tcPr>
            <w:tcW w:w="1300" w:type="dxa"/>
            <w:vAlign w:val="bottom"/>
            <w:gridSpan w:val="2"/>
          </w:tcPr>
          <w:p>
            <w:pPr>
              <w:jc w:val="right"/>
              <w:ind w:right="41"/>
              <w:spacing w:after="0" w:line="176" w:lineRule="exact"/>
              <w:rPr>
                <w:sz w:val="20"/>
                <w:szCs w:val="20"/>
                <w:color w:val="auto"/>
              </w:rPr>
            </w:pPr>
            <w:r>
              <w:rPr>
                <w:rFonts w:ascii="Times New Roman" w:cs="Times New Roman" w:eastAsia="Times New Roman" w:hAnsi="Times New Roman"/>
                <w:sz w:val="18"/>
                <w:szCs w:val="18"/>
                <w:b w:val="1"/>
                <w:bCs w:val="1"/>
                <w:color w:val="231F20"/>
              </w:rPr>
              <w:t>More Than 5</w:t>
            </w:r>
          </w:p>
        </w:tc>
        <w:tc>
          <w:tcPr>
            <w:tcW w:w="0" w:type="dxa"/>
            <w:vAlign w:val="bottom"/>
          </w:tcPr>
          <w:p>
            <w:pPr>
              <w:spacing w:after="0"/>
              <w:rPr>
                <w:sz w:val="1"/>
                <w:szCs w:val="1"/>
                <w:color w:val="auto"/>
              </w:rPr>
            </w:pPr>
          </w:p>
        </w:tc>
      </w:tr>
      <w:tr>
        <w:trPr>
          <w:trHeight w:val="239"/>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3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right"/>
              <w:ind w:right="362"/>
              <w:spacing w:after="0"/>
              <w:rPr>
                <w:sz w:val="20"/>
                <w:szCs w:val="20"/>
                <w:color w:val="auto"/>
              </w:rPr>
            </w:pPr>
            <w:r>
              <w:rPr>
                <w:rFonts w:ascii="Times New Roman" w:cs="Times New Roman" w:eastAsia="Times New Roman" w:hAnsi="Times New Roman"/>
                <w:sz w:val="18"/>
                <w:szCs w:val="18"/>
                <w:b w:val="1"/>
                <w:bCs w:val="1"/>
                <w:color w:val="231F20"/>
              </w:rPr>
              <w:t>Year</w:t>
            </w:r>
          </w:p>
        </w:tc>
        <w:tc>
          <w:tcPr>
            <w:tcW w:w="6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231F20"/>
              </w:rPr>
              <w:t>Years</w:t>
            </w:r>
          </w:p>
        </w:tc>
        <w:tc>
          <w:tcPr>
            <w:tcW w:w="0" w:type="dxa"/>
            <w:vAlign w:val="bottom"/>
          </w:tcPr>
          <w:p>
            <w:pPr>
              <w:spacing w:after="0"/>
              <w:rPr>
                <w:sz w:val="1"/>
                <w:szCs w:val="1"/>
                <w:color w:val="auto"/>
              </w:rPr>
            </w:pPr>
          </w:p>
        </w:tc>
      </w:tr>
      <w:tr>
        <w:trPr>
          <w:trHeight w:val="317"/>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231F20"/>
                <w:w w:val="99"/>
              </w:rPr>
              <w:t>Debt</w:t>
            </w:r>
            <w:r>
              <w:rPr>
                <w:rFonts w:ascii="Times New Roman" w:cs="Times New Roman" w:eastAsia="Times New Roman" w:hAnsi="Times New Roman"/>
                <w:sz w:val="26"/>
                <w:szCs w:val="26"/>
                <w:color w:val="231F20"/>
                <w:w w:val="99"/>
                <w:vertAlign w:val="superscript"/>
              </w:rPr>
              <w:t>(1)</w:t>
            </w:r>
            <w:r>
              <w:rPr>
                <w:rFonts w:ascii="Times New Roman" w:cs="Times New Roman" w:eastAsia="Times New Roman" w:hAnsi="Times New Roman"/>
                <w:sz w:val="20"/>
                <w:szCs w:val="20"/>
                <w:color w:val="231F20"/>
                <w:w w:val="99"/>
              </w:rPr>
              <w:t xml:space="preserve">   </w:t>
            </w:r>
            <w:r>
              <w:rPr>
                <w:rFonts w:ascii="Times New Roman" w:cs="Times New Roman" w:eastAsia="Times New Roman" w:hAnsi="Times New Roman"/>
                <w:sz w:val="20"/>
                <w:szCs w:val="20"/>
                <w:color w:val="B8BABC"/>
                <w:w w:val="99"/>
              </w:rPr>
              <w:t>. . . . . . . . . . . . . . . . . . . . . .</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4,091</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1,186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1,484</w:t>
            </w:r>
          </w:p>
        </w:tc>
        <w:tc>
          <w:tcPr>
            <w:tcW w:w="0" w:type="dxa"/>
            <w:vAlign w:val="bottom"/>
          </w:tcPr>
          <w:p>
            <w:pPr>
              <w:spacing w:after="0"/>
              <w:rPr>
                <w:sz w:val="1"/>
                <w:szCs w:val="1"/>
                <w:color w:val="auto"/>
              </w:rPr>
            </w:pPr>
          </w:p>
        </w:tc>
      </w:tr>
      <w:tr>
        <w:trPr>
          <w:trHeight w:val="30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231F20"/>
                <w:w w:val="97"/>
              </w:rPr>
              <w:t>Securitized debt</w:t>
            </w:r>
            <w:r>
              <w:rPr>
                <w:rFonts w:ascii="Times New Roman" w:cs="Times New Roman" w:eastAsia="Times New Roman" w:hAnsi="Times New Roman"/>
                <w:sz w:val="26"/>
                <w:szCs w:val="26"/>
                <w:color w:val="231F20"/>
                <w:w w:val="97"/>
                <w:vertAlign w:val="superscript"/>
              </w:rPr>
              <w:t>(1)(2)</w:t>
            </w:r>
            <w:r>
              <w:rPr>
                <w:rFonts w:ascii="Times New Roman" w:cs="Times New Roman" w:eastAsia="Times New Roman" w:hAnsi="Times New Roman"/>
                <w:sz w:val="20"/>
                <w:szCs w:val="20"/>
                <w:color w:val="231F20"/>
                <w:w w:val="97"/>
              </w:rPr>
              <w:t xml:space="preserve">  </w:t>
            </w:r>
            <w:r>
              <w:rPr>
                <w:rFonts w:ascii="Times New Roman" w:cs="Times New Roman" w:eastAsia="Times New Roman" w:hAnsi="Times New Roman"/>
                <w:sz w:val="20"/>
                <w:szCs w:val="20"/>
                <w:color w:val="B8BABC"/>
                <w:w w:val="97"/>
              </w:rPr>
              <w:t>. . . . . . . . . . . .</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556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1,456</w:t>
            </w:r>
          </w:p>
        </w:tc>
        <w:tc>
          <w:tcPr>
            <w:tcW w:w="0" w:type="dxa"/>
            <w:vAlign w:val="bottom"/>
          </w:tcPr>
          <w:p>
            <w:pPr>
              <w:spacing w:after="0"/>
              <w:rPr>
                <w:sz w:val="1"/>
                <w:szCs w:val="1"/>
                <w:color w:val="auto"/>
              </w:rPr>
            </w:pPr>
          </w:p>
        </w:tc>
      </w:tr>
      <w:tr>
        <w:trPr>
          <w:trHeight w:val="30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231F20"/>
              </w:rPr>
              <w:t>Purchase obligations</w:t>
            </w:r>
            <w:r>
              <w:rPr>
                <w:rFonts w:ascii="Times New Roman" w:cs="Times New Roman" w:eastAsia="Times New Roman" w:hAnsi="Times New Roman"/>
                <w:sz w:val="26"/>
                <w:szCs w:val="26"/>
                <w:color w:val="231F20"/>
                <w:vertAlign w:val="superscript"/>
              </w:rPr>
              <w:t>(3)</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333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0" w:type="dxa"/>
            <w:vAlign w:val="bottom"/>
          </w:tcPr>
          <w:p>
            <w:pPr>
              <w:spacing w:after="0"/>
              <w:rPr>
                <w:sz w:val="1"/>
                <w:szCs w:val="1"/>
                <w:color w:val="auto"/>
              </w:rPr>
            </w:pPr>
          </w:p>
        </w:tc>
      </w:tr>
      <w:tr>
        <w:trPr>
          <w:trHeight w:val="30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231F20"/>
                <w:w w:val="99"/>
              </w:rPr>
              <w:t>Operating lease obligations</w:t>
            </w:r>
            <w:r>
              <w:rPr>
                <w:rFonts w:ascii="Times New Roman" w:cs="Times New Roman" w:eastAsia="Times New Roman" w:hAnsi="Times New Roman"/>
                <w:sz w:val="26"/>
                <w:szCs w:val="26"/>
                <w:color w:val="231F20"/>
                <w:w w:val="99"/>
                <w:vertAlign w:val="superscript"/>
              </w:rPr>
              <w:t>(4)</w:t>
            </w:r>
            <w:r>
              <w:rPr>
                <w:rFonts w:ascii="Times New Roman" w:cs="Times New Roman" w:eastAsia="Times New Roman" w:hAnsi="Times New Roman"/>
                <w:sz w:val="20"/>
                <w:szCs w:val="20"/>
                <w:color w:val="231F20"/>
                <w:w w:val="99"/>
              </w:rPr>
              <w:t xml:space="preserve"> </w:t>
            </w:r>
            <w:r>
              <w:rPr>
                <w:rFonts w:ascii="Times New Roman" w:cs="Times New Roman" w:eastAsia="Times New Roman" w:hAnsi="Times New Roman"/>
                <w:sz w:val="20"/>
                <w:szCs w:val="20"/>
                <w:color w:val="B8BABC"/>
                <w:w w:val="99"/>
              </w:rPr>
              <w:t>. . . . .</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28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0" w:type="dxa"/>
            <w:vAlign w:val="bottom"/>
          </w:tcPr>
          <w:p>
            <w:pPr>
              <w:spacing w:after="0"/>
              <w:rPr>
                <w:sz w:val="1"/>
                <w:szCs w:val="1"/>
                <w:color w:val="auto"/>
              </w:rPr>
            </w:pPr>
          </w:p>
        </w:tc>
      </w:tr>
      <w:tr>
        <w:trPr>
          <w:trHeight w:val="30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231F20"/>
              </w:rPr>
              <w:t>Finance lease obligations</w:t>
            </w:r>
            <w:r>
              <w:rPr>
                <w:rFonts w:ascii="Times New Roman" w:cs="Times New Roman" w:eastAsia="Times New Roman" w:hAnsi="Times New Roman"/>
                <w:sz w:val="26"/>
                <w:szCs w:val="26"/>
                <w:color w:val="231F20"/>
                <w:vertAlign w:val="superscript"/>
              </w:rPr>
              <w:t>(4)</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448</w:t>
            </w:r>
          </w:p>
        </w:tc>
        <w:tc>
          <w:tcPr>
            <w:tcW w:w="0" w:type="dxa"/>
            <w:vAlign w:val="bottom"/>
          </w:tcPr>
          <w:p>
            <w:pPr>
              <w:spacing w:after="0"/>
              <w:rPr>
                <w:sz w:val="1"/>
                <w:szCs w:val="1"/>
                <w:color w:val="auto"/>
              </w:rPr>
            </w:pPr>
          </w:p>
        </w:tc>
      </w:tr>
      <w:tr>
        <w:trPr>
          <w:trHeight w:val="263"/>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Other long-term obligations </w:t>
            </w:r>
            <w:r>
              <w:rPr>
                <w:rFonts w:ascii="Times New Roman" w:cs="Times New Roman" w:eastAsia="Times New Roman" w:hAnsi="Times New Roman"/>
                <w:sz w:val="20"/>
                <w:szCs w:val="20"/>
                <w:color w:val="B8BABC"/>
              </w:rPr>
              <w:t>. . . . . .</w:t>
            </w:r>
          </w:p>
        </w:tc>
        <w:tc>
          <w:tcPr>
            <w:tcW w:w="30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6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60" w:type="dxa"/>
            <w:vAlign w:val="bottom"/>
          </w:tcPr>
          <w:p>
            <w:pPr>
              <w:spacing w:after="0"/>
              <w:rPr>
                <w:sz w:val="22"/>
                <w:szCs w:val="22"/>
                <w:color w:val="auto"/>
              </w:rPr>
            </w:pPr>
          </w:p>
        </w:tc>
        <w:tc>
          <w:tcPr>
            <w:tcW w:w="20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0"/>
        </w:trPr>
        <w:tc>
          <w:tcPr>
            <w:tcW w:w="2900" w:type="dxa"/>
            <w:vAlign w:val="bottom"/>
          </w:tcPr>
          <w:p>
            <w:pPr>
              <w:spacing w:after="0"/>
              <w:rPr>
                <w:sz w:val="22"/>
                <w:szCs w:val="22"/>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8,178</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2,135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1,330</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3,423</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ind w:left="360" w:hanging="360"/>
        <w:spacing w:after="0"/>
        <w:tabs>
          <w:tab w:leader="none" w:pos="360" w:val="left"/>
        </w:tabs>
        <w:numPr>
          <w:ilvl w:val="0"/>
          <w:numId w:val="31"/>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Includes principal as well as interest payments and excludes unamortized debt discount and issuance costs.</w:t>
      </w:r>
    </w:p>
    <w:p>
      <w:pPr>
        <w:spacing w:after="0" w:line="61" w:lineRule="exact"/>
        <w:rPr>
          <w:rFonts w:ascii="Times New Roman" w:cs="Times New Roman" w:eastAsia="Times New Roman" w:hAnsi="Times New Roman"/>
          <w:sz w:val="26"/>
          <w:szCs w:val="26"/>
          <w:color w:val="231F20"/>
          <w:vertAlign w:val="superscript"/>
        </w:rPr>
      </w:pPr>
    </w:p>
    <w:p>
      <w:pPr>
        <w:ind w:left="360" w:hanging="360"/>
        <w:spacing w:after="0" w:line="191" w:lineRule="auto"/>
        <w:tabs>
          <w:tab w:leader="none" w:pos="360" w:val="left"/>
        </w:tabs>
        <w:numPr>
          <w:ilvl w:val="0"/>
          <w:numId w:val="31"/>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Payments based on estimated timing of cash flow associated with securitized notes receivable.</w:t>
      </w:r>
    </w:p>
    <w:p>
      <w:pPr>
        <w:spacing w:after="0" w:line="62" w:lineRule="exact"/>
        <w:rPr>
          <w:rFonts w:ascii="Times New Roman" w:cs="Times New Roman" w:eastAsia="Times New Roman" w:hAnsi="Times New Roman"/>
          <w:sz w:val="26"/>
          <w:szCs w:val="26"/>
          <w:color w:val="231F20"/>
          <w:vertAlign w:val="superscript"/>
        </w:rPr>
      </w:pPr>
    </w:p>
    <w:p>
      <w:pPr>
        <w:ind w:left="360" w:right="400" w:hanging="360"/>
        <w:spacing w:after="0" w:line="226" w:lineRule="auto"/>
        <w:tabs>
          <w:tab w:leader="none" w:pos="360" w:val="left"/>
        </w:tabs>
        <w:numPr>
          <w:ilvl w:val="0"/>
          <w:numId w:val="31"/>
        </w:numPr>
        <w:rPr>
          <w:rFonts w:ascii="Times New Roman" w:cs="Times New Roman" w:eastAsia="Times New Roman" w:hAnsi="Times New Roman"/>
          <w:sz w:val="25"/>
          <w:szCs w:val="25"/>
          <w:color w:val="231F20"/>
          <w:vertAlign w:val="superscript"/>
        </w:rPr>
      </w:pPr>
      <w:r>
        <w:rPr>
          <w:rFonts w:ascii="Times New Roman" w:cs="Times New Roman" w:eastAsia="Times New Roman" w:hAnsi="Times New Roman"/>
          <w:sz w:val="19"/>
          <w:szCs w:val="19"/>
          <w:color w:val="231F20"/>
        </w:rPr>
        <w:t>Arrangements are considered purchase obligations if a contract specifies all significant terms, including fixed or minimum quantities to be purchased, a pricing structure, and approximate timing of the transaction. Amounts</w:t>
      </w:r>
    </w:p>
    <w:p>
      <w:pPr>
        <w:sectPr>
          <w:pgSz w:w="11880" w:h="15480" w:orient="portrait"/>
          <w:cols w:equalWidth="0" w:num="1">
            <w:col w:w="9720"/>
          </w:cols>
          <w:pgMar w:left="1080" w:top="834" w:right="108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9720"/>
          </w:cols>
          <w:pgMar w:left="1080" w:top="834" w:right="1080" w:bottom="0" w:gutter="0" w:footer="0" w:header="0"/>
          <w:type w:val="continuous"/>
        </w:sectPr>
      </w:pPr>
    </w:p>
    <w:bookmarkStart w:id="66" w:name="page67"/>
    <w:bookmarkEnd w:id="66"/>
    <w:p>
      <w:pPr>
        <w:ind w:left="360" w:right="260"/>
        <w:spacing w:after="0" w:line="260" w:lineRule="auto"/>
        <w:rPr>
          <w:sz w:val="20"/>
          <w:szCs w:val="20"/>
          <w:color w:val="auto"/>
        </w:rPr>
      </w:pPr>
      <w:r>
        <w:rPr>
          <w:rFonts w:ascii="Times New Roman" w:cs="Times New Roman" w:eastAsia="Times New Roman" w:hAnsi="Times New Roman"/>
          <w:sz w:val="20"/>
          <w:szCs w:val="20"/>
          <w:color w:val="231F20"/>
        </w:rPr>
        <w:t>reflected herein represent expected funding requirements under such contracts and primarily relate to future purchases of property and vacation ownership units, outsourced services, and arrangements related to information technology, including cloud computing. Amounts reflected on the consolidated balance sheet as accounts payable and accrued liabilities are excluded from the table above.</w:t>
      </w:r>
    </w:p>
    <w:p>
      <w:pPr>
        <w:spacing w:after="0" w:line="45" w:lineRule="exact"/>
        <w:rPr>
          <w:sz w:val="20"/>
          <w:szCs w:val="20"/>
          <w:color w:val="auto"/>
        </w:rPr>
      </w:pPr>
    </w:p>
    <w:p>
      <w:pPr>
        <w:ind w:left="360" w:hanging="360"/>
        <w:spacing w:after="0"/>
        <w:tabs>
          <w:tab w:leader="none" w:pos="360" w:val="left"/>
        </w:tabs>
        <w:numPr>
          <w:ilvl w:val="0"/>
          <w:numId w:val="32"/>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Includes interest.</w:t>
      </w:r>
    </w:p>
    <w:p>
      <w:pPr>
        <w:spacing w:after="0" w:line="10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231F20"/>
        </w:rPr>
        <w:t>In the normal course of our resort management business, we enter into purchase commitments on behalf of owners’ associations to manage the daily operating needs of our resorts. Since we are reimbursed for these commitments from the cash flows of the owners’ associations, these obligations have minimal impact on our net income or loss and cash flow. These purchase commitments are excluded from the table above.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Supplemental Guarantor Information</w:t>
      </w:r>
    </w:p>
    <w:p>
      <w:pPr>
        <w:spacing w:after="0" w:line="13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231F20"/>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231F20"/>
        </w:rPr>
        <w:t>The following tables present consolidating financial information as of December 31, 2025, and for the fiscal year ended December 31, 2025, for MVWC and MORI on a stand-alone basis (collectively, the “Issuers”), the Senior Notes Guarantors, the combined non-guarantor subsidiaries of MVWC, and MVW on a consolidated basis.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Condensed Consolidating Balance Sheet</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352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56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2280" w:type="dxa"/>
            <w:vAlign w:val="bottom"/>
            <w:tcBorders>
              <w:bottom w:val="single" w:sz="8" w:color="231F20"/>
            </w:tcBorders>
            <w:gridSpan w:val="6"/>
          </w:tcPr>
          <w:p>
            <w:pPr>
              <w:ind w:left="280"/>
              <w:spacing w:after="0"/>
              <w:rPr>
                <w:sz w:val="20"/>
                <w:szCs w:val="20"/>
                <w:color w:val="auto"/>
              </w:rPr>
            </w:pPr>
            <w:r>
              <w:rPr>
                <w:rFonts w:ascii="Times New Roman" w:cs="Times New Roman" w:eastAsia="Times New Roman" w:hAnsi="Times New Roman"/>
                <w:sz w:val="18"/>
                <w:szCs w:val="18"/>
                <w:b w:val="1"/>
                <w:bCs w:val="1"/>
                <w:color w:val="231F20"/>
              </w:rPr>
              <w:t>As of December 31, 2025</w:t>
            </w:r>
          </w:p>
        </w:tc>
        <w:tc>
          <w:tcPr>
            <w:tcW w:w="84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231F20"/>
              </w:rPr>
              <w:t>Issuers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62"/>
              <w:spacing w:after="0"/>
              <w:rPr>
                <w:sz w:val="20"/>
                <w:szCs w:val="20"/>
                <w:color w:val="auto"/>
              </w:rPr>
            </w:pPr>
            <w:r>
              <w:rPr>
                <w:rFonts w:ascii="Times New Roman" w:cs="Times New Roman" w:eastAsia="Times New Roman" w:hAnsi="Times New Roman"/>
                <w:sz w:val="18"/>
                <w:szCs w:val="18"/>
                <w:b w:val="1"/>
                <w:bCs w:val="1"/>
                <w:color w:val="231F20"/>
              </w:rPr>
              <w:t>Senior</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center"/>
              <w:ind w:right="160"/>
              <w:spacing w:after="0"/>
              <w:rPr>
                <w:sz w:val="20"/>
                <w:szCs w:val="20"/>
                <w:color w:val="auto"/>
              </w:rPr>
            </w:pPr>
            <w:r>
              <w:rPr>
                <w:rFonts w:ascii="Times New Roman" w:cs="Times New Roman" w:eastAsia="Times New Roman" w:hAnsi="Times New Roman"/>
                <w:sz w:val="18"/>
                <w:szCs w:val="18"/>
                <w:b w:val="1"/>
                <w:bCs w:val="1"/>
                <w:color w:val="231F20"/>
                <w:w w:val="99"/>
              </w:rPr>
              <w:t>Non-</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231F20"/>
              </w:rPr>
              <w:t>MVW</w:t>
            </w:r>
          </w:p>
        </w:tc>
        <w:tc>
          <w:tcPr>
            <w:tcW w:w="0" w:type="dxa"/>
            <w:vAlign w:val="bottom"/>
          </w:tcPr>
          <w:p>
            <w:pPr>
              <w:spacing w:after="0"/>
              <w:rPr>
                <w:sz w:val="1"/>
                <w:szCs w:val="1"/>
                <w:color w:val="auto"/>
              </w:rPr>
            </w:pPr>
          </w:p>
        </w:tc>
      </w:tr>
      <w:tr>
        <w:trPr>
          <w:trHeight w:val="59"/>
        </w:trPr>
        <w:tc>
          <w:tcPr>
            <w:tcW w:w="3520" w:type="dxa"/>
            <w:vAlign w:val="bottom"/>
          </w:tcPr>
          <w:p>
            <w:pPr>
              <w:spacing w:after="0"/>
              <w:rPr>
                <w:sz w:val="5"/>
                <w:szCs w:val="5"/>
                <w:color w:val="auto"/>
              </w:rPr>
            </w:pPr>
          </w:p>
        </w:tc>
        <w:tc>
          <w:tcPr>
            <w:tcW w:w="200" w:type="dxa"/>
            <w:vAlign w:val="bottom"/>
            <w:tcBorders>
              <w:bottom w:val="single" w:sz="8" w:color="231F20"/>
            </w:tcBorders>
          </w:tcPr>
          <w:p>
            <w:pPr>
              <w:spacing w:after="0"/>
              <w:rPr>
                <w:sz w:val="5"/>
                <w:szCs w:val="5"/>
                <w:color w:val="auto"/>
              </w:rPr>
            </w:pPr>
          </w:p>
        </w:tc>
        <w:tc>
          <w:tcPr>
            <w:tcW w:w="580" w:type="dxa"/>
            <w:vAlign w:val="bottom"/>
            <w:tcBorders>
              <w:bottom w:val="single" w:sz="8" w:color="231F20"/>
            </w:tcBorders>
          </w:tcPr>
          <w:p>
            <w:pPr>
              <w:spacing w:after="0"/>
              <w:rPr>
                <w:sz w:val="5"/>
                <w:szCs w:val="5"/>
                <w:color w:val="auto"/>
              </w:rPr>
            </w:pPr>
          </w:p>
        </w:tc>
        <w:tc>
          <w:tcPr>
            <w:tcW w:w="60" w:type="dxa"/>
            <w:vAlign w:val="bottom"/>
            <w:tcBorders>
              <w:bottom w:val="single" w:sz="8" w:color="231F20"/>
            </w:tcBorders>
          </w:tcPr>
          <w:p>
            <w:pPr>
              <w:spacing w:after="0"/>
              <w:rPr>
                <w:sz w:val="5"/>
                <w:szCs w:val="5"/>
                <w:color w:val="auto"/>
              </w:rPr>
            </w:pPr>
          </w:p>
        </w:tc>
        <w:tc>
          <w:tcPr>
            <w:tcW w:w="160" w:type="dxa"/>
            <w:vAlign w:val="bottom"/>
            <w:tcBorders>
              <w:bottom w:val="single" w:sz="8" w:color="231F20"/>
            </w:tcBorders>
          </w:tcPr>
          <w:p>
            <w:pPr>
              <w:spacing w:after="0"/>
              <w:rPr>
                <w:sz w:val="5"/>
                <w:szCs w:val="5"/>
                <w:color w:val="auto"/>
              </w:rPr>
            </w:pPr>
          </w:p>
        </w:tc>
        <w:tc>
          <w:tcPr>
            <w:tcW w:w="560" w:type="dxa"/>
            <w:vAlign w:val="bottom"/>
            <w:tcBorders>
              <w:bottom w:val="single" w:sz="8" w:color="231F20"/>
            </w:tcBorders>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restart"/>
          </w:tcPr>
          <w:p>
            <w:pPr>
              <w:jc w:val="right"/>
              <w:ind w:right="182"/>
              <w:spacing w:after="0" w:line="129" w:lineRule="exact"/>
              <w:rPr>
                <w:sz w:val="20"/>
                <w:szCs w:val="20"/>
                <w:color w:val="auto"/>
              </w:rPr>
            </w:pPr>
            <w:r>
              <w:rPr>
                <w:rFonts w:ascii="Times New Roman" w:cs="Times New Roman" w:eastAsia="Times New Roman" w:hAnsi="Times New Roman"/>
                <w:sz w:val="14"/>
                <w:szCs w:val="14"/>
                <w:b w:val="1"/>
                <w:bCs w:val="1"/>
                <w:color w:val="231F20"/>
              </w:rPr>
              <w:t>Notes</w:t>
            </w:r>
          </w:p>
        </w:tc>
        <w:tc>
          <w:tcPr>
            <w:tcW w:w="60" w:type="dxa"/>
            <w:vAlign w:val="bottom"/>
            <w:vMerge w:val="restart"/>
          </w:tcPr>
          <w:p>
            <w:pPr>
              <w:spacing w:after="0"/>
              <w:rPr>
                <w:sz w:val="5"/>
                <w:szCs w:val="5"/>
                <w:color w:val="auto"/>
              </w:rPr>
            </w:pPr>
          </w:p>
        </w:tc>
        <w:tc>
          <w:tcPr>
            <w:tcW w:w="110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231F20"/>
              </w:rPr>
              <w:t>Guarantor</w:t>
            </w: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3520" w:type="dxa"/>
            <w:vAlign w:val="bottom"/>
          </w:tcPr>
          <w:p>
            <w:pPr>
              <w:spacing w:after="0"/>
              <w:rPr>
                <w:sz w:val="4"/>
                <w:szCs w:val="4"/>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231F20"/>
              </w:rPr>
              <w:t>MVWC</w:t>
            </w:r>
          </w:p>
        </w:tc>
        <w:tc>
          <w:tcPr>
            <w:tcW w:w="60" w:type="dxa"/>
            <w:vAlign w:val="bottom"/>
          </w:tcPr>
          <w:p>
            <w:pPr>
              <w:spacing w:after="0"/>
              <w:rPr>
                <w:sz w:val="4"/>
                <w:szCs w:val="4"/>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231F20"/>
              </w:rPr>
              <w:t>MORI</w:t>
            </w: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520" w:type="dxa"/>
            <w:vAlign w:val="bottom"/>
          </w:tcPr>
          <w:p>
            <w:pPr>
              <w:jc w:val="right"/>
              <w:ind w:right="2501"/>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780" w:type="dxa"/>
            <w:vAlign w:val="bottom"/>
            <w:tcBorders>
              <w:bottom w:val="single" w:sz="8" w:color="231F20"/>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bottom w:val="single" w:sz="8" w:color="231F20"/>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Guarantors</w:t>
            </w:r>
          </w:p>
        </w:tc>
        <w:tc>
          <w:tcPr>
            <w:tcW w:w="60" w:type="dxa"/>
            <w:vAlign w:val="bottom"/>
          </w:tcPr>
          <w:p>
            <w:pPr>
              <w:spacing w:after="0"/>
              <w:rPr>
                <w:sz w:val="19"/>
                <w:szCs w:val="19"/>
                <w:color w:val="auto"/>
              </w:rPr>
            </w:pPr>
          </w:p>
        </w:tc>
        <w:tc>
          <w:tcPr>
            <w:tcW w:w="110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Subsidiaries</w:t>
            </w:r>
          </w:p>
        </w:tc>
        <w:tc>
          <w:tcPr>
            <w:tcW w:w="60" w:type="dxa"/>
            <w:vAlign w:val="bottom"/>
          </w:tcPr>
          <w:p>
            <w:pPr>
              <w:spacing w:after="0"/>
              <w:rPr>
                <w:sz w:val="19"/>
                <w:szCs w:val="19"/>
                <w:color w:val="auto"/>
              </w:rPr>
            </w:pPr>
          </w:p>
        </w:tc>
        <w:tc>
          <w:tcPr>
            <w:tcW w:w="110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Eliminations</w:t>
            </w:r>
          </w:p>
        </w:tc>
        <w:tc>
          <w:tcPr>
            <w:tcW w:w="60" w:type="dxa"/>
            <w:vAlign w:val="bottom"/>
          </w:tcPr>
          <w:p>
            <w:pPr>
              <w:spacing w:after="0"/>
              <w:rPr>
                <w:sz w:val="19"/>
                <w:szCs w:val="19"/>
                <w:color w:val="auto"/>
              </w:rPr>
            </w:pPr>
          </w:p>
        </w:tc>
        <w:tc>
          <w:tcPr>
            <w:tcW w:w="112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Consolidated</w:t>
            </w:r>
          </w:p>
        </w:tc>
        <w:tc>
          <w:tcPr>
            <w:tcW w:w="0" w:type="dxa"/>
            <w:vAlign w:val="bottom"/>
          </w:tcPr>
          <w:p>
            <w:pPr>
              <w:spacing w:after="0"/>
              <w:rPr>
                <w:sz w:val="1"/>
                <w:szCs w:val="1"/>
                <w:color w:val="auto"/>
              </w:rPr>
            </w:pPr>
          </w:p>
        </w:tc>
      </w:tr>
      <w:tr>
        <w:trPr>
          <w:trHeight w:val="262"/>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w:t>
            </w:r>
            <w:r>
              <w:rPr>
                <w:rFonts w:ascii="Times New Roman" w:cs="Times New Roman" w:eastAsia="Times New Roman" w:hAnsi="Times New Roman"/>
                <w:sz w:val="20"/>
                <w:szCs w:val="20"/>
                <w:color w:val="231F20"/>
              </w:rPr>
              <w:t>Cashandcashequivalents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132</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406</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Restricted cash </w:t>
            </w:r>
            <w:r>
              <w:rPr>
                <w:rFonts w:ascii="Times New Roman" w:cs="Times New Roman" w:eastAsia="Times New Roman" w:hAnsi="Times New Roman"/>
                <w:sz w:val="20"/>
                <w:szCs w:val="20"/>
                <w:color w:val="B8BABC"/>
              </w:rPr>
              <w:t>. . . . . . . . . . . . . . . . . . . . .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327</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Accounts and contracts receivable, net </w:t>
            </w:r>
            <w:r>
              <w:rPr>
                <w:rFonts w:ascii="Times New Roman" w:cs="Times New Roman" w:eastAsia="Times New Roman" w:hAnsi="Times New Roman"/>
                <w:sz w:val="20"/>
                <w:szCs w:val="20"/>
                <w:color w:val="B8BABC"/>
                <w:w w:val="99"/>
              </w:rPr>
              <w:t>. . .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428</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Vacation ownership notes receivable, net </w:t>
            </w:r>
            <w:r>
              <w:rPr>
                <w:rFonts w:ascii="Times New Roman" w:cs="Times New Roman" w:eastAsia="Times New Roman" w:hAnsi="Times New Roman"/>
                <w:sz w:val="20"/>
                <w:szCs w:val="20"/>
                <w:color w:val="B8BABC"/>
              </w:rPr>
              <w:t>.</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2,122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2,565</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Inventory </w:t>
            </w:r>
            <w:r>
              <w:rPr>
                <w:rFonts w:ascii="Times New Roman" w:cs="Times New Roman" w:eastAsia="Times New Roman" w:hAnsi="Times New Roman"/>
                <w:sz w:val="20"/>
                <w:szCs w:val="20"/>
                <w:color w:val="B8BABC"/>
                <w:w w:val="99"/>
              </w:rPr>
              <w:t>. . . . . . . . . . . . . . . . . . . . . . . . . .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692</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Property and equipment, net </w:t>
            </w:r>
            <w:r>
              <w:rPr>
                <w:rFonts w:ascii="Times New Roman" w:cs="Times New Roman" w:eastAsia="Times New Roman" w:hAnsi="Times New Roman"/>
                <w:sz w:val="20"/>
                <w:szCs w:val="20"/>
                <w:color w:val="B8BABC"/>
                <w:w w:val="99"/>
              </w:rPr>
              <w:t>. . . . . . . . . . .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950</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Goodwill </w:t>
            </w:r>
            <w:r>
              <w:rPr>
                <w:rFonts w:ascii="Times New Roman" w:cs="Times New Roman" w:eastAsia="Times New Roman" w:hAnsi="Times New Roman"/>
                <w:sz w:val="20"/>
                <w:szCs w:val="20"/>
                <w:color w:val="B8BABC"/>
              </w:rPr>
              <w:t>. . . . . . . . . . . . . . . . . . . . . . . . . .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2,958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2,958</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Intangibles, net </w:t>
            </w:r>
            <w:r>
              <w:rPr>
                <w:rFonts w:ascii="Times New Roman" w:cs="Times New Roman" w:eastAsia="Times New Roman" w:hAnsi="Times New Roman"/>
                <w:sz w:val="20"/>
                <w:szCs w:val="20"/>
                <w:color w:val="B8BABC"/>
              </w:rPr>
              <w:t>. . . . . . . . . . . . . . . . . . . . .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711</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Investments in subsidiaries </w:t>
            </w:r>
            <w:r>
              <w:rPr>
                <w:rFonts w:ascii="Times New Roman" w:cs="Times New Roman" w:eastAsia="Times New Roman" w:hAnsi="Times New Roman"/>
                <w:sz w:val="20"/>
                <w:szCs w:val="20"/>
                <w:color w:val="B8BABC"/>
                <w:w w:val="99"/>
              </w:rPr>
              <w:t>. . . . . . . . . . . .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2,894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3,592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(6,486)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8"/>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w:t>
            </w:r>
          </w:p>
        </w:tc>
        <w:tc>
          <w:tcPr>
            <w:tcW w:w="20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180</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155</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323</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191</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(129)</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720</w:t>
            </w:r>
          </w:p>
        </w:tc>
        <w:tc>
          <w:tcPr>
            <w:tcW w:w="0" w:type="dxa"/>
            <w:vAlign w:val="bottom"/>
          </w:tcPr>
          <w:p>
            <w:pPr>
              <w:spacing w:after="0"/>
              <w:rPr>
                <w:sz w:val="1"/>
                <w:szCs w:val="1"/>
                <w:color w:val="auto"/>
              </w:rPr>
            </w:pPr>
          </w:p>
        </w:tc>
      </w:tr>
      <w:tr>
        <w:trPr>
          <w:trHeight w:val="24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w:t>
            </w:r>
            <w:r>
              <w:rPr>
                <w:rFonts w:ascii="Times New Roman" w:cs="Times New Roman" w:eastAsia="Times New Roman" w:hAnsi="Times New Roman"/>
                <w:sz w:val="20"/>
                <w:szCs w:val="20"/>
                <w:color w:val="231F20"/>
              </w:rPr>
              <w:t>Totalassets</w:t>
            </w: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3,230</w:t>
            </w:r>
          </w:p>
        </w:tc>
        <w:tc>
          <w:tcPr>
            <w:tcW w:w="60" w:type="dxa"/>
            <w:vAlign w:val="bottom"/>
          </w:tcPr>
          <w:p>
            <w:pPr>
              <w:spacing w:after="0"/>
              <w:rPr>
                <w:sz w:val="21"/>
                <w:szCs w:val="21"/>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4,800</w:t>
            </w:r>
          </w:p>
        </w:tc>
        <w:tc>
          <w:tcPr>
            <w:tcW w:w="60" w:type="dxa"/>
            <w:vAlign w:val="bottom"/>
          </w:tcPr>
          <w:p>
            <w:pPr>
              <w:spacing w:after="0"/>
              <w:rPr>
                <w:sz w:val="21"/>
                <w:szCs w:val="21"/>
                <w:color w:val="auto"/>
              </w:rPr>
            </w:pPr>
          </w:p>
        </w:tc>
        <w:tc>
          <w:tcPr>
            <w:tcW w:w="22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5,360</w:t>
            </w:r>
          </w:p>
        </w:tc>
        <w:tc>
          <w:tcPr>
            <w:tcW w:w="60" w:type="dxa"/>
            <w:vAlign w:val="bottom"/>
          </w:tcPr>
          <w:p>
            <w:pPr>
              <w:spacing w:after="0"/>
              <w:rPr>
                <w:sz w:val="21"/>
                <w:szCs w:val="21"/>
                <w:color w:val="auto"/>
              </w:rPr>
            </w:pPr>
          </w:p>
        </w:tc>
        <w:tc>
          <w:tcPr>
            <w:tcW w:w="260" w:type="dxa"/>
            <w:vAlign w:val="bottom"/>
            <w:tcBorders>
              <w:bottom w:val="single" w:sz="8" w:color="231F20"/>
            </w:tcBorders>
          </w:tcPr>
          <w:p>
            <w:pPr>
              <w:jc w:val="right"/>
              <w:ind w:right="13"/>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2,993</w:t>
            </w:r>
          </w:p>
        </w:tc>
        <w:tc>
          <w:tcPr>
            <w:tcW w:w="60" w:type="dxa"/>
            <w:vAlign w:val="bottom"/>
          </w:tcPr>
          <w:p>
            <w:pPr>
              <w:spacing w:after="0"/>
              <w:rPr>
                <w:sz w:val="21"/>
                <w:szCs w:val="21"/>
                <w:color w:val="auto"/>
              </w:rPr>
            </w:pPr>
          </w:p>
        </w:tc>
        <w:tc>
          <w:tcPr>
            <w:tcW w:w="26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(6,626)</w:t>
            </w:r>
          </w:p>
        </w:tc>
        <w:tc>
          <w:tcPr>
            <w:tcW w:w="60" w:type="dxa"/>
            <w:vAlign w:val="bottom"/>
          </w:tcPr>
          <w:p>
            <w:pPr>
              <w:spacing w:after="0"/>
              <w:rPr>
                <w:sz w:val="21"/>
                <w:szCs w:val="21"/>
                <w:color w:val="auto"/>
              </w:rPr>
            </w:pPr>
          </w:p>
        </w:tc>
        <w:tc>
          <w:tcPr>
            <w:tcW w:w="24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9,757</w:t>
            </w:r>
          </w:p>
        </w:tc>
        <w:tc>
          <w:tcPr>
            <w:tcW w:w="0" w:type="dxa"/>
            <w:vAlign w:val="bottom"/>
          </w:tcPr>
          <w:p>
            <w:pPr>
              <w:spacing w:after="0"/>
              <w:rPr>
                <w:sz w:val="1"/>
                <w:szCs w:val="1"/>
                <w:color w:val="auto"/>
              </w:rPr>
            </w:pPr>
          </w:p>
        </w:tc>
      </w:tr>
      <w:tr>
        <w:trPr>
          <w:trHeight w:val="20"/>
        </w:trPr>
        <w:tc>
          <w:tcPr>
            <w:tcW w:w="35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 xml:space="preserve">Accounts payable </w:t>
            </w:r>
            <w:r>
              <w:rPr>
                <w:rFonts w:ascii="Times New Roman" w:cs="Times New Roman" w:eastAsia="Times New Roman" w:hAnsi="Times New Roman"/>
                <w:sz w:val="20"/>
                <w:szCs w:val="20"/>
                <w:color w:val="B8BABC"/>
              </w:rPr>
              <w:t>. . . . . . . . . . . . . . . . . . . .</w:t>
            </w:r>
          </w:p>
        </w:tc>
        <w:tc>
          <w:tcPr>
            <w:tcW w:w="20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3520" w:type="dxa"/>
            <w:vAlign w:val="bottom"/>
            <w:vMerge w:val="continue"/>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358</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Advance deposits </w:t>
            </w:r>
            <w:r>
              <w:rPr>
                <w:rFonts w:ascii="Times New Roman" w:cs="Times New Roman" w:eastAsia="Times New Roman" w:hAnsi="Times New Roman"/>
                <w:sz w:val="20"/>
                <w:szCs w:val="20"/>
                <w:color w:val="B8BABC"/>
              </w:rPr>
              <w:t>. . . . . . . . . . . . . . . . . . .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Accrued liabilities </w:t>
            </w:r>
            <w:r>
              <w:rPr>
                <w:rFonts w:ascii="Times New Roman" w:cs="Times New Roman" w:eastAsia="Times New Roman" w:hAnsi="Times New Roman"/>
                <w:sz w:val="20"/>
                <w:szCs w:val="20"/>
                <w:color w:val="B8BABC"/>
                <w:w w:val="99"/>
              </w:rPr>
              <w:t>. . . . . . . . . . . . . . . . . . .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376</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Deferred revenue and other </w:t>
            </w:r>
            <w:r>
              <w:rPr>
                <w:rFonts w:ascii="Times New Roman" w:cs="Times New Roman" w:eastAsia="Times New Roman" w:hAnsi="Times New Roman"/>
                <w:sz w:val="20"/>
                <w:szCs w:val="20"/>
                <w:color w:val="B8BABC"/>
              </w:rPr>
              <w:t>. . . . . . . . . . .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371</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Payroll and benefits liability </w:t>
            </w:r>
            <w:r>
              <w:rPr>
                <w:rFonts w:ascii="Times New Roman" w:cs="Times New Roman" w:eastAsia="Times New Roman" w:hAnsi="Times New Roman"/>
                <w:sz w:val="20"/>
                <w:szCs w:val="20"/>
                <w:color w:val="B8BABC"/>
                <w:w w:val="99"/>
              </w:rPr>
              <w:t>. . . . . . . . . . .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Deferred compensation liability </w:t>
            </w:r>
            <w:r>
              <w:rPr>
                <w:rFonts w:ascii="Times New Roman" w:cs="Times New Roman" w:eastAsia="Times New Roman" w:hAnsi="Times New Roman"/>
                <w:sz w:val="20"/>
                <w:szCs w:val="20"/>
                <w:color w:val="B8BABC"/>
                <w:w w:val="99"/>
              </w:rPr>
              <w:t>. . . . . . . .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225</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Securitized debt, net </w:t>
            </w:r>
            <w:r>
              <w:rPr>
                <w:rFonts w:ascii="Times New Roman" w:cs="Times New Roman" w:eastAsia="Times New Roman" w:hAnsi="Times New Roman"/>
                <w:sz w:val="20"/>
                <w:szCs w:val="20"/>
                <w:color w:val="B8BABC"/>
              </w:rPr>
              <w:t>. . . . . . . . . . . . . . . . .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2,173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2,146</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Debt, net </w:t>
            </w:r>
            <w:r>
              <w:rPr>
                <w:rFonts w:ascii="Times New Roman" w:cs="Times New Roman" w:eastAsia="Times New Roman" w:hAnsi="Times New Roman"/>
                <w:sz w:val="20"/>
                <w:szCs w:val="20"/>
                <w:color w:val="B8BABC"/>
              </w:rPr>
              <w:t>. . . . . . . . . . . . . . . . . . . . . . . . . .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2,210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3,534</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Deferred taxes </w:t>
            </w:r>
            <w:r>
              <w:rPr>
                <w:rFonts w:ascii="Times New Roman" w:cs="Times New Roman" w:eastAsia="Times New Roman" w:hAnsi="Times New Roman"/>
                <w:sz w:val="20"/>
                <w:szCs w:val="20"/>
                <w:color w:val="B8BABC"/>
                <w:w w:val="99"/>
              </w:rPr>
              <w:t>. . . . . . . . . . . . . . . . . . . . . .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231</w:t>
            </w:r>
          </w:p>
        </w:tc>
        <w:tc>
          <w:tcPr>
            <w:tcW w:w="0" w:type="dxa"/>
            <w:vAlign w:val="bottom"/>
          </w:tcPr>
          <w:p>
            <w:pPr>
              <w:spacing w:after="0"/>
              <w:rPr>
                <w:sz w:val="1"/>
                <w:szCs w:val="1"/>
                <w:color w:val="auto"/>
              </w:rPr>
            </w:pPr>
          </w:p>
        </w:tc>
      </w:tr>
      <w:tr>
        <w:trPr>
          <w:trHeight w:val="28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MVW stockholders' equity </w:t>
            </w:r>
            <w:r>
              <w:rPr>
                <w:rFonts w:ascii="Times New Roman" w:cs="Times New Roman" w:eastAsia="Times New Roman" w:hAnsi="Times New Roman"/>
                <w:sz w:val="20"/>
                <w:szCs w:val="20"/>
                <w:color w:val="B8BABC"/>
              </w:rPr>
              <w:t>. . . . . . . . . . . . .</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1,993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1,948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4,233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(6,486)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1,993</w:t>
            </w:r>
          </w:p>
        </w:tc>
        <w:tc>
          <w:tcPr>
            <w:tcW w:w="0" w:type="dxa"/>
            <w:vAlign w:val="bottom"/>
          </w:tcPr>
          <w:p>
            <w:pPr>
              <w:spacing w:after="0"/>
              <w:rPr>
                <w:sz w:val="1"/>
                <w:szCs w:val="1"/>
                <w:color w:val="auto"/>
              </w:rPr>
            </w:pPr>
          </w:p>
        </w:tc>
      </w:tr>
      <w:tr>
        <w:trPr>
          <w:trHeight w:val="288"/>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Noncontrolling interests </w:t>
            </w:r>
            <w:r>
              <w:rPr>
                <w:rFonts w:ascii="Times New Roman" w:cs="Times New Roman" w:eastAsia="Times New Roman" w:hAnsi="Times New Roman"/>
                <w:sz w:val="20"/>
                <w:szCs w:val="20"/>
                <w:color w:val="B8BABC"/>
              </w:rPr>
              <w:t>. . . . . . . . . . . . . . .</w:t>
            </w:r>
          </w:p>
        </w:tc>
        <w:tc>
          <w:tcPr>
            <w:tcW w:w="200" w:type="dxa"/>
            <w:vAlign w:val="bottom"/>
            <w:tcBorders>
              <w:bottom w:val="single" w:sz="8" w:color="231F20"/>
            </w:tcBorders>
          </w:tcPr>
          <w:p>
            <w:pPr>
              <w:spacing w:after="0"/>
              <w:rPr>
                <w:sz w:val="24"/>
                <w:szCs w:val="24"/>
                <w:color w:val="auto"/>
              </w:rPr>
            </w:pPr>
          </w:p>
        </w:tc>
        <w:tc>
          <w:tcPr>
            <w:tcW w:w="5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5"/>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w:t>
            </w:r>
            <w:r>
              <w:rPr>
                <w:rFonts w:ascii="Times New Roman" w:cs="Times New Roman" w:eastAsia="Times New Roman" w:hAnsi="Times New Roman"/>
                <w:sz w:val="20"/>
                <w:szCs w:val="20"/>
                <w:color w:val="231F20"/>
              </w:rPr>
              <w:t>Totalliabilitiesandequity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4,800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5,360</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2,993</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(6,626)</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9,757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-4946015</wp:posOffset>
            </wp:positionV>
            <wp:extent cx="293052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8">
                      <a:extLst>
                        <a:ext uri="{28A0092B-C50C-407E-A947-70E740481C1C}"/>
                      </a:extLst>
                    </a:blip>
                    <a:srcRect/>
                    <a:stretch>
                      <a:fillRect/>
                    </a:stretch>
                  </pic:blipFill>
                  <pic:spPr bwMode="auto">
                    <a:xfrm>
                      <a:off x="0" y="0"/>
                      <a:ext cx="2930525" cy="25400"/>
                    </a:xfrm>
                    <a:prstGeom prst="rect">
                      <a:avLst/>
                    </a:prstGeom>
                    <a:noFill/>
                  </pic:spPr>
                </pic:pic>
              </a:graphicData>
            </a:graphic>
          </wp:anchor>
        </w:drawing>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9720"/>
          </w:cols>
          <w:pgMar w:left="1080" w:top="838" w:right="108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i w:val="1"/>
          <w:iCs w:val="1"/>
          <w:color w:val="231F20"/>
        </w:rPr>
        <w:t>Condensed Consolidating Statement of Income</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352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54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56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442"/>
              <w:spacing w:after="0"/>
              <w:rPr>
                <w:sz w:val="20"/>
                <w:szCs w:val="20"/>
                <w:color w:val="auto"/>
              </w:rPr>
            </w:pPr>
            <w:r>
              <w:rPr>
                <w:rFonts w:ascii="Times New Roman" w:cs="Times New Roman" w:eastAsia="Times New Roman" w:hAnsi="Times New Roman"/>
                <w:sz w:val="18"/>
                <w:szCs w:val="18"/>
                <w:b w:val="1"/>
                <w:bCs w:val="1"/>
                <w:color w:val="231F20"/>
                <w:w w:val="99"/>
              </w:rPr>
              <w:t>2025</w:t>
            </w:r>
          </w:p>
        </w:tc>
        <w:tc>
          <w:tcPr>
            <w:tcW w:w="6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231F20"/>
              </w:rPr>
              <w:t>Issuers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62"/>
              <w:spacing w:after="0" w:line="176" w:lineRule="exact"/>
              <w:rPr>
                <w:sz w:val="20"/>
                <w:szCs w:val="20"/>
                <w:color w:val="auto"/>
              </w:rPr>
            </w:pPr>
            <w:r>
              <w:rPr>
                <w:rFonts w:ascii="Times New Roman" w:cs="Times New Roman" w:eastAsia="Times New Roman" w:hAnsi="Times New Roman"/>
                <w:sz w:val="18"/>
                <w:szCs w:val="18"/>
                <w:b w:val="1"/>
                <w:bCs w:val="1"/>
                <w:color w:val="231F20"/>
              </w:rPr>
              <w:t>Senior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82"/>
              <w:spacing w:after="0" w:line="176" w:lineRule="exact"/>
              <w:rPr>
                <w:sz w:val="20"/>
                <w:szCs w:val="20"/>
                <w:color w:val="auto"/>
              </w:rPr>
            </w:pPr>
            <w:r>
              <w:rPr>
                <w:rFonts w:ascii="Times New Roman" w:cs="Times New Roman" w:eastAsia="Times New Roman" w:hAnsi="Times New Roman"/>
                <w:sz w:val="18"/>
                <w:szCs w:val="18"/>
                <w:b w:val="1"/>
                <w:bCs w:val="1"/>
                <w:color w:val="231F20"/>
                <w:w w:val="99"/>
              </w:rPr>
              <w:t>Non-</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520" w:type="dxa"/>
            <w:vAlign w:val="bottom"/>
          </w:tcPr>
          <w:p>
            <w:pPr>
              <w:spacing w:after="0"/>
              <w:rPr>
                <w:sz w:val="14"/>
                <w:szCs w:val="14"/>
                <w:color w:val="auto"/>
              </w:rPr>
            </w:pPr>
          </w:p>
        </w:tc>
        <w:tc>
          <w:tcPr>
            <w:tcW w:w="240" w:type="dxa"/>
            <w:vAlign w:val="bottom"/>
            <w:tcBorders>
              <w:bottom w:val="single" w:sz="8" w:color="231F20"/>
            </w:tcBorders>
          </w:tcPr>
          <w:p>
            <w:pPr>
              <w:spacing w:after="0"/>
              <w:rPr>
                <w:sz w:val="14"/>
                <w:szCs w:val="14"/>
                <w:color w:val="auto"/>
              </w:rPr>
            </w:pPr>
          </w:p>
        </w:tc>
        <w:tc>
          <w:tcPr>
            <w:tcW w:w="1320" w:type="dxa"/>
            <w:vAlign w:val="bottom"/>
            <w:tcBorders>
              <w:bottom w:val="single" w:sz="8" w:color="231F20"/>
            </w:tcBorders>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82"/>
              <w:spacing w:after="0" w:line="164" w:lineRule="exact"/>
              <w:rPr>
                <w:sz w:val="20"/>
                <w:szCs w:val="20"/>
                <w:color w:val="auto"/>
              </w:rPr>
            </w:pPr>
            <w:r>
              <w:rPr>
                <w:rFonts w:ascii="Times New Roman" w:cs="Times New Roman" w:eastAsia="Times New Roman" w:hAnsi="Times New Roman"/>
                <w:sz w:val="18"/>
                <w:szCs w:val="18"/>
                <w:b w:val="1"/>
                <w:bCs w:val="1"/>
                <w:color w:val="231F20"/>
              </w:rPr>
              <w:t>Notes</w:t>
            </w:r>
          </w:p>
        </w:tc>
        <w:tc>
          <w:tcPr>
            <w:tcW w:w="60" w:type="dxa"/>
            <w:vAlign w:val="bottom"/>
          </w:tcPr>
          <w:p>
            <w:pPr>
              <w:spacing w:after="0"/>
              <w:rPr>
                <w:sz w:val="14"/>
                <w:szCs w:val="14"/>
                <w:color w:val="auto"/>
              </w:rPr>
            </w:pPr>
          </w:p>
        </w:tc>
        <w:tc>
          <w:tcPr>
            <w:tcW w:w="1100" w:type="dxa"/>
            <w:vAlign w:val="bottom"/>
            <w:gridSpan w:val="2"/>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231F20"/>
                <w:w w:val="98"/>
              </w:rPr>
              <w:t>Guarantor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241"/>
              <w:spacing w:after="0" w:line="164" w:lineRule="exact"/>
              <w:rPr>
                <w:sz w:val="20"/>
                <w:szCs w:val="20"/>
                <w:color w:val="auto"/>
              </w:rPr>
            </w:pPr>
            <w:r>
              <w:rPr>
                <w:rFonts w:ascii="Times New Roman" w:cs="Times New Roman" w:eastAsia="Times New Roman" w:hAnsi="Times New Roman"/>
                <w:sz w:val="18"/>
                <w:szCs w:val="18"/>
                <w:b w:val="1"/>
                <w:bCs w:val="1"/>
                <w:color w:val="231F20"/>
              </w:rPr>
              <w:t>Total</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221"/>
              <w:spacing w:after="0" w:line="164" w:lineRule="exact"/>
              <w:rPr>
                <w:sz w:val="20"/>
                <w:szCs w:val="20"/>
                <w:color w:val="auto"/>
              </w:rPr>
            </w:pPr>
            <w:r>
              <w:rPr>
                <w:rFonts w:ascii="Times New Roman" w:cs="Times New Roman" w:eastAsia="Times New Roman" w:hAnsi="Times New Roman"/>
                <w:sz w:val="18"/>
                <w:szCs w:val="18"/>
                <w:b w:val="1"/>
                <w:bCs w:val="1"/>
                <w:color w:val="231F20"/>
              </w:rPr>
              <w:t>MVW</w:t>
            </w:r>
          </w:p>
        </w:tc>
        <w:tc>
          <w:tcPr>
            <w:tcW w:w="0" w:type="dxa"/>
            <w:vAlign w:val="bottom"/>
          </w:tcPr>
          <w:p>
            <w:pPr>
              <w:spacing w:after="0"/>
              <w:rPr>
                <w:sz w:val="1"/>
                <w:szCs w:val="1"/>
                <w:color w:val="auto"/>
              </w:rPr>
            </w:pPr>
          </w:p>
        </w:tc>
      </w:tr>
      <w:tr>
        <w:trPr>
          <w:trHeight w:val="235"/>
        </w:trPr>
        <w:tc>
          <w:tcPr>
            <w:tcW w:w="35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7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MVWC</w:t>
            </w:r>
          </w:p>
        </w:tc>
        <w:tc>
          <w:tcPr>
            <w:tcW w:w="60" w:type="dxa"/>
            <w:vAlign w:val="bottom"/>
          </w:tcPr>
          <w:p>
            <w:pPr>
              <w:spacing w:after="0"/>
              <w:rPr>
                <w:sz w:val="20"/>
                <w:szCs w:val="20"/>
                <w:color w:val="auto"/>
              </w:rPr>
            </w:pPr>
          </w:p>
        </w:tc>
        <w:tc>
          <w:tcPr>
            <w:tcW w:w="7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MORI</w:t>
            </w:r>
          </w:p>
        </w:tc>
        <w:tc>
          <w:tcPr>
            <w:tcW w:w="60" w:type="dxa"/>
            <w:vAlign w:val="bottom"/>
          </w:tcPr>
          <w:p>
            <w:pPr>
              <w:spacing w:after="0"/>
              <w:rPr>
                <w:sz w:val="20"/>
                <w:szCs w:val="20"/>
                <w:color w:val="auto"/>
              </w:rPr>
            </w:pPr>
          </w:p>
        </w:tc>
        <w:tc>
          <w:tcPr>
            <w:tcW w:w="102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Guarantors</w:t>
            </w:r>
          </w:p>
        </w:tc>
        <w:tc>
          <w:tcPr>
            <w:tcW w:w="60" w:type="dxa"/>
            <w:vAlign w:val="bottom"/>
          </w:tcPr>
          <w:p>
            <w:pPr>
              <w:spacing w:after="0"/>
              <w:rPr>
                <w:sz w:val="20"/>
                <w:szCs w:val="20"/>
                <w:color w:val="auto"/>
              </w:rPr>
            </w:pPr>
          </w:p>
        </w:tc>
        <w:tc>
          <w:tcPr>
            <w:tcW w:w="110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Subsidiaries</w:t>
            </w:r>
          </w:p>
        </w:tc>
        <w:tc>
          <w:tcPr>
            <w:tcW w:w="60" w:type="dxa"/>
            <w:vAlign w:val="bottom"/>
          </w:tcPr>
          <w:p>
            <w:pPr>
              <w:spacing w:after="0"/>
              <w:rPr>
                <w:sz w:val="20"/>
                <w:szCs w:val="20"/>
                <w:color w:val="auto"/>
              </w:rPr>
            </w:pPr>
          </w:p>
        </w:tc>
        <w:tc>
          <w:tcPr>
            <w:tcW w:w="110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Eliminations</w:t>
            </w:r>
          </w:p>
        </w:tc>
        <w:tc>
          <w:tcPr>
            <w:tcW w:w="60" w:type="dxa"/>
            <w:vAlign w:val="bottom"/>
          </w:tcPr>
          <w:p>
            <w:pPr>
              <w:spacing w:after="0"/>
              <w:rPr>
                <w:sz w:val="20"/>
                <w:szCs w:val="20"/>
                <w:color w:val="auto"/>
              </w:rPr>
            </w:pPr>
          </w:p>
        </w:tc>
        <w:tc>
          <w:tcPr>
            <w:tcW w:w="112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Consolidated</w:t>
            </w:r>
          </w:p>
        </w:tc>
        <w:tc>
          <w:tcPr>
            <w:tcW w:w="0" w:type="dxa"/>
            <w:vAlign w:val="bottom"/>
          </w:tcPr>
          <w:p>
            <w:pPr>
              <w:spacing w:after="0"/>
              <w:rPr>
                <w:sz w:val="1"/>
                <w:szCs w:val="1"/>
                <w:color w:val="auto"/>
              </w:rPr>
            </w:pPr>
          </w:p>
        </w:tc>
      </w:tr>
      <w:tr>
        <w:trPr>
          <w:trHeight w:val="262"/>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w:t>
            </w:r>
            <w:r>
              <w:rPr>
                <w:rFonts w:ascii="Times New Roman" w:cs="Times New Roman" w:eastAsia="Times New Roman" w:hAnsi="Times New Roman"/>
                <w:sz w:val="20"/>
                <w:szCs w:val="20"/>
                <w:color w:val="231F20"/>
              </w:rPr>
              <w:t>Revenues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1,086</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1,192</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5,032</w:t>
            </w:r>
          </w:p>
        </w:tc>
        <w:tc>
          <w:tcPr>
            <w:tcW w:w="0" w:type="dxa"/>
            <w:vAlign w:val="bottom"/>
          </w:tcPr>
          <w:p>
            <w:pPr>
              <w:spacing w:after="0"/>
              <w:rPr>
                <w:sz w:val="1"/>
                <w:szCs w:val="1"/>
                <w:color w:val="auto"/>
              </w:rPr>
            </w:pPr>
          </w:p>
        </w:tc>
      </w:tr>
      <w:tr>
        <w:trPr>
          <w:trHeight w:val="285"/>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Expenses </w:t>
            </w:r>
            <w:r>
              <w:rPr>
                <w:rFonts w:ascii="Times New Roman" w:cs="Times New Roman" w:eastAsia="Times New Roman" w:hAnsi="Times New Roman"/>
                <w:sz w:val="20"/>
                <w:szCs w:val="20"/>
                <w:color w:val="B8BABC"/>
              </w:rPr>
              <w:t>. . . . . . . . . . . . . . . . . . . . . . . . . . .</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(1,396)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(2,906)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(5,331)</w:t>
            </w:r>
          </w:p>
        </w:tc>
        <w:tc>
          <w:tcPr>
            <w:tcW w:w="0" w:type="dxa"/>
            <w:vAlign w:val="bottom"/>
          </w:tcPr>
          <w:p>
            <w:pPr>
              <w:spacing w:after="0"/>
              <w:rPr>
                <w:sz w:val="1"/>
                <w:szCs w:val="1"/>
                <w:color w:val="auto"/>
              </w:rPr>
            </w:pPr>
          </w:p>
        </w:tc>
      </w:tr>
      <w:tr>
        <w:trPr>
          <w:trHeight w:val="285"/>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Benefit from (provision for) income taxes </w:t>
            </w:r>
            <w:r>
              <w:rPr>
                <w:rFonts w:ascii="Times New Roman" w:cs="Times New Roman" w:eastAsia="Times New Roman" w:hAnsi="Times New Roman"/>
                <w:sz w:val="20"/>
                <w:szCs w:val="20"/>
                <w:color w:val="B8BABC"/>
              </w:rPr>
              <w:t>.</w:t>
            </w:r>
          </w:p>
        </w:tc>
        <w:tc>
          <w:tcPr>
            <w:tcW w:w="24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0" w:type="dxa"/>
            <w:vAlign w:val="bottom"/>
          </w:tcPr>
          <w:p>
            <w:pPr>
              <w:spacing w:after="0"/>
              <w:rPr>
                <w:sz w:val="1"/>
                <w:szCs w:val="1"/>
                <w:color w:val="auto"/>
              </w:rPr>
            </w:pPr>
          </w:p>
        </w:tc>
      </w:tr>
      <w:tr>
        <w:trPr>
          <w:trHeight w:val="288"/>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Equity in net income (loss) of subsidiaries </w:t>
            </w:r>
            <w:r>
              <w:rPr>
                <w:rFonts w:ascii="Times New Roman" w:cs="Times New Roman" w:eastAsia="Times New Roman" w:hAnsi="Times New Roman"/>
                <w:sz w:val="20"/>
                <w:szCs w:val="20"/>
                <w:color w:val="B8BABC"/>
              </w:rPr>
              <w:t>.</w:t>
            </w:r>
          </w:p>
        </w:tc>
        <w:tc>
          <w:tcPr>
            <w:tcW w:w="24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(276)</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129</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147</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2"/>
        </w:trPr>
        <w:tc>
          <w:tcPr>
            <w:tcW w:w="352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 .</w:t>
            </w:r>
            <w:r>
              <w:rPr>
                <w:rFonts w:ascii="Times New Roman" w:cs="Times New Roman" w:eastAsia="Times New Roman" w:hAnsi="Times New Roman"/>
                <w:sz w:val="20"/>
                <w:szCs w:val="20"/>
                <w:color w:val="231F20"/>
              </w:rPr>
              <w:t>Netloss</w:t>
            </w:r>
          </w:p>
        </w:tc>
        <w:tc>
          <w:tcPr>
            <w:tcW w:w="2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w:t>
            </w:r>
          </w:p>
        </w:tc>
        <w:tc>
          <w:tcPr>
            <w:tcW w:w="0" w:type="dxa"/>
            <w:vAlign w:val="bottom"/>
          </w:tcPr>
          <w:p>
            <w:pPr>
              <w:spacing w:after="0"/>
              <w:rPr>
                <w:sz w:val="1"/>
                <w:szCs w:val="1"/>
                <w:color w:val="auto"/>
              </w:rPr>
            </w:pPr>
          </w:p>
        </w:tc>
      </w:tr>
      <w:tr>
        <w:trPr>
          <w:trHeight w:val="204"/>
        </w:trPr>
        <w:tc>
          <w:tcPr>
            <w:tcW w:w="3520" w:type="dxa"/>
            <w:vAlign w:val="bottom"/>
          </w:tcPr>
          <w:p>
            <w:pPr>
              <w:spacing w:after="0" w:line="205" w:lineRule="exact"/>
              <w:rPr>
                <w:sz w:val="20"/>
                <w:szCs w:val="20"/>
                <w:color w:val="auto"/>
              </w:rPr>
            </w:pPr>
            <w:r>
              <w:rPr>
                <w:rFonts w:ascii="Times New Roman" w:cs="Times New Roman" w:eastAsia="Times New Roman" w:hAnsi="Times New Roman"/>
                <w:sz w:val="20"/>
                <w:szCs w:val="20"/>
                <w:color w:val="231F20"/>
              </w:rPr>
              <w:t>Net income attributable to noncontrolling</w:t>
            </w:r>
          </w:p>
        </w:tc>
        <w:tc>
          <w:tcPr>
            <w:tcW w:w="240" w:type="dxa"/>
            <w:vAlign w:val="bottom"/>
          </w:tcPr>
          <w:p>
            <w:pPr>
              <w:spacing w:after="0"/>
              <w:rPr>
                <w:sz w:val="17"/>
                <w:szCs w:val="17"/>
                <w:color w:val="auto"/>
              </w:rPr>
            </w:pPr>
          </w:p>
        </w:tc>
        <w:tc>
          <w:tcPr>
            <w:tcW w:w="5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interests </w:t>
            </w:r>
            <w:r>
              <w:rPr>
                <w:rFonts w:ascii="Times New Roman" w:cs="Times New Roman" w:eastAsia="Times New Roman" w:hAnsi="Times New Roman"/>
                <w:sz w:val="20"/>
                <w:szCs w:val="20"/>
                <w:color w:val="B8BABC"/>
              </w:rPr>
              <w:t>. . . . . . . . . . . . . . . . . . . . . . . . . . . .</w:t>
            </w:r>
          </w:p>
        </w:tc>
        <w:tc>
          <w:tcPr>
            <w:tcW w:w="240" w:type="dxa"/>
            <w:vAlign w:val="bottom"/>
            <w:tcBorders>
              <w:bottom w:val="single" w:sz="8" w:color="231F20"/>
            </w:tcBorders>
          </w:tcPr>
          <w:p>
            <w:pPr>
              <w:spacing w:after="0"/>
              <w:rPr>
                <w:sz w:val="22"/>
                <w:szCs w:val="22"/>
                <w:color w:val="auto"/>
              </w:rPr>
            </w:pPr>
          </w:p>
        </w:tc>
        <w:tc>
          <w:tcPr>
            <w:tcW w:w="540" w:type="dxa"/>
            <w:vAlign w:val="bottom"/>
            <w:tcBorders>
              <w:bottom w:val="single" w:sz="8" w:color="231F20"/>
            </w:tcBorders>
            <w:vMerge w:val="continue"/>
          </w:tcPr>
          <w:p>
            <w:pPr>
              <w:spacing w:after="0"/>
              <w:rPr>
                <w:sz w:val="22"/>
                <w:szCs w:val="22"/>
                <w:color w:val="auto"/>
              </w:rPr>
            </w:pPr>
          </w:p>
        </w:tc>
        <w:tc>
          <w:tcPr>
            <w:tcW w:w="60" w:type="dxa"/>
            <w:vAlign w:val="bottom"/>
            <w:tcBorders>
              <w:bottom w:val="single" w:sz="8" w:color="231F20"/>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56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3520" w:type="dxa"/>
            <w:vAlign w:val="bottom"/>
          </w:tcPr>
          <w:p>
            <w:pPr>
              <w:spacing w:after="0" w:line="182" w:lineRule="exact"/>
              <w:rPr>
                <w:sz w:val="20"/>
                <w:szCs w:val="20"/>
                <w:color w:val="auto"/>
              </w:rPr>
            </w:pPr>
            <w:r>
              <w:rPr>
                <w:rFonts w:ascii="Times New Roman" w:cs="Times New Roman" w:eastAsia="Times New Roman" w:hAnsi="Times New Roman"/>
                <w:sz w:val="20"/>
                <w:szCs w:val="20"/>
                <w:color w:val="231F20"/>
              </w:rPr>
              <w:t>Net loss attributable to common</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(308)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(94)</w:t>
            </w:r>
          </w:p>
        </w:tc>
        <w:tc>
          <w:tcPr>
            <w:tcW w:w="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(157)</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104</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147</w:t>
            </w:r>
          </w:p>
        </w:tc>
        <w:tc>
          <w:tcPr>
            <w:tcW w:w="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(308)</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stockholders </w:t>
            </w:r>
            <w:r>
              <w:rPr>
                <w:rFonts w:ascii="Times New Roman" w:cs="Times New Roman" w:eastAsia="Times New Roman" w:hAnsi="Times New Roman"/>
                <w:sz w:val="20"/>
                <w:szCs w:val="20"/>
                <w:color w:val="B8BABC"/>
              </w:rPr>
              <w:t>. . . . . . . . . . . . . . . . . . . . . . . .</w:t>
            </w:r>
          </w:p>
        </w:tc>
        <w:tc>
          <w:tcPr>
            <w:tcW w:w="24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Accounting Pronouncements</w:t>
      </w:r>
    </w:p>
    <w:p>
      <w:pPr>
        <w:spacing w:after="0" w:line="13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20"/>
          <w:szCs w:val="20"/>
          <w:color w:val="231F20"/>
        </w:rPr>
        <w:t>See Footnote 2 “Summary of Significant Accounting Policies” to our Financial Statements for a discussion of recently issued accounting pronouncements, including information about new accounting standards and the future adoption of such standards.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Estimates</w:t>
      </w:r>
    </w:p>
    <w:p>
      <w:pPr>
        <w:spacing w:after="0" w:line="13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8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231F20"/>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231F20"/>
        </w:rPr>
        <w:t>See Footnote 2 “Summary of Significant Accounting Policies” to our Financial Statements for further information related to our critical accounting policies and estimates, which are as follows:</w:t>
      </w:r>
    </w:p>
    <w:p>
      <w:pPr>
        <w:spacing w:after="0" w:line="2" w:lineRule="exact"/>
        <w:rPr>
          <w:sz w:val="20"/>
          <w:szCs w:val="20"/>
          <w:color w:val="auto"/>
        </w:rPr>
      </w:pPr>
    </w:p>
    <w:p>
      <w:pPr>
        <w:ind w:left="180" w:right="40" w:hanging="180"/>
        <w:spacing w:after="0" w:line="257" w:lineRule="auto"/>
        <w:tabs>
          <w:tab w:leader="none" w:pos="180" w:val="left"/>
        </w:tabs>
        <w:numPr>
          <w:ilvl w:val="0"/>
          <w:numId w:val="33"/>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i w:val="1"/>
          <w:iCs w:val="1"/>
          <w:color w:val="231F20"/>
        </w:rPr>
        <w:t>Revenue recognition</w:t>
      </w:r>
      <w:r>
        <w:rPr>
          <w:rFonts w:ascii="Times New Roman" w:cs="Times New Roman" w:eastAsia="Times New Roman" w:hAnsi="Times New Roman"/>
          <w:sz w:val="20"/>
          <w:szCs w:val="20"/>
          <w:color w:val="231F20"/>
        </w:rPr>
        <w:t>, including how we recognize revenue under ASC Topic 606 “</w:t>
      </w:r>
      <w:r>
        <w:rPr>
          <w:rFonts w:ascii="Times New Roman" w:cs="Times New Roman" w:eastAsia="Times New Roman" w:hAnsi="Times New Roman"/>
          <w:sz w:val="20"/>
          <w:szCs w:val="20"/>
          <w:i w:val="1"/>
          <w:iCs w:val="1"/>
          <w:color w:val="231F20"/>
        </w:rPr>
        <w:t>Revenue from Contracts with Customers</w:t>
      </w:r>
      <w:r>
        <w:rPr>
          <w:rFonts w:ascii="Times New Roman" w:cs="Times New Roman" w:eastAsia="Times New Roman" w:hAnsi="Times New Roman"/>
          <w:sz w:val="20"/>
          <w:szCs w:val="20"/>
          <w:color w:val="231F20"/>
        </w:rPr>
        <w:t>” for the sale of vacation ownership products, including our estimates of the sales reserve (variable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consideration). Revisions to estimates of variable consideration from the sale of vacation ownership products impact the reserve on originated vacation ownership notes receivable and can increase or decrease revenue. See Footnote 5 “Vacation Ownership Notes Receivable” to our Financial Statements for further information on our assessments of our originated vacation ownership notes receivable reserve.</w:t>
      </w:r>
    </w:p>
    <w:p>
      <w:pPr>
        <w:spacing w:after="0" w:line="22" w:lineRule="exact"/>
        <w:rPr>
          <w:rFonts w:ascii="Times New Roman" w:cs="Times New Roman" w:eastAsia="Times New Roman" w:hAnsi="Times New Roman"/>
          <w:sz w:val="20"/>
          <w:szCs w:val="20"/>
          <w:i w:val="1"/>
          <w:iCs w:val="1"/>
          <w:color w:val="231F20"/>
        </w:rPr>
      </w:pPr>
    </w:p>
    <w:p>
      <w:pPr>
        <w:ind w:left="180" w:right="100" w:hanging="180"/>
        <w:spacing w:after="0" w:line="262" w:lineRule="auto"/>
        <w:tabs>
          <w:tab w:leader="none" w:pos="180" w:val="left"/>
        </w:tabs>
        <w:numPr>
          <w:ilvl w:val="0"/>
          <w:numId w:val="33"/>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i w:val="1"/>
          <w:iCs w:val="1"/>
          <w:color w:val="231F20"/>
        </w:rPr>
        <w:t xml:space="preserve">Inventories and cost of vacation ownership products, </w:t>
      </w:r>
      <w:r>
        <w:rPr>
          <w:rFonts w:ascii="Times New Roman" w:cs="Times New Roman" w:eastAsia="Times New Roman" w:hAnsi="Times New Roman"/>
          <w:sz w:val="20"/>
          <w:szCs w:val="20"/>
          <w:color w:val="231F20"/>
        </w:rPr>
        <w:t>which require estimation of future revenues (including pricing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assumptions) and product costs to apply a relative sales value method specific to the vacation ownership industry and how we evaluate the fair value of our vacation ownership inventory. See Footnote 20 “Restructuring and Impairment” to our Financial Statements for further information.</w:t>
      </w:r>
    </w:p>
    <w:p>
      <w:pPr>
        <w:spacing w:after="0" w:line="15" w:lineRule="exact"/>
        <w:rPr>
          <w:rFonts w:ascii="Times New Roman" w:cs="Times New Roman" w:eastAsia="Times New Roman" w:hAnsi="Times New Roman"/>
          <w:sz w:val="20"/>
          <w:szCs w:val="20"/>
          <w:i w:val="1"/>
          <w:iCs w:val="1"/>
          <w:color w:val="231F20"/>
        </w:rPr>
      </w:pPr>
    </w:p>
    <w:p>
      <w:pPr>
        <w:ind w:left="180" w:right="260" w:hanging="180"/>
        <w:spacing w:after="0" w:line="281" w:lineRule="auto"/>
        <w:tabs>
          <w:tab w:leader="none" w:pos="180" w:val="left"/>
        </w:tabs>
        <w:numPr>
          <w:ilvl w:val="0"/>
          <w:numId w:val="3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Valuation of property and equipmen</w:t>
      </w:r>
      <w:r>
        <w:rPr>
          <w:rFonts w:ascii="Times New Roman" w:cs="Times New Roman" w:eastAsia="Times New Roman" w:hAnsi="Times New Roman"/>
          <w:sz w:val="20"/>
          <w:szCs w:val="20"/>
          <w:color w:val="231F20"/>
        </w:rPr>
        <w:t>t, including when we record impairment losses. See Footnote 20 “Restructuring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Impairment” to our Financial Statements for further information.</w:t>
      </w:r>
    </w:p>
    <w:p>
      <w:pPr>
        <w:spacing w:after="0" w:line="1" w:lineRule="exact"/>
        <w:rPr>
          <w:rFonts w:ascii="Times New Roman" w:cs="Times New Roman" w:eastAsia="Times New Roman" w:hAnsi="Times New Roman"/>
          <w:sz w:val="20"/>
          <w:szCs w:val="20"/>
          <w:color w:val="231F20"/>
        </w:rPr>
      </w:pPr>
    </w:p>
    <w:p>
      <w:pPr>
        <w:ind w:left="180" w:hanging="180"/>
        <w:spacing w:after="0" w:line="268" w:lineRule="auto"/>
        <w:tabs>
          <w:tab w:leader="none" w:pos="180" w:val="left"/>
        </w:tabs>
        <w:numPr>
          <w:ilvl w:val="0"/>
          <w:numId w:val="33"/>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i w:val="1"/>
          <w:iCs w:val="1"/>
          <w:color w:val="231F20"/>
        </w:rPr>
        <w:t xml:space="preserve">Valuation of goodwill and other intangible assets, </w:t>
      </w:r>
      <w:r>
        <w:rPr>
          <w:rFonts w:ascii="Times New Roman" w:cs="Times New Roman" w:eastAsia="Times New Roman" w:hAnsi="Times New Roman"/>
          <w:sz w:val="20"/>
          <w:szCs w:val="20"/>
          <w:color w:val="231F20"/>
        </w:rPr>
        <w:t>including how we determine the fair value of goodwill and our other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intangible assets and reporting units, and how we determine when an impairment loss should be recorded. See Footnote 10 “Goodwill” and Footnote 11 “Intangible Assets” to our Financial Statements for further information.</w:t>
      </w:r>
    </w:p>
    <w:p>
      <w:pPr>
        <w:spacing w:after="0" w:line="9" w:lineRule="exact"/>
        <w:rPr>
          <w:rFonts w:ascii="Times New Roman" w:cs="Times New Roman" w:eastAsia="Times New Roman" w:hAnsi="Times New Roman"/>
          <w:sz w:val="20"/>
          <w:szCs w:val="20"/>
          <w:i w:val="1"/>
          <w:iCs w:val="1"/>
          <w:color w:val="231F20"/>
        </w:rPr>
      </w:pPr>
    </w:p>
    <w:p>
      <w:pPr>
        <w:ind w:left="180" w:hanging="180"/>
        <w:spacing w:after="0" w:line="259" w:lineRule="auto"/>
        <w:tabs>
          <w:tab w:leader="none" w:pos="180" w:val="left"/>
        </w:tabs>
        <w:numPr>
          <w:ilvl w:val="0"/>
          <w:numId w:val="33"/>
        </w:numPr>
        <w:rPr>
          <w:rFonts w:ascii="Times New Roman" w:cs="Times New Roman" w:eastAsia="Times New Roman" w:hAnsi="Times New Roman"/>
          <w:sz w:val="20"/>
          <w:szCs w:val="20"/>
          <w:i w:val="1"/>
          <w:iCs w:val="1"/>
          <w:color w:val="231F20"/>
          <w:strike w:val="1"/>
        </w:rPr>
      </w:pPr>
      <w:r>
        <w:rPr>
          <w:rFonts w:ascii="Times New Roman" w:cs="Times New Roman" w:eastAsia="Times New Roman" w:hAnsi="Times New Roman"/>
          <w:sz w:val="20"/>
          <w:szCs w:val="20"/>
          <w:i w:val="1"/>
          <w:iCs w:val="1"/>
          <w:color w:val="231F20"/>
        </w:rPr>
        <w:t>Loss contingencies</w:t>
      </w:r>
      <w:r>
        <w:rPr>
          <w:rFonts w:ascii="Times New Roman" w:cs="Times New Roman" w:eastAsia="Times New Roman" w:hAnsi="Times New Roman"/>
          <w:sz w:val="20"/>
          <w:szCs w:val="20"/>
          <w:color w:val="231F20"/>
        </w:rPr>
        <w:t>, including information on how we account for loss contingencies. Accruals for contingent liabilities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are recorded when it is probable that a liability has been incurred, or an asset impaired, and the amount of the loss can be reasonably estimated. Liabilities accrued for legal matters require judgments regarding projected outcomes and range of loss based on historical litigation and settlement experience, recommendations of legal counsel and, if applicable, other experts.</w:t>
      </w:r>
    </w:p>
    <w:p>
      <w:pPr>
        <w:sectPr>
          <w:pgSz w:w="11880" w:h="15480" w:orient="portrait"/>
          <w:cols w:equalWidth="0" w:num="1">
            <w:col w:w="9720"/>
          </w:cols>
          <w:pgMar w:left="1080" w:top="83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9720"/>
          </w:cols>
          <w:pgMar w:left="1080" w:top="834" w:right="1080" w:bottom="0" w:gutter="0" w:footer="0" w:header="0"/>
          <w:type w:val="continuous"/>
        </w:sectPr>
      </w:pPr>
    </w:p>
    <w:bookmarkStart w:id="68" w:name="page69"/>
    <w:bookmarkEnd w:id="68"/>
    <w:p>
      <w:pPr>
        <w:ind w:left="180" w:hanging="180"/>
        <w:spacing w:after="0" w:line="257" w:lineRule="auto"/>
        <w:tabs>
          <w:tab w:leader="none" w:pos="180" w:val="left"/>
        </w:tabs>
        <w:numPr>
          <w:ilvl w:val="0"/>
          <w:numId w:val="34"/>
        </w:numPr>
        <w:rPr>
          <w:rFonts w:ascii="Times New Roman" w:cs="Times New Roman" w:eastAsia="Times New Roman" w:hAnsi="Times New Roman"/>
          <w:sz w:val="20"/>
          <w:szCs w:val="20"/>
          <w:i w:val="1"/>
          <w:iCs w:val="1"/>
          <w:color w:val="231F20"/>
        </w:rPr>
      </w:pPr>
      <w:r>
        <w:rPr>
          <w:rFonts w:ascii="Times New Roman" w:cs="Times New Roman" w:eastAsia="Times New Roman" w:hAnsi="Times New Roman"/>
          <w:sz w:val="20"/>
          <w:szCs w:val="20"/>
          <w:i w:val="1"/>
          <w:iCs w:val="1"/>
          <w:color w:val="231F20"/>
        </w:rPr>
        <w:t>Income taxes</w:t>
      </w:r>
      <w:r>
        <w:rPr>
          <w:rFonts w:ascii="Times New Roman" w:cs="Times New Roman" w:eastAsia="Times New Roman" w:hAnsi="Times New Roman"/>
          <w:sz w:val="20"/>
          <w:szCs w:val="20"/>
          <w:color w:val="231F20"/>
        </w:rPr>
        <w:t>, including the accounting related to uncertain tax positions and the determination of valuation allowances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on our deferred tax assets. The recognition and measurement of uncertain tax positions involves consideration of the amounts and probabilities of various outcomes that could be realized upon ultimate resolution. 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13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231F20"/>
        </w:rPr>
        <w:t>Item 7A.</w:t>
      </w:r>
      <w:r>
        <w:rPr>
          <w:sz w:val="20"/>
          <w:szCs w:val="20"/>
          <w:color w:val="auto"/>
        </w:rPr>
        <w:tab/>
      </w:r>
      <w:r>
        <w:rPr>
          <w:rFonts w:ascii="Times New Roman" w:cs="Times New Roman" w:eastAsia="Times New Roman" w:hAnsi="Times New Roman"/>
          <w:sz w:val="19"/>
          <w:szCs w:val="19"/>
          <w:b w:val="1"/>
          <w:bCs w:val="1"/>
          <w:color w:val="231F20"/>
        </w:rPr>
        <w:t>Quantitative and Qualitative Disclosures About Market Risk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Quantitative and Qualitative Disclosures About Market Risk.</w:t>
      </w:r>
    </w:p>
    <w:p>
      <w:pPr>
        <w:spacing w:after="0" w:line="1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231F20"/>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We are exposed to interest rate risk through borrowings on our Warehouse Credit Facility and our Corporate Credit Facility, which includes our Revolving Corporate Credit Facility and our Term Loan, as these facilities bear interest at variable rates. All other interest bearing debt, including securitized debt, incurs interest at fixed rates. Changes in interest rates also impact the fair value of our fixed-rate vacation ownership notes receivable and our fixed-rate debt. We typically issue securitized debt backed by consumer loans twice a year. To the extent interest rates are higher relative to the interest rates in our financing programs on our loans being securitized at the time of a transaction, the excess spread we realize over the life of a securitization will be lower. While we adjust interest rates on our financing programs from time to time, such changes are typically not made in lockstep with the timing and magnitude of changes in broader market rates.</w:t>
      </w:r>
    </w:p>
    <w:p>
      <w:pPr>
        <w:spacing w:after="0" w:line="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We manage the interest rate risk on our corporate debt through the use of a combination of fixed-rate debt and interest rate swaps that fix a portion of our variable-rate debt. At December 31, 2025, after considering the impact of our interest rate swap agreement and excluding finance leases, the interest rate applicable to 85% (approximately $2.9 billion) of our total corporate debt, was effectively fixed and the interest rate applicable to the remaining 15% (approximately $488 million) was variable. Assuming no outstanding balance on our Revolving Corporate Credit Facility, a 100 basis point increase in the underlying benchmark rate on our variable-rate debt at December 31, 2025 would result in an increase of approximately $5 million in annual cash interest due to the impact of our hedging arrangements discussed in Footnote 15 “Debt” to our Financial Statements. Assuming we had no outstanding hedging arrangements and no outstanding balance on our Revolving Corporate Credit Facility, a 100 basis point increase in the underlying benchmark rate on our variable-rate debt at December 31, 2025 would result in an annual increase in cash interest of approximately $8 million.</w:t>
      </w:r>
    </w:p>
    <w:p>
      <w:pPr>
        <w:spacing w:after="0" w:line="9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20"/>
          <w:szCs w:val="20"/>
          <w:color w:val="231F20"/>
        </w:rPr>
        <w:t>The following table presents the scheduled maturities and the total fair value as of December 31, 2025 for our financial instruments that are impacted by market risks:</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16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82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3560" w:type="dxa"/>
            <w:vAlign w:val="bottom"/>
            <w:tcBorders>
              <w:bottom w:val="single" w:sz="8" w:color="231F20"/>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231F20"/>
              </w:rPr>
              <w:t>Maturities by Period</w:t>
            </w:r>
          </w:p>
        </w:tc>
        <w:tc>
          <w:tcPr>
            <w:tcW w:w="74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380" w:type="dxa"/>
            <w:vAlign w:val="bottom"/>
          </w:tcPr>
          <w:p>
            <w:pPr>
              <w:jc w:val="center"/>
              <w:ind w:left="370"/>
              <w:spacing w:after="0" w:line="176" w:lineRule="exact"/>
              <w:rPr>
                <w:sz w:val="20"/>
                <w:szCs w:val="20"/>
                <w:color w:val="auto"/>
              </w:rPr>
            </w:pPr>
            <w:r>
              <w:rPr>
                <w:rFonts w:ascii="Times New Roman" w:cs="Times New Roman" w:eastAsia="Times New Roman" w:hAnsi="Times New Roman"/>
                <w:sz w:val="18"/>
                <w:szCs w:val="18"/>
                <w:b w:val="1"/>
                <w:bCs w:val="1"/>
                <w:color w:val="231F20"/>
                <w:w w:val="99"/>
              </w:rPr>
              <w:t>Average</w:t>
            </w:r>
          </w:p>
        </w:tc>
        <w:tc>
          <w:tcPr>
            <w:tcW w:w="7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231F20"/>
              </w:rPr>
              <w:t>2026</w:t>
            </w:r>
          </w:p>
        </w:tc>
        <w:tc>
          <w:tcPr>
            <w:tcW w:w="8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231F20"/>
              </w:rPr>
              <w:t>2027</w:t>
            </w:r>
          </w:p>
        </w:tc>
        <w:tc>
          <w:tcPr>
            <w:tcW w:w="7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231F20"/>
              </w:rPr>
              <w:t>2028</w:t>
            </w:r>
          </w:p>
        </w:tc>
        <w:tc>
          <w:tcPr>
            <w:tcW w:w="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231F20"/>
              </w:rPr>
              <w:t>2029</w:t>
            </w:r>
          </w:p>
        </w:tc>
        <w:tc>
          <w:tcPr>
            <w:tcW w:w="7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231F20"/>
              </w:rPr>
              <w:t>2030</w:t>
            </w:r>
          </w:p>
        </w:tc>
        <w:tc>
          <w:tcPr>
            <w:tcW w:w="2020" w:type="dxa"/>
            <w:vAlign w:val="bottom"/>
          </w:tcPr>
          <w:p>
            <w:pPr>
              <w:ind w:left="1320"/>
              <w:spacing w:after="0" w:line="176" w:lineRule="exact"/>
              <w:rPr>
                <w:sz w:val="20"/>
                <w:szCs w:val="20"/>
                <w:color w:val="auto"/>
              </w:rPr>
            </w:pPr>
            <w:r>
              <w:rPr>
                <w:rFonts w:ascii="Times New Roman" w:cs="Times New Roman" w:eastAsia="Times New Roman" w:hAnsi="Times New Roman"/>
                <w:sz w:val="18"/>
                <w:szCs w:val="18"/>
                <w:b w:val="1"/>
                <w:bCs w:val="1"/>
                <w:color w:val="231F20"/>
              </w:rPr>
              <w:t>Total</w:t>
            </w:r>
          </w:p>
        </w:tc>
        <w:tc>
          <w:tcPr>
            <w:tcW w:w="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180"/>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 in millions)</w:t>
            </w:r>
          </w:p>
        </w:tc>
        <w:tc>
          <w:tcPr>
            <w:tcW w:w="1380" w:type="dxa"/>
            <w:vAlign w:val="bottom"/>
          </w:tcPr>
          <w:p>
            <w:pPr>
              <w:jc w:val="center"/>
              <w:ind w:left="370"/>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Interest</w:t>
            </w: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020" w:type="dxa"/>
            <w:vAlign w:val="bottom"/>
          </w:tcPr>
          <w:p>
            <w:pPr>
              <w:ind w:left="140"/>
              <w:spacing w:after="0" w:line="180" w:lineRule="exact"/>
              <w:rPr>
                <w:sz w:val="20"/>
                <w:szCs w:val="20"/>
                <w:color w:val="auto"/>
              </w:rPr>
            </w:pPr>
            <w:r>
              <w:rPr>
                <w:rFonts w:ascii="Times New Roman" w:cs="Times New Roman" w:eastAsia="Times New Roman" w:hAnsi="Times New Roman"/>
                <w:sz w:val="18"/>
                <w:szCs w:val="18"/>
                <w:b w:val="1"/>
                <w:bCs w:val="1"/>
                <w:color w:val="231F20"/>
              </w:rPr>
              <w:t>Thereafter  Carrying</w:t>
            </w:r>
          </w:p>
        </w:tc>
        <w:tc>
          <w:tcPr>
            <w:tcW w:w="7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231F20"/>
              </w:rPr>
              <w:t>Fair</w:t>
            </w:r>
          </w:p>
        </w:tc>
        <w:tc>
          <w:tcPr>
            <w:tcW w:w="0" w:type="dxa"/>
            <w:vAlign w:val="bottom"/>
          </w:tcPr>
          <w:p>
            <w:pPr>
              <w:spacing w:after="0"/>
              <w:rPr>
                <w:sz w:val="1"/>
                <w:szCs w:val="1"/>
                <w:color w:val="auto"/>
              </w:rPr>
            </w:pPr>
          </w:p>
        </w:tc>
      </w:tr>
      <w:tr>
        <w:trPr>
          <w:trHeight w:val="238"/>
        </w:trPr>
        <w:tc>
          <w:tcPr>
            <w:tcW w:w="1640" w:type="dxa"/>
            <w:vAlign w:val="bottom"/>
            <w:vMerge w:val="continue"/>
          </w:tcPr>
          <w:p>
            <w:pPr>
              <w:spacing w:after="0"/>
              <w:rPr>
                <w:sz w:val="20"/>
                <w:szCs w:val="20"/>
                <w:color w:val="auto"/>
              </w:rPr>
            </w:pPr>
          </w:p>
        </w:tc>
        <w:tc>
          <w:tcPr>
            <w:tcW w:w="13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231F20"/>
                <w:w w:val="99"/>
              </w:rPr>
              <w:t>Rate</w:t>
            </w: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231F20"/>
              </w:rPr>
              <w:t>Value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0</wp:posOffset>
            </wp:positionV>
            <wp:extent cx="4752975" cy="12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9">
                      <a:extLst>
                        <a:ext uri="{28A0092B-C50C-407E-A947-70E740481C1C}"/>
                      </a:extLst>
                    </a:blip>
                    <a:srcRect/>
                    <a:stretch>
                      <a:fillRect/>
                    </a:stretch>
                  </pic:blipFill>
                  <pic:spPr bwMode="auto">
                    <a:xfrm>
                      <a:off x="0" y="0"/>
                      <a:ext cx="4752975" cy="1270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20"/>
          <w:szCs w:val="20"/>
          <w:b w:val="1"/>
          <w:bCs w:val="1"/>
          <w:color w:val="231F20"/>
        </w:rPr>
        <w:t>Assets – Maturities represent expected principal receipts; fair values represent assets</w:t>
      </w:r>
    </w:p>
    <w:p>
      <w:pPr>
        <w:spacing w:after="0" w:line="2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231F20"/>
              </w:rPr>
              <w:t>Vacation ownership notes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11.9%</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107</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80</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72</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61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48</w:t>
            </w: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297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665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670</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231F20"/>
              </w:rPr>
              <w:t>receivable — non-securitized</w:t>
            </w:r>
          </w:p>
        </w:tc>
        <w:tc>
          <w:tcPr>
            <w:tcW w:w="7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220" w:type="dxa"/>
            <w:vAlign w:val="bottom"/>
          </w:tcPr>
          <w:p>
            <w:pPr>
              <w:spacing w:after="0" w:line="200" w:lineRule="exact"/>
              <w:rPr>
                <w:sz w:val="20"/>
                <w:szCs w:val="20"/>
                <w:color w:val="auto"/>
              </w:rPr>
            </w:pPr>
            <w:r>
              <w:rPr>
                <w:rFonts w:ascii="Times New Roman" w:cs="Times New Roman" w:eastAsia="Times New Roman" w:hAnsi="Times New Roman"/>
                <w:sz w:val="18"/>
                <w:szCs w:val="18"/>
                <w:color w:val="231F20"/>
              </w:rPr>
              <w:t>Vacation ownership notes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13.4%</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163</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168</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169</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169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171</w:t>
            </w: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1,060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1,900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1,975</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231F20"/>
              </w:rPr>
              <w:t xml:space="preserve">receivable — securitized </w:t>
            </w:r>
            <w:r>
              <w:rPr>
                <w:rFonts w:ascii="Times New Roman" w:cs="Times New Roman" w:eastAsia="Times New Roman" w:hAnsi="Times New Roman"/>
                <w:sz w:val="18"/>
                <w:szCs w:val="18"/>
                <w:color w:val="B8BABC"/>
              </w:rPr>
              <w:t>. . .</w:t>
            </w:r>
          </w:p>
        </w:tc>
        <w:tc>
          <w:tcPr>
            <w:tcW w:w="7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2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231F20"/>
              </w:rPr>
              <w:t>Contracts receivable for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12.9%</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5</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5</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7</w:t>
            </w: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68</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231F20"/>
              </w:rPr>
              <w:t>95</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95</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231F20"/>
              </w:rPr>
              <w:t xml:space="preserve">financed VOI sales, net </w:t>
            </w:r>
            <w:r>
              <w:rPr>
                <w:rFonts w:ascii="Times New Roman" w:cs="Times New Roman" w:eastAsia="Times New Roman" w:hAnsi="Times New Roman"/>
                <w:sz w:val="18"/>
                <w:szCs w:val="18"/>
                <w:color w:val="B8BABC"/>
              </w:rPr>
              <w:t>. . . .</w:t>
            </w:r>
          </w:p>
        </w:tc>
        <w:tc>
          <w:tcPr>
            <w:tcW w:w="7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220" w:type="dxa"/>
            <w:vAlign w:val="bottom"/>
            <w:gridSpan w:val="15"/>
          </w:tcPr>
          <w:p>
            <w:pPr>
              <w:ind w:left="220"/>
              <w:spacing w:after="0"/>
              <w:rPr>
                <w:sz w:val="20"/>
                <w:szCs w:val="20"/>
                <w:color w:val="auto"/>
              </w:rPr>
            </w:pPr>
            <w:r>
              <w:rPr>
                <w:rFonts w:ascii="Times New Roman" w:cs="Times New Roman" w:eastAsia="Times New Roman" w:hAnsi="Times New Roman"/>
                <w:sz w:val="20"/>
                <w:szCs w:val="20"/>
                <w:b w:val="1"/>
                <w:bCs w:val="1"/>
                <w:color w:val="231F20"/>
                <w:w w:val="99"/>
              </w:rPr>
              <w:t>Liabilities – Maturities represent expected principal payments; fair values represent liabilities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231F20"/>
              </w:rPr>
              <w:t xml:space="preserve">Securitized debt </w:t>
            </w:r>
            <w:r>
              <w:rPr>
                <w:rFonts w:ascii="Times New Roman" w:cs="Times New Roman" w:eastAsia="Times New Roman" w:hAnsi="Times New Roman"/>
                <w:sz w:val="18"/>
                <w:szCs w:val="18"/>
                <w:color w:val="B8BABC"/>
              </w:rPr>
              <w:t>. . . . . . . . . .</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4.8%</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(189)</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(192)</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(193)</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(2,173)</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5"/>
              </w:rPr>
              <w:t>(2,196)</w:t>
            </w:r>
          </w:p>
        </w:tc>
        <w:tc>
          <w:tcPr>
            <w:tcW w:w="0" w:type="dxa"/>
            <w:vAlign w:val="bottom"/>
          </w:tcPr>
          <w:p>
            <w:pPr>
              <w:spacing w:after="0"/>
              <w:rPr>
                <w:sz w:val="1"/>
                <w:szCs w:val="1"/>
                <w:color w:val="auto"/>
              </w:rPr>
            </w:pPr>
          </w:p>
        </w:tc>
      </w:tr>
      <w:tr>
        <w:trPr>
          <w:trHeight w:val="285"/>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231F20"/>
              </w:rPr>
              <w:t xml:space="preserve">Term Loan </w:t>
            </w:r>
            <w:r>
              <w:rPr>
                <w:rFonts w:ascii="Times New Roman" w:cs="Times New Roman" w:eastAsia="Times New Roman" w:hAnsi="Times New Roman"/>
                <w:sz w:val="18"/>
                <w:szCs w:val="18"/>
                <w:color w:val="B8BABC"/>
              </w:rPr>
              <w:t>. . . . . . . . . . . . . .</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6.0%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(748)</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(788)</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(788)</w:t>
            </w: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231F20"/>
              </w:rPr>
              <w:t>Senior Notes</w:t>
            </w: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22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 xml:space="preserve">2028 Notes </w:t>
            </w:r>
            <w:r>
              <w:rPr>
                <w:rFonts w:ascii="Times New Roman" w:cs="Times New Roman" w:eastAsia="Times New Roman" w:hAnsi="Times New Roman"/>
                <w:sz w:val="18"/>
                <w:szCs w:val="18"/>
                <w:color w:val="B8BABC"/>
              </w:rPr>
              <w:t>. . . . . . . . . . . .</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4.8%</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(346)</w:t>
            </w:r>
          </w:p>
        </w:tc>
        <w:tc>
          <w:tcPr>
            <w:tcW w:w="0" w:type="dxa"/>
            <w:vAlign w:val="bottom"/>
          </w:tcPr>
          <w:p>
            <w:pPr>
              <w:spacing w:after="0"/>
              <w:rPr>
                <w:sz w:val="1"/>
                <w:szCs w:val="1"/>
                <w:color w:val="auto"/>
              </w:rPr>
            </w:pPr>
          </w:p>
        </w:tc>
      </w:tr>
      <w:tr>
        <w:trPr>
          <w:trHeight w:val="285"/>
        </w:trPr>
        <w:tc>
          <w:tcPr>
            <w:tcW w:w="222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 xml:space="preserve">2029 Notes </w:t>
            </w:r>
            <w:r>
              <w:rPr>
                <w:rFonts w:ascii="Times New Roman" w:cs="Times New Roman" w:eastAsia="Times New Roman" w:hAnsi="Times New Roman"/>
                <w:sz w:val="18"/>
                <w:szCs w:val="18"/>
                <w:color w:val="B8BABC"/>
              </w:rPr>
              <w:t>. . . . . . . . . . . .</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4.5%</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(479)</w:t>
            </w:r>
          </w:p>
        </w:tc>
        <w:tc>
          <w:tcPr>
            <w:tcW w:w="0" w:type="dxa"/>
            <w:vAlign w:val="bottom"/>
          </w:tcPr>
          <w:p>
            <w:pPr>
              <w:spacing w:after="0"/>
              <w:rPr>
                <w:sz w:val="1"/>
                <w:szCs w:val="1"/>
                <w:color w:val="auto"/>
              </w:rPr>
            </w:pPr>
          </w:p>
        </w:tc>
      </w:tr>
      <w:tr>
        <w:trPr>
          <w:trHeight w:val="285"/>
        </w:trPr>
        <w:tc>
          <w:tcPr>
            <w:tcW w:w="222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 xml:space="preserve">2033 Notes </w:t>
            </w:r>
            <w:r>
              <w:rPr>
                <w:rFonts w:ascii="Times New Roman" w:cs="Times New Roman" w:eastAsia="Times New Roman" w:hAnsi="Times New Roman"/>
                <w:sz w:val="18"/>
                <w:szCs w:val="18"/>
                <w:color w:val="B8BABC"/>
              </w:rPr>
              <w:t>. . . . . . . . . . . .</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6.5%</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(553)</w:t>
            </w:r>
          </w:p>
        </w:tc>
        <w:tc>
          <w:tcPr>
            <w:tcW w:w="0" w:type="dxa"/>
            <w:vAlign w:val="bottom"/>
          </w:tcPr>
          <w:p>
            <w:pPr>
              <w:spacing w:after="0"/>
              <w:rPr>
                <w:sz w:val="1"/>
                <w:szCs w:val="1"/>
                <w:color w:val="auto"/>
              </w:rPr>
            </w:pPr>
          </w:p>
        </w:tc>
      </w:tr>
      <w:tr>
        <w:trPr>
          <w:trHeight w:val="285"/>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231F20"/>
              </w:rPr>
              <w:t xml:space="preserve">2026 Convertible Notes </w:t>
            </w:r>
            <w:r>
              <w:rPr>
                <w:rFonts w:ascii="Times New Roman" w:cs="Times New Roman" w:eastAsia="Times New Roman" w:hAnsi="Times New Roman"/>
                <w:sz w:val="18"/>
                <w:szCs w:val="18"/>
                <w:color w:val="B8BABC"/>
              </w:rPr>
              <w:t>. . . .</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(564)</w:t>
            </w:r>
          </w:p>
        </w:tc>
        <w:tc>
          <w:tcPr>
            <w:tcW w:w="0" w:type="dxa"/>
            <w:vAlign w:val="bottom"/>
          </w:tcPr>
          <w:p>
            <w:pPr>
              <w:spacing w:after="0"/>
              <w:rPr>
                <w:sz w:val="1"/>
                <w:szCs w:val="1"/>
                <w:color w:val="auto"/>
              </w:rPr>
            </w:pPr>
          </w:p>
        </w:tc>
      </w:tr>
      <w:tr>
        <w:trPr>
          <w:trHeight w:val="285"/>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231F20"/>
              </w:rPr>
              <w:t xml:space="preserve">2027 Convertible Notes </w:t>
            </w:r>
            <w:r>
              <w:rPr>
                <w:rFonts w:ascii="Times New Roman" w:cs="Times New Roman" w:eastAsia="Times New Roman" w:hAnsi="Times New Roman"/>
                <w:sz w:val="18"/>
                <w:szCs w:val="18"/>
                <w:color w:val="B8BABC"/>
              </w:rPr>
              <w:t>. . . .</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3.3%</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834" w:right="1080" w:bottom="0" w:gutter="0" w:footer="0" w:header="0"/>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9720"/>
          </w:cols>
          <w:pgMar w:left="1080" w:top="834" w:right="1080" w:bottom="0" w:gutter="0" w:footer="0" w:header="0"/>
          <w:type w:val="continuous"/>
        </w:sectPr>
      </w:pPr>
    </w:p>
    <w:bookmarkStart w:id="69" w:name="page70"/>
    <w:bookmarkEnd w:id="69"/>
    <w:p>
      <w:pPr>
        <w:ind w:right="180"/>
        <w:spacing w:after="0" w:line="266" w:lineRule="auto"/>
        <w:rPr>
          <w:sz w:val="20"/>
          <w:szCs w:val="20"/>
          <w:color w:val="auto"/>
        </w:rPr>
      </w:pPr>
      <w:r>
        <w:rPr>
          <w:rFonts w:ascii="Times New Roman" w:cs="Times New Roman" w:eastAsia="Times New Roman" w:hAnsi="Times New Roman"/>
          <w:sz w:val="20"/>
          <w:szCs w:val="20"/>
          <w:color w:val="231F20"/>
        </w:rPr>
        <w:t>We are exposed to currency exchange rate risk through investments in foreign subsidiaries that transact business in a currency other than the U.S. dollar and through the revaluation of assets and liabilities denominated in a currency other than the functional currency.</w:t>
      </w:r>
    </w:p>
    <w:p>
      <w:pPr>
        <w:spacing w:after="0" w:line="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We may use derivative instruments as part of our 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 However, we cannot assure you that these transactions will be as effective as we anticipate.</w:t>
      </w:r>
    </w:p>
    <w:p>
      <w:pPr>
        <w:sectPr>
          <w:pgSz w:w="11880" w:h="15480" w:orient="portrait"/>
          <w:cols w:equalWidth="0" w:num="1">
            <w:col w:w="9700"/>
          </w:cols>
          <w:pgMar w:left="1080" w:top="83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9700"/>
          </w:cols>
          <w:pgMar w:left="1080" w:top="838" w:right="1100" w:bottom="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64"/>
        </w:trPr>
        <w:tc>
          <w:tcPr>
            <w:tcW w:w="14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231F20"/>
              </w:rPr>
              <w:t>Item 8.</w:t>
            </w:r>
          </w:p>
        </w:tc>
        <w:tc>
          <w:tcPr>
            <w:tcW w:w="7460" w:type="dxa"/>
            <w:vAlign w:val="bottom"/>
          </w:tcPr>
          <w:p>
            <w:pPr>
              <w:jc w:val="right"/>
              <w:ind w:right="3380"/>
              <w:spacing w:after="0"/>
              <w:rPr>
                <w:sz w:val="20"/>
                <w:szCs w:val="20"/>
                <w:color w:val="auto"/>
              </w:rPr>
            </w:pPr>
            <w:r>
              <w:rPr>
                <w:rFonts w:ascii="Times New Roman" w:cs="Times New Roman" w:eastAsia="Times New Roman" w:hAnsi="Times New Roman"/>
                <w:sz w:val="20"/>
                <w:szCs w:val="20"/>
                <w:b w:val="1"/>
                <w:bCs w:val="1"/>
                <w:color w:val="231F20"/>
                <w:w w:val="99"/>
              </w:rPr>
              <w:t>Financial Statements and Supplementary Data</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8900" w:type="dxa"/>
            <w:vAlign w:val="bottom"/>
            <w:gridSpan w:val="4"/>
          </w:tcPr>
          <w:p>
            <w:pPr>
              <w:spacing w:after="0"/>
              <w:rPr>
                <w:sz w:val="20"/>
                <w:szCs w:val="20"/>
                <w:color w:val="auto"/>
              </w:rPr>
            </w:pPr>
            <w:r>
              <w:rPr>
                <w:rFonts w:ascii="Times New Roman" w:cs="Times New Roman" w:eastAsia="Times New Roman" w:hAnsi="Times New Roman"/>
                <w:sz w:val="20"/>
                <w:szCs w:val="20"/>
                <w:color w:val="231F20"/>
              </w:rPr>
              <w:t>The following financial information is included on the pages indicated.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820" w:type="dxa"/>
            <w:vAlign w:val="bottom"/>
            <w:tcBorders>
              <w:bottom w:val="single" w:sz="8" w:color="231F20"/>
            </w:tcBorders>
          </w:tcPr>
          <w:p>
            <w:pPr>
              <w:ind w:left="220"/>
              <w:spacing w:after="0"/>
              <w:rPr>
                <w:sz w:val="20"/>
                <w:szCs w:val="20"/>
                <w:color w:val="auto"/>
              </w:rPr>
            </w:pPr>
            <w:r>
              <w:rPr>
                <w:rFonts w:ascii="Times New Roman" w:cs="Times New Roman" w:eastAsia="Times New Roman" w:hAnsi="Times New Roman"/>
                <w:sz w:val="18"/>
                <w:szCs w:val="18"/>
                <w:b w:val="1"/>
                <w:bCs w:val="1"/>
                <w:color w:val="231F20"/>
              </w:rPr>
              <w:t>Page</w:t>
            </w:r>
          </w:p>
        </w:tc>
        <w:tc>
          <w:tcPr>
            <w:tcW w:w="0" w:type="dxa"/>
            <w:vAlign w:val="bottom"/>
          </w:tcPr>
          <w:p>
            <w:pPr>
              <w:spacing w:after="0"/>
              <w:rPr>
                <w:sz w:val="1"/>
                <w:szCs w:val="1"/>
                <w:color w:val="auto"/>
              </w:rPr>
            </w:pPr>
          </w:p>
        </w:tc>
      </w:tr>
      <w:tr>
        <w:trPr>
          <w:trHeight w:val="260"/>
        </w:trPr>
        <w:tc>
          <w:tcPr>
            <w:tcW w:w="8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 . . . . . . . . . . . . . . . . . . . . . . .</w:t>
            </w:r>
            <w:r>
              <w:rPr>
                <w:rFonts w:ascii="Times New Roman" w:cs="Times New Roman" w:eastAsia="Times New Roman" w:hAnsi="Times New Roman"/>
                <w:sz w:val="20"/>
                <w:szCs w:val="20"/>
                <w:color w:val="231F20"/>
              </w:rPr>
              <w:t>FinancialStatementsandSupplementaryData</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67</w:t>
            </w:r>
          </w:p>
        </w:tc>
        <w:tc>
          <w:tcPr>
            <w:tcW w:w="0" w:type="dxa"/>
            <w:vAlign w:val="bottom"/>
          </w:tcPr>
          <w:p>
            <w:pPr>
              <w:spacing w:after="0"/>
              <w:rPr>
                <w:sz w:val="1"/>
                <w:szCs w:val="1"/>
                <w:color w:val="auto"/>
              </w:rPr>
            </w:pPr>
          </w:p>
        </w:tc>
      </w:tr>
      <w:tr>
        <w:trPr>
          <w:trHeight w:val="276"/>
        </w:trPr>
        <w:tc>
          <w:tcPr>
            <w:tcW w:w="8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Management’s Report on Internal Control Over Financial Reporting </w:t>
            </w:r>
            <w:r>
              <w:rPr>
                <w:rFonts w:ascii="Times New Roman" w:cs="Times New Roman" w:eastAsia="Times New Roman" w:hAnsi="Times New Roman"/>
                <w:sz w:val="20"/>
                <w:szCs w:val="20"/>
                <w:color w:val="B8BABC"/>
              </w:rPr>
              <w:t>.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68</w:t>
            </w:r>
          </w:p>
        </w:tc>
        <w:tc>
          <w:tcPr>
            <w:tcW w:w="0" w:type="dxa"/>
            <w:vAlign w:val="bottom"/>
          </w:tcPr>
          <w:p>
            <w:pPr>
              <w:spacing w:after="0"/>
              <w:rPr>
                <w:sz w:val="1"/>
                <w:szCs w:val="1"/>
                <w:color w:val="auto"/>
              </w:rPr>
            </w:pPr>
          </w:p>
        </w:tc>
      </w:tr>
      <w:tr>
        <w:trPr>
          <w:trHeight w:val="215"/>
        </w:trPr>
        <w:tc>
          <w:tcPr>
            <w:tcW w:w="8900" w:type="dxa"/>
            <w:vAlign w:val="bottom"/>
            <w:gridSpan w:val="4"/>
          </w:tcPr>
          <w:p>
            <w:pPr>
              <w:jc w:val="right"/>
              <w:ind w:right="2640"/>
              <w:spacing w:after="0" w:line="215" w:lineRule="exact"/>
              <w:rPr>
                <w:sz w:val="20"/>
                <w:szCs w:val="20"/>
                <w:color w:val="auto"/>
              </w:rPr>
            </w:pPr>
            <w:r>
              <w:rPr>
                <w:rFonts w:ascii="Times New Roman" w:cs="Times New Roman" w:eastAsia="Times New Roman" w:hAnsi="Times New Roman"/>
                <w:sz w:val="20"/>
                <w:szCs w:val="20"/>
                <w:color w:val="231F20"/>
              </w:rPr>
              <w:t>Report of Independent Registered Public Accounting Firm (PCAOB ID: 42)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69</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20"/>
                <w:szCs w:val="20"/>
                <w:color w:val="231F20"/>
              </w:rPr>
              <w:t>Internal Control Over Financial Reporting</w:t>
            </w: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340" w:type="dxa"/>
            <w:vAlign w:val="bottom"/>
            <w:gridSpan w:val="2"/>
            <w:vMerge w:val="continue"/>
          </w:tcPr>
          <w:p>
            <w:pPr>
              <w:jc w:val="right"/>
              <w:spacing w:after="0" w:line="40" w:lineRule="exact"/>
              <w:rPr>
                <w:sz w:val="20"/>
                <w:szCs w:val="20"/>
                <w:color w:val="auto"/>
              </w:rPr>
            </w:pPr>
            <w:r>
              <w:rPr>
                <w:rFonts w:ascii="Times New Roman" w:cs="Times New Roman" w:eastAsia="Times New Roman" w:hAnsi="Times New Roman"/>
                <w:sz w:val="4"/>
                <w:szCs w:val="4"/>
                <w:color w:val="B8BABC"/>
              </w:rPr>
              <w:t>. . . . . . . . . . . . . . . . . . . . . . . . . . . . . . . . . . . . . . . . . . . . . .</w:t>
            </w: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8900" w:type="dxa"/>
            <w:vAlign w:val="bottom"/>
            <w:gridSpan w:val="4"/>
          </w:tcPr>
          <w:p>
            <w:pPr>
              <w:jc w:val="right"/>
              <w:ind w:right="2640"/>
              <w:spacing w:after="0" w:line="205" w:lineRule="exact"/>
              <w:rPr>
                <w:sz w:val="20"/>
                <w:szCs w:val="20"/>
                <w:color w:val="auto"/>
              </w:rPr>
            </w:pPr>
            <w:r>
              <w:rPr>
                <w:rFonts w:ascii="Times New Roman" w:cs="Times New Roman" w:eastAsia="Times New Roman" w:hAnsi="Times New Roman"/>
                <w:sz w:val="20"/>
                <w:szCs w:val="20"/>
                <w:color w:val="231F20"/>
              </w:rPr>
              <w:t>Report of Independent Registered Public Accounting Firm (PCAOB ID: 42)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9"/>
              </w:rPr>
              <w:t>70</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20"/>
                <w:szCs w:val="20"/>
                <w:color w:val="231F20"/>
              </w:rPr>
              <w:t>Financial Statements</w:t>
            </w: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340" w:type="dxa"/>
            <w:vAlign w:val="bottom"/>
            <w:gridSpan w:val="2"/>
            <w:vMerge w:val="continue"/>
          </w:tcPr>
          <w:p>
            <w:pPr>
              <w:jc w:val="right"/>
              <w:spacing w:after="0" w:line="40" w:lineRule="exact"/>
              <w:rPr>
                <w:sz w:val="20"/>
                <w:szCs w:val="20"/>
                <w:color w:val="auto"/>
              </w:rPr>
            </w:pPr>
            <w:r>
              <w:rPr>
                <w:rFonts w:ascii="Times New Roman" w:cs="Times New Roman" w:eastAsia="Times New Roman" w:hAnsi="Times New Roman"/>
                <w:sz w:val="4"/>
                <w:szCs w:val="4"/>
                <w:color w:val="B8BABC"/>
              </w:rPr>
              <w:t>. . . . . . . . . . . . . . . . . . . . . . . . . . . . . . . . . . . . . . . . . . . . . . . . . . . . . . . . . . . . . . . .</w:t>
            </w: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8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xml:space="preserve">Financial Statements </w:t>
            </w:r>
            <w:r>
              <w:rPr>
                <w:rFonts w:ascii="Times New Roman" w:cs="Times New Roman" w:eastAsia="Times New Roman" w:hAnsi="Times New Roman"/>
                <w:sz w:val="20"/>
                <w:szCs w:val="20"/>
                <w:color w:val="B8BABC"/>
              </w:rPr>
              <w:t>. . . . . . . . . .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73</w:t>
            </w:r>
          </w:p>
        </w:tc>
        <w:tc>
          <w:tcPr>
            <w:tcW w:w="0" w:type="dxa"/>
            <w:vAlign w:val="bottom"/>
          </w:tcPr>
          <w:p>
            <w:pPr>
              <w:spacing w:after="0"/>
              <w:rPr>
                <w:sz w:val="1"/>
                <w:szCs w:val="1"/>
                <w:color w:val="auto"/>
              </w:rPr>
            </w:pPr>
          </w:p>
        </w:tc>
      </w:tr>
      <w:tr>
        <w:trPr>
          <w:trHeight w:val="285"/>
        </w:trPr>
        <w:tc>
          <w:tcPr>
            <w:tcW w:w="8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xml:space="preserve">Consolidated Statements of Income </w:t>
            </w:r>
            <w:r>
              <w:rPr>
                <w:rFonts w:ascii="Times New Roman" w:cs="Times New Roman" w:eastAsia="Times New Roman" w:hAnsi="Times New Roman"/>
                <w:sz w:val="20"/>
                <w:szCs w:val="20"/>
                <w:color w:val="B8BABC"/>
              </w:rPr>
              <w:t>.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73</w:t>
            </w:r>
          </w:p>
        </w:tc>
        <w:tc>
          <w:tcPr>
            <w:tcW w:w="0" w:type="dxa"/>
            <w:vAlign w:val="bottom"/>
          </w:tcPr>
          <w:p>
            <w:pPr>
              <w:spacing w:after="0"/>
              <w:rPr>
                <w:sz w:val="1"/>
                <w:szCs w:val="1"/>
                <w:color w:val="auto"/>
              </w:rPr>
            </w:pPr>
          </w:p>
        </w:tc>
      </w:tr>
      <w:tr>
        <w:trPr>
          <w:trHeight w:val="285"/>
        </w:trPr>
        <w:tc>
          <w:tcPr>
            <w:tcW w:w="8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xml:space="preserve">Consolidated Statements of Comprehensive Income </w:t>
            </w:r>
            <w:r>
              <w:rPr>
                <w:rFonts w:ascii="Times New Roman" w:cs="Times New Roman" w:eastAsia="Times New Roman" w:hAnsi="Times New Roman"/>
                <w:sz w:val="20"/>
                <w:szCs w:val="20"/>
                <w:color w:val="B8BABC"/>
              </w:rPr>
              <w:t>.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74</w:t>
            </w:r>
          </w:p>
        </w:tc>
        <w:tc>
          <w:tcPr>
            <w:tcW w:w="0" w:type="dxa"/>
            <w:vAlign w:val="bottom"/>
          </w:tcPr>
          <w:p>
            <w:pPr>
              <w:spacing w:after="0"/>
              <w:rPr>
                <w:sz w:val="1"/>
                <w:szCs w:val="1"/>
                <w:color w:val="auto"/>
              </w:rPr>
            </w:pPr>
          </w:p>
        </w:tc>
      </w:tr>
      <w:tr>
        <w:trPr>
          <w:trHeight w:val="285"/>
        </w:trPr>
        <w:tc>
          <w:tcPr>
            <w:tcW w:w="8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xml:space="preserve">Consolidated Balance Sheets </w:t>
            </w:r>
            <w:r>
              <w:rPr>
                <w:rFonts w:ascii="Times New Roman" w:cs="Times New Roman" w:eastAsia="Times New Roman" w:hAnsi="Times New Roman"/>
                <w:sz w:val="20"/>
                <w:szCs w:val="20"/>
                <w:color w:val="B8BABC"/>
              </w:rPr>
              <w:t>.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75</w:t>
            </w:r>
          </w:p>
        </w:tc>
        <w:tc>
          <w:tcPr>
            <w:tcW w:w="0" w:type="dxa"/>
            <w:vAlign w:val="bottom"/>
          </w:tcPr>
          <w:p>
            <w:pPr>
              <w:spacing w:after="0"/>
              <w:rPr>
                <w:sz w:val="1"/>
                <w:szCs w:val="1"/>
                <w:color w:val="auto"/>
              </w:rPr>
            </w:pPr>
          </w:p>
        </w:tc>
      </w:tr>
      <w:tr>
        <w:trPr>
          <w:trHeight w:val="285"/>
        </w:trPr>
        <w:tc>
          <w:tcPr>
            <w:tcW w:w="8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xml:space="preserve">Consolidated Statements of Cash Flows </w:t>
            </w:r>
            <w:r>
              <w:rPr>
                <w:rFonts w:ascii="Times New Roman" w:cs="Times New Roman" w:eastAsia="Times New Roman" w:hAnsi="Times New Roman"/>
                <w:sz w:val="20"/>
                <w:szCs w:val="20"/>
                <w:color w:val="B8BABC"/>
              </w:rPr>
              <w:t>.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76</w:t>
            </w:r>
          </w:p>
        </w:tc>
        <w:tc>
          <w:tcPr>
            <w:tcW w:w="0" w:type="dxa"/>
            <w:vAlign w:val="bottom"/>
          </w:tcPr>
          <w:p>
            <w:pPr>
              <w:spacing w:after="0"/>
              <w:rPr>
                <w:sz w:val="1"/>
                <w:szCs w:val="1"/>
                <w:color w:val="auto"/>
              </w:rPr>
            </w:pPr>
          </w:p>
        </w:tc>
      </w:tr>
      <w:tr>
        <w:trPr>
          <w:trHeight w:val="285"/>
        </w:trPr>
        <w:tc>
          <w:tcPr>
            <w:tcW w:w="8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xml:space="preserve">Consolidated Statements of Stockholders’ Equity </w:t>
            </w:r>
            <w:r>
              <w:rPr>
                <w:rFonts w:ascii="Times New Roman" w:cs="Times New Roman" w:eastAsia="Times New Roman" w:hAnsi="Times New Roman"/>
                <w:sz w:val="20"/>
                <w:szCs w:val="20"/>
                <w:color w:val="B8BABC"/>
              </w:rPr>
              <w:t>.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78</w:t>
            </w:r>
          </w:p>
        </w:tc>
        <w:tc>
          <w:tcPr>
            <w:tcW w:w="0" w:type="dxa"/>
            <w:vAlign w:val="bottom"/>
          </w:tcPr>
          <w:p>
            <w:pPr>
              <w:spacing w:after="0"/>
              <w:rPr>
                <w:sz w:val="1"/>
                <w:szCs w:val="1"/>
                <w:color w:val="auto"/>
              </w:rPr>
            </w:pPr>
          </w:p>
        </w:tc>
      </w:tr>
      <w:tr>
        <w:trPr>
          <w:trHeight w:val="285"/>
        </w:trPr>
        <w:tc>
          <w:tcPr>
            <w:tcW w:w="8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xml:space="preserve">Notes to Consolidated Financial Statements </w:t>
            </w:r>
            <w:r>
              <w:rPr>
                <w:rFonts w:ascii="Times New Roman" w:cs="Times New Roman" w:eastAsia="Times New Roman" w:hAnsi="Times New Roman"/>
                <w:sz w:val="20"/>
                <w:szCs w:val="20"/>
                <w:color w:val="B8BABC"/>
              </w:rPr>
              <w:t>.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79</w:t>
            </w:r>
          </w:p>
        </w:tc>
        <w:tc>
          <w:tcPr>
            <w:tcW w:w="0" w:type="dxa"/>
            <w:vAlign w:val="bottom"/>
          </w:tcPr>
          <w:p>
            <w:pPr>
              <w:spacing w:after="0"/>
              <w:rPr>
                <w:sz w:val="1"/>
                <w:szCs w:val="1"/>
                <w:color w:val="auto"/>
              </w:rPr>
            </w:pPr>
          </w:p>
        </w:tc>
      </w:tr>
      <w:tr>
        <w:trPr>
          <w:trHeight w:val="285"/>
        </w:trPr>
        <w:tc>
          <w:tcPr>
            <w:tcW w:w="46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1.</w:t>
            </w:r>
          </w:p>
        </w:tc>
        <w:tc>
          <w:tcPr>
            <w:tcW w:w="8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xml:space="preserve">Basis of Presentation </w:t>
            </w:r>
            <w:r>
              <w:rPr>
                <w:rFonts w:ascii="Times New Roman" w:cs="Times New Roman" w:eastAsia="Times New Roman" w:hAnsi="Times New Roman"/>
                <w:sz w:val="20"/>
                <w:szCs w:val="20"/>
                <w:color w:val="B8BABC"/>
              </w:rPr>
              <w:t>. . . . .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79</w:t>
            </w:r>
          </w:p>
        </w:tc>
        <w:tc>
          <w:tcPr>
            <w:tcW w:w="0" w:type="dxa"/>
            <w:vAlign w:val="bottom"/>
          </w:tcPr>
          <w:p>
            <w:pPr>
              <w:spacing w:after="0"/>
              <w:rPr>
                <w:sz w:val="1"/>
                <w:szCs w:val="1"/>
                <w:color w:val="auto"/>
              </w:rPr>
            </w:pPr>
          </w:p>
        </w:tc>
      </w:tr>
      <w:tr>
        <w:trPr>
          <w:trHeight w:val="285"/>
        </w:trPr>
        <w:tc>
          <w:tcPr>
            <w:tcW w:w="46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2.</w:t>
            </w:r>
          </w:p>
        </w:tc>
        <w:tc>
          <w:tcPr>
            <w:tcW w:w="8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xml:space="preserve">Summary of Significant Accounting Policies </w:t>
            </w:r>
            <w:r>
              <w:rPr>
                <w:rFonts w:ascii="Times New Roman" w:cs="Times New Roman" w:eastAsia="Times New Roman" w:hAnsi="Times New Roman"/>
                <w:sz w:val="20"/>
                <w:szCs w:val="20"/>
                <w:color w:val="B8BABC"/>
              </w:rPr>
              <w:t>.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80</w:t>
            </w:r>
          </w:p>
        </w:tc>
        <w:tc>
          <w:tcPr>
            <w:tcW w:w="0" w:type="dxa"/>
            <w:vAlign w:val="bottom"/>
          </w:tcPr>
          <w:p>
            <w:pPr>
              <w:spacing w:after="0"/>
              <w:rPr>
                <w:sz w:val="1"/>
                <w:szCs w:val="1"/>
                <w:color w:val="auto"/>
              </w:rPr>
            </w:pPr>
          </w:p>
        </w:tc>
      </w:tr>
      <w:tr>
        <w:trPr>
          <w:trHeight w:val="285"/>
        </w:trPr>
        <w:tc>
          <w:tcPr>
            <w:tcW w:w="46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Revenue </w:t>
            </w:r>
            <w:r>
              <w:rPr>
                <w:rFonts w:ascii="Times New Roman" w:cs="Times New Roman" w:eastAsia="Times New Roman" w:hAnsi="Times New Roman"/>
                <w:sz w:val="20"/>
                <w:szCs w:val="20"/>
                <w:color w:val="B8BABC"/>
              </w:rPr>
              <w:t>. .</w:t>
            </w:r>
          </w:p>
        </w:tc>
        <w:tc>
          <w:tcPr>
            <w:tcW w:w="746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90</w:t>
            </w:r>
          </w:p>
        </w:tc>
        <w:tc>
          <w:tcPr>
            <w:tcW w:w="0" w:type="dxa"/>
            <w:vAlign w:val="bottom"/>
          </w:tcPr>
          <w:p>
            <w:pPr>
              <w:spacing w:after="0"/>
              <w:rPr>
                <w:sz w:val="1"/>
                <w:szCs w:val="1"/>
                <w:color w:val="auto"/>
              </w:rPr>
            </w:pPr>
          </w:p>
        </w:tc>
      </w:tr>
      <w:tr>
        <w:trPr>
          <w:trHeight w:val="285"/>
        </w:trPr>
        <w:tc>
          <w:tcPr>
            <w:tcW w:w="46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4.</w:t>
            </w:r>
          </w:p>
        </w:tc>
        <w:tc>
          <w:tcPr>
            <w:tcW w:w="8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xml:space="preserve">Income Taxes </w:t>
            </w:r>
            <w:r>
              <w:rPr>
                <w:rFonts w:ascii="Times New Roman" w:cs="Times New Roman" w:eastAsia="Times New Roman" w:hAnsi="Times New Roman"/>
                <w:sz w:val="20"/>
                <w:szCs w:val="20"/>
                <w:color w:val="B8BABC"/>
              </w:rPr>
              <w:t>. . . . . . . . . . .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92</w:t>
            </w:r>
          </w:p>
        </w:tc>
        <w:tc>
          <w:tcPr>
            <w:tcW w:w="0" w:type="dxa"/>
            <w:vAlign w:val="bottom"/>
          </w:tcPr>
          <w:p>
            <w:pPr>
              <w:spacing w:after="0"/>
              <w:rPr>
                <w:sz w:val="1"/>
                <w:szCs w:val="1"/>
                <w:color w:val="auto"/>
              </w:rPr>
            </w:pPr>
          </w:p>
        </w:tc>
      </w:tr>
      <w:tr>
        <w:trPr>
          <w:trHeight w:val="285"/>
        </w:trPr>
        <w:tc>
          <w:tcPr>
            <w:tcW w:w="46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5.</w:t>
            </w:r>
          </w:p>
        </w:tc>
        <w:tc>
          <w:tcPr>
            <w:tcW w:w="8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xml:space="preserve">Vacation Ownership Notes Receivable </w:t>
            </w:r>
            <w:r>
              <w:rPr>
                <w:rFonts w:ascii="Times New Roman" w:cs="Times New Roman" w:eastAsia="Times New Roman" w:hAnsi="Times New Roman"/>
                <w:sz w:val="20"/>
                <w:szCs w:val="20"/>
                <w:color w:val="B8BABC"/>
              </w:rPr>
              <w:t>.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96</w:t>
            </w:r>
          </w:p>
        </w:tc>
        <w:tc>
          <w:tcPr>
            <w:tcW w:w="0" w:type="dxa"/>
            <w:vAlign w:val="bottom"/>
          </w:tcPr>
          <w:p>
            <w:pPr>
              <w:spacing w:after="0"/>
              <w:rPr>
                <w:sz w:val="1"/>
                <w:szCs w:val="1"/>
                <w:color w:val="auto"/>
              </w:rPr>
            </w:pPr>
          </w:p>
        </w:tc>
      </w:tr>
      <w:tr>
        <w:trPr>
          <w:trHeight w:val="285"/>
        </w:trPr>
        <w:tc>
          <w:tcPr>
            <w:tcW w:w="46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6.</w:t>
            </w:r>
          </w:p>
        </w:tc>
        <w:tc>
          <w:tcPr>
            <w:tcW w:w="8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xml:space="preserve">Financial Instruments </w:t>
            </w:r>
            <w:r>
              <w:rPr>
                <w:rFonts w:ascii="Times New Roman" w:cs="Times New Roman" w:eastAsia="Times New Roman" w:hAnsi="Times New Roman"/>
                <w:sz w:val="20"/>
                <w:szCs w:val="20"/>
                <w:color w:val="B8BABC"/>
              </w:rPr>
              <w:t>. . . . .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101</w:t>
            </w:r>
          </w:p>
        </w:tc>
        <w:tc>
          <w:tcPr>
            <w:tcW w:w="0" w:type="dxa"/>
            <w:vAlign w:val="bottom"/>
          </w:tcPr>
          <w:p>
            <w:pPr>
              <w:spacing w:after="0"/>
              <w:rPr>
                <w:sz w:val="1"/>
                <w:szCs w:val="1"/>
                <w:color w:val="auto"/>
              </w:rPr>
            </w:pPr>
          </w:p>
        </w:tc>
      </w:tr>
      <w:tr>
        <w:trPr>
          <w:trHeight w:val="285"/>
        </w:trPr>
        <w:tc>
          <w:tcPr>
            <w:tcW w:w="46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7.</w:t>
            </w:r>
          </w:p>
        </w:tc>
        <w:tc>
          <w:tcPr>
            <w:tcW w:w="8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xml:space="preserve">Earnings per Share </w:t>
            </w:r>
            <w:r>
              <w:rPr>
                <w:rFonts w:ascii="Times New Roman" w:cs="Times New Roman" w:eastAsia="Times New Roman" w:hAnsi="Times New Roman"/>
                <w:sz w:val="20"/>
                <w:szCs w:val="20"/>
                <w:color w:val="B8BABC"/>
              </w:rPr>
              <w:t>. . . . . . .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103</w:t>
            </w:r>
          </w:p>
        </w:tc>
        <w:tc>
          <w:tcPr>
            <w:tcW w:w="0" w:type="dxa"/>
            <w:vAlign w:val="bottom"/>
          </w:tcPr>
          <w:p>
            <w:pPr>
              <w:spacing w:after="0"/>
              <w:rPr>
                <w:sz w:val="1"/>
                <w:szCs w:val="1"/>
                <w:color w:val="auto"/>
              </w:rPr>
            </w:pPr>
          </w:p>
        </w:tc>
      </w:tr>
      <w:tr>
        <w:trPr>
          <w:trHeight w:val="285"/>
        </w:trPr>
        <w:tc>
          <w:tcPr>
            <w:tcW w:w="46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Inventory </w:t>
            </w:r>
            <w:r>
              <w:rPr>
                <w:rFonts w:ascii="Times New Roman" w:cs="Times New Roman" w:eastAsia="Times New Roman" w:hAnsi="Times New Roman"/>
                <w:sz w:val="20"/>
                <w:szCs w:val="20"/>
                <w:color w:val="B8BABC"/>
              </w:rPr>
              <w:t>.</w:t>
            </w:r>
          </w:p>
        </w:tc>
        <w:tc>
          <w:tcPr>
            <w:tcW w:w="746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104</w:t>
            </w:r>
          </w:p>
        </w:tc>
        <w:tc>
          <w:tcPr>
            <w:tcW w:w="0" w:type="dxa"/>
            <w:vAlign w:val="bottom"/>
          </w:tcPr>
          <w:p>
            <w:pPr>
              <w:spacing w:after="0"/>
              <w:rPr>
                <w:sz w:val="1"/>
                <w:szCs w:val="1"/>
                <w:color w:val="auto"/>
              </w:rPr>
            </w:pPr>
          </w:p>
        </w:tc>
      </w:tr>
      <w:tr>
        <w:trPr>
          <w:trHeight w:val="285"/>
        </w:trPr>
        <w:tc>
          <w:tcPr>
            <w:tcW w:w="460" w:type="dxa"/>
            <w:vAlign w:val="bottom"/>
          </w:tcPr>
          <w:p>
            <w:pPr>
              <w:ind w:left="280"/>
              <w:spacing w:after="0"/>
              <w:rPr>
                <w:sz w:val="20"/>
                <w:szCs w:val="20"/>
                <w:color w:val="auto"/>
              </w:rPr>
            </w:pPr>
            <w:r>
              <w:rPr>
                <w:rFonts w:ascii="Times New Roman" w:cs="Times New Roman" w:eastAsia="Times New Roman" w:hAnsi="Times New Roman"/>
                <w:sz w:val="20"/>
                <w:szCs w:val="20"/>
                <w:color w:val="231F20"/>
              </w:rPr>
              <w:t>9.</w:t>
            </w:r>
          </w:p>
        </w:tc>
        <w:tc>
          <w:tcPr>
            <w:tcW w:w="8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 xml:space="preserve">Property and Equipment </w:t>
            </w:r>
            <w:r>
              <w:rPr>
                <w:rFonts w:ascii="Times New Roman" w:cs="Times New Roman" w:eastAsia="Times New Roman" w:hAnsi="Times New Roman"/>
                <w:sz w:val="20"/>
                <w:szCs w:val="20"/>
                <w:color w:val="B8BABC"/>
              </w:rPr>
              <w:t>. . .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104</w:t>
            </w:r>
          </w:p>
        </w:tc>
        <w:tc>
          <w:tcPr>
            <w:tcW w:w="0" w:type="dxa"/>
            <w:vAlign w:val="bottom"/>
          </w:tcPr>
          <w:p>
            <w:pPr>
              <w:spacing w:after="0"/>
              <w:rPr>
                <w:sz w:val="1"/>
                <w:szCs w:val="1"/>
                <w:color w:val="auto"/>
              </w:rPr>
            </w:pPr>
          </w:p>
        </w:tc>
      </w:tr>
      <w:tr>
        <w:trPr>
          <w:trHeight w:val="285"/>
        </w:trPr>
        <w:tc>
          <w:tcPr>
            <w:tcW w:w="5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10.</w:t>
            </w:r>
          </w:p>
        </w:tc>
        <w:tc>
          <w:tcPr>
            <w:tcW w:w="8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Goodwill </w:t>
            </w:r>
            <w:r>
              <w:rPr>
                <w:rFonts w:ascii="Times New Roman" w:cs="Times New Roman" w:eastAsia="Times New Roman" w:hAnsi="Times New Roman"/>
                <w:sz w:val="20"/>
                <w:szCs w:val="20"/>
                <w:color w:val="B8BABC"/>
              </w:rPr>
              <w:t>. . . . . . . . . . . . . .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105</w:t>
            </w:r>
          </w:p>
        </w:tc>
        <w:tc>
          <w:tcPr>
            <w:tcW w:w="0" w:type="dxa"/>
            <w:vAlign w:val="bottom"/>
          </w:tcPr>
          <w:p>
            <w:pPr>
              <w:spacing w:after="0"/>
              <w:rPr>
                <w:sz w:val="1"/>
                <w:szCs w:val="1"/>
                <w:color w:val="auto"/>
              </w:rPr>
            </w:pPr>
          </w:p>
        </w:tc>
      </w:tr>
      <w:tr>
        <w:trPr>
          <w:trHeight w:val="285"/>
        </w:trPr>
        <w:tc>
          <w:tcPr>
            <w:tcW w:w="5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11.</w:t>
            </w:r>
          </w:p>
        </w:tc>
        <w:tc>
          <w:tcPr>
            <w:tcW w:w="8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Intangibles </w:t>
            </w:r>
            <w:r>
              <w:rPr>
                <w:rFonts w:ascii="Times New Roman" w:cs="Times New Roman" w:eastAsia="Times New Roman" w:hAnsi="Times New Roman"/>
                <w:sz w:val="20"/>
                <w:szCs w:val="20"/>
                <w:color w:val="B8BABC"/>
              </w:rPr>
              <w:t>. . . . . . . . . . . .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105</w:t>
            </w:r>
          </w:p>
        </w:tc>
        <w:tc>
          <w:tcPr>
            <w:tcW w:w="0" w:type="dxa"/>
            <w:vAlign w:val="bottom"/>
          </w:tcPr>
          <w:p>
            <w:pPr>
              <w:spacing w:after="0"/>
              <w:rPr>
                <w:sz w:val="1"/>
                <w:szCs w:val="1"/>
                <w:color w:val="auto"/>
              </w:rPr>
            </w:pPr>
          </w:p>
        </w:tc>
      </w:tr>
      <w:tr>
        <w:trPr>
          <w:trHeight w:val="285"/>
        </w:trPr>
        <w:tc>
          <w:tcPr>
            <w:tcW w:w="5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12.</w:t>
            </w:r>
          </w:p>
        </w:tc>
        <w:tc>
          <w:tcPr>
            <w:tcW w:w="8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Contingencies and Commitments </w:t>
            </w:r>
            <w:r>
              <w:rPr>
                <w:rFonts w:ascii="Times New Roman" w:cs="Times New Roman" w:eastAsia="Times New Roman" w:hAnsi="Times New Roman"/>
                <w:sz w:val="20"/>
                <w:szCs w:val="20"/>
                <w:color w:val="B8BABC"/>
                <w:w w:val="99"/>
              </w:rPr>
              <w:t>.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106</w:t>
            </w:r>
          </w:p>
        </w:tc>
        <w:tc>
          <w:tcPr>
            <w:tcW w:w="0" w:type="dxa"/>
            <w:vAlign w:val="bottom"/>
          </w:tcPr>
          <w:p>
            <w:pPr>
              <w:spacing w:after="0"/>
              <w:rPr>
                <w:sz w:val="1"/>
                <w:szCs w:val="1"/>
                <w:color w:val="auto"/>
              </w:rPr>
            </w:pPr>
          </w:p>
        </w:tc>
      </w:tr>
      <w:tr>
        <w:trPr>
          <w:trHeight w:val="285"/>
        </w:trPr>
        <w:tc>
          <w:tcPr>
            <w:tcW w:w="5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13.</w:t>
            </w:r>
          </w:p>
        </w:tc>
        <w:tc>
          <w:tcPr>
            <w:tcW w:w="8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Leases </w:t>
            </w:r>
            <w:r>
              <w:rPr>
                <w:rFonts w:ascii="Times New Roman" w:cs="Times New Roman" w:eastAsia="Times New Roman" w:hAnsi="Times New Roman"/>
                <w:sz w:val="20"/>
                <w:szCs w:val="20"/>
                <w:color w:val="B8BABC"/>
              </w:rPr>
              <w:t>. . . . . . . . . . . . . . . .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107</w:t>
            </w:r>
          </w:p>
        </w:tc>
        <w:tc>
          <w:tcPr>
            <w:tcW w:w="0" w:type="dxa"/>
            <w:vAlign w:val="bottom"/>
          </w:tcPr>
          <w:p>
            <w:pPr>
              <w:spacing w:after="0"/>
              <w:rPr>
                <w:sz w:val="1"/>
                <w:szCs w:val="1"/>
                <w:color w:val="auto"/>
              </w:rPr>
            </w:pPr>
          </w:p>
        </w:tc>
      </w:tr>
      <w:tr>
        <w:trPr>
          <w:trHeight w:val="285"/>
        </w:trPr>
        <w:tc>
          <w:tcPr>
            <w:tcW w:w="5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14.</w:t>
            </w:r>
          </w:p>
        </w:tc>
        <w:tc>
          <w:tcPr>
            <w:tcW w:w="8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Securitized Debt </w:t>
            </w:r>
            <w:r>
              <w:rPr>
                <w:rFonts w:ascii="Times New Roman" w:cs="Times New Roman" w:eastAsia="Times New Roman" w:hAnsi="Times New Roman"/>
                <w:sz w:val="20"/>
                <w:szCs w:val="20"/>
                <w:color w:val="B8BABC"/>
              </w:rPr>
              <w:t>. . . . . . . .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108</w:t>
            </w:r>
          </w:p>
        </w:tc>
        <w:tc>
          <w:tcPr>
            <w:tcW w:w="0" w:type="dxa"/>
            <w:vAlign w:val="bottom"/>
          </w:tcPr>
          <w:p>
            <w:pPr>
              <w:spacing w:after="0"/>
              <w:rPr>
                <w:sz w:val="1"/>
                <w:szCs w:val="1"/>
                <w:color w:val="auto"/>
              </w:rPr>
            </w:pPr>
          </w:p>
        </w:tc>
      </w:tr>
      <w:tr>
        <w:trPr>
          <w:trHeight w:val="285"/>
        </w:trPr>
        <w:tc>
          <w:tcPr>
            <w:tcW w:w="5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15.</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Debt </w:t>
            </w:r>
            <w:r>
              <w:rPr>
                <w:rFonts w:ascii="Times New Roman" w:cs="Times New Roman" w:eastAsia="Times New Roman" w:hAnsi="Times New Roman"/>
                <w:sz w:val="20"/>
                <w:szCs w:val="20"/>
                <w:color w:val="B8BABC"/>
              </w:rPr>
              <w:t>. . . .</w:t>
            </w:r>
          </w:p>
        </w:tc>
        <w:tc>
          <w:tcPr>
            <w:tcW w:w="746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110</w:t>
            </w:r>
          </w:p>
        </w:tc>
        <w:tc>
          <w:tcPr>
            <w:tcW w:w="0" w:type="dxa"/>
            <w:vAlign w:val="bottom"/>
          </w:tcPr>
          <w:p>
            <w:pPr>
              <w:spacing w:after="0"/>
              <w:rPr>
                <w:sz w:val="1"/>
                <w:szCs w:val="1"/>
                <w:color w:val="auto"/>
              </w:rPr>
            </w:pPr>
          </w:p>
        </w:tc>
      </w:tr>
      <w:tr>
        <w:trPr>
          <w:trHeight w:val="285"/>
        </w:trPr>
        <w:tc>
          <w:tcPr>
            <w:tcW w:w="5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16.</w:t>
            </w:r>
          </w:p>
        </w:tc>
        <w:tc>
          <w:tcPr>
            <w:tcW w:w="8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Stockholders' Equity </w:t>
            </w:r>
            <w:r>
              <w:rPr>
                <w:rFonts w:ascii="Times New Roman" w:cs="Times New Roman" w:eastAsia="Times New Roman" w:hAnsi="Times New Roman"/>
                <w:sz w:val="20"/>
                <w:szCs w:val="20"/>
                <w:color w:val="B8BABC"/>
                <w:w w:val="99"/>
              </w:rPr>
              <w:t>. . . . .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113</w:t>
            </w:r>
          </w:p>
        </w:tc>
        <w:tc>
          <w:tcPr>
            <w:tcW w:w="0" w:type="dxa"/>
            <w:vAlign w:val="bottom"/>
          </w:tcPr>
          <w:p>
            <w:pPr>
              <w:spacing w:after="0"/>
              <w:rPr>
                <w:sz w:val="1"/>
                <w:szCs w:val="1"/>
                <w:color w:val="auto"/>
              </w:rPr>
            </w:pPr>
          </w:p>
        </w:tc>
      </w:tr>
      <w:tr>
        <w:trPr>
          <w:trHeight w:val="285"/>
        </w:trPr>
        <w:tc>
          <w:tcPr>
            <w:tcW w:w="5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17.</w:t>
            </w:r>
          </w:p>
        </w:tc>
        <w:tc>
          <w:tcPr>
            <w:tcW w:w="8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Share-based Compensation </w:t>
            </w:r>
            <w:r>
              <w:rPr>
                <w:rFonts w:ascii="Times New Roman" w:cs="Times New Roman" w:eastAsia="Times New Roman" w:hAnsi="Times New Roman"/>
                <w:sz w:val="20"/>
                <w:szCs w:val="20"/>
                <w:color w:val="B8BABC"/>
              </w:rPr>
              <w:t>.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115</w:t>
            </w:r>
          </w:p>
        </w:tc>
        <w:tc>
          <w:tcPr>
            <w:tcW w:w="0" w:type="dxa"/>
            <w:vAlign w:val="bottom"/>
          </w:tcPr>
          <w:p>
            <w:pPr>
              <w:spacing w:after="0"/>
              <w:rPr>
                <w:sz w:val="1"/>
                <w:szCs w:val="1"/>
                <w:color w:val="auto"/>
              </w:rPr>
            </w:pPr>
          </w:p>
        </w:tc>
      </w:tr>
      <w:tr>
        <w:trPr>
          <w:trHeight w:val="285"/>
        </w:trPr>
        <w:tc>
          <w:tcPr>
            <w:tcW w:w="5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18.</w:t>
            </w:r>
          </w:p>
        </w:tc>
        <w:tc>
          <w:tcPr>
            <w:tcW w:w="8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Variable Interest Entities </w:t>
            </w:r>
            <w:r>
              <w:rPr>
                <w:rFonts w:ascii="Times New Roman" w:cs="Times New Roman" w:eastAsia="Times New Roman" w:hAnsi="Times New Roman"/>
                <w:sz w:val="20"/>
                <w:szCs w:val="20"/>
                <w:color w:val="B8BABC"/>
              </w:rPr>
              <w:t>.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116</w:t>
            </w:r>
          </w:p>
        </w:tc>
        <w:tc>
          <w:tcPr>
            <w:tcW w:w="0" w:type="dxa"/>
            <w:vAlign w:val="bottom"/>
          </w:tcPr>
          <w:p>
            <w:pPr>
              <w:spacing w:after="0"/>
              <w:rPr>
                <w:sz w:val="1"/>
                <w:szCs w:val="1"/>
                <w:color w:val="auto"/>
              </w:rPr>
            </w:pPr>
          </w:p>
        </w:tc>
      </w:tr>
      <w:tr>
        <w:trPr>
          <w:trHeight w:val="285"/>
        </w:trPr>
        <w:tc>
          <w:tcPr>
            <w:tcW w:w="5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19.</w:t>
            </w:r>
          </w:p>
        </w:tc>
        <w:tc>
          <w:tcPr>
            <w:tcW w:w="8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Business Segments </w:t>
            </w:r>
            <w:r>
              <w:rPr>
                <w:rFonts w:ascii="Times New Roman" w:cs="Times New Roman" w:eastAsia="Times New Roman" w:hAnsi="Times New Roman"/>
                <w:sz w:val="20"/>
                <w:szCs w:val="20"/>
                <w:color w:val="B8BABC"/>
              </w:rPr>
              <w:t>. . . . . .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119</w:t>
            </w:r>
          </w:p>
        </w:tc>
        <w:tc>
          <w:tcPr>
            <w:tcW w:w="0" w:type="dxa"/>
            <w:vAlign w:val="bottom"/>
          </w:tcPr>
          <w:p>
            <w:pPr>
              <w:spacing w:after="0"/>
              <w:rPr>
                <w:sz w:val="1"/>
                <w:szCs w:val="1"/>
                <w:color w:val="auto"/>
              </w:rPr>
            </w:pPr>
          </w:p>
        </w:tc>
      </w:tr>
      <w:tr>
        <w:trPr>
          <w:trHeight w:val="285"/>
        </w:trPr>
        <w:tc>
          <w:tcPr>
            <w:tcW w:w="5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20.</w:t>
            </w:r>
          </w:p>
        </w:tc>
        <w:tc>
          <w:tcPr>
            <w:tcW w:w="8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Restructuring and Impairment </w:t>
            </w:r>
            <w:r>
              <w:rPr>
                <w:rFonts w:ascii="Times New Roman" w:cs="Times New Roman" w:eastAsia="Times New Roman" w:hAnsi="Times New Roman"/>
                <w:sz w:val="20"/>
                <w:szCs w:val="20"/>
                <w:color w:val="B8BABC"/>
              </w:rPr>
              <w:t>.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122</w:t>
            </w:r>
          </w:p>
        </w:tc>
        <w:tc>
          <w:tcPr>
            <w:tcW w:w="0" w:type="dxa"/>
            <w:vAlign w:val="bottom"/>
          </w:tcPr>
          <w:p>
            <w:pPr>
              <w:spacing w:after="0"/>
              <w:rPr>
                <w:sz w:val="1"/>
                <w:szCs w:val="1"/>
                <w:color w:val="auto"/>
              </w:rPr>
            </w:pPr>
          </w:p>
        </w:tc>
      </w:tr>
      <w:tr>
        <w:trPr>
          <w:trHeight w:val="285"/>
        </w:trPr>
        <w:tc>
          <w:tcPr>
            <w:tcW w:w="56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231F20"/>
              </w:rPr>
              <w:t>21.</w:t>
            </w:r>
          </w:p>
        </w:tc>
        <w:tc>
          <w:tcPr>
            <w:tcW w:w="8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Modernization </w:t>
            </w:r>
            <w:r>
              <w:rPr>
                <w:rFonts w:ascii="Times New Roman" w:cs="Times New Roman" w:eastAsia="Times New Roman" w:hAnsi="Times New Roman"/>
                <w:sz w:val="20"/>
                <w:szCs w:val="20"/>
                <w:color w:val="B8BABC"/>
              </w:rPr>
              <w:t>. . . . . . . . . . . . . . . . . . . . . . . . . . . . . . . . . . . . . . . . . . . . . . . . . . . . . . . . . . . . . . . . . . . . . .</w:t>
            </w: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123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1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9720"/>
          </w:cols>
          <w:pgMar w:left="1080" w:top="1011" w:right="1080" w:bottom="0" w:gutter="0" w:footer="0" w:header="0"/>
          <w:type w:val="continuous"/>
        </w:sectPr>
      </w:pPr>
    </w:p>
    <w:bookmarkStart w:id="71" w:name="page72"/>
    <w:bookmarkEnd w:id="71"/>
    <w:p>
      <w:pPr>
        <w:jc w:val="center"/>
        <w:ind w:right="-119"/>
        <w:spacing w:after="0"/>
        <w:rPr>
          <w:sz w:val="20"/>
          <w:szCs w:val="20"/>
          <w:color w:val="auto"/>
        </w:rPr>
      </w:pPr>
      <w:r>
        <w:rPr>
          <w:rFonts w:ascii="Times New Roman" w:cs="Times New Roman" w:eastAsia="Times New Roman" w:hAnsi="Times New Roman"/>
          <w:sz w:val="20"/>
          <w:szCs w:val="20"/>
          <w:b w:val="1"/>
          <w:bCs w:val="1"/>
          <w:color w:val="231F20"/>
        </w:rPr>
        <w:t>MANAGEMENT’S REPORT ON</w:t>
      </w:r>
    </w:p>
    <w:p>
      <w:pPr>
        <w:spacing w:after="0" w:line="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231F20"/>
        </w:rPr>
        <w:t>INTERNAL CONTROL OVER FINANCIAL REPORTING</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Management of Marriott Vacations Worldwide Corporation (the “Company”) is responsible for establishing and maintaining adequate internal control over financial reporting and for the assessment of the effectiveness of internal control over financial reporting. The Company’s internal control over financial reporting is designed to provide reasonable assurance on the reliability of financial reporting and the preparation of the consolidated financial statements in accordance with U.S. generally accepted accounting principles.</w:t>
      </w:r>
    </w:p>
    <w:p>
      <w:pPr>
        <w:spacing w:after="0" w:line="20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231F20"/>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on prevention or timely detection of unauthorized acquisition, use, or disposition of the Company’s assets that could have a material effect on the consolidated financial statements.</w:t>
      </w:r>
    </w:p>
    <w:p>
      <w:pPr>
        <w:spacing w:after="0" w:line="21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0"/>
          <w:szCs w:val="20"/>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231F20"/>
        </w:rPr>
        <w:t>In connection with the preparation of the Company’s annual consolidated financial statements, management has undertaken an assessment of the effectiveness of the Company’s internal control over financial reporting as of December 31, 2025, based on criteria established in Internal Control-Integrated Framework issued by the Committee of Sponsoring Organizations of the Treadway Commission (2013 framework) (the “COSO criteria”).</w:t>
      </w:r>
    </w:p>
    <w:p>
      <w:pPr>
        <w:spacing w:after="0" w:line="203"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20"/>
          <w:szCs w:val="20"/>
          <w:color w:val="231F20"/>
        </w:rPr>
        <w:t>Based on this assessment, management has concluded that, applying the COSO criteria, as of December 31, 2025,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231F20"/>
        </w:rPr>
        <w:t>Ernst &amp; Young LLP, the independent registered public accounting firm that audited the Company’s consolidated financial statements included in this report, has issued a report on the effectiveness of the Company’s internal control over financial reporting, a copy of which appears on the next page of this Annual Report on Form 10-K.</w:t>
      </w:r>
    </w:p>
    <w:p>
      <w:pPr>
        <w:sectPr>
          <w:pgSz w:w="11880" w:h="15480" w:orient="portrait"/>
          <w:cols w:equalWidth="0" w:num="1">
            <w:col w:w="9600"/>
          </w:cols>
          <w:pgMar w:left="1080" w:top="101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231F20"/>
        </w:rPr>
        <w:t>68</w:t>
      </w:r>
    </w:p>
    <w:p>
      <w:pPr>
        <w:sectPr>
          <w:pgSz w:w="11880" w:h="15480" w:orient="portrait"/>
          <w:cols w:equalWidth="0" w:num="1">
            <w:col w:w="9600"/>
          </w:cols>
          <w:pgMar w:left="1080" w:top="1011" w:right="1200" w:bottom="0" w:gutter="0" w:footer="0" w:header="0"/>
          <w:type w:val="continuous"/>
        </w:sectPr>
      </w:pPr>
    </w:p>
    <w:bookmarkStart w:id="72" w:name="page73"/>
    <w:bookmarkEnd w:id="72"/>
    <w:p>
      <w:pPr>
        <w:ind w:left="1440"/>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Stockholders and the Board of Directors of Marriott Vacations Worldwide Corporation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Internal Control Over Financial Reporting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audited Marriott Vacations Worldwide Corporation’s internal control over financial reporting as of</w:t>
      </w:r>
    </w:p>
    <w:p>
      <w:pPr>
        <w:spacing w:after="0" w:line="237" w:lineRule="auto"/>
        <w:rPr>
          <w:sz w:val="20"/>
          <w:szCs w:val="20"/>
          <w:color w:val="auto"/>
        </w:rPr>
      </w:pPr>
      <w:r>
        <w:rPr>
          <w:rFonts w:ascii="Times New Roman" w:cs="Times New Roman" w:eastAsia="Times New Roman" w:hAnsi="Times New Roman"/>
          <w:sz w:val="20"/>
          <w:szCs w:val="20"/>
          <w:color w:val="231F20"/>
        </w:rPr>
        <w:t>December 31, 2025, based on criteria established in Internal Control—Integrated Framework issued by the Committee of Sponsoring Organizations of the Treadway Commission (2013 framework) (the COSO criteria). In our opinion, Marriott Vacations Worldwide Corporation (the Company) maintained, in all material respects, effective internal control over financial reporting as of December 31, 2025, based on the COSO criteria.</w:t>
      </w:r>
    </w:p>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We also have audited, in accordance with the standards of the Public Company Accounting Oversight Board (United States) (PCAOB), the consolidated balance sheets of the Company as of December 31, 2025 and 2024, the related consolidated statements of income, comprehensive income, stockholders’ equity and cash flows for each of the three years in the period ended December 31, 2025, and the related notes and our report dated February 27, 2026 expressed an unqualified opinion thereon.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13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color w:val="231F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5"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color w:val="231F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Definition and Limitations of Internal Control Over Financial Reporting</w:t>
      </w:r>
    </w:p>
    <w:p>
      <w:pPr>
        <w:spacing w:after="0" w:line="13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Because of its inherent limitations, internal control over financial reporting may not prevent or detect</w:t>
      </w:r>
    </w:p>
    <w:p>
      <w:pPr>
        <w:spacing w:after="0" w:line="3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231F20"/>
        </w:rPr>
        <w:t>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Ernst &amp; Young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Orlando, Florida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27, 2026</w:t>
      </w:r>
    </w:p>
    <w:p>
      <w:pPr>
        <w:sectPr>
          <w:pgSz w:w="11880" w:h="15480" w:orient="portrait"/>
          <w:cols w:equalWidth="0" w:num="1">
            <w:col w:w="9700"/>
          </w:cols>
          <w:pgMar w:left="1080" w:top="1011"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69</w:t>
      </w:r>
    </w:p>
    <w:p>
      <w:pPr>
        <w:sectPr>
          <w:pgSz w:w="11880" w:h="15480" w:orient="portrait"/>
          <w:cols w:equalWidth="0" w:num="1">
            <w:col w:w="9700"/>
          </w:cols>
          <w:pgMar w:left="1080" w:top="1011" w:right="1100" w:bottom="0" w:gutter="0" w:footer="0" w:header="0"/>
          <w:type w:val="continuous"/>
        </w:sectPr>
      </w:pPr>
    </w:p>
    <w:bookmarkStart w:id="73" w:name="page74"/>
    <w:bookmarkEnd w:id="73"/>
    <w:p>
      <w:pPr>
        <w:ind w:left="1440"/>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57" w:lineRule="exact"/>
        <w:rPr>
          <w:sz w:val="20"/>
          <w:szCs w:val="20"/>
          <w:color w:val="auto"/>
        </w:rPr>
      </w:pPr>
    </w:p>
    <w:p>
      <w:pPr>
        <w:ind w:right="2100"/>
        <w:spacing w:after="0" w:line="406" w:lineRule="auto"/>
        <w:rPr>
          <w:sz w:val="20"/>
          <w:szCs w:val="20"/>
          <w:color w:val="auto"/>
        </w:rPr>
      </w:pPr>
      <w:r>
        <w:rPr>
          <w:rFonts w:ascii="Times New Roman" w:cs="Times New Roman" w:eastAsia="Times New Roman" w:hAnsi="Times New Roman"/>
          <w:sz w:val="20"/>
          <w:szCs w:val="20"/>
          <w:color w:val="231F20"/>
        </w:rPr>
        <w:t xml:space="preserve">To the Stockholders and the Board of Directors of Marriott Vacations Worldwide Corporation </w:t>
      </w:r>
      <w:r>
        <w:rPr>
          <w:rFonts w:ascii="Times New Roman" w:cs="Times New Roman" w:eastAsia="Times New Roman" w:hAnsi="Times New Roman"/>
          <w:sz w:val="20"/>
          <w:szCs w:val="20"/>
          <w:b w:val="1"/>
          <w:bCs w:val="1"/>
          <w:color w:val="231F20"/>
        </w:rPr>
        <w:t>Opinion on the Financial Statements</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Marriott Vacations Worldwide Corporation (the Company) as of December 31, 2025 and 2024, the related consolidated statements of income, comprehensive income,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90"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20"/>
          <w:szCs w:val="20"/>
          <w:color w:val="231F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27, 2026 expressed an unqualified opinion thereon.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13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231F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Audit Matters</w:t>
      </w:r>
    </w:p>
    <w:p>
      <w:pPr>
        <w:spacing w:after="0" w:line="13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231F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Valuation of Goodwill</w:t>
      </w:r>
    </w:p>
    <w:p>
      <w:pPr>
        <w:sectPr>
          <w:pgSz w:w="11880" w:h="15480" w:orient="portrait"/>
          <w:cols w:equalWidth="0" w:num="1">
            <w:col w:w="9640"/>
          </w:cols>
          <w:pgMar w:left="1080" w:top="1011" w:right="1160" w:bottom="0" w:gutter="0" w:footer="0" w:header="0"/>
        </w:sectPr>
      </w:pPr>
    </w:p>
    <w:p>
      <w:pPr>
        <w:spacing w:after="0" w:line="94" w:lineRule="exact"/>
        <w:rPr>
          <w:sz w:val="20"/>
          <w:szCs w:val="20"/>
          <w:color w:val="auto"/>
        </w:rPr>
      </w:pPr>
    </w:p>
    <w:p>
      <w:pPr>
        <w:ind w:left="60"/>
        <w:spacing w:after="0" w:line="269" w:lineRule="auto"/>
        <w:rPr>
          <w:sz w:val="20"/>
          <w:szCs w:val="20"/>
          <w:color w:val="auto"/>
        </w:rPr>
      </w:pPr>
      <w:r>
        <w:rPr>
          <w:rFonts w:ascii="Times New Roman" w:cs="Times New Roman" w:eastAsia="Times New Roman" w:hAnsi="Times New Roman"/>
          <w:sz w:val="19"/>
          <w:szCs w:val="19"/>
          <w:i w:val="1"/>
          <w:iCs w:val="1"/>
          <w:color w:val="231F20"/>
        </w:rPr>
        <w:t>Description of the Matter</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At December 31, 2025, the balance of Goodwill was $2,958 million. During the year ended</w:t>
      </w:r>
    </w:p>
    <w:p>
      <w:pPr>
        <w:spacing w:after="0" w:line="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December 31, 2025, the Company recorded a goodwill impairment charge of $159 million. As discussed in Notes 2 and 10 to the consolidated financial statements, the Company performs an annual review for potential impairment of the carrying value of goodwill in the fourth quarter, or more frequently if events or circumstances indicate a possible impairment. The Company’s goodwill is tested for impairment at the reporting unit level.</w:t>
      </w:r>
    </w:p>
    <w:p>
      <w:pPr>
        <w:spacing w:after="0" w:line="1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Auditing the Company’s goodwill impairment assessment was complex and highly judgmental due to the significant estimation uncertainty in determining the fair value of the reporting units. In particular, the fair value estimates for the reporting units were sensitive to significant assumptions including projections of revenues, EBITDA margin, and discount rate. These significant assumptions are forward-looking and could be affected by company-specific, market or economic conditions.</w:t>
      </w:r>
    </w:p>
    <w:p>
      <w:pPr>
        <w:spacing w:after="0" w:line="200" w:lineRule="exact"/>
        <w:rPr>
          <w:sz w:val="20"/>
          <w:szCs w:val="20"/>
          <w:color w:val="auto"/>
        </w:rPr>
      </w:pPr>
    </w:p>
    <w:p>
      <w:pPr>
        <w:sectPr>
          <w:pgSz w:w="11880" w:h="15480" w:orient="portrait"/>
          <w:cols w:equalWidth="0" w:num="2">
            <w:col w:w="1100" w:space="160"/>
            <w:col w:w="8380"/>
          </w:cols>
          <w:pgMar w:left="1080" w:top="1011"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70</w:t>
      </w:r>
    </w:p>
    <w:p>
      <w:pPr>
        <w:sectPr>
          <w:pgSz w:w="11880" w:h="15480" w:orient="portrait"/>
          <w:cols w:equalWidth="0" w:num="1">
            <w:col w:w="9640"/>
          </w:cols>
          <w:pgMar w:left="1080" w:top="1011" w:right="1160" w:bottom="0" w:gutter="0" w:footer="0" w:header="0"/>
          <w:type w:val="continuous"/>
        </w:sectPr>
      </w:pPr>
    </w:p>
    <w:bookmarkStart w:id="74" w:name="page75"/>
    <w:bookmarkEnd w:id="74"/>
    <w:p>
      <w:pPr>
        <w:spacing w:after="0" w:line="225" w:lineRule="auto"/>
        <w:rPr>
          <w:sz w:val="20"/>
          <w:szCs w:val="20"/>
          <w:color w:val="auto"/>
        </w:rPr>
      </w:pPr>
      <w:r>
        <w:rPr>
          <w:rFonts w:ascii="Times New Roman" w:cs="Times New Roman" w:eastAsia="Times New Roman" w:hAnsi="Times New Roman"/>
          <w:sz w:val="20"/>
          <w:szCs w:val="20"/>
          <w:i w:val="1"/>
          <w:iCs w:val="1"/>
          <w:color w:val="231F20"/>
        </w:rPr>
        <w:t>How We Addressed the Matter in Our Audit</w:t>
      </w:r>
    </w:p>
    <w:p>
      <w:pPr>
        <w:spacing w:after="0" w:line="20" w:lineRule="exact"/>
        <w:rPr>
          <w:sz w:val="20"/>
          <w:szCs w:val="20"/>
          <w:color w:val="auto"/>
        </w:rPr>
      </w:pPr>
      <w:r>
        <w:rPr>
          <w:sz w:val="20"/>
          <w:szCs w:val="20"/>
          <w:color w:val="auto"/>
        </w:rPr>
        <w:br w:type="column"/>
      </w:r>
    </w:p>
    <w:p>
      <w:pPr>
        <w:ind w:right="160"/>
        <w:spacing w:after="0" w:line="266" w:lineRule="auto"/>
        <w:rPr>
          <w:sz w:val="20"/>
          <w:szCs w:val="20"/>
          <w:color w:val="auto"/>
        </w:rPr>
      </w:pPr>
      <w:r>
        <w:rPr>
          <w:rFonts w:ascii="Times New Roman" w:cs="Times New Roman" w:eastAsia="Times New Roman" w:hAnsi="Times New Roman"/>
          <w:sz w:val="20"/>
          <w:szCs w:val="20"/>
          <w:color w:val="231F20"/>
        </w:rPr>
        <w:t>We obtained an understanding, evaluated the design and tested the operating effectiveness of controls over the Company’s process to determine the fair value of the reporting units, including management’s review of the valuation model and the significant assumptions used in the valuation.</w:t>
      </w:r>
    </w:p>
    <w:p>
      <w:pPr>
        <w:spacing w:after="0" w:line="1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231F20"/>
        </w:rPr>
        <w:t>To test the estimated fair value of the reporting units, we performed audit procedures that included, among others, evaluating the valuation methodologies and testing the significant assumptions discussed above and the underlying data used by the Company in its analysis. We compared the significant assumptions used by the Company to current industry and economic trends, the Company’s historical results and other guideline companies within the same industry. We also performed sensitivity analyses on the significant assumptions described above to evaluate the changes in the fair value of the reporting units that would result from changes in these assumptions. We involved our valuation specialists to assist in our evaluation of the Company’s valuation methodologies and significant assumptions discussed above.</w:t>
      </w:r>
    </w:p>
    <w:p>
      <w:pPr>
        <w:spacing w:after="0" w:line="200" w:lineRule="exact"/>
        <w:rPr>
          <w:sz w:val="20"/>
          <w:szCs w:val="20"/>
          <w:color w:val="auto"/>
        </w:rPr>
      </w:pPr>
    </w:p>
    <w:p>
      <w:pPr>
        <w:sectPr>
          <w:pgSz w:w="11880" w:h="15480" w:orient="portrait"/>
          <w:cols w:equalWidth="0" w:num="2">
            <w:col w:w="1040" w:space="160"/>
            <w:col w:w="8400"/>
          </w:cols>
          <w:pgMar w:left="1140" w:top="1142" w:right="1140" w:bottom="0" w:gutter="0" w:footer="0" w:header="0"/>
        </w:sectPr>
      </w:pP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Cost of Vacation Ownership Products</w:t>
      </w:r>
    </w:p>
    <w:p>
      <w:pPr>
        <w:sectPr>
          <w:pgSz w:w="11880" w:h="15480" w:orient="portrait"/>
          <w:cols w:equalWidth="0" w:num="1">
            <w:col w:w="9600"/>
          </w:cols>
          <w:pgMar w:left="1140" w:top="1142" w:right="1140" w:bottom="0" w:gutter="0" w:footer="0" w:header="0"/>
          <w:type w:val="continuous"/>
        </w:sectPr>
      </w:pPr>
    </w:p>
    <w:p>
      <w:pPr>
        <w:spacing w:after="0" w:line="10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i w:val="1"/>
          <w:iCs w:val="1"/>
          <w:color w:val="231F20"/>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0"/>
          <w:szCs w:val="20"/>
          <w:i w:val="1"/>
          <w:iCs w:val="1"/>
          <w:color w:val="231F20"/>
        </w:rPr>
        <w:t>How We Addressed the Matter in Our Audit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The Company’s cost of vacation ownership products was $184 million for the year ended December 31, 2025. As discussed in Note 2 to the consolidated financial statements, the Company accounts for the cost of vacation ownership products utilizing the relative sales value method in accordance with the authoritative guidance for accounting for real estate time-sharing transactions. Changes in estimates used in applying the relative sales value method are recognized in the period that the changes occur.</w:t>
      </w:r>
    </w:p>
    <w:p>
      <w:pPr>
        <w:spacing w:after="0" w:line="3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0"/>
          <w:szCs w:val="20"/>
          <w:color w:val="231F20"/>
        </w:rPr>
        <w:t>Auditing the Company’s application of the relative sales value method was challenging due to the nature and extent of audit effort required as the calculations are complex and contain a significant volume of data. Additionally, the determination of the cost of vacation ownership products was sensitive to the selection and application of assumptions, specifically future pricing assumptions, used in estimating future revenues from sale of vacation ownership products which are affected by expectations about future market and economic conditions.</w:t>
      </w:r>
    </w:p>
    <w:p>
      <w:pPr>
        <w:spacing w:after="0" w:line="1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231F20"/>
        </w:rPr>
        <w:t>We obtained an understanding, evaluated the design and tested the operating effectiveness of controls over the Company’s process to determine the cost of vacation ownership products. For example, we tested controls over management’s review of the calculations, including the inputs and certain estimates, such as estimated future revenues from sale of vacation ownership products.</w:t>
      </w:r>
    </w:p>
    <w:p>
      <w:pPr>
        <w:spacing w:after="0" w:line="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To test the cost of vacation ownership products, we performed audit procedures that included, among others, assessing the methodologies used, evaluating the estimates discussed above and testing the completeness and accuracy of the data used by the Company in the calculations. For example, we agreed inputs to the calculations to historical data and source documentation and evaluated the estimates used in the calculations, such as estimated future revenues from sale of vacation ownership products, utilizing historical operating results.</w:t>
      </w:r>
    </w:p>
    <w:p>
      <w:pPr>
        <w:spacing w:after="0" w:line="200" w:lineRule="exact"/>
        <w:rPr>
          <w:sz w:val="20"/>
          <w:szCs w:val="20"/>
          <w:color w:val="auto"/>
        </w:rPr>
      </w:pPr>
    </w:p>
    <w:p>
      <w:pPr>
        <w:sectPr>
          <w:pgSz w:w="11880" w:h="15480" w:orient="portrait"/>
          <w:cols w:equalWidth="0" w:num="2">
            <w:col w:w="1040" w:space="160"/>
            <w:col w:w="8400"/>
          </w:cols>
          <w:pgMar w:left="1140" w:top="1142" w:right="1140" w:bottom="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Originated Vacation Ownership Notes Receivable Reserve</w:t>
      </w:r>
    </w:p>
    <w:p>
      <w:pPr>
        <w:sectPr>
          <w:pgSz w:w="11880" w:h="15480" w:orient="portrait"/>
          <w:cols w:equalWidth="0" w:num="1">
            <w:col w:w="9600"/>
          </w:cols>
          <w:pgMar w:left="1140" w:top="1142" w:right="1140" w:bottom="0" w:gutter="0" w:footer="0" w:header="0"/>
          <w:type w:val="continuous"/>
        </w:sectPr>
      </w:pPr>
    </w:p>
    <w:p>
      <w:pPr>
        <w:spacing w:after="0" w:line="10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i w:val="1"/>
          <w:iCs w:val="1"/>
          <w:color w:val="231F20"/>
        </w:rPr>
        <w:t>Description of the Matter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231F20"/>
        </w:rPr>
        <w:t>As of December 31, 2025, the Company’s originated vacation ownership notes receivable reserve was $527 million. As discussed in Notes 2 and 5 to the consolidated financial statements, for originated notes, the Company records the difference between the vacation ownership note receivable and variable consideration included in the transaction price for the sale of the related vacation ownership products as a reserve on the Company’s originated vacation ownership notes receivable. The estimate of the variable consideration for originated vacation ownership notes receivable is based on default rates that are an output of the Company’s static pool analyses and the estimates regarding future defaults.</w:t>
      </w:r>
    </w:p>
    <w:p>
      <w:pPr>
        <w:spacing w:after="0" w:line="3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231F20"/>
        </w:rPr>
        <w:t>Auditing the Company’s originated vacation ownership notes receivable reserve was challenging due to the nature and extent of audit effort required to test the static pool analyses, which are complex and contain a significant volume of data. Furthermore, the originated vacation ownership notes receivable reserve was sensitive to management’s assumptions regarding future default rates.</w:t>
      </w:r>
    </w:p>
    <w:p>
      <w:pPr>
        <w:spacing w:after="0" w:line="200" w:lineRule="exact"/>
        <w:rPr>
          <w:sz w:val="20"/>
          <w:szCs w:val="20"/>
          <w:color w:val="auto"/>
        </w:rPr>
      </w:pPr>
    </w:p>
    <w:p>
      <w:pPr>
        <w:sectPr>
          <w:pgSz w:w="11880" w:h="15480" w:orient="portrait"/>
          <w:cols w:equalWidth="0" w:num="2">
            <w:col w:w="1040" w:space="160"/>
            <w:col w:w="8400"/>
          </w:cols>
          <w:pgMar w:left="1140" w:top="1142"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71</w:t>
      </w:r>
    </w:p>
    <w:p>
      <w:pPr>
        <w:sectPr>
          <w:pgSz w:w="11880" w:h="15480" w:orient="portrait"/>
          <w:cols w:equalWidth="0" w:num="1">
            <w:col w:w="9600"/>
          </w:cols>
          <w:pgMar w:left="1140" w:top="1142" w:right="1140" w:bottom="0" w:gutter="0" w:footer="0" w:header="0"/>
          <w:type w:val="continuous"/>
        </w:sectPr>
      </w:pPr>
    </w:p>
    <w:bookmarkStart w:id="75" w:name="page76"/>
    <w:bookmarkEnd w:id="75"/>
    <w:p>
      <w:pPr>
        <w:ind w:left="60"/>
        <w:spacing w:after="0" w:line="225" w:lineRule="auto"/>
        <w:rPr>
          <w:sz w:val="20"/>
          <w:szCs w:val="20"/>
          <w:color w:val="auto"/>
        </w:rPr>
      </w:pPr>
      <w:r>
        <w:rPr>
          <w:rFonts w:ascii="Times New Roman" w:cs="Times New Roman" w:eastAsia="Times New Roman" w:hAnsi="Times New Roman"/>
          <w:sz w:val="20"/>
          <w:szCs w:val="20"/>
          <w:i w:val="1"/>
          <w:iCs w:val="1"/>
          <w:color w:val="231F20"/>
        </w:rPr>
        <w:t>How We Addressed the Matter in Our Audit</w:t>
      </w:r>
    </w:p>
    <w:p>
      <w:pPr>
        <w:spacing w:after="0" w:line="20" w:lineRule="exact"/>
        <w:rPr>
          <w:sz w:val="20"/>
          <w:szCs w:val="20"/>
          <w:color w:val="auto"/>
        </w:rPr>
      </w:pPr>
      <w:r>
        <w:rPr>
          <w:sz w:val="20"/>
          <w:szCs w:val="20"/>
          <w:color w:val="auto"/>
        </w:rPr>
        <w:br w:type="column"/>
      </w:r>
    </w:p>
    <w:p>
      <w:pPr>
        <w:ind w:right="100"/>
        <w:spacing w:after="0" w:line="260" w:lineRule="auto"/>
        <w:rPr>
          <w:sz w:val="20"/>
          <w:szCs w:val="20"/>
          <w:color w:val="auto"/>
        </w:rPr>
      </w:pPr>
      <w:r>
        <w:rPr>
          <w:rFonts w:ascii="Times New Roman" w:cs="Times New Roman" w:eastAsia="Times New Roman" w:hAnsi="Times New Roman"/>
          <w:sz w:val="20"/>
          <w:szCs w:val="20"/>
          <w:color w:val="231F20"/>
        </w:rPr>
        <w:t>We obtained an understanding, evaluated the design and tested the operating effectiveness of controls over the Company’s originated vacation ownership notes receivable reserve process. For example, we tested controls over management’s review of the static pool analyses, including the significant inputs to the analyses, and review of the assumptions regarding future default rates.</w:t>
      </w:r>
    </w:p>
    <w:p>
      <w:pPr>
        <w:spacing w:after="0" w:line="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To test the originated vacation ownership notes receivable reserve, we performed audit procedures that included, among others, assessing the methodology used, evaluating the assumptions regarding future default rates as discussed above, and testing the completeness and accuracy of the static pool analyses, including the significant inputs to the analyses. For example, we agreed inputs to the static pool analyses to historical data and source documentation. In addition, we recalculated the resulting originated vacation ownership notes receivable reserve recognized by the Company. We also compared the assumptions regarding future defaults to the Company’s historical and current default rates and performed a retrospective review of the defaults projected from the analyses.</w:t>
      </w:r>
    </w:p>
    <w:p>
      <w:pPr>
        <w:spacing w:after="0" w:line="200" w:lineRule="exact"/>
        <w:rPr>
          <w:sz w:val="20"/>
          <w:szCs w:val="20"/>
          <w:color w:val="auto"/>
        </w:rPr>
      </w:pPr>
    </w:p>
    <w:p>
      <w:pPr>
        <w:sectPr>
          <w:pgSz w:w="11880" w:h="15480" w:orient="portrait"/>
          <w:cols w:equalWidth="0" w:num="2">
            <w:col w:w="1100" w:space="160"/>
            <w:col w:w="8380"/>
          </w:cols>
          <w:pgMar w:left="1080" w:top="1142" w:right="1160" w:bottom="0" w:gutter="0" w:footer="0" w:header="0"/>
        </w:sectPr>
      </w:pP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2011.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Orlando, Florida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27, 2026</w:t>
      </w:r>
    </w:p>
    <w:p>
      <w:pPr>
        <w:sectPr>
          <w:pgSz w:w="11880" w:h="15480" w:orient="portrait"/>
          <w:cols w:equalWidth="0" w:num="1">
            <w:col w:w="9640"/>
          </w:cols>
          <w:pgMar w:left="1080" w:top="1142"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72</w:t>
      </w:r>
    </w:p>
    <w:p>
      <w:pPr>
        <w:sectPr>
          <w:pgSz w:w="11880" w:h="15480" w:orient="portrait"/>
          <w:cols w:equalWidth="0" w:num="1">
            <w:col w:w="9640"/>
          </w:cols>
          <w:pgMar w:left="1080" w:top="1142" w:right="1160" w:bottom="0" w:gutter="0" w:footer="0" w:header="0"/>
          <w:type w:val="continuous"/>
        </w:sectPr>
      </w:pPr>
    </w:p>
    <w:bookmarkStart w:id="76" w:name="page77"/>
    <w:bookmarkEnd w:id="76"/>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MARRIOTT VACATIONS WORLDWIDE CORPORATION</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CONSOLIDATED STATEMENTS OF INCOME</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Fiscal Years 2025, 2024 and 2023</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(In millions, except per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9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56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480"/>
              <w:spacing w:after="0"/>
              <w:rPr>
                <w:sz w:val="20"/>
                <w:szCs w:val="20"/>
                <w:color w:val="auto"/>
              </w:rPr>
            </w:pPr>
            <w:r>
              <w:rPr>
                <w:rFonts w:ascii="Times New Roman" w:cs="Times New Roman" w:eastAsia="Times New Roman" w:hAnsi="Times New Roman"/>
                <w:sz w:val="20"/>
                <w:szCs w:val="20"/>
                <w:b w:val="1"/>
                <w:bCs w:val="1"/>
                <w:color w:val="231F20"/>
              </w:rPr>
              <w:t>2023</w:t>
            </w:r>
          </w:p>
        </w:tc>
        <w:tc>
          <w:tcPr>
            <w:tcW w:w="0" w:type="dxa"/>
            <w:vAlign w:val="bottom"/>
          </w:tcPr>
          <w:p>
            <w:pPr>
              <w:spacing w:after="0"/>
              <w:rPr>
                <w:sz w:val="1"/>
                <w:szCs w:val="1"/>
                <w:color w:val="auto"/>
              </w:rPr>
            </w:pPr>
          </w:p>
        </w:tc>
      </w:tr>
      <w:tr>
        <w:trPr>
          <w:trHeight w:val="277"/>
        </w:trPr>
        <w:tc>
          <w:tcPr>
            <w:tcW w:w="49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REVENUES</w:t>
            </w:r>
          </w:p>
        </w:tc>
        <w:tc>
          <w:tcPr>
            <w:tcW w:w="1000" w:type="dxa"/>
            <w:vAlign w:val="bottom"/>
            <w:tcBorders>
              <w:top w:val="single" w:sz="8" w:color="231F20"/>
            </w:tcBorders>
          </w:tcPr>
          <w:p>
            <w:pPr>
              <w:spacing w:after="0"/>
              <w:rPr>
                <w:sz w:val="24"/>
                <w:szCs w:val="24"/>
                <w:color w:val="auto"/>
              </w:rPr>
            </w:pPr>
          </w:p>
        </w:tc>
        <w:tc>
          <w:tcPr>
            <w:tcW w:w="560" w:type="dxa"/>
            <w:vAlign w:val="bottom"/>
            <w:tcBorders>
              <w:top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Borders>
              <w:top w:val="single" w:sz="8" w:color="231F20"/>
            </w:tcBorders>
          </w:tcPr>
          <w:p>
            <w:pPr>
              <w:spacing w:after="0"/>
              <w:rPr>
                <w:sz w:val="24"/>
                <w:szCs w:val="24"/>
                <w:color w:val="auto"/>
              </w:rPr>
            </w:pPr>
          </w:p>
        </w:tc>
        <w:tc>
          <w:tcPr>
            <w:tcW w:w="560" w:type="dxa"/>
            <w:vAlign w:val="bottom"/>
            <w:tcBorders>
              <w:top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top w:val="single" w:sz="8" w:color="231F20"/>
            </w:tcBorders>
          </w:tcPr>
          <w:p>
            <w:pPr>
              <w:spacing w:after="0"/>
              <w:rPr>
                <w:sz w:val="24"/>
                <w:szCs w:val="24"/>
                <w:color w:val="auto"/>
              </w:rPr>
            </w:pPr>
          </w:p>
        </w:tc>
        <w:tc>
          <w:tcPr>
            <w:tcW w:w="1180" w:type="dxa"/>
            <w:vAlign w:val="bottom"/>
            <w:tcBorders>
              <w:top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Sale of vacation ownership products </w:t>
            </w:r>
            <w:r>
              <w:rPr>
                <w:rFonts w:ascii="Times New Roman" w:cs="Times New Roman" w:eastAsia="Times New Roman" w:hAnsi="Times New Roman"/>
                <w:sz w:val="20"/>
                <w:szCs w:val="20"/>
                <w:color w:val="B8BABC"/>
              </w:rPr>
              <w:t>. . . . . . . . . . . . . . . . .</w:t>
            </w:r>
          </w:p>
        </w:tc>
        <w:tc>
          <w:tcPr>
            <w:tcW w:w="1000" w:type="dxa"/>
            <w:vAlign w:val="bottom"/>
          </w:tcPr>
          <w:p>
            <w:pPr>
              <w:jc w:val="right"/>
              <w:ind w:right="740"/>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7"/>
              </w:rPr>
              <w:t>1,464</w:t>
            </w: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1,460</w:t>
            </w: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and exchange </w:t>
            </w:r>
            <w:r>
              <w:rPr>
                <w:rFonts w:ascii="Times New Roman" w:cs="Times New Roman" w:eastAsia="Times New Roman" w:hAnsi="Times New Roman"/>
                <w:sz w:val="20"/>
                <w:szCs w:val="20"/>
                <w:color w:val="B8BABC"/>
              </w:rPr>
              <w:t>. . . . . . . .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860</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813</w:t>
            </w: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Rental </w:t>
            </w:r>
            <w:r>
              <w:rPr>
                <w:rFonts w:ascii="Times New Roman" w:cs="Times New Roman" w:eastAsia="Times New Roman" w:hAnsi="Times New Roman"/>
                <w:sz w:val="20"/>
                <w:szCs w:val="20"/>
                <w:color w:val="B8BABC"/>
              </w:rPr>
              <w:t>. . . . . . . . . . . . . . . . . . . . . . . . .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650</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571</w:t>
            </w: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Financing </w:t>
            </w:r>
            <w:r>
              <w:rPr>
                <w:rFonts w:ascii="Times New Roman" w:cs="Times New Roman" w:eastAsia="Times New Roman" w:hAnsi="Times New Roman"/>
                <w:sz w:val="20"/>
                <w:szCs w:val="20"/>
                <w:color w:val="B8BABC"/>
              </w:rPr>
              <w:t>. . . . . . . . . . . . . . . . . . . . . .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360</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322</w:t>
            </w:r>
          </w:p>
        </w:tc>
        <w:tc>
          <w:tcPr>
            <w:tcW w:w="0" w:type="dxa"/>
            <w:vAlign w:val="bottom"/>
          </w:tcPr>
          <w:p>
            <w:pPr>
              <w:spacing w:after="0"/>
              <w:rPr>
                <w:sz w:val="1"/>
                <w:szCs w:val="1"/>
                <w:color w:val="auto"/>
              </w:rPr>
            </w:pPr>
          </w:p>
        </w:tc>
      </w:tr>
      <w:tr>
        <w:trPr>
          <w:trHeight w:val="303"/>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reimbursements </w:t>
            </w:r>
            <w:r>
              <w:rPr>
                <w:rFonts w:ascii="Times New Roman" w:cs="Times New Roman" w:eastAsia="Times New Roman" w:hAnsi="Times New Roman"/>
                <w:sz w:val="20"/>
                <w:szCs w:val="20"/>
                <w:color w:val="B8BABC"/>
              </w:rPr>
              <w:t>. . . . . . . . . . . . . . . . . . . . . . . . . . . . .</w:t>
            </w:r>
          </w:p>
        </w:tc>
        <w:tc>
          <w:tcPr>
            <w:tcW w:w="100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7"/>
              </w:rPr>
              <w:t>1,698</w:t>
            </w:r>
          </w:p>
        </w:tc>
        <w:tc>
          <w:tcPr>
            <w:tcW w:w="60" w:type="dxa"/>
            <w:vAlign w:val="bottom"/>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1,689</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1,561</w:t>
            </w:r>
          </w:p>
        </w:tc>
        <w:tc>
          <w:tcPr>
            <w:tcW w:w="0" w:type="dxa"/>
            <w:vAlign w:val="bottom"/>
          </w:tcPr>
          <w:p>
            <w:pPr>
              <w:spacing w:after="0"/>
              <w:rPr>
                <w:sz w:val="1"/>
                <w:szCs w:val="1"/>
                <w:color w:val="auto"/>
              </w:rPr>
            </w:pPr>
          </w:p>
        </w:tc>
      </w:tr>
      <w:tr>
        <w:trPr>
          <w:trHeight w:val="28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TOTAL REVENUES </w:t>
            </w:r>
            <w:r>
              <w:rPr>
                <w:rFonts w:ascii="Times New Roman" w:cs="Times New Roman" w:eastAsia="Times New Roman" w:hAnsi="Times New Roman"/>
                <w:sz w:val="20"/>
                <w:szCs w:val="20"/>
                <w:b w:val="1"/>
                <w:bCs w:val="1"/>
                <w:color w:val="B8BABC"/>
              </w:rPr>
              <w:t>. . . . . . . . . . . . . . . . . . . . . . . . .</w:t>
            </w:r>
          </w:p>
        </w:tc>
        <w:tc>
          <w:tcPr>
            <w:tcW w:w="100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7"/>
              </w:rPr>
              <w:t>5,032</w:t>
            </w:r>
          </w:p>
        </w:tc>
        <w:tc>
          <w:tcPr>
            <w:tcW w:w="60" w:type="dxa"/>
            <w:vAlign w:val="bottom"/>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4,967</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4,727</w:t>
            </w:r>
          </w:p>
        </w:tc>
        <w:tc>
          <w:tcPr>
            <w:tcW w:w="0" w:type="dxa"/>
            <w:vAlign w:val="bottom"/>
          </w:tcPr>
          <w:p>
            <w:pPr>
              <w:spacing w:after="0"/>
              <w:rPr>
                <w:sz w:val="1"/>
                <w:szCs w:val="1"/>
                <w:color w:val="auto"/>
              </w:rPr>
            </w:pPr>
          </w:p>
        </w:tc>
      </w:tr>
      <w:tr>
        <w:trPr>
          <w:trHeight w:val="277"/>
        </w:trPr>
        <w:tc>
          <w:tcPr>
            <w:tcW w:w="49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EXPENSES</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of vacation ownership products </w:t>
            </w:r>
            <w:r>
              <w:rPr>
                <w:rFonts w:ascii="Times New Roman" w:cs="Times New Roman" w:eastAsia="Times New Roman" w:hAnsi="Times New Roman"/>
                <w:sz w:val="20"/>
                <w:szCs w:val="20"/>
                <w:color w:val="B8BABC"/>
              </w:rPr>
              <w:t>.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184</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224</w:t>
            </w: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Marketing and sales </w:t>
            </w:r>
            <w:r>
              <w:rPr>
                <w:rFonts w:ascii="Times New Roman" w:cs="Times New Roman" w:eastAsia="Times New Roman" w:hAnsi="Times New Roman"/>
                <w:sz w:val="20"/>
                <w:szCs w:val="20"/>
                <w:color w:val="B8BABC"/>
              </w:rPr>
              <w:t>. . . . . . . . . . . . . .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943</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823</w:t>
            </w: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and exchange </w:t>
            </w:r>
            <w:r>
              <w:rPr>
                <w:rFonts w:ascii="Times New Roman" w:cs="Times New Roman" w:eastAsia="Times New Roman" w:hAnsi="Times New Roman"/>
                <w:sz w:val="20"/>
                <w:szCs w:val="20"/>
                <w:color w:val="B8BABC"/>
              </w:rPr>
              <w:t>. . . . . . . .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476</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442</w:t>
            </w: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Rental </w:t>
            </w:r>
            <w:r>
              <w:rPr>
                <w:rFonts w:ascii="Times New Roman" w:cs="Times New Roman" w:eastAsia="Times New Roman" w:hAnsi="Times New Roman"/>
                <w:sz w:val="20"/>
                <w:szCs w:val="20"/>
                <w:color w:val="B8BABC"/>
              </w:rPr>
              <w:t>. . . . . . . . . . . . . . . . . . . . . . . . .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523</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452</w:t>
            </w: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Financing </w:t>
            </w:r>
            <w:r>
              <w:rPr>
                <w:rFonts w:ascii="Times New Roman" w:cs="Times New Roman" w:eastAsia="Times New Roman" w:hAnsi="Times New Roman"/>
                <w:sz w:val="20"/>
                <w:szCs w:val="20"/>
                <w:color w:val="B8BABC"/>
              </w:rPr>
              <w:t>. . . . . . . . . . . . . . . . . . . . . .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w:t>
            </w: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Royalty fee </w:t>
            </w:r>
            <w:r>
              <w:rPr>
                <w:rFonts w:ascii="Times New Roman" w:cs="Times New Roman" w:eastAsia="Times New Roman" w:hAnsi="Times New Roman"/>
                <w:sz w:val="20"/>
                <w:szCs w:val="20"/>
                <w:color w:val="B8BABC"/>
              </w:rPr>
              <w:t>. . . . . . . . . . . . . . . . . . . . .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w:t>
            </w: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General and administrative </w:t>
            </w:r>
            <w:r>
              <w:rPr>
                <w:rFonts w:ascii="Times New Roman" w:cs="Times New Roman" w:eastAsia="Times New Roman" w:hAnsi="Times New Roman"/>
                <w:sz w:val="20"/>
                <w:szCs w:val="20"/>
                <w:color w:val="B8BABC"/>
              </w:rPr>
              <w:t>. . . . . . . .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242</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273</w:t>
            </w: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Depreciation and amortization </w:t>
            </w:r>
            <w:r>
              <w:rPr>
                <w:rFonts w:ascii="Times New Roman" w:cs="Times New Roman" w:eastAsia="Times New Roman" w:hAnsi="Times New Roman"/>
                <w:sz w:val="20"/>
                <w:szCs w:val="20"/>
                <w:color w:val="B8BABC"/>
              </w:rPr>
              <w:t>. . . . . .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Litigation charges </w:t>
            </w:r>
            <w:r>
              <w:rPr>
                <w:rFonts w:ascii="Times New Roman" w:cs="Times New Roman" w:eastAsia="Times New Roman" w:hAnsi="Times New Roman"/>
                <w:sz w:val="20"/>
                <w:szCs w:val="20"/>
                <w:color w:val="B8BABC"/>
              </w:rPr>
              <w:t>. . . . . . . . . . . . . . .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Modernization </w:t>
            </w:r>
            <w:r>
              <w:rPr>
                <w:rFonts w:ascii="Times New Roman" w:cs="Times New Roman" w:eastAsia="Times New Roman" w:hAnsi="Times New Roman"/>
                <w:sz w:val="20"/>
                <w:szCs w:val="20"/>
                <w:color w:val="B8BABC"/>
              </w:rPr>
              <w:t>. . . . . . . . . . . . . . . . . .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Restructuring </w:t>
            </w:r>
            <w:r>
              <w:rPr>
                <w:rFonts w:ascii="Times New Roman" w:cs="Times New Roman" w:eastAsia="Times New Roman" w:hAnsi="Times New Roman"/>
                <w:sz w:val="20"/>
                <w:szCs w:val="20"/>
                <w:color w:val="B8BABC"/>
              </w:rPr>
              <w:t>. . . . . . . . . . . . . . . . . . .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Impairment </w:t>
            </w:r>
            <w:r>
              <w:rPr>
                <w:rFonts w:ascii="Times New Roman" w:cs="Times New Roman" w:eastAsia="Times New Roman" w:hAnsi="Times New Roman"/>
                <w:sz w:val="20"/>
                <w:szCs w:val="20"/>
                <w:color w:val="B8BABC"/>
              </w:rPr>
              <w:t>. . . . . . . . . . . . . . . . . . . . .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577</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w:t>
            </w:r>
          </w:p>
        </w:tc>
        <w:tc>
          <w:tcPr>
            <w:tcW w:w="0" w:type="dxa"/>
            <w:vAlign w:val="bottom"/>
          </w:tcPr>
          <w:p>
            <w:pPr>
              <w:spacing w:after="0"/>
              <w:rPr>
                <w:sz w:val="1"/>
                <w:szCs w:val="1"/>
                <w:color w:val="auto"/>
              </w:rPr>
            </w:pPr>
          </w:p>
        </w:tc>
      </w:tr>
      <w:tr>
        <w:trPr>
          <w:trHeight w:val="303"/>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reimbursements </w:t>
            </w:r>
            <w:r>
              <w:rPr>
                <w:rFonts w:ascii="Times New Roman" w:cs="Times New Roman" w:eastAsia="Times New Roman" w:hAnsi="Times New Roman"/>
                <w:sz w:val="20"/>
                <w:szCs w:val="20"/>
                <w:color w:val="B8BABC"/>
              </w:rPr>
              <w:t>. . . . . . . . . . . . . . . . . . . . . . . . . . . . .</w:t>
            </w:r>
          </w:p>
        </w:tc>
        <w:tc>
          <w:tcPr>
            <w:tcW w:w="100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7"/>
              </w:rPr>
              <w:t>1,698</w:t>
            </w:r>
          </w:p>
        </w:tc>
        <w:tc>
          <w:tcPr>
            <w:tcW w:w="60" w:type="dxa"/>
            <w:vAlign w:val="bottom"/>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1,689</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1,561</w:t>
            </w:r>
          </w:p>
        </w:tc>
        <w:tc>
          <w:tcPr>
            <w:tcW w:w="0" w:type="dxa"/>
            <w:vAlign w:val="bottom"/>
          </w:tcPr>
          <w:p>
            <w:pPr>
              <w:spacing w:after="0"/>
              <w:rPr>
                <w:sz w:val="1"/>
                <w:szCs w:val="1"/>
                <w:color w:val="auto"/>
              </w:rPr>
            </w:pPr>
          </w:p>
        </w:tc>
      </w:tr>
      <w:tr>
        <w:trPr>
          <w:trHeight w:val="28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TOTAL EXPENSES </w:t>
            </w:r>
            <w:r>
              <w:rPr>
                <w:rFonts w:ascii="Times New Roman" w:cs="Times New Roman" w:eastAsia="Times New Roman" w:hAnsi="Times New Roman"/>
                <w:sz w:val="20"/>
                <w:szCs w:val="20"/>
                <w:b w:val="1"/>
                <w:bCs w:val="1"/>
                <w:color w:val="B8BABC"/>
              </w:rPr>
              <w:t>. . . . . . . . . . . . . . . . . . . . . . . . .</w:t>
            </w:r>
          </w:p>
        </w:tc>
        <w:tc>
          <w:tcPr>
            <w:tcW w:w="100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7"/>
              </w:rPr>
              <w:t>5,209</w:t>
            </w:r>
          </w:p>
        </w:tc>
        <w:tc>
          <w:tcPr>
            <w:tcW w:w="60" w:type="dxa"/>
            <w:vAlign w:val="bottom"/>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4,477</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4,191</w:t>
            </w:r>
          </w:p>
        </w:tc>
        <w:tc>
          <w:tcPr>
            <w:tcW w:w="0" w:type="dxa"/>
            <w:vAlign w:val="bottom"/>
          </w:tcPr>
          <w:p>
            <w:pPr>
              <w:spacing w:after="0"/>
              <w:rPr>
                <w:sz w:val="1"/>
                <w:szCs w:val="1"/>
                <w:color w:val="auto"/>
              </w:rPr>
            </w:pPr>
          </w:p>
        </w:tc>
      </w:tr>
      <w:tr>
        <w:trPr>
          <w:trHeight w:val="277"/>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Gains (losses) and other income (expense), net </w:t>
            </w:r>
            <w:r>
              <w:rPr>
                <w:rFonts w:ascii="Times New Roman" w:cs="Times New Roman" w:eastAsia="Times New Roman" w:hAnsi="Times New Roman"/>
                <w:sz w:val="20"/>
                <w:szCs w:val="20"/>
                <w:color w:val="B8BABC"/>
              </w:rPr>
              <w:t>.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w:t>
            </w: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Interest expense, net  </w:t>
            </w:r>
            <w:r>
              <w:rPr>
                <w:rFonts w:ascii="Times New Roman" w:cs="Times New Roman" w:eastAsia="Times New Roman" w:hAnsi="Times New Roman"/>
                <w:sz w:val="20"/>
                <w:szCs w:val="20"/>
                <w:color w:val="B8BABC"/>
              </w:rPr>
              <w:t>. . . . . . . . . . . . .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(169)</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w:t>
            </w:r>
          </w:p>
        </w:tc>
        <w:tc>
          <w:tcPr>
            <w:tcW w:w="0" w:type="dxa"/>
            <w:vAlign w:val="bottom"/>
          </w:tcPr>
          <w:p>
            <w:pPr>
              <w:spacing w:after="0"/>
              <w:rPr>
                <w:sz w:val="1"/>
                <w:szCs w:val="1"/>
                <w:color w:val="auto"/>
              </w:rPr>
            </w:pPr>
          </w:p>
        </w:tc>
      </w:tr>
      <w:tr>
        <w:trPr>
          <w:trHeight w:val="3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Transaction and integration costs </w:t>
            </w:r>
            <w:r>
              <w:rPr>
                <w:rFonts w:ascii="Times New Roman" w:cs="Times New Roman" w:eastAsia="Times New Roman" w:hAnsi="Times New Roman"/>
                <w:sz w:val="20"/>
                <w:szCs w:val="20"/>
                <w:color w:val="B8BABC"/>
              </w:rPr>
              <w:t>. . .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0" w:type="dxa"/>
            <w:vAlign w:val="bottom"/>
          </w:tcPr>
          <w:p>
            <w:pPr>
              <w:spacing w:after="0"/>
              <w:rPr>
                <w:sz w:val="1"/>
                <w:szCs w:val="1"/>
                <w:color w:val="auto"/>
              </w:rPr>
            </w:pPr>
          </w:p>
        </w:tc>
      </w:tr>
      <w:tr>
        <w:trPr>
          <w:trHeight w:val="303"/>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w:t>
            </w:r>
          </w:p>
        </w:tc>
        <w:tc>
          <w:tcPr>
            <w:tcW w:w="100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12"/>
        </w:trPr>
        <w:tc>
          <w:tcPr>
            <w:tcW w:w="4900" w:type="dxa"/>
            <w:vAlign w:val="bottom"/>
          </w:tcPr>
          <w:p>
            <w:pPr>
              <w:spacing w:after="0" w:line="212" w:lineRule="exact"/>
              <w:rPr>
                <w:sz w:val="20"/>
                <w:szCs w:val="20"/>
                <w:color w:val="auto"/>
              </w:rPr>
            </w:pPr>
            <w:r>
              <w:rPr>
                <w:rFonts w:ascii="Times New Roman" w:cs="Times New Roman" w:eastAsia="Times New Roman" w:hAnsi="Times New Roman"/>
                <w:sz w:val="20"/>
                <w:szCs w:val="20"/>
                <w:b w:val="1"/>
                <w:bCs w:val="1"/>
                <w:color w:val="231F20"/>
              </w:rPr>
              <w:t>(LOSS) INCOME BEFORE INCOME TAXES AND</w:t>
            </w:r>
          </w:p>
        </w:tc>
        <w:tc>
          <w:tcPr>
            <w:tcW w:w="100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(299)</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306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398</w:t>
            </w:r>
          </w:p>
        </w:tc>
        <w:tc>
          <w:tcPr>
            <w:tcW w:w="0" w:type="dxa"/>
            <w:vAlign w:val="bottom"/>
          </w:tcPr>
          <w:p>
            <w:pPr>
              <w:spacing w:after="0"/>
              <w:rPr>
                <w:sz w:val="1"/>
                <w:szCs w:val="1"/>
                <w:color w:val="auto"/>
              </w:rPr>
            </w:pPr>
          </w:p>
        </w:tc>
      </w:tr>
      <w:tr>
        <w:trPr>
          <w:trHeight w:val="264"/>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NONCONTROLLING INTERESTS </w:t>
            </w:r>
            <w:r>
              <w:rPr>
                <w:rFonts w:ascii="Times New Roman" w:cs="Times New Roman" w:eastAsia="Times New Roman" w:hAnsi="Times New Roman"/>
                <w:sz w:val="20"/>
                <w:szCs w:val="20"/>
                <w:b w:val="1"/>
                <w:bCs w:val="1"/>
                <w:color w:val="B8BABC"/>
              </w:rPr>
              <w:t>. . . . . . . . . . . . . . . . .</w:t>
            </w:r>
          </w:p>
        </w:tc>
        <w:tc>
          <w:tcPr>
            <w:tcW w:w="1000" w:type="dxa"/>
            <w:vAlign w:val="bottom"/>
          </w:tcPr>
          <w:p>
            <w:pPr>
              <w:spacing w:after="0"/>
              <w:rPr>
                <w:sz w:val="22"/>
                <w:szCs w:val="22"/>
                <w:color w:val="auto"/>
              </w:rPr>
            </w:pPr>
          </w:p>
        </w:tc>
        <w:tc>
          <w:tcPr>
            <w:tcW w:w="5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Provision for income taxes </w:t>
            </w:r>
            <w:r>
              <w:rPr>
                <w:rFonts w:ascii="Times New Roman" w:cs="Times New Roman" w:eastAsia="Times New Roman" w:hAnsi="Times New Roman"/>
                <w:sz w:val="20"/>
                <w:szCs w:val="20"/>
                <w:color w:val="B8BABC"/>
                <w:w w:val="99"/>
              </w:rPr>
              <w:t>. . . . . . . . . . . . . . . . . . . . . . . . . . .</w:t>
            </w:r>
          </w:p>
        </w:tc>
        <w:tc>
          <w:tcPr>
            <w:tcW w:w="100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0" w:type="dxa"/>
            <w:vAlign w:val="bottom"/>
          </w:tcPr>
          <w:p>
            <w:pPr>
              <w:spacing w:after="0"/>
              <w:rPr>
                <w:sz w:val="1"/>
                <w:szCs w:val="1"/>
                <w:color w:val="auto"/>
              </w:rPr>
            </w:pPr>
          </w:p>
        </w:tc>
      </w:tr>
      <w:tr>
        <w:trPr>
          <w:trHeight w:val="277"/>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NET (LOSS) INCOME </w:t>
            </w:r>
            <w:r>
              <w:rPr>
                <w:rFonts w:ascii="Times New Roman" w:cs="Times New Roman" w:eastAsia="Times New Roman" w:hAnsi="Times New Roman"/>
                <w:sz w:val="20"/>
                <w:szCs w:val="20"/>
                <w:b w:val="1"/>
                <w:bCs w:val="1"/>
                <w:color w:val="B8BABC"/>
              </w:rPr>
              <w:t>. . . . . . . . . . . . . . . . . . . . . . . . . . . .</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w:t>
            </w:r>
          </w:p>
        </w:tc>
        <w:tc>
          <w:tcPr>
            <w:tcW w:w="0" w:type="dxa"/>
            <w:vAlign w:val="bottom"/>
          </w:tcPr>
          <w:p>
            <w:pPr>
              <w:spacing w:after="0"/>
              <w:rPr>
                <w:sz w:val="1"/>
                <w:szCs w:val="1"/>
                <w:color w:val="auto"/>
              </w:rPr>
            </w:pPr>
          </w:p>
        </w:tc>
      </w:tr>
      <w:tr>
        <w:trPr>
          <w:trHeight w:val="303"/>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Net (income) loss attributable to noncontrolling interests </w:t>
            </w:r>
            <w:r>
              <w:rPr>
                <w:rFonts w:ascii="Times New Roman" w:cs="Times New Roman" w:eastAsia="Times New Roman" w:hAnsi="Times New Roman"/>
                <w:sz w:val="20"/>
                <w:szCs w:val="20"/>
                <w:color w:val="B8BABC"/>
                <w:w w:val="99"/>
              </w:rPr>
              <w:t>. . .</w:t>
            </w:r>
          </w:p>
        </w:tc>
        <w:tc>
          <w:tcPr>
            <w:tcW w:w="100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5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178"/>
        </w:trPr>
        <w:tc>
          <w:tcPr>
            <w:tcW w:w="4900" w:type="dxa"/>
            <w:vAlign w:val="bottom"/>
          </w:tcPr>
          <w:p>
            <w:pPr>
              <w:spacing w:after="0" w:line="178" w:lineRule="exact"/>
              <w:rPr>
                <w:sz w:val="20"/>
                <w:szCs w:val="20"/>
                <w:color w:val="auto"/>
              </w:rPr>
            </w:pPr>
            <w:r>
              <w:rPr>
                <w:rFonts w:ascii="Times New Roman" w:cs="Times New Roman" w:eastAsia="Times New Roman" w:hAnsi="Times New Roman"/>
                <w:sz w:val="20"/>
                <w:szCs w:val="20"/>
                <w:b w:val="1"/>
                <w:bCs w:val="1"/>
                <w:color w:val="231F20"/>
              </w:rPr>
              <w:t>NET (LOSS) INCOME ATTRIBUTABLE TO</w:t>
            </w: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COMMON STOCKHOLDERS </w:t>
            </w:r>
            <w:r>
              <w:rPr>
                <w:rFonts w:ascii="Times New Roman" w:cs="Times New Roman" w:eastAsia="Times New Roman" w:hAnsi="Times New Roman"/>
                <w:sz w:val="20"/>
                <w:szCs w:val="20"/>
                <w:b w:val="1"/>
                <w:bCs w:val="1"/>
                <w:color w:val="B8BABC"/>
              </w:rPr>
              <w:t>. . . . . . . . . . . . . . . . . . . . .</w:t>
            </w:r>
          </w:p>
        </w:tc>
        <w:tc>
          <w:tcPr>
            <w:tcW w:w="1000" w:type="dxa"/>
            <w:vAlign w:val="bottom"/>
          </w:tcPr>
          <w:p>
            <w:pPr>
              <w:jc w:val="right"/>
              <w:ind w:right="740"/>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(308)</w:t>
            </w: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254</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(LOSS) EARNINGS PER SHARE ATTRIBUTABLE</w:t>
            </w: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9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TO COMMON STOCKHOLDERS</w:t>
            </w: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Basic  </w:t>
            </w:r>
            <w:r>
              <w:rPr>
                <w:rFonts w:ascii="Times New Roman" w:cs="Times New Roman" w:eastAsia="Times New Roman" w:hAnsi="Times New Roman"/>
                <w:sz w:val="20"/>
                <w:szCs w:val="20"/>
                <w:color w:val="B8BABC"/>
              </w:rPr>
              <w:t>. . . . . . . . . . . . . . . . . . . . . . . . . . . . . . . . . . . . . . . . .</w:t>
            </w:r>
          </w:p>
        </w:tc>
        <w:tc>
          <w:tcPr>
            <w:tcW w:w="1000" w:type="dxa"/>
            <w:vAlign w:val="bottom"/>
          </w:tcPr>
          <w:p>
            <w:pPr>
              <w:jc w:val="right"/>
              <w:ind w:right="740"/>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(8.84)</w:t>
            </w: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6.96</w:t>
            </w:r>
          </w:p>
        </w:tc>
        <w:tc>
          <w:tcPr>
            <w:tcW w:w="0" w:type="dxa"/>
            <w:vAlign w:val="bottom"/>
          </w:tcPr>
          <w:p>
            <w:pPr>
              <w:spacing w:after="0"/>
              <w:rPr>
                <w:sz w:val="1"/>
                <w:szCs w:val="1"/>
                <w:color w:val="auto"/>
              </w:rPr>
            </w:pPr>
          </w:p>
        </w:tc>
      </w:tr>
      <w:tr>
        <w:trPr>
          <w:trHeight w:val="297"/>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Diluted </w:t>
            </w:r>
            <w:r>
              <w:rPr>
                <w:rFonts w:ascii="Times New Roman" w:cs="Times New Roman" w:eastAsia="Times New Roman" w:hAnsi="Times New Roman"/>
                <w:sz w:val="20"/>
                <w:szCs w:val="20"/>
                <w:color w:val="B8BABC"/>
              </w:rPr>
              <w:t>. . . . . . . . . . . . . . . . . . . . . . . . . . . . . . . . . . . . . . . .</w:t>
            </w:r>
          </w:p>
        </w:tc>
        <w:tc>
          <w:tcPr>
            <w:tcW w:w="1000" w:type="dxa"/>
            <w:vAlign w:val="bottom"/>
          </w:tcPr>
          <w:p>
            <w:pPr>
              <w:jc w:val="right"/>
              <w:ind w:right="740"/>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(8.84)</w:t>
            </w: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6.28</w:t>
            </w:r>
          </w:p>
        </w:tc>
        <w:tc>
          <w:tcPr>
            <w:tcW w:w="0" w:type="dxa"/>
            <w:vAlign w:val="bottom"/>
          </w:tcPr>
          <w:p>
            <w:pPr>
              <w:spacing w:after="0"/>
              <w:rPr>
                <w:sz w:val="1"/>
                <w:szCs w:val="1"/>
                <w:color w:val="auto"/>
              </w:rPr>
            </w:pPr>
          </w:p>
        </w:tc>
      </w:tr>
      <w:tr>
        <w:trPr>
          <w:trHeight w:val="303"/>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 xml:space="preserve">CASH DIVIDENDS DECLARED PER SHARE </w:t>
            </w:r>
            <w:r>
              <w:rPr>
                <w:rFonts w:ascii="Times New Roman" w:cs="Times New Roman" w:eastAsia="Times New Roman" w:hAnsi="Times New Roman"/>
                <w:sz w:val="20"/>
                <w:szCs w:val="20"/>
                <w:b w:val="1"/>
                <w:bCs w:val="1"/>
                <w:color w:val="B8BABC"/>
              </w:rPr>
              <w:t>. . . . . . .</w:t>
            </w:r>
          </w:p>
        </w:tc>
        <w:tc>
          <w:tcPr>
            <w:tcW w:w="1000" w:type="dxa"/>
            <w:vAlign w:val="bottom"/>
          </w:tcPr>
          <w:p>
            <w:pPr>
              <w:jc w:val="right"/>
              <w:ind w:right="740"/>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3.17</w:t>
            </w: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20"/>
                <w:szCs w:val="20"/>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See Notes to Consolidated Financial Statements</w:t>
      </w:r>
    </w:p>
    <w:p>
      <w:pPr>
        <w:sectPr>
          <w:pgSz w:w="11880" w:h="15480" w:orient="portrait"/>
          <w:cols w:equalWidth="0" w:num="1">
            <w:col w:w="9660"/>
          </w:cols>
          <w:pgMar w:left="1140" w:top="101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73</w:t>
      </w:r>
    </w:p>
    <w:p>
      <w:pPr>
        <w:sectPr>
          <w:pgSz w:w="11880" w:h="15480" w:orient="portrait"/>
          <w:cols w:equalWidth="0" w:num="1">
            <w:col w:w="9660"/>
          </w:cols>
          <w:pgMar w:left="1140" w:top="1011" w:right="1080" w:bottom="0" w:gutter="0" w:footer="0" w:header="0"/>
          <w:type w:val="continuous"/>
        </w:sectPr>
      </w:pPr>
    </w:p>
    <w:bookmarkStart w:id="77" w:name="page78"/>
    <w:bookmarkEnd w:id="77"/>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MARRIOTT VACATIONS WORLDWIDE CORPORATION</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CONSOLIDATED STATEMENTS OF COMPREHENSIVE INCOME</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Fiscal Years 2025, 2024 and 2023</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900" w:type="dxa"/>
            <w:vAlign w:val="bottom"/>
          </w:tcPr>
          <w:p>
            <w:pPr>
              <w:spacing w:after="0"/>
              <w:rPr>
                <w:sz w:val="23"/>
                <w:szCs w:val="23"/>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500" w:type="dxa"/>
            <w:vAlign w:val="bottom"/>
            <w:tcBorders>
              <w:bottom w:val="single" w:sz="8" w:color="231F20"/>
            </w:tcBorders>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1160" w:type="dxa"/>
            <w:vAlign w:val="bottom"/>
            <w:tcBorders>
              <w:bottom w:val="single" w:sz="8" w:color="231F20"/>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60" w:type="dxa"/>
            <w:vAlign w:val="bottom"/>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1180" w:type="dxa"/>
            <w:vAlign w:val="bottom"/>
            <w:tcBorders>
              <w:bottom w:val="single" w:sz="8" w:color="231F20"/>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231F20"/>
              </w:rPr>
              <w:t>2023</w:t>
            </w:r>
          </w:p>
        </w:tc>
        <w:tc>
          <w:tcPr>
            <w:tcW w:w="0" w:type="dxa"/>
            <w:vAlign w:val="bottom"/>
          </w:tcPr>
          <w:p>
            <w:pPr>
              <w:spacing w:after="0"/>
              <w:rPr>
                <w:sz w:val="1"/>
                <w:szCs w:val="1"/>
                <w:color w:val="auto"/>
              </w:rPr>
            </w:pPr>
          </w:p>
        </w:tc>
      </w:tr>
      <w:tr>
        <w:trPr>
          <w:trHeight w:val="262"/>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B8BABC"/>
              </w:rPr>
              <w:t>. . . . . . . . . . . . . . . . . . . . . . . . . . . .</w:t>
            </w:r>
            <w:r>
              <w:rPr>
                <w:rFonts w:ascii="Times New Roman" w:cs="Times New Roman" w:eastAsia="Times New Roman" w:hAnsi="Times New Roman"/>
                <w:sz w:val="20"/>
                <w:szCs w:val="20"/>
                <w:b w:val="1"/>
                <w:bCs w:val="1"/>
                <w:color w:val="231F20"/>
              </w:rPr>
              <w:t>NET(LOSS)INCOME</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20"/>
                <w:szCs w:val="20"/>
                <w:color w:val="231F2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w:t>
            </w:r>
          </w:p>
        </w:tc>
        <w:tc>
          <w:tcPr>
            <w:tcW w:w="0" w:type="dxa"/>
            <w:vAlign w:val="bottom"/>
          </w:tcPr>
          <w:p>
            <w:pPr>
              <w:spacing w:after="0"/>
              <w:rPr>
                <w:sz w:val="1"/>
                <w:szCs w:val="1"/>
                <w:color w:val="auto"/>
              </w:rPr>
            </w:pPr>
          </w:p>
        </w:tc>
      </w:tr>
      <w:tr>
        <w:trPr>
          <w:trHeight w:val="60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Foreign currency translation adjustments </w:t>
            </w:r>
            <w:r>
              <w:rPr>
                <w:rFonts w:ascii="Times New Roman" w:cs="Times New Roman" w:eastAsia="Times New Roman" w:hAnsi="Times New Roman"/>
                <w:sz w:val="20"/>
                <w:szCs w:val="20"/>
                <w:color w:val="B8BABC"/>
              </w:rPr>
              <w:t>. . . . . . . . . . . . .</w:t>
            </w:r>
          </w:p>
        </w:tc>
        <w:tc>
          <w:tcPr>
            <w:tcW w:w="10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0" w:type="dxa"/>
            <w:vAlign w:val="bottom"/>
          </w:tcPr>
          <w:p>
            <w:pPr>
              <w:spacing w:after="0"/>
              <w:rPr>
                <w:sz w:val="1"/>
                <w:szCs w:val="1"/>
                <w:color w:val="auto"/>
              </w:rPr>
            </w:pPr>
          </w:p>
        </w:tc>
      </w:tr>
      <w:tr>
        <w:trPr>
          <w:trHeight w:val="288"/>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Derivative instrument adjustment, net of tax </w:t>
            </w:r>
            <w:r>
              <w:rPr>
                <w:rFonts w:ascii="Times New Roman" w:cs="Times New Roman" w:eastAsia="Times New Roman" w:hAnsi="Times New Roman"/>
                <w:sz w:val="20"/>
                <w:szCs w:val="20"/>
                <w:color w:val="B8BABC"/>
              </w:rPr>
              <w:t>. . . . . . . . . . .</w:t>
            </w:r>
          </w:p>
        </w:tc>
        <w:tc>
          <w:tcPr>
            <w:tcW w:w="104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0" w:type="dxa"/>
            <w:vAlign w:val="bottom"/>
          </w:tcPr>
          <w:p>
            <w:pPr>
              <w:spacing w:after="0"/>
              <w:rPr>
                <w:sz w:val="1"/>
                <w:szCs w:val="1"/>
                <w:color w:val="auto"/>
              </w:rPr>
            </w:pPr>
          </w:p>
        </w:tc>
      </w:tr>
      <w:tr>
        <w:trPr>
          <w:trHeight w:val="182"/>
        </w:trPr>
        <w:tc>
          <w:tcPr>
            <w:tcW w:w="4900" w:type="dxa"/>
            <w:vAlign w:val="bottom"/>
          </w:tcPr>
          <w:p>
            <w:pPr>
              <w:spacing w:after="0" w:line="182" w:lineRule="exact"/>
              <w:rPr>
                <w:sz w:val="20"/>
                <w:szCs w:val="20"/>
                <w:color w:val="auto"/>
              </w:rPr>
            </w:pPr>
            <w:r>
              <w:rPr>
                <w:rFonts w:ascii="Times New Roman" w:cs="Times New Roman" w:eastAsia="Times New Roman" w:hAnsi="Times New Roman"/>
                <w:sz w:val="20"/>
                <w:szCs w:val="20"/>
                <w:b w:val="1"/>
                <w:bCs w:val="1"/>
                <w:color w:val="231F20"/>
              </w:rPr>
              <w:t>OTHER COMPREHENSIVE (LOSS) INCOME, NET</w:t>
            </w:r>
          </w:p>
        </w:tc>
        <w:tc>
          <w:tcPr>
            <w:tcW w:w="10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63"/>
        </w:trPr>
        <w:tc>
          <w:tcPr>
            <w:tcW w:w="49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 xml:space="preserve">OF TAX </w:t>
            </w:r>
            <w:r>
              <w:rPr>
                <w:rFonts w:ascii="Times New Roman" w:cs="Times New Roman" w:eastAsia="Times New Roman" w:hAnsi="Times New Roman"/>
                <w:sz w:val="20"/>
                <w:szCs w:val="20"/>
                <w:b w:val="1"/>
                <w:bCs w:val="1"/>
                <w:color w:val="B8BABC"/>
              </w:rPr>
              <w:t>. . . . . . . . . . . . . . . . . . . . . . . . . . . . . . . . . . . . . . . . .</w:t>
            </w:r>
          </w:p>
        </w:tc>
        <w:tc>
          <w:tcPr>
            <w:tcW w:w="1040" w:type="dxa"/>
            <w:vAlign w:val="bottom"/>
            <w:tcBorders>
              <w:bottom w:val="single" w:sz="8" w:color="231F20"/>
            </w:tcBorders>
          </w:tcPr>
          <w:p>
            <w:pPr>
              <w:spacing w:after="0"/>
              <w:rPr>
                <w:sz w:val="22"/>
                <w:szCs w:val="22"/>
                <w:color w:val="auto"/>
              </w:rPr>
            </w:pPr>
          </w:p>
        </w:tc>
        <w:tc>
          <w:tcPr>
            <w:tcW w:w="50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118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80"/>
        </w:trPr>
        <w:tc>
          <w:tcPr>
            <w:tcW w:w="4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Net (income) loss attributable to noncontrolling interests </w:t>
            </w:r>
            <w:r>
              <w:rPr>
                <w:rFonts w:ascii="Times New Roman" w:cs="Times New Roman" w:eastAsia="Times New Roman" w:hAnsi="Times New Roman"/>
                <w:sz w:val="20"/>
                <w:szCs w:val="20"/>
                <w:color w:val="B8BABC"/>
              </w:rPr>
              <w:t>.</w:t>
            </w:r>
          </w:p>
        </w:tc>
        <w:tc>
          <w:tcPr>
            <w:tcW w:w="104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192"/>
        </w:trPr>
        <w:tc>
          <w:tcPr>
            <w:tcW w:w="4900" w:type="dxa"/>
            <w:vAlign w:val="bottom"/>
          </w:tcPr>
          <w:p>
            <w:pPr>
              <w:spacing w:after="0" w:line="192" w:lineRule="exact"/>
              <w:rPr>
                <w:sz w:val="20"/>
                <w:szCs w:val="20"/>
                <w:color w:val="auto"/>
              </w:rPr>
            </w:pPr>
            <w:r>
              <w:rPr>
                <w:rFonts w:ascii="Times New Roman" w:cs="Times New Roman" w:eastAsia="Times New Roman" w:hAnsi="Times New Roman"/>
                <w:sz w:val="20"/>
                <w:szCs w:val="20"/>
                <w:b w:val="1"/>
                <w:bCs w:val="1"/>
                <w:color w:val="231F20"/>
              </w:rPr>
              <w:t>COMPREHENSIVE (INCOME) LOSS</w:t>
            </w: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90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231F20"/>
              </w:rPr>
              <w:t>ATTRIBUTABLE TO NONCONTROLLING</w:t>
            </w:r>
          </w:p>
        </w:tc>
        <w:tc>
          <w:tcPr>
            <w:tcW w:w="104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0" w:type="dxa"/>
            <w:vAlign w:val="bottom"/>
          </w:tcPr>
          <w:p>
            <w:pPr>
              <w:spacing w:after="0"/>
              <w:rPr>
                <w:sz w:val="1"/>
                <w:szCs w:val="1"/>
                <w:color w:val="auto"/>
              </w:rPr>
            </w:pPr>
          </w:p>
        </w:tc>
      </w:tr>
      <w:tr>
        <w:trPr>
          <w:trHeight w:val="263"/>
        </w:trPr>
        <w:tc>
          <w:tcPr>
            <w:tcW w:w="49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 xml:space="preserve">INTERESTS </w:t>
            </w:r>
            <w:r>
              <w:rPr>
                <w:rFonts w:ascii="Times New Roman" w:cs="Times New Roman" w:eastAsia="Times New Roman" w:hAnsi="Times New Roman"/>
                <w:sz w:val="20"/>
                <w:szCs w:val="20"/>
                <w:b w:val="1"/>
                <w:bCs w:val="1"/>
                <w:color w:val="B8BABC"/>
              </w:rPr>
              <w:t>. . . . . . . . . . . . . . . . . . . . . . . . . . . . . . . . . . . . .</w:t>
            </w:r>
          </w:p>
        </w:tc>
        <w:tc>
          <w:tcPr>
            <w:tcW w:w="1040" w:type="dxa"/>
            <w:vAlign w:val="bottom"/>
            <w:tcBorders>
              <w:bottom w:val="single" w:sz="8" w:color="231F20"/>
            </w:tcBorders>
          </w:tcPr>
          <w:p>
            <w:pPr>
              <w:spacing w:after="0"/>
              <w:rPr>
                <w:sz w:val="22"/>
                <w:szCs w:val="22"/>
                <w:color w:val="auto"/>
              </w:rPr>
            </w:pPr>
          </w:p>
        </w:tc>
        <w:tc>
          <w:tcPr>
            <w:tcW w:w="50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118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97"/>
        </w:trPr>
        <w:tc>
          <w:tcPr>
            <w:tcW w:w="49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COMPREHENSIVE (LOSS) INCOME</w:t>
            </w:r>
          </w:p>
        </w:tc>
        <w:tc>
          <w:tcPr>
            <w:tcW w:w="104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(311)</w:t>
            </w: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194</w:t>
            </w: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255</w:t>
            </w:r>
          </w:p>
        </w:tc>
        <w:tc>
          <w:tcPr>
            <w:tcW w:w="0" w:type="dxa"/>
            <w:vAlign w:val="bottom"/>
          </w:tcPr>
          <w:p>
            <w:pPr>
              <w:spacing w:after="0"/>
              <w:rPr>
                <w:sz w:val="1"/>
                <w:szCs w:val="1"/>
                <w:color w:val="auto"/>
              </w:rPr>
            </w:pPr>
          </w:p>
        </w:tc>
      </w:tr>
      <w:tr>
        <w:trPr>
          <w:trHeight w:val="243"/>
        </w:trPr>
        <w:tc>
          <w:tcPr>
            <w:tcW w:w="59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 xml:space="preserve">ATTRIBUTABLE TO COMMON STOCKHOLDERS </w:t>
            </w:r>
            <w:r>
              <w:rPr>
                <w:rFonts w:ascii="Times New Roman" w:cs="Times New Roman" w:eastAsia="Times New Roman" w:hAnsi="Times New Roman"/>
                <w:sz w:val="20"/>
                <w:szCs w:val="20"/>
                <w:b w:val="1"/>
                <w:bCs w:val="1"/>
                <w:color w:val="B8BABC"/>
              </w:rPr>
              <w: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t>
            </w:r>
          </w:p>
        </w:tc>
        <w:tc>
          <w:tcPr>
            <w:tcW w:w="500" w:type="dxa"/>
            <w:vAlign w:val="bottom"/>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5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See Notes to Consolidated Financial Statements</w:t>
      </w:r>
    </w:p>
    <w:p>
      <w:pPr>
        <w:sectPr>
          <w:pgSz w:w="11880" w:h="15480" w:orient="portrait"/>
          <w:cols w:equalWidth="0" w:num="1">
            <w:col w:w="9620"/>
          </w:cols>
          <w:pgMar w:left="1160" w:top="1011"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74</w:t>
      </w:r>
    </w:p>
    <w:p>
      <w:pPr>
        <w:sectPr>
          <w:pgSz w:w="11880" w:h="15480" w:orient="portrait"/>
          <w:cols w:equalWidth="0" w:num="1">
            <w:col w:w="9620"/>
          </w:cols>
          <w:pgMar w:left="1160" w:top="1011" w:right="1100" w:bottom="0" w:gutter="0" w:footer="0" w:header="0"/>
          <w:type w:val="continuous"/>
        </w:sectPr>
      </w:pPr>
    </w:p>
    <w:bookmarkStart w:id="78" w:name="page79"/>
    <w:bookmarkEnd w:id="78"/>
    <w:p>
      <w:pPr>
        <w:jc w:val="center"/>
        <w:spacing w:after="0" w:line="263" w:lineRule="auto"/>
        <w:rPr>
          <w:sz w:val="20"/>
          <w:szCs w:val="20"/>
          <w:color w:val="auto"/>
        </w:rPr>
      </w:pPr>
      <w:r>
        <w:rPr>
          <w:rFonts w:ascii="Times New Roman" w:cs="Times New Roman" w:eastAsia="Times New Roman" w:hAnsi="Times New Roman"/>
          <w:sz w:val="20"/>
          <w:szCs w:val="20"/>
          <w:b w:val="1"/>
          <w:bCs w:val="1"/>
          <w:color w:val="231F20"/>
        </w:rPr>
        <w:t xml:space="preserve">MARRIOTT VACATIONS WORLDWIDE CORPORATION CONSOLIDATED BALANCE SHEETS Fiscal Year-End 2025 and 2024 </w:t>
      </w:r>
      <w:r>
        <w:rPr>
          <w:rFonts w:ascii="Times New Roman" w:cs="Times New Roman" w:eastAsia="Times New Roman" w:hAnsi="Times New Roman"/>
          <w:sz w:val="20"/>
          <w:szCs w:val="20"/>
          <w:color w:val="231F20"/>
        </w:rPr>
        <w:t>(In millions, except share and per share data)</w:t>
      </w:r>
    </w:p>
    <w:p>
      <w:pPr>
        <w:spacing w:after="0" w:line="89"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6600" w:type="dxa"/>
            <w:vAlign w:val="bottom"/>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1140" w:type="dxa"/>
            <w:vAlign w:val="bottom"/>
            <w:tcBorders>
              <w:bottom w:val="single" w:sz="8" w:color="231F20"/>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1140" w:type="dxa"/>
            <w:vAlign w:val="bottom"/>
            <w:tcBorders>
              <w:bottom w:val="single" w:sz="8" w:color="231F20"/>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0" w:type="dxa"/>
            <w:vAlign w:val="bottom"/>
          </w:tcPr>
          <w:p>
            <w:pPr>
              <w:spacing w:after="0"/>
              <w:rPr>
                <w:sz w:val="1"/>
                <w:szCs w:val="1"/>
                <w:color w:val="auto"/>
              </w:rPr>
            </w:pPr>
          </w:p>
        </w:tc>
      </w:tr>
      <w:tr>
        <w:trPr>
          <w:trHeight w:val="277"/>
        </w:trPr>
        <w:tc>
          <w:tcPr>
            <w:tcW w:w="66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Cash and cash equivalents </w:t>
            </w:r>
            <w:r>
              <w:rPr>
                <w:rFonts w:ascii="Times New Roman" w:cs="Times New Roman" w:eastAsia="Times New Roman" w:hAnsi="Times New Roman"/>
                <w:sz w:val="20"/>
                <w:szCs w:val="20"/>
                <w:color w:val="B8BABC"/>
              </w:rPr>
              <w:t>. . . . . . . . . . . . . . . . . . . . . . . . . . . . . . . . . . . . . . . . . . . .</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406</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197</w:t>
            </w: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Restricted cash (including $81 and $82 from VIEs, respectively)  </w:t>
            </w:r>
            <w:r>
              <w:rPr>
                <w:rFonts w:ascii="Times New Roman" w:cs="Times New Roman" w:eastAsia="Times New Roman" w:hAnsi="Times New Roman"/>
                <w:sz w:val="20"/>
                <w:szCs w:val="20"/>
                <w:color w:val="B8BABC"/>
              </w:rPr>
              <w:t>.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331</w:t>
            </w:r>
          </w:p>
        </w:tc>
        <w:tc>
          <w:tcPr>
            <w:tcW w:w="0" w:type="dxa"/>
            <w:vAlign w:val="bottom"/>
          </w:tcPr>
          <w:p>
            <w:pPr>
              <w:spacing w:after="0"/>
              <w:rPr>
                <w:sz w:val="1"/>
                <w:szCs w:val="1"/>
                <w:color w:val="auto"/>
              </w:rPr>
            </w:pPr>
          </w:p>
        </w:tc>
      </w:tr>
      <w:tr>
        <w:trPr>
          <w:trHeight w:val="205"/>
        </w:trPr>
        <w:tc>
          <w:tcPr>
            <w:tcW w:w="6600" w:type="dxa"/>
            <w:vAlign w:val="bottom"/>
          </w:tcPr>
          <w:p>
            <w:pPr>
              <w:spacing w:after="0" w:line="205" w:lineRule="exact"/>
              <w:rPr>
                <w:sz w:val="20"/>
                <w:szCs w:val="20"/>
                <w:color w:val="auto"/>
              </w:rPr>
            </w:pPr>
            <w:r>
              <w:rPr>
                <w:rFonts w:ascii="Times New Roman" w:cs="Times New Roman" w:eastAsia="Times New Roman" w:hAnsi="Times New Roman"/>
                <w:sz w:val="20"/>
                <w:szCs w:val="20"/>
                <w:color w:val="231F20"/>
              </w:rPr>
              <w:t>Accounts and contracts receivable, net (including $15 and $16 from VIEs,</w:t>
            </w: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428</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387</w:t>
            </w:r>
          </w:p>
        </w:tc>
        <w:tc>
          <w:tcPr>
            <w:tcW w:w="0" w:type="dxa"/>
            <w:vAlign w:val="bottom"/>
          </w:tcPr>
          <w:p>
            <w:pPr>
              <w:spacing w:after="0"/>
              <w:rPr>
                <w:sz w:val="1"/>
                <w:szCs w:val="1"/>
                <w:color w:val="auto"/>
              </w:rPr>
            </w:pPr>
          </w:p>
        </w:tc>
      </w:tr>
      <w:tr>
        <w:trPr>
          <w:trHeight w:val="26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respectively) </w:t>
            </w:r>
            <w:r>
              <w:rPr>
                <w:rFonts w:ascii="Times New Roman" w:cs="Times New Roman" w:eastAsia="Times New Roman" w:hAnsi="Times New Roman"/>
                <w:sz w:val="20"/>
                <w:szCs w:val="20"/>
                <w:color w:val="B8BABC"/>
              </w:rPr>
              <w:t>. . . . . . . . . . . . . . . . . . . . . . . . . . . . . . . . . . . . . . . . . . . . . . . . . . . . . . .</w:t>
            </w:r>
          </w:p>
        </w:tc>
        <w:tc>
          <w:tcPr>
            <w:tcW w:w="3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Vacation ownership notes receivable, net (including $1,900 and $1,917 from</w:t>
            </w:r>
          </w:p>
        </w:tc>
        <w:tc>
          <w:tcPr>
            <w:tcW w:w="3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2,565</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2,440</w:t>
            </w:r>
          </w:p>
        </w:tc>
        <w:tc>
          <w:tcPr>
            <w:tcW w:w="0" w:type="dxa"/>
            <w:vAlign w:val="bottom"/>
          </w:tcPr>
          <w:p>
            <w:pPr>
              <w:spacing w:after="0"/>
              <w:rPr>
                <w:sz w:val="1"/>
                <w:szCs w:val="1"/>
                <w:color w:val="auto"/>
              </w:rPr>
            </w:pPr>
          </w:p>
        </w:tc>
      </w:tr>
      <w:tr>
        <w:trPr>
          <w:trHeight w:val="26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VIEs, respectively) </w:t>
            </w:r>
            <w:r>
              <w:rPr>
                <w:rFonts w:ascii="Times New Roman" w:cs="Times New Roman" w:eastAsia="Times New Roman" w:hAnsi="Times New Roman"/>
                <w:sz w:val="20"/>
                <w:szCs w:val="20"/>
                <w:color w:val="B8BABC"/>
              </w:rPr>
              <w:t>. . . . . . . . . . . . . . . . . . . . . . . . . . . . . . . . . . . . . . . . . . . . . . . . . .</w:t>
            </w:r>
          </w:p>
        </w:tc>
        <w:tc>
          <w:tcPr>
            <w:tcW w:w="3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Inventory </w:t>
            </w:r>
            <w:r>
              <w:rPr>
                <w:rFonts w:ascii="Times New Roman" w:cs="Times New Roman" w:eastAsia="Times New Roman" w:hAnsi="Times New Roman"/>
                <w:sz w:val="20"/>
                <w:szCs w:val="20"/>
                <w:color w:val="B8BABC"/>
              </w:rPr>
              <w:t>. . . . . . . . . . . . . . . . . . . .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735</w:t>
            </w: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Property and equipment, net </w:t>
            </w:r>
            <w:r>
              <w:rPr>
                <w:rFonts w:ascii="Times New Roman" w:cs="Times New Roman" w:eastAsia="Times New Roman" w:hAnsi="Times New Roman"/>
                <w:sz w:val="20"/>
                <w:szCs w:val="20"/>
                <w:color w:val="B8BABC"/>
              </w:rPr>
              <w:t>. . . . .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1,170</w:t>
            </w: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Goodwill  </w:t>
            </w:r>
            <w:r>
              <w:rPr>
                <w:rFonts w:ascii="Times New Roman" w:cs="Times New Roman" w:eastAsia="Times New Roman" w:hAnsi="Times New Roman"/>
                <w:sz w:val="20"/>
                <w:szCs w:val="20"/>
                <w:color w:val="B8BABC"/>
              </w:rPr>
              <w:t>. . . . . . . . . . . . . . . . . . . .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2,958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3,117</w:t>
            </w: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Intangibles, net </w:t>
            </w:r>
            <w:r>
              <w:rPr>
                <w:rFonts w:ascii="Times New Roman" w:cs="Times New Roman" w:eastAsia="Times New Roman" w:hAnsi="Times New Roman"/>
                <w:sz w:val="20"/>
                <w:szCs w:val="20"/>
                <w:color w:val="B8BABC"/>
              </w:rPr>
              <w:t>. . . . . . . . . . . . . . . .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790</w:t>
            </w:r>
          </w:p>
        </w:tc>
        <w:tc>
          <w:tcPr>
            <w:tcW w:w="0" w:type="dxa"/>
            <w:vAlign w:val="bottom"/>
          </w:tcPr>
          <w:p>
            <w:pPr>
              <w:spacing w:after="0"/>
              <w:rPr>
                <w:sz w:val="1"/>
                <w:szCs w:val="1"/>
                <w:color w:val="auto"/>
              </w:rPr>
            </w:pPr>
          </w:p>
        </w:tc>
      </w:tr>
      <w:tr>
        <w:trPr>
          <w:trHeight w:val="303"/>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Other (including $168 and $131 from VIEs, respectively) </w:t>
            </w:r>
            <w:r>
              <w:rPr>
                <w:rFonts w:ascii="Times New Roman" w:cs="Times New Roman" w:eastAsia="Times New Roman" w:hAnsi="Times New Roman"/>
                <w:sz w:val="20"/>
                <w:szCs w:val="20"/>
                <w:color w:val="B8BABC"/>
              </w:rPr>
              <w:t>. . . . . . . . . . . . . . . . . . .</w:t>
            </w: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720</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641</w:t>
            </w:r>
          </w:p>
        </w:tc>
        <w:tc>
          <w:tcPr>
            <w:tcW w:w="0" w:type="dxa"/>
            <w:vAlign w:val="bottom"/>
          </w:tcPr>
          <w:p>
            <w:pPr>
              <w:spacing w:after="0"/>
              <w:rPr>
                <w:sz w:val="1"/>
                <w:szCs w:val="1"/>
                <w:color w:val="auto"/>
              </w:rPr>
            </w:pPr>
          </w:p>
        </w:tc>
      </w:tr>
      <w:tr>
        <w:trPr>
          <w:trHeight w:val="260"/>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231F20"/>
              </w:rPr>
              <w:t xml:space="preserve">TOTAL ASSETS </w:t>
            </w:r>
            <w:r>
              <w:rPr>
                <w:rFonts w:ascii="Times New Roman" w:cs="Times New Roman" w:eastAsia="Times New Roman" w:hAnsi="Times New Roman"/>
                <w:sz w:val="20"/>
                <w:szCs w:val="20"/>
                <w:b w:val="1"/>
                <w:bCs w:val="1"/>
                <w:color w:val="B8BABC"/>
              </w:rPr>
              <w:t>. . . . . . . . . . . . . . . . . . . . . . . . . . . . . . . . . . . . . . . . . . . . . . . .</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9,757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9,808</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LIABILITIES AND EQUITY</w:t>
            </w: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66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Accounts payable </w:t>
            </w:r>
            <w:r>
              <w:rPr>
                <w:rFonts w:ascii="Times New Roman" w:cs="Times New Roman" w:eastAsia="Times New Roman" w:hAnsi="Times New Roman"/>
                <w:sz w:val="20"/>
                <w:szCs w:val="20"/>
                <w:color w:val="B8BABC"/>
              </w:rPr>
              <w:t>. . . . . . . . . . . . . . . . . . . . . . . . . . . . . . . . . . . . . . . . . . . . . . . . . . .</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358</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343</w:t>
            </w: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Advance deposits </w:t>
            </w:r>
            <w:r>
              <w:rPr>
                <w:rFonts w:ascii="Times New Roman" w:cs="Times New Roman" w:eastAsia="Times New Roman" w:hAnsi="Times New Roman"/>
                <w:sz w:val="20"/>
                <w:szCs w:val="20"/>
                <w:color w:val="B8BABC"/>
              </w:rPr>
              <w:t>. . . . . . . . . . . . . .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w:t>
            </w: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Accrued liabilities (including $4 and $4 from VIEs, respectively) </w:t>
            </w:r>
            <w:r>
              <w:rPr>
                <w:rFonts w:ascii="Times New Roman" w:cs="Times New Roman" w:eastAsia="Times New Roman" w:hAnsi="Times New Roman"/>
                <w:sz w:val="20"/>
                <w:szCs w:val="20"/>
                <w:color w:val="B8BABC"/>
              </w:rPr>
              <w:t>.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384</w:t>
            </w: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Deferred revenue and other </w:t>
            </w:r>
            <w:r>
              <w:rPr>
                <w:rFonts w:ascii="Times New Roman" w:cs="Times New Roman" w:eastAsia="Times New Roman" w:hAnsi="Times New Roman"/>
                <w:sz w:val="20"/>
                <w:szCs w:val="20"/>
                <w:color w:val="B8BABC"/>
              </w:rPr>
              <w:t>. . . . . .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354</w:t>
            </w: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Payroll and benefits liability </w:t>
            </w:r>
            <w:r>
              <w:rPr>
                <w:rFonts w:ascii="Times New Roman" w:cs="Times New Roman" w:eastAsia="Times New Roman" w:hAnsi="Times New Roman"/>
                <w:sz w:val="20"/>
                <w:szCs w:val="20"/>
                <w:color w:val="B8BABC"/>
              </w:rPr>
              <w:t>. . . . .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220</w:t>
            </w: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Deferred compensation liability </w:t>
            </w:r>
            <w:r>
              <w:rPr>
                <w:rFonts w:ascii="Times New Roman" w:cs="Times New Roman" w:eastAsia="Times New Roman" w:hAnsi="Times New Roman"/>
                <w:sz w:val="20"/>
                <w:szCs w:val="20"/>
                <w:color w:val="B8BABC"/>
              </w:rPr>
              <w:t>. . .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195</w:t>
            </w: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Securitized debt, net (including $2,173 and $2,163 from VIEs, respectively) </w:t>
            </w:r>
            <w:r>
              <w:rPr>
                <w:rFonts w:ascii="Times New Roman" w:cs="Times New Roman" w:eastAsia="Times New Roman" w:hAnsi="Times New Roman"/>
                <w:sz w:val="20"/>
                <w:szCs w:val="20"/>
                <w:color w:val="B8BABC"/>
              </w:rPr>
              <w:t>.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2,136</w:t>
            </w: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Debt, net </w:t>
            </w:r>
            <w:r>
              <w:rPr>
                <w:rFonts w:ascii="Times New Roman" w:cs="Times New Roman" w:eastAsia="Times New Roman" w:hAnsi="Times New Roman"/>
                <w:sz w:val="20"/>
                <w:szCs w:val="20"/>
                <w:color w:val="B8BABC"/>
              </w:rPr>
              <w:t>. . . . . . . . . . . . . . . . . . . . .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3,534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3,089</w:t>
            </w: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w:t>
            </w:r>
          </w:p>
        </w:tc>
        <w:tc>
          <w:tcPr>
            <w:tcW w:w="0" w:type="dxa"/>
            <w:vAlign w:val="bottom"/>
          </w:tcPr>
          <w:p>
            <w:pPr>
              <w:spacing w:after="0"/>
              <w:rPr>
                <w:sz w:val="1"/>
                <w:szCs w:val="1"/>
                <w:color w:val="auto"/>
              </w:rPr>
            </w:pPr>
          </w:p>
        </w:tc>
      </w:tr>
      <w:tr>
        <w:trPr>
          <w:trHeight w:val="303"/>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Deferred taxes </w:t>
            </w:r>
            <w:r>
              <w:rPr>
                <w:rFonts w:ascii="Times New Roman" w:cs="Times New Roman" w:eastAsia="Times New Roman" w:hAnsi="Times New Roman"/>
                <w:sz w:val="20"/>
                <w:szCs w:val="20"/>
                <w:color w:val="B8BABC"/>
              </w:rPr>
              <w:t>. . . . . . . . . . . . . . . . . . . . . . . . . . . . . . . . . . . . . . . . . . . . . . . . . . . . .</w:t>
            </w: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231</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345</w:t>
            </w:r>
          </w:p>
        </w:tc>
        <w:tc>
          <w:tcPr>
            <w:tcW w:w="0" w:type="dxa"/>
            <w:vAlign w:val="bottom"/>
          </w:tcPr>
          <w:p>
            <w:pPr>
              <w:spacing w:after="0"/>
              <w:rPr>
                <w:sz w:val="1"/>
                <w:szCs w:val="1"/>
                <w:color w:val="auto"/>
              </w:rPr>
            </w:pPr>
          </w:p>
        </w:tc>
      </w:tr>
      <w:tr>
        <w:trPr>
          <w:trHeight w:val="280"/>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231F20"/>
              </w:rPr>
              <w:t xml:space="preserve">TOTAL LIABILITIES </w:t>
            </w:r>
            <w:r>
              <w:rPr>
                <w:rFonts w:ascii="Times New Roman" w:cs="Times New Roman" w:eastAsia="Times New Roman" w:hAnsi="Times New Roman"/>
                <w:sz w:val="20"/>
                <w:szCs w:val="20"/>
                <w:b w:val="1"/>
                <w:bCs w:val="1"/>
                <w:color w:val="B8BABC"/>
              </w:rPr>
              <w:t>. . . . . . . . . . . . . . . . . . . . . . . . . . . . . . . . . . . . . . . . . . .</w:t>
            </w: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7,764</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7,367</w:t>
            </w:r>
          </w:p>
        </w:tc>
        <w:tc>
          <w:tcPr>
            <w:tcW w:w="0" w:type="dxa"/>
            <w:vAlign w:val="bottom"/>
          </w:tcPr>
          <w:p>
            <w:pPr>
              <w:spacing w:after="0"/>
              <w:rPr>
                <w:sz w:val="1"/>
                <w:szCs w:val="1"/>
                <w:color w:val="auto"/>
              </w:rPr>
            </w:pPr>
          </w:p>
        </w:tc>
      </w:tr>
      <w:tr>
        <w:trPr>
          <w:trHeight w:val="277"/>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Contingencies and commitments (Note 12)</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Preferred stock — $0.01 par value; 2,000,000 shares authorized; none issued or</w:t>
            </w:r>
          </w:p>
        </w:tc>
        <w:tc>
          <w:tcPr>
            <w:tcW w:w="3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outstanding </w:t>
            </w:r>
            <w:r>
              <w:rPr>
                <w:rFonts w:ascii="Times New Roman" w:cs="Times New Roman" w:eastAsia="Times New Roman" w:hAnsi="Times New Roman"/>
                <w:sz w:val="20"/>
                <w:szCs w:val="20"/>
                <w:color w:val="B8BABC"/>
              </w:rPr>
              <w:t>. . . . . . . . . . . . . . . . . . . . . . . . . . . . . . . . . . . . . . . . . . . . . . . . . . . . . . . .</w:t>
            </w:r>
          </w:p>
        </w:tc>
        <w:tc>
          <w:tcPr>
            <w:tcW w:w="3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Common stock — $0.01 par value; 100,000,000 shares authorized; 75,891,531</w:t>
            </w:r>
          </w:p>
        </w:tc>
        <w:tc>
          <w:tcPr>
            <w:tcW w:w="3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6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and 75,852,678 shares issued, respectively </w:t>
            </w:r>
            <w:r>
              <w:rPr>
                <w:rFonts w:ascii="Times New Roman" w:cs="Times New Roman" w:eastAsia="Times New Roman" w:hAnsi="Times New Roman"/>
                <w:sz w:val="20"/>
                <w:szCs w:val="20"/>
                <w:color w:val="B8BABC"/>
              </w:rPr>
              <w:t>. . . . . . . . . . . . . . . . . . . . . . . . . . . . . . .</w:t>
            </w:r>
          </w:p>
        </w:tc>
        <w:tc>
          <w:tcPr>
            <w:tcW w:w="3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Treasury stock — at cost; 41,767,498 and 40,974,753 shares, respectively </w:t>
            </w:r>
            <w:r>
              <w:rPr>
                <w:rFonts w:ascii="Times New Roman" w:cs="Times New Roman" w:eastAsia="Times New Roman" w:hAnsi="Times New Roman"/>
                <w:sz w:val="20"/>
                <w:szCs w:val="20"/>
                <w:color w:val="B8BABC"/>
              </w:rPr>
              <w:t>.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(2,427)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(2,378)</w:t>
            </w: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Additional paid-in capital </w:t>
            </w:r>
            <w:r>
              <w:rPr>
                <w:rFonts w:ascii="Times New Roman" w:cs="Times New Roman" w:eastAsia="Times New Roman" w:hAnsi="Times New Roman"/>
                <w:sz w:val="20"/>
                <w:szCs w:val="20"/>
                <w:color w:val="B8BABC"/>
              </w:rPr>
              <w:t>. . . . . . . . . . . . . . .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3,996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3,975</w:t>
            </w:r>
          </w:p>
        </w:tc>
        <w:tc>
          <w:tcPr>
            <w:tcW w:w="0" w:type="dxa"/>
            <w:vAlign w:val="bottom"/>
          </w:tcPr>
          <w:p>
            <w:pPr>
              <w:spacing w:after="0"/>
              <w:rPr>
                <w:sz w:val="1"/>
                <w:szCs w:val="1"/>
                <w:color w:val="auto"/>
              </w:rPr>
            </w:pPr>
          </w:p>
        </w:tc>
      </w:tr>
      <w:tr>
        <w:trPr>
          <w:trHeight w:val="30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Accumulated other comprehensive income </w:t>
            </w:r>
            <w:r>
              <w:rPr>
                <w:rFonts w:ascii="Times New Roman" w:cs="Times New Roman" w:eastAsia="Times New Roman" w:hAnsi="Times New Roman"/>
                <w:sz w:val="20"/>
                <w:szCs w:val="20"/>
                <w:color w:val="B8BABC"/>
              </w:rPr>
              <w:t>. . . . . . . .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0" w:type="dxa"/>
            <w:vAlign w:val="bottom"/>
          </w:tcPr>
          <w:p>
            <w:pPr>
              <w:spacing w:after="0"/>
              <w:rPr>
                <w:sz w:val="1"/>
                <w:szCs w:val="1"/>
                <w:color w:val="auto"/>
              </w:rPr>
            </w:pPr>
          </w:p>
        </w:tc>
      </w:tr>
      <w:tr>
        <w:trPr>
          <w:trHeight w:val="303"/>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Retained earnings </w:t>
            </w:r>
            <w:r>
              <w:rPr>
                <w:rFonts w:ascii="Times New Roman" w:cs="Times New Roman" w:eastAsia="Times New Roman" w:hAnsi="Times New Roman"/>
                <w:sz w:val="20"/>
                <w:szCs w:val="20"/>
                <w:color w:val="B8BABC"/>
              </w:rPr>
              <w:t>. . . . . . . . . . . . . . . . . . . . . . . . . . . . . . . . . . . . . . . . . . . . . . . . . . .</w:t>
            </w: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434</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852</w:t>
            </w:r>
          </w:p>
        </w:tc>
        <w:tc>
          <w:tcPr>
            <w:tcW w:w="0" w:type="dxa"/>
            <w:vAlign w:val="bottom"/>
          </w:tcPr>
          <w:p>
            <w:pPr>
              <w:spacing w:after="0"/>
              <w:rPr>
                <w:sz w:val="1"/>
                <w:szCs w:val="1"/>
                <w:color w:val="auto"/>
              </w:rPr>
            </w:pPr>
          </w:p>
        </w:tc>
      </w:tr>
      <w:tr>
        <w:trPr>
          <w:trHeight w:val="277"/>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231F20"/>
              </w:rPr>
              <w:t xml:space="preserve">TOTAL MVW STOCKHOLDERS' EQUITY </w:t>
            </w:r>
            <w:r>
              <w:rPr>
                <w:rFonts w:ascii="Times New Roman" w:cs="Times New Roman" w:eastAsia="Times New Roman" w:hAnsi="Times New Roman"/>
                <w:sz w:val="20"/>
                <w:szCs w:val="20"/>
                <w:b w:val="1"/>
                <w:bCs w:val="1"/>
                <w:color w:val="B8BABC"/>
              </w:rPr>
              <w:t>. . . . . . . . . . . . . . . . . . . . . . . .</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1,993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2,442</w:t>
            </w:r>
          </w:p>
        </w:tc>
        <w:tc>
          <w:tcPr>
            <w:tcW w:w="0" w:type="dxa"/>
            <w:vAlign w:val="bottom"/>
          </w:tcPr>
          <w:p>
            <w:pPr>
              <w:spacing w:after="0"/>
              <w:rPr>
                <w:sz w:val="1"/>
                <w:szCs w:val="1"/>
                <w:color w:val="auto"/>
              </w:rPr>
            </w:pPr>
          </w:p>
        </w:tc>
      </w:tr>
      <w:tr>
        <w:trPr>
          <w:trHeight w:val="303"/>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Noncontrolling interests </w:t>
            </w:r>
            <w:r>
              <w:rPr>
                <w:rFonts w:ascii="Times New Roman" w:cs="Times New Roman" w:eastAsia="Times New Roman" w:hAnsi="Times New Roman"/>
                <w:sz w:val="20"/>
                <w:szCs w:val="20"/>
                <w:color w:val="B8BABC"/>
              </w:rPr>
              <w:t>. . . . . . . . . . . . . . . . . . . . . . . . . . . . . . . . . . . . . . . . . . . . . .</w:t>
            </w: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80"/>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231F20"/>
              </w:rPr>
              <w:t xml:space="preserve">TOTAL EQUITY </w:t>
            </w:r>
            <w:r>
              <w:rPr>
                <w:rFonts w:ascii="Times New Roman" w:cs="Times New Roman" w:eastAsia="Times New Roman" w:hAnsi="Times New Roman"/>
                <w:sz w:val="20"/>
                <w:szCs w:val="20"/>
                <w:b w:val="1"/>
                <w:bCs w:val="1"/>
                <w:color w:val="B8BABC"/>
              </w:rPr>
              <w:t>. . . . . . . . . . . . . . . . . . . . . . . . . . . . . . . . . . . . . . . . . . . . . . .</w:t>
            </w: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1,993</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2,441</w:t>
            </w:r>
          </w:p>
        </w:tc>
        <w:tc>
          <w:tcPr>
            <w:tcW w:w="0" w:type="dxa"/>
            <w:vAlign w:val="bottom"/>
          </w:tcPr>
          <w:p>
            <w:pPr>
              <w:spacing w:after="0"/>
              <w:rPr>
                <w:sz w:val="1"/>
                <w:szCs w:val="1"/>
                <w:color w:val="auto"/>
              </w:rPr>
            </w:pPr>
          </w:p>
        </w:tc>
      </w:tr>
      <w:tr>
        <w:trPr>
          <w:trHeight w:val="260"/>
        </w:trPr>
        <w:tc>
          <w:tcPr>
            <w:tcW w:w="660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231F20"/>
              </w:rPr>
              <w:t xml:space="preserve">TOTAL LIABILITIES AND EQUITY </w:t>
            </w:r>
            <w:r>
              <w:rPr>
                <w:rFonts w:ascii="Times New Roman" w:cs="Times New Roman" w:eastAsia="Times New Roman" w:hAnsi="Times New Roman"/>
                <w:sz w:val="20"/>
                <w:szCs w:val="20"/>
                <w:b w:val="1"/>
                <w:bCs w:val="1"/>
                <w:color w:val="B8BABC"/>
              </w:rPr>
              <w:t>. . . . . . . . . . . . . . . . . . . . . . . . . . . . . .</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9,757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9,808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The abbreviation VIEs above means Variable Interest Entities.</w:t>
      </w:r>
    </w:p>
    <w:p>
      <w:pPr>
        <w:spacing w:after="0" w:line="12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b w:val="1"/>
          <w:bCs w:val="1"/>
          <w:color w:val="231F20"/>
        </w:rPr>
        <w:t>See Notes to Consolidated Financial Statements</w:t>
      </w:r>
    </w:p>
    <w:p>
      <w:pPr>
        <w:sectPr>
          <w:pgSz w:w="11880" w:h="15480" w:orient="portrait"/>
          <w:cols w:equalWidth="0" w:num="1">
            <w:col w:w="9720"/>
          </w:cols>
          <w:pgMar w:left="1080" w:top="1011" w:right="108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75</w:t>
      </w:r>
    </w:p>
    <w:p>
      <w:pPr>
        <w:sectPr>
          <w:pgSz w:w="11880" w:h="15480" w:orient="portrait"/>
          <w:cols w:equalWidth="0" w:num="1">
            <w:col w:w="9720"/>
          </w:cols>
          <w:pgMar w:left="1080" w:top="1011" w:right="1080" w:bottom="0" w:gutter="0" w:footer="0" w:header="0"/>
          <w:type w:val="continuous"/>
        </w:sectPr>
      </w:pPr>
    </w:p>
    <w:bookmarkStart w:id="79" w:name="page80"/>
    <w:bookmarkEnd w:id="79"/>
    <w:p>
      <w:pPr>
        <w:jc w:val="center"/>
        <w:ind w:right="60"/>
        <w:spacing w:after="0" w:line="266" w:lineRule="auto"/>
        <w:rPr>
          <w:sz w:val="20"/>
          <w:szCs w:val="20"/>
          <w:color w:val="auto"/>
        </w:rPr>
      </w:pPr>
      <w:r>
        <w:rPr>
          <w:rFonts w:ascii="Times New Roman" w:cs="Times New Roman" w:eastAsia="Times New Roman" w:hAnsi="Times New Roman"/>
          <w:sz w:val="20"/>
          <w:szCs w:val="20"/>
          <w:b w:val="1"/>
          <w:bCs w:val="1"/>
          <w:color w:val="231F20"/>
        </w:rPr>
        <w:t xml:space="preserve">MARRIOTT VACATIONS WORLDWIDE CORPORATION CONSOLIDATED STATEMENTS OF CASH FLOWS Fiscal Years 2025, 2024 and 2023 </w:t>
      </w:r>
      <w:r>
        <w:rPr>
          <w:rFonts w:ascii="Times New Roman" w:cs="Times New Roman" w:eastAsia="Times New Roman" w:hAnsi="Times New Roman"/>
          <w:sz w:val="20"/>
          <w:szCs w:val="20"/>
          <w:color w:val="231F20"/>
        </w:rPr>
        <w:t>(In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940" w:type="dxa"/>
            <w:vAlign w:val="bottom"/>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60" w:type="dxa"/>
            <w:vAlign w:val="bottom"/>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2023</w:t>
            </w:r>
          </w:p>
        </w:tc>
        <w:tc>
          <w:tcPr>
            <w:tcW w:w="0" w:type="dxa"/>
            <w:vAlign w:val="bottom"/>
          </w:tcPr>
          <w:p>
            <w:pPr>
              <w:spacing w:after="0"/>
              <w:rPr>
                <w:sz w:val="1"/>
                <w:szCs w:val="1"/>
                <w:color w:val="auto"/>
              </w:rPr>
            </w:pPr>
          </w:p>
        </w:tc>
      </w:tr>
      <w:tr>
        <w:trPr>
          <w:trHeight w:val="277"/>
        </w:trPr>
        <w:tc>
          <w:tcPr>
            <w:tcW w:w="59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OPERATING ACTIVITIES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Net (loss) income </w:t>
            </w:r>
            <w:r>
              <w:rPr>
                <w:rFonts w:ascii="Times New Roman" w:cs="Times New Roman" w:eastAsia="Times New Roman" w:hAnsi="Times New Roman"/>
                <w:sz w:val="20"/>
                <w:szCs w:val="20"/>
                <w:color w:val="B8BABC"/>
              </w:rPr>
              <w:t>. . . . . . . . . . . . . . . . . . . . . . . . . . . . . . . . . . . . . . . . . . . .</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w:t>
            </w:r>
          </w:p>
        </w:tc>
        <w:tc>
          <w:tcPr>
            <w:tcW w:w="0" w:type="dxa"/>
            <w:vAlign w:val="bottom"/>
          </w:tcPr>
          <w:p>
            <w:pPr>
              <w:spacing w:after="0"/>
              <w:rPr>
                <w:sz w:val="1"/>
                <w:szCs w:val="1"/>
                <w:color w:val="auto"/>
              </w:rPr>
            </w:pPr>
          </w:p>
        </w:tc>
      </w:tr>
      <w:tr>
        <w:trPr>
          <w:trHeight w:val="235"/>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Adjustments to reconcile net (loss) income to net cash, cash equivalents,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and restricted cash provided by operating activities:</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9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Depreciation and amortization of intangibles  </w:t>
            </w:r>
            <w:r>
              <w:rPr>
                <w:rFonts w:ascii="Times New Roman" w:cs="Times New Roman" w:eastAsia="Times New Roman" w:hAnsi="Times New Roman"/>
                <w:sz w:val="20"/>
                <w:szCs w:val="20"/>
                <w:color w:val="B8BABC"/>
              </w:rPr>
              <w:t>.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0" w:type="dxa"/>
            <w:vAlign w:val="bottom"/>
          </w:tcPr>
          <w:p>
            <w:pPr>
              <w:spacing w:after="0"/>
              <w:rPr>
                <w:sz w:val="1"/>
                <w:szCs w:val="1"/>
                <w:color w:val="auto"/>
              </w:rPr>
            </w:pPr>
          </w:p>
        </w:tc>
      </w:tr>
      <w:tr>
        <w:trPr>
          <w:trHeight w:val="300"/>
        </w:trPr>
        <w:tc>
          <w:tcPr>
            <w:tcW w:w="59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Amortization of debt discount and issuance costs </w:t>
            </w:r>
            <w:r>
              <w:rPr>
                <w:rFonts w:ascii="Times New Roman" w:cs="Times New Roman" w:eastAsia="Times New Roman" w:hAnsi="Times New Roman"/>
                <w:sz w:val="20"/>
                <w:szCs w:val="20"/>
                <w:color w:val="B8BABC"/>
              </w:rPr>
              <w:t>.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0" w:type="dxa"/>
            <w:vAlign w:val="bottom"/>
          </w:tcPr>
          <w:p>
            <w:pPr>
              <w:spacing w:after="0"/>
              <w:rPr>
                <w:sz w:val="1"/>
                <w:szCs w:val="1"/>
                <w:color w:val="auto"/>
              </w:rPr>
            </w:pPr>
          </w:p>
        </w:tc>
      </w:tr>
      <w:tr>
        <w:trPr>
          <w:trHeight w:val="300"/>
        </w:trPr>
        <w:tc>
          <w:tcPr>
            <w:tcW w:w="59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Vacation ownership notes receivable reserve  </w:t>
            </w:r>
            <w:r>
              <w:rPr>
                <w:rFonts w:ascii="Times New Roman" w:cs="Times New Roman" w:eastAsia="Times New Roman" w:hAnsi="Times New Roman"/>
                <w:sz w:val="20"/>
                <w:szCs w:val="20"/>
                <w:color w:val="B8BABC"/>
              </w:rPr>
              <w:t>.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230</w:t>
            </w:r>
          </w:p>
        </w:tc>
        <w:tc>
          <w:tcPr>
            <w:tcW w:w="0" w:type="dxa"/>
            <w:vAlign w:val="bottom"/>
          </w:tcPr>
          <w:p>
            <w:pPr>
              <w:spacing w:after="0"/>
              <w:rPr>
                <w:sz w:val="1"/>
                <w:szCs w:val="1"/>
                <w:color w:val="auto"/>
              </w:rPr>
            </w:pPr>
          </w:p>
        </w:tc>
      </w:tr>
      <w:tr>
        <w:trPr>
          <w:trHeight w:val="300"/>
        </w:trPr>
        <w:tc>
          <w:tcPr>
            <w:tcW w:w="59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Share-based compensation </w:t>
            </w:r>
            <w:r>
              <w:rPr>
                <w:rFonts w:ascii="Times New Roman" w:cs="Times New Roman" w:eastAsia="Times New Roman" w:hAnsi="Times New Roman"/>
                <w:sz w:val="20"/>
                <w:szCs w:val="20"/>
                <w:color w:val="B8BABC"/>
              </w:rPr>
              <w:t>. . . . .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0" w:type="dxa"/>
            <w:vAlign w:val="bottom"/>
          </w:tcPr>
          <w:p>
            <w:pPr>
              <w:spacing w:after="0"/>
              <w:rPr>
                <w:sz w:val="1"/>
                <w:szCs w:val="1"/>
                <w:color w:val="auto"/>
              </w:rPr>
            </w:pPr>
          </w:p>
        </w:tc>
      </w:tr>
      <w:tr>
        <w:trPr>
          <w:trHeight w:val="300"/>
        </w:trPr>
        <w:tc>
          <w:tcPr>
            <w:tcW w:w="59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Impairment </w:t>
            </w:r>
            <w:r>
              <w:rPr>
                <w:rFonts w:ascii="Times New Roman" w:cs="Times New Roman" w:eastAsia="Times New Roman" w:hAnsi="Times New Roman"/>
                <w:sz w:val="20"/>
                <w:szCs w:val="20"/>
                <w:color w:val="B8BABC"/>
              </w:rPr>
              <w:t>. . . . . . . . . . . . . . . . .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0" w:type="dxa"/>
            <w:vAlign w:val="bottom"/>
          </w:tcPr>
          <w:p>
            <w:pPr>
              <w:spacing w:after="0"/>
              <w:rPr>
                <w:sz w:val="1"/>
                <w:szCs w:val="1"/>
                <w:color w:val="auto"/>
              </w:rPr>
            </w:pPr>
          </w:p>
        </w:tc>
      </w:tr>
      <w:tr>
        <w:trPr>
          <w:trHeight w:val="300"/>
        </w:trPr>
        <w:tc>
          <w:tcPr>
            <w:tcW w:w="59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Gains and other income, net </w:t>
            </w:r>
            <w:r>
              <w:rPr>
                <w:rFonts w:ascii="Times New Roman" w:cs="Times New Roman" w:eastAsia="Times New Roman" w:hAnsi="Times New Roman"/>
                <w:sz w:val="20"/>
                <w:szCs w:val="20"/>
                <w:color w:val="B8BABC"/>
              </w:rPr>
              <w:t>. . . .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0" w:type="dxa"/>
            <w:vAlign w:val="bottom"/>
          </w:tcPr>
          <w:p>
            <w:pPr>
              <w:spacing w:after="0"/>
              <w:rPr>
                <w:sz w:val="1"/>
                <w:szCs w:val="1"/>
                <w:color w:val="auto"/>
              </w:rPr>
            </w:pPr>
          </w:p>
        </w:tc>
      </w:tr>
      <w:tr>
        <w:trPr>
          <w:trHeight w:val="300"/>
        </w:trPr>
        <w:tc>
          <w:tcPr>
            <w:tcW w:w="59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Foreign currency remeasurement (gain) loss </w:t>
            </w:r>
            <w:r>
              <w:rPr>
                <w:rFonts w:ascii="Times New Roman" w:cs="Times New Roman" w:eastAsia="Times New Roman" w:hAnsi="Times New Roman"/>
                <w:sz w:val="20"/>
                <w:szCs w:val="20"/>
                <w:color w:val="B8BABC"/>
              </w:rPr>
              <w:t>.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0" w:type="dxa"/>
            <w:vAlign w:val="bottom"/>
          </w:tcPr>
          <w:p>
            <w:pPr>
              <w:spacing w:after="0"/>
              <w:rPr>
                <w:sz w:val="1"/>
                <w:szCs w:val="1"/>
                <w:color w:val="auto"/>
              </w:rPr>
            </w:pPr>
          </w:p>
        </w:tc>
      </w:tr>
      <w:tr>
        <w:trPr>
          <w:trHeight w:val="300"/>
        </w:trPr>
        <w:tc>
          <w:tcPr>
            <w:tcW w:w="59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Deferred income taxes </w:t>
            </w:r>
            <w:r>
              <w:rPr>
                <w:rFonts w:ascii="Times New Roman" w:cs="Times New Roman" w:eastAsia="Times New Roman" w:hAnsi="Times New Roman"/>
                <w:sz w:val="20"/>
                <w:szCs w:val="20"/>
                <w:color w:val="B8BABC"/>
              </w:rPr>
              <w:t>. . . . . . . .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w:t>
            </w:r>
          </w:p>
        </w:tc>
        <w:tc>
          <w:tcPr>
            <w:tcW w:w="0" w:type="dxa"/>
            <w:vAlign w:val="bottom"/>
          </w:tcPr>
          <w:p>
            <w:pPr>
              <w:spacing w:after="0"/>
              <w:rPr>
                <w:sz w:val="1"/>
                <w:szCs w:val="1"/>
                <w:color w:val="auto"/>
              </w:rPr>
            </w:pPr>
          </w:p>
        </w:tc>
      </w:tr>
      <w:tr>
        <w:trPr>
          <w:trHeight w:val="300"/>
        </w:trPr>
        <w:tc>
          <w:tcPr>
            <w:tcW w:w="59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Net change in assets and liabilities: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Accounts and contracts receivable </w:t>
            </w:r>
            <w:r>
              <w:rPr>
                <w:rFonts w:ascii="Times New Roman" w:cs="Times New Roman" w:eastAsia="Times New Roman" w:hAnsi="Times New Roman"/>
                <w:sz w:val="20"/>
                <w:szCs w:val="20"/>
                <w:color w:val="B8BABC"/>
              </w:rPr>
              <w:t>.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0" w:type="dxa"/>
            <w:vAlign w:val="bottom"/>
          </w:tcPr>
          <w:p>
            <w:pPr>
              <w:spacing w:after="0"/>
              <w:rPr>
                <w:sz w:val="1"/>
                <w:szCs w:val="1"/>
                <w:color w:val="auto"/>
              </w:rPr>
            </w:pPr>
          </w:p>
        </w:tc>
      </w:tr>
      <w:tr>
        <w:trPr>
          <w:trHeight w:val="3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Vacation ownership notes receivable originations </w:t>
            </w:r>
            <w:r>
              <w:rPr>
                <w:rFonts w:ascii="Times New Roman" w:cs="Times New Roman" w:eastAsia="Times New Roman" w:hAnsi="Times New Roman"/>
                <w:sz w:val="20"/>
                <w:szCs w:val="20"/>
                <w:color w:val="B8BABC"/>
              </w:rPr>
              <w:t>.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(987)</w:t>
            </w:r>
          </w:p>
        </w:tc>
        <w:tc>
          <w:tcPr>
            <w:tcW w:w="0" w:type="dxa"/>
            <w:vAlign w:val="bottom"/>
          </w:tcPr>
          <w:p>
            <w:pPr>
              <w:spacing w:after="0"/>
              <w:rPr>
                <w:sz w:val="1"/>
                <w:szCs w:val="1"/>
                <w:color w:val="auto"/>
              </w:rPr>
            </w:pPr>
          </w:p>
        </w:tc>
      </w:tr>
      <w:tr>
        <w:trPr>
          <w:trHeight w:val="3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Vacation ownership notes receivable collections </w:t>
            </w:r>
            <w:r>
              <w:rPr>
                <w:rFonts w:ascii="Times New Roman" w:cs="Times New Roman" w:eastAsia="Times New Roman" w:hAnsi="Times New Roman"/>
                <w:sz w:val="20"/>
                <w:szCs w:val="20"/>
                <w:color w:val="B8BABC"/>
              </w:rPr>
              <w:t>.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596</w:t>
            </w:r>
          </w:p>
        </w:tc>
        <w:tc>
          <w:tcPr>
            <w:tcW w:w="0" w:type="dxa"/>
            <w:vAlign w:val="bottom"/>
          </w:tcPr>
          <w:p>
            <w:pPr>
              <w:spacing w:after="0"/>
              <w:rPr>
                <w:sz w:val="1"/>
                <w:szCs w:val="1"/>
                <w:color w:val="auto"/>
              </w:rPr>
            </w:pPr>
          </w:p>
        </w:tc>
      </w:tr>
      <w:tr>
        <w:trPr>
          <w:trHeight w:val="3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Inventory </w:t>
            </w:r>
            <w:r>
              <w:rPr>
                <w:rFonts w:ascii="Times New Roman" w:cs="Times New Roman" w:eastAsia="Times New Roman" w:hAnsi="Times New Roman"/>
                <w:sz w:val="20"/>
                <w:szCs w:val="20"/>
                <w:color w:val="B8BABC"/>
              </w:rPr>
              <w:t>. . . . . . . . . . . . . . . .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c>
          <w:tcPr>
            <w:tcW w:w="0" w:type="dxa"/>
            <w:vAlign w:val="bottom"/>
          </w:tcPr>
          <w:p>
            <w:pPr>
              <w:spacing w:after="0"/>
              <w:rPr>
                <w:sz w:val="1"/>
                <w:szCs w:val="1"/>
                <w:color w:val="auto"/>
              </w:rPr>
            </w:pPr>
          </w:p>
        </w:tc>
      </w:tr>
      <w:tr>
        <w:trPr>
          <w:trHeight w:val="3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assets </w:t>
            </w:r>
            <w:r>
              <w:rPr>
                <w:rFonts w:ascii="Times New Roman" w:cs="Times New Roman" w:eastAsia="Times New Roman" w:hAnsi="Times New Roman"/>
                <w:sz w:val="20"/>
                <w:szCs w:val="20"/>
                <w:color w:val="B8BABC"/>
              </w:rPr>
              <w:t>. . . . . . . . . . . . . .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0" w:type="dxa"/>
            <w:vAlign w:val="bottom"/>
          </w:tcPr>
          <w:p>
            <w:pPr>
              <w:spacing w:after="0"/>
              <w:rPr>
                <w:sz w:val="1"/>
                <w:szCs w:val="1"/>
                <w:color w:val="auto"/>
              </w:rPr>
            </w:pPr>
          </w:p>
        </w:tc>
      </w:tr>
      <w:tr>
        <w:trPr>
          <w:trHeight w:val="3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Accounts payable, advance deposits and accrued liabilities </w:t>
            </w:r>
            <w:r>
              <w:rPr>
                <w:rFonts w:ascii="Times New Roman" w:cs="Times New Roman" w:eastAsia="Times New Roman" w:hAnsi="Times New Roman"/>
                <w:sz w:val="20"/>
                <w:szCs w:val="20"/>
                <w:color w:val="B8BABC"/>
              </w:rPr>
              <w:t>.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3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Deferred revenue and other </w:t>
            </w:r>
            <w:r>
              <w:rPr>
                <w:rFonts w:ascii="Times New Roman" w:cs="Times New Roman" w:eastAsia="Times New Roman" w:hAnsi="Times New Roman"/>
                <w:sz w:val="20"/>
                <w:szCs w:val="20"/>
                <w:color w:val="B8BABC"/>
              </w:rPr>
              <w:t>. .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0" w:type="dxa"/>
            <w:vAlign w:val="bottom"/>
          </w:tcPr>
          <w:p>
            <w:pPr>
              <w:spacing w:after="0"/>
              <w:rPr>
                <w:sz w:val="1"/>
                <w:szCs w:val="1"/>
                <w:color w:val="auto"/>
              </w:rPr>
            </w:pPr>
          </w:p>
        </w:tc>
      </w:tr>
      <w:tr>
        <w:trPr>
          <w:trHeight w:val="3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Payroll and benefit liabilities </w:t>
            </w:r>
            <w:r>
              <w:rPr>
                <w:rFonts w:ascii="Times New Roman" w:cs="Times New Roman" w:eastAsia="Times New Roman" w:hAnsi="Times New Roman"/>
                <w:sz w:val="20"/>
                <w:szCs w:val="20"/>
                <w:color w:val="B8BABC"/>
              </w:rPr>
              <w:t>.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w:t>
            </w:r>
          </w:p>
        </w:tc>
        <w:tc>
          <w:tcPr>
            <w:tcW w:w="0" w:type="dxa"/>
            <w:vAlign w:val="bottom"/>
          </w:tcPr>
          <w:p>
            <w:pPr>
              <w:spacing w:after="0"/>
              <w:rPr>
                <w:sz w:val="1"/>
                <w:szCs w:val="1"/>
                <w:color w:val="auto"/>
              </w:rPr>
            </w:pPr>
          </w:p>
        </w:tc>
      </w:tr>
      <w:tr>
        <w:trPr>
          <w:trHeight w:val="3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Deferred compensation liability </w:t>
            </w:r>
            <w:r>
              <w:rPr>
                <w:rFonts w:ascii="Times New Roman" w:cs="Times New Roman" w:eastAsia="Times New Roman" w:hAnsi="Times New Roman"/>
                <w:sz w:val="20"/>
                <w:szCs w:val="20"/>
                <w:color w:val="B8BABC"/>
              </w:rPr>
              <w:t>.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0" w:type="dxa"/>
            <w:vAlign w:val="bottom"/>
          </w:tcPr>
          <w:p>
            <w:pPr>
              <w:spacing w:after="0"/>
              <w:rPr>
                <w:sz w:val="1"/>
                <w:szCs w:val="1"/>
                <w:color w:val="auto"/>
              </w:rPr>
            </w:pPr>
          </w:p>
        </w:tc>
      </w:tr>
      <w:tr>
        <w:trPr>
          <w:trHeight w:val="3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liabilities </w:t>
            </w:r>
            <w:r>
              <w:rPr>
                <w:rFonts w:ascii="Times New Roman" w:cs="Times New Roman" w:eastAsia="Times New Roman" w:hAnsi="Times New Roman"/>
                <w:sz w:val="20"/>
                <w:szCs w:val="20"/>
                <w:color w:val="B8BABC"/>
              </w:rPr>
              <w:t>. . . . . . . . . . .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w:t>
            </w:r>
          </w:p>
        </w:tc>
        <w:tc>
          <w:tcPr>
            <w:tcW w:w="0" w:type="dxa"/>
            <w:vAlign w:val="bottom"/>
          </w:tcPr>
          <w:p>
            <w:pPr>
              <w:spacing w:after="0"/>
              <w:rPr>
                <w:sz w:val="1"/>
                <w:szCs w:val="1"/>
                <w:color w:val="auto"/>
              </w:rPr>
            </w:pPr>
          </w:p>
        </w:tc>
      </w:tr>
      <w:tr>
        <w:trPr>
          <w:trHeight w:val="300"/>
        </w:trPr>
        <w:tc>
          <w:tcPr>
            <w:tcW w:w="594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Purchase and development of property for future transfer to inventory</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0" w:type="dxa"/>
            <w:vAlign w:val="bottom"/>
          </w:tcPr>
          <w:p>
            <w:pPr>
              <w:spacing w:after="0"/>
              <w:rPr>
                <w:sz w:val="1"/>
                <w:szCs w:val="1"/>
                <w:color w:val="auto"/>
              </w:rPr>
            </w:pPr>
          </w:p>
        </w:tc>
      </w:tr>
      <w:tr>
        <w:trPr>
          <w:trHeight w:val="303"/>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net </w:t>
            </w:r>
            <w:r>
              <w:rPr>
                <w:rFonts w:ascii="Times New Roman" w:cs="Times New Roman" w:eastAsia="Times New Roman" w:hAnsi="Times New Roman"/>
                <w:sz w:val="20"/>
                <w:szCs w:val="20"/>
                <w:color w:val="B8BABC"/>
              </w:rPr>
              <w:t>. . . . . . . . . . . . . . . . . . . . . . . . . . . . . . . . . . . . . . . . . . . . . . . .</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0" w:type="dxa"/>
            <w:vAlign w:val="bottom"/>
          </w:tcPr>
          <w:p>
            <w:pPr>
              <w:spacing w:after="0"/>
              <w:rPr>
                <w:sz w:val="1"/>
                <w:szCs w:val="1"/>
                <w:color w:val="auto"/>
              </w:rPr>
            </w:pPr>
          </w:p>
        </w:tc>
      </w:tr>
      <w:tr>
        <w:trPr>
          <w:trHeight w:val="212"/>
        </w:trPr>
        <w:tc>
          <w:tcPr>
            <w:tcW w:w="5940" w:type="dxa"/>
            <w:vAlign w:val="bottom"/>
          </w:tcPr>
          <w:p>
            <w:pPr>
              <w:ind w:left="720"/>
              <w:spacing w:after="0" w:line="212" w:lineRule="exact"/>
              <w:rPr>
                <w:sz w:val="20"/>
                <w:szCs w:val="20"/>
                <w:color w:val="auto"/>
              </w:rPr>
            </w:pPr>
            <w:r>
              <w:rPr>
                <w:rFonts w:ascii="Times New Roman" w:cs="Times New Roman" w:eastAsia="Times New Roman" w:hAnsi="Times New Roman"/>
                <w:sz w:val="20"/>
                <w:szCs w:val="20"/>
                <w:color w:val="231F20"/>
              </w:rPr>
              <w:t>Net cash, cash equivalents, and restricted cash provided by</w:t>
            </w: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205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232</w:t>
            </w:r>
          </w:p>
        </w:tc>
        <w:tc>
          <w:tcPr>
            <w:tcW w:w="0" w:type="dxa"/>
            <w:vAlign w:val="bottom"/>
          </w:tcPr>
          <w:p>
            <w:pPr>
              <w:spacing w:after="0"/>
              <w:rPr>
                <w:sz w:val="1"/>
                <w:szCs w:val="1"/>
                <w:color w:val="auto"/>
              </w:rPr>
            </w:pPr>
          </w:p>
        </w:tc>
      </w:tr>
      <w:tr>
        <w:trPr>
          <w:trHeight w:val="263"/>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operating activities </w:t>
            </w:r>
            <w:r>
              <w:rPr>
                <w:rFonts w:ascii="Times New Roman" w:cs="Times New Roman" w:eastAsia="Times New Roman" w:hAnsi="Times New Roman"/>
                <w:sz w:val="20"/>
                <w:szCs w:val="20"/>
                <w:color w:val="B8BABC"/>
              </w:rPr>
              <w:t>. . . . . . . . . . . . . . . . . . . . . . . . . . . . . . . . . . . .</w:t>
            </w:r>
          </w:p>
        </w:tc>
        <w:tc>
          <w:tcPr>
            <w:tcW w:w="28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9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INVESTING ACTIVITIES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940" w:type="dxa"/>
            <w:vAlign w:val="bottom"/>
          </w:tcPr>
          <w:p>
            <w:pPr>
              <w:ind w:left="220"/>
              <w:spacing w:after="0" w:line="205" w:lineRule="exact"/>
              <w:rPr>
                <w:sz w:val="20"/>
                <w:szCs w:val="20"/>
                <w:color w:val="auto"/>
              </w:rPr>
            </w:pPr>
            <w:r>
              <w:rPr>
                <w:rFonts w:ascii="Times New Roman" w:cs="Times New Roman" w:eastAsia="Times New Roman" w:hAnsi="Times New Roman"/>
                <w:sz w:val="20"/>
                <w:szCs w:val="20"/>
                <w:color w:val="231F20"/>
              </w:rPr>
              <w:t>Capital expenditures for property and equipment (excluding</w:t>
            </w: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(118)</w:t>
            </w:r>
          </w:p>
        </w:tc>
        <w:tc>
          <w:tcPr>
            <w:tcW w:w="0" w:type="dxa"/>
            <w:vAlign w:val="bottom"/>
          </w:tcPr>
          <w:p>
            <w:pPr>
              <w:spacing w:after="0"/>
              <w:rPr>
                <w:sz w:val="1"/>
                <w:szCs w:val="1"/>
                <w:color w:val="auto"/>
              </w:rPr>
            </w:pPr>
          </w:p>
        </w:tc>
      </w:tr>
      <w:tr>
        <w:trPr>
          <w:trHeight w:val="26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inventory) </w:t>
            </w:r>
            <w:r>
              <w:rPr>
                <w:rFonts w:ascii="Times New Roman" w:cs="Times New Roman" w:eastAsia="Times New Roman" w:hAnsi="Times New Roman"/>
                <w:sz w:val="20"/>
                <w:szCs w:val="20"/>
                <w:color w:val="B8BABC"/>
              </w:rPr>
              <w:t>. . . . . . . . . . . . . . . . . . . . . . . . . . . . . . . . . . . . . . . . . . . . . . . .</w:t>
            </w: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Purchase of company owned life insurance </w:t>
            </w:r>
            <w:r>
              <w:rPr>
                <w:rFonts w:ascii="Times New Roman" w:cs="Times New Roman" w:eastAsia="Times New Roman" w:hAnsi="Times New Roman"/>
                <w:sz w:val="20"/>
                <w:szCs w:val="20"/>
                <w:color w:val="B8BABC"/>
              </w:rPr>
              <w:t>.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0" w:type="dxa"/>
            <w:vAlign w:val="bottom"/>
          </w:tcPr>
          <w:p>
            <w:pPr>
              <w:spacing w:after="0"/>
              <w:rPr>
                <w:sz w:val="1"/>
                <w:szCs w:val="1"/>
                <w:color w:val="auto"/>
              </w:rPr>
            </w:pPr>
          </w:p>
        </w:tc>
      </w:tr>
      <w:tr>
        <w:trPr>
          <w:trHeight w:val="3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Purchase and development of property for future sale </w:t>
            </w:r>
            <w:r>
              <w:rPr>
                <w:rFonts w:ascii="Times New Roman" w:cs="Times New Roman" w:eastAsia="Times New Roman" w:hAnsi="Times New Roman"/>
                <w:sz w:val="20"/>
                <w:szCs w:val="20"/>
                <w:color w:val="B8BABC"/>
              </w:rPr>
              <w:t>.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303"/>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Dispositions, net </w:t>
            </w:r>
            <w:r>
              <w:rPr>
                <w:rFonts w:ascii="Times New Roman" w:cs="Times New Roman" w:eastAsia="Times New Roman" w:hAnsi="Times New Roman"/>
                <w:sz w:val="20"/>
                <w:szCs w:val="20"/>
                <w:color w:val="B8BABC"/>
              </w:rPr>
              <w:t>. . . . . . . . . . . . . . . . . . . . . . . . . . . . . . . . . . . . . . . . . . .</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0" w:type="dxa"/>
            <w:vAlign w:val="bottom"/>
          </w:tcPr>
          <w:p>
            <w:pPr>
              <w:spacing w:after="0"/>
              <w:rPr>
                <w:sz w:val="1"/>
                <w:szCs w:val="1"/>
                <w:color w:val="auto"/>
              </w:rPr>
            </w:pPr>
          </w:p>
        </w:tc>
      </w:tr>
      <w:tr>
        <w:trPr>
          <w:trHeight w:val="212"/>
        </w:trPr>
        <w:tc>
          <w:tcPr>
            <w:tcW w:w="5940" w:type="dxa"/>
            <w:vAlign w:val="bottom"/>
          </w:tcPr>
          <w:p>
            <w:pPr>
              <w:ind w:left="720"/>
              <w:spacing w:after="0" w:line="212" w:lineRule="exact"/>
              <w:rPr>
                <w:sz w:val="20"/>
                <w:szCs w:val="20"/>
                <w:color w:val="auto"/>
              </w:rPr>
            </w:pPr>
            <w:r>
              <w:rPr>
                <w:rFonts w:ascii="Times New Roman" w:cs="Times New Roman" w:eastAsia="Times New Roman" w:hAnsi="Times New Roman"/>
                <w:sz w:val="20"/>
                <w:szCs w:val="20"/>
                <w:color w:val="231F20"/>
              </w:rPr>
              <w:t>Net cash, cash equivalents, and restricted cash used in investing</w:t>
            </w: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(70)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(115)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(112)</w:t>
            </w:r>
          </w:p>
        </w:tc>
        <w:tc>
          <w:tcPr>
            <w:tcW w:w="0" w:type="dxa"/>
            <w:vAlign w:val="bottom"/>
          </w:tcPr>
          <w:p>
            <w:pPr>
              <w:spacing w:after="0"/>
              <w:rPr>
                <w:sz w:val="1"/>
                <w:szCs w:val="1"/>
                <w:color w:val="auto"/>
              </w:rPr>
            </w:pPr>
          </w:p>
        </w:tc>
      </w:tr>
      <w:tr>
        <w:trPr>
          <w:trHeight w:val="263"/>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activities </w:t>
            </w:r>
            <w:r>
              <w:rPr>
                <w:rFonts w:ascii="Times New Roman" w:cs="Times New Roman" w:eastAsia="Times New Roman" w:hAnsi="Times New Roman"/>
                <w:sz w:val="20"/>
                <w:szCs w:val="20"/>
                <w:color w:val="B8BABC"/>
              </w:rPr>
              <w:t>. . . . . . . . . . . . . . . . . . . . . . . . . . . . . . . . . . . . . . . . . . . .</w:t>
            </w:r>
          </w:p>
        </w:tc>
        <w:tc>
          <w:tcPr>
            <w:tcW w:w="28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Continued</w:t>
      </w:r>
    </w:p>
    <w:p>
      <w:pPr>
        <w:spacing w:after="0" w:line="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See Notes to Consolidated Financial Statements</w:t>
      </w:r>
    </w:p>
    <w:p>
      <w:pPr>
        <w:sectPr>
          <w:pgSz w:w="11880" w:h="15480" w:orient="portrait"/>
          <w:cols w:equalWidth="0" w:num="1">
            <w:col w:w="9660"/>
          </w:cols>
          <w:pgMar w:left="1140" w:top="83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9660"/>
          </w:cols>
          <w:pgMar w:left="1140" w:top="831" w:right="1080" w:bottom="0" w:gutter="0" w:footer="0" w:header="0"/>
          <w:type w:val="continuous"/>
        </w:sectPr>
      </w:pPr>
    </w:p>
    <w:bookmarkStart w:id="80" w:name="page81"/>
    <w:bookmarkEnd w:id="80"/>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MARRIOTT VACATIONS WORLDWIDE CORPORATION</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 (CONTINUED)</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Fiscal Years 2025, 2024 and 2023</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FINANCING ACTIVITIES</w:t>
            </w:r>
          </w:p>
        </w:tc>
        <w:tc>
          <w:tcPr>
            <w:tcW w:w="28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0" w:type="dxa"/>
            <w:vAlign w:val="bottom"/>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60" w:type="dxa"/>
            <w:vAlign w:val="bottom"/>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2023</w:t>
            </w:r>
          </w:p>
        </w:tc>
        <w:tc>
          <w:tcPr>
            <w:tcW w:w="0" w:type="dxa"/>
            <w:vAlign w:val="bottom"/>
          </w:tcPr>
          <w:p>
            <w:pPr>
              <w:spacing w:after="0"/>
              <w:rPr>
                <w:sz w:val="1"/>
                <w:szCs w:val="1"/>
                <w:color w:val="auto"/>
              </w:rPr>
            </w:pPr>
          </w:p>
        </w:tc>
      </w:tr>
      <w:tr>
        <w:trPr>
          <w:trHeight w:val="238"/>
        </w:trPr>
        <w:tc>
          <w:tcPr>
            <w:tcW w:w="59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Borrowings from securitization transactions </w:t>
            </w:r>
            <w:r>
              <w:rPr>
                <w:rFonts w:ascii="Times New Roman" w:cs="Times New Roman" w:eastAsia="Times New Roman" w:hAnsi="Times New Roman"/>
                <w:sz w:val="20"/>
                <w:szCs w:val="20"/>
                <w:color w:val="B8BABC"/>
              </w:rPr>
              <w:t>.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1,492</w:t>
            </w:r>
          </w:p>
        </w:tc>
        <w:tc>
          <w:tcPr>
            <w:tcW w:w="0" w:type="dxa"/>
            <w:vAlign w:val="bottom"/>
          </w:tcPr>
          <w:p>
            <w:pPr>
              <w:spacing w:after="0"/>
              <w:rPr>
                <w:sz w:val="1"/>
                <w:szCs w:val="1"/>
                <w:color w:val="auto"/>
              </w:rPr>
            </w:pPr>
          </w:p>
        </w:tc>
      </w:tr>
      <w:tr>
        <w:trPr>
          <w:trHeight w:val="285"/>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Repayment of debt related to securitization transactions </w:t>
            </w:r>
            <w:r>
              <w:rPr>
                <w:rFonts w:ascii="Times New Roman" w:cs="Times New Roman" w:eastAsia="Times New Roman" w:hAnsi="Times New Roman"/>
                <w:sz w:val="20"/>
                <w:szCs w:val="20"/>
                <w:color w:val="B8BABC"/>
              </w:rPr>
              <w:t>.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(1,387)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(1,331)</w:t>
            </w:r>
          </w:p>
        </w:tc>
        <w:tc>
          <w:tcPr>
            <w:tcW w:w="0" w:type="dxa"/>
            <w:vAlign w:val="bottom"/>
          </w:tcPr>
          <w:p>
            <w:pPr>
              <w:spacing w:after="0"/>
              <w:rPr>
                <w:sz w:val="1"/>
                <w:szCs w:val="1"/>
                <w:color w:val="auto"/>
              </w:rPr>
            </w:pPr>
          </w:p>
        </w:tc>
      </w:tr>
      <w:tr>
        <w:trPr>
          <w:trHeight w:val="285"/>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Proceeds from debt </w:t>
            </w:r>
            <w:r>
              <w:rPr>
                <w:rFonts w:ascii="Times New Roman" w:cs="Times New Roman" w:eastAsia="Times New Roman" w:hAnsi="Times New Roman"/>
                <w:sz w:val="20"/>
                <w:szCs w:val="20"/>
                <w:color w:val="B8BABC"/>
              </w:rPr>
              <w:t>. . . . . . . . . . .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1,740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2,135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1,070</w:t>
            </w:r>
          </w:p>
        </w:tc>
        <w:tc>
          <w:tcPr>
            <w:tcW w:w="0" w:type="dxa"/>
            <w:vAlign w:val="bottom"/>
          </w:tcPr>
          <w:p>
            <w:pPr>
              <w:spacing w:after="0"/>
              <w:rPr>
                <w:sz w:val="1"/>
                <w:szCs w:val="1"/>
                <w:color w:val="auto"/>
              </w:rPr>
            </w:pPr>
          </w:p>
        </w:tc>
      </w:tr>
      <w:tr>
        <w:trPr>
          <w:trHeight w:val="285"/>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Repayments of debt </w:t>
            </w:r>
            <w:r>
              <w:rPr>
                <w:rFonts w:ascii="Times New Roman" w:cs="Times New Roman" w:eastAsia="Times New Roman" w:hAnsi="Times New Roman"/>
                <w:sz w:val="20"/>
                <w:szCs w:val="20"/>
                <w:color w:val="B8BABC"/>
              </w:rPr>
              <w:t>. . . . . . . . . .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(2,107)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(1,221)</w:t>
            </w:r>
          </w:p>
        </w:tc>
        <w:tc>
          <w:tcPr>
            <w:tcW w:w="0" w:type="dxa"/>
            <w:vAlign w:val="bottom"/>
          </w:tcPr>
          <w:p>
            <w:pPr>
              <w:spacing w:after="0"/>
              <w:rPr>
                <w:sz w:val="1"/>
                <w:szCs w:val="1"/>
                <w:color w:val="auto"/>
              </w:rPr>
            </w:pPr>
          </w:p>
        </w:tc>
      </w:tr>
      <w:tr>
        <w:trPr>
          <w:trHeight w:val="285"/>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Finance lease incentive </w:t>
            </w:r>
            <w:r>
              <w:rPr>
                <w:rFonts w:ascii="Times New Roman" w:cs="Times New Roman" w:eastAsia="Times New Roman" w:hAnsi="Times New Roman"/>
                <w:sz w:val="20"/>
                <w:szCs w:val="20"/>
                <w:color w:val="B8BABC"/>
              </w:rPr>
              <w:t>. . . . . . . .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0" w:type="dxa"/>
            <w:vAlign w:val="bottom"/>
          </w:tcPr>
          <w:p>
            <w:pPr>
              <w:spacing w:after="0"/>
              <w:rPr>
                <w:sz w:val="1"/>
                <w:szCs w:val="1"/>
                <w:color w:val="auto"/>
              </w:rPr>
            </w:pPr>
          </w:p>
        </w:tc>
      </w:tr>
      <w:tr>
        <w:trPr>
          <w:trHeight w:val="285"/>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Finance lease payment </w:t>
            </w:r>
            <w:r>
              <w:rPr>
                <w:rFonts w:ascii="Times New Roman" w:cs="Times New Roman" w:eastAsia="Times New Roman" w:hAnsi="Times New Roman"/>
                <w:sz w:val="20"/>
                <w:szCs w:val="20"/>
                <w:color w:val="B8BABC"/>
              </w:rPr>
              <w:t>. . . . . . . .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0" w:type="dxa"/>
            <w:vAlign w:val="bottom"/>
          </w:tcPr>
          <w:p>
            <w:pPr>
              <w:spacing w:after="0"/>
              <w:rPr>
                <w:sz w:val="1"/>
                <w:szCs w:val="1"/>
                <w:color w:val="auto"/>
              </w:rPr>
            </w:pPr>
          </w:p>
        </w:tc>
      </w:tr>
      <w:tr>
        <w:trPr>
          <w:trHeight w:val="285"/>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Payment of debt and securitized debt issuance costs </w:t>
            </w:r>
            <w:r>
              <w:rPr>
                <w:rFonts w:ascii="Times New Roman" w:cs="Times New Roman" w:eastAsia="Times New Roman" w:hAnsi="Times New Roman"/>
                <w:sz w:val="20"/>
                <w:szCs w:val="20"/>
                <w:color w:val="B8BABC"/>
              </w:rPr>
              <w:t>.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85"/>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Repurchase of common stock </w:t>
            </w:r>
            <w:r>
              <w:rPr>
                <w:rFonts w:ascii="Times New Roman" w:cs="Times New Roman" w:eastAsia="Times New Roman" w:hAnsi="Times New Roman"/>
                <w:sz w:val="20"/>
                <w:szCs w:val="20"/>
                <w:color w:val="B8BABC"/>
              </w:rPr>
              <w:t>. . .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(286)</w:t>
            </w:r>
          </w:p>
        </w:tc>
        <w:tc>
          <w:tcPr>
            <w:tcW w:w="0" w:type="dxa"/>
            <w:vAlign w:val="bottom"/>
          </w:tcPr>
          <w:p>
            <w:pPr>
              <w:spacing w:after="0"/>
              <w:rPr>
                <w:sz w:val="1"/>
                <w:szCs w:val="1"/>
                <w:color w:val="auto"/>
              </w:rPr>
            </w:pPr>
          </w:p>
        </w:tc>
      </w:tr>
      <w:tr>
        <w:trPr>
          <w:trHeight w:val="285"/>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Payment of dividends </w:t>
            </w:r>
            <w:r>
              <w:rPr>
                <w:rFonts w:ascii="Times New Roman" w:cs="Times New Roman" w:eastAsia="Times New Roman" w:hAnsi="Times New Roman"/>
                <w:sz w:val="20"/>
                <w:szCs w:val="20"/>
                <w:color w:val="B8BABC"/>
              </w:rPr>
              <w:t>. . . . . . . . .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w:t>
            </w:r>
          </w:p>
        </w:tc>
        <w:tc>
          <w:tcPr>
            <w:tcW w:w="0" w:type="dxa"/>
            <w:vAlign w:val="bottom"/>
          </w:tcPr>
          <w:p>
            <w:pPr>
              <w:spacing w:after="0"/>
              <w:rPr>
                <w:sz w:val="1"/>
                <w:szCs w:val="1"/>
                <w:color w:val="auto"/>
              </w:rPr>
            </w:pPr>
          </w:p>
        </w:tc>
      </w:tr>
      <w:tr>
        <w:trPr>
          <w:trHeight w:val="288"/>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Payment of withholding taxes on vesting of restricted stock units </w:t>
            </w:r>
            <w:r>
              <w:rPr>
                <w:rFonts w:ascii="Times New Roman" w:cs="Times New Roman" w:eastAsia="Times New Roman" w:hAnsi="Times New Roman"/>
                <w:sz w:val="20"/>
                <w:szCs w:val="20"/>
                <w:color w:val="B8BABC"/>
              </w:rPr>
              <w:t>. . . .</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12"/>
        </w:trPr>
        <w:tc>
          <w:tcPr>
            <w:tcW w:w="5940" w:type="dxa"/>
            <w:vAlign w:val="bottom"/>
          </w:tcPr>
          <w:p>
            <w:pPr>
              <w:jc w:val="right"/>
              <w:ind w:right="420"/>
              <w:spacing w:after="0" w:line="212" w:lineRule="exact"/>
              <w:rPr>
                <w:sz w:val="20"/>
                <w:szCs w:val="20"/>
                <w:color w:val="auto"/>
              </w:rPr>
            </w:pPr>
            <w:r>
              <w:rPr>
                <w:rFonts w:ascii="Times New Roman" w:cs="Times New Roman" w:eastAsia="Times New Roman" w:hAnsi="Times New Roman"/>
                <w:sz w:val="20"/>
                <w:szCs w:val="20"/>
                <w:color w:val="231F20"/>
              </w:rPr>
              <w:t>Net cash, cash equivalents, and restricted cash provided by</w:t>
            </w: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241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(401)</w:t>
            </w:r>
          </w:p>
        </w:tc>
        <w:tc>
          <w:tcPr>
            <w:tcW w:w="0" w:type="dxa"/>
            <w:vAlign w:val="bottom"/>
          </w:tcPr>
          <w:p>
            <w:pPr>
              <w:spacing w:after="0"/>
              <w:rPr>
                <w:sz w:val="1"/>
                <w:szCs w:val="1"/>
                <w:color w:val="auto"/>
              </w:rPr>
            </w:pPr>
          </w:p>
        </w:tc>
      </w:tr>
      <w:tr>
        <w:trPr>
          <w:trHeight w:val="263"/>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(used in) financing activities  </w:t>
            </w:r>
            <w:r>
              <w:rPr>
                <w:rFonts w:ascii="Times New Roman" w:cs="Times New Roman" w:eastAsia="Times New Roman" w:hAnsi="Times New Roman"/>
                <w:sz w:val="20"/>
                <w:szCs w:val="20"/>
                <w:color w:val="B8BABC"/>
              </w:rPr>
              <w:t>. . . . . . . . . . . . . . . . . . . . . . . . . . . .</w:t>
            </w:r>
          </w:p>
        </w:tc>
        <w:tc>
          <w:tcPr>
            <w:tcW w:w="28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940" w:type="dxa"/>
            <w:vAlign w:val="bottom"/>
          </w:tcPr>
          <w:p>
            <w:pPr>
              <w:jc w:val="right"/>
              <w:ind w:right="320"/>
              <w:spacing w:after="0" w:line="212" w:lineRule="exact"/>
              <w:rPr>
                <w:sz w:val="20"/>
                <w:szCs w:val="20"/>
                <w:color w:val="auto"/>
              </w:rPr>
            </w:pPr>
            <w:r>
              <w:rPr>
                <w:rFonts w:ascii="Times New Roman" w:cs="Times New Roman" w:eastAsia="Times New Roman" w:hAnsi="Times New Roman"/>
                <w:sz w:val="20"/>
                <w:szCs w:val="20"/>
                <w:color w:val="231F20"/>
              </w:rPr>
              <w:t>Effect of changes in exchange rates on cash, cash equivalents, and</w:t>
            </w: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r>
        <w:trPr>
          <w:trHeight w:val="26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restricted cash </w:t>
            </w:r>
            <w:r>
              <w:rPr>
                <w:rFonts w:ascii="Times New Roman" w:cs="Times New Roman" w:eastAsia="Times New Roman" w:hAnsi="Times New Roman"/>
                <w:sz w:val="20"/>
                <w:szCs w:val="20"/>
                <w:color w:val="B8BABC"/>
              </w:rPr>
              <w:t>. . . . . . . . . . . . . . . . . . . . . . . . . . . . . . . . . . . . . . . . . . . . .</w:t>
            </w: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Change in cash, cash equivalents, and restricted cash </w:t>
            </w:r>
            <w:r>
              <w:rPr>
                <w:rFonts w:ascii="Times New Roman" w:cs="Times New Roman" w:eastAsia="Times New Roman" w:hAnsi="Times New Roman"/>
                <w:sz w:val="20"/>
                <w:szCs w:val="20"/>
                <w:color w:val="B8BABC"/>
              </w:rPr>
              <w:t>.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(280)</w:t>
            </w:r>
          </w:p>
        </w:tc>
        <w:tc>
          <w:tcPr>
            <w:tcW w:w="0" w:type="dxa"/>
            <w:vAlign w:val="bottom"/>
          </w:tcPr>
          <w:p>
            <w:pPr>
              <w:spacing w:after="0"/>
              <w:rPr>
                <w:sz w:val="1"/>
                <w:szCs w:val="1"/>
                <w:color w:val="auto"/>
              </w:rPr>
            </w:pPr>
          </w:p>
        </w:tc>
      </w:tr>
      <w:tr>
        <w:trPr>
          <w:trHeight w:val="303"/>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Cash, cash equivalents, and restricted cash, beginning of year </w:t>
            </w:r>
            <w:r>
              <w:rPr>
                <w:rFonts w:ascii="Times New Roman" w:cs="Times New Roman" w:eastAsia="Times New Roman" w:hAnsi="Times New Roman"/>
                <w:sz w:val="20"/>
                <w:szCs w:val="20"/>
                <w:color w:val="B8BABC"/>
              </w:rPr>
              <w:t>. . . . . . . . .</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528</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574</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854</w:t>
            </w:r>
          </w:p>
        </w:tc>
        <w:tc>
          <w:tcPr>
            <w:tcW w:w="0" w:type="dxa"/>
            <w:vAlign w:val="bottom"/>
          </w:tcPr>
          <w:p>
            <w:pPr>
              <w:spacing w:after="0"/>
              <w:rPr>
                <w:sz w:val="1"/>
                <w:szCs w:val="1"/>
                <w:color w:val="auto"/>
              </w:rPr>
            </w:pPr>
          </w:p>
        </w:tc>
      </w:tr>
      <w:tr>
        <w:trPr>
          <w:trHeight w:val="26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Cash, cash equivalents, and restricted cash, end of year  </w:t>
            </w:r>
            <w:r>
              <w:rPr>
                <w:rFonts w:ascii="Times New Roman" w:cs="Times New Roman" w:eastAsia="Times New Roman" w:hAnsi="Times New Roman"/>
                <w:sz w:val="20"/>
                <w:szCs w:val="20"/>
                <w:color w:val="B8BABC"/>
              </w:rPr>
              <w:t>. . . . . . . . . . . . . .</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574</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SUPPLEMENTAL DISCLOSURES</w:t>
            </w: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9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Non-cash transfer from inventory to property and equipment </w:t>
            </w:r>
            <w:r>
              <w:rPr>
                <w:rFonts w:ascii="Times New Roman" w:cs="Times New Roman" w:eastAsia="Times New Roman" w:hAnsi="Times New Roman"/>
                <w:sz w:val="20"/>
                <w:szCs w:val="20"/>
                <w:color w:val="B8BABC"/>
              </w:rPr>
              <w:t>. . . . . . . . .</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85"/>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Non-cash transfer from property and equipment to inventory </w:t>
            </w:r>
            <w:r>
              <w:rPr>
                <w:rFonts w:ascii="Times New Roman" w:cs="Times New Roman" w:eastAsia="Times New Roman" w:hAnsi="Times New Roman"/>
                <w:sz w:val="20"/>
                <w:szCs w:val="20"/>
                <w:color w:val="B8BABC"/>
              </w:rPr>
              <w:t>.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0" w:type="dxa"/>
            <w:vAlign w:val="bottom"/>
          </w:tcPr>
          <w:p>
            <w:pPr>
              <w:spacing w:after="0"/>
              <w:rPr>
                <w:sz w:val="1"/>
                <w:szCs w:val="1"/>
                <w:color w:val="auto"/>
              </w:rPr>
            </w:pPr>
          </w:p>
        </w:tc>
      </w:tr>
      <w:tr>
        <w:trPr>
          <w:trHeight w:val="285"/>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Non-cash transfer from property and equipment to other assets </w:t>
            </w:r>
            <w:r>
              <w:rPr>
                <w:rFonts w:ascii="Times New Roman" w:cs="Times New Roman" w:eastAsia="Times New Roman" w:hAnsi="Times New Roman"/>
                <w:sz w:val="20"/>
                <w:szCs w:val="20"/>
                <w:color w:val="B8BABC"/>
              </w:rPr>
              <w:t>.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Non-cash transfer from other assets to property and equipment </w:t>
            </w:r>
            <w:r>
              <w:rPr>
                <w:rFonts w:ascii="Times New Roman" w:cs="Times New Roman" w:eastAsia="Times New Roman" w:hAnsi="Times New Roman"/>
                <w:sz w:val="20"/>
                <w:szCs w:val="20"/>
                <w:color w:val="B8BABC"/>
              </w:rPr>
              <w:t>.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Non-cash issuance of treasury stock for employee stock purchase plan </w:t>
            </w:r>
            <w:r>
              <w:rPr>
                <w:rFonts w:ascii="Times New Roman" w:cs="Times New Roman" w:eastAsia="Times New Roman" w:hAnsi="Times New Roman"/>
                <w:sz w:val="20"/>
                <w:szCs w:val="20"/>
                <w:color w:val="B8BABC"/>
              </w:rPr>
              <w: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0" w:type="dxa"/>
            <w:vAlign w:val="bottom"/>
          </w:tcPr>
          <w:p>
            <w:pPr>
              <w:spacing w:after="0"/>
              <w:rPr>
                <w:sz w:val="1"/>
                <w:szCs w:val="1"/>
                <w:color w:val="auto"/>
              </w:rPr>
            </w:pPr>
          </w:p>
        </w:tc>
      </w:tr>
      <w:tr>
        <w:trPr>
          <w:trHeight w:val="6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Dividends payable </w:t>
            </w:r>
            <w:r>
              <w:rPr>
                <w:rFonts w:ascii="Times New Roman" w:cs="Times New Roman" w:eastAsia="Times New Roman" w:hAnsi="Times New Roman"/>
                <w:sz w:val="20"/>
                <w:szCs w:val="20"/>
                <w:color w:val="B8BABC"/>
              </w:rPr>
              <w:t>. . . . . . . . . . . .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0" w:type="dxa"/>
            <w:vAlign w:val="bottom"/>
          </w:tcPr>
          <w:p>
            <w:pPr>
              <w:spacing w:after="0"/>
              <w:rPr>
                <w:sz w:val="1"/>
                <w:szCs w:val="1"/>
                <w:color w:val="auto"/>
              </w:rPr>
            </w:pPr>
          </w:p>
        </w:tc>
      </w:tr>
      <w:tr>
        <w:trPr>
          <w:trHeight w:val="3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Interest paid, net of amounts capitalized </w:t>
            </w:r>
            <w:r>
              <w:rPr>
                <w:rFonts w:ascii="Times New Roman" w:cs="Times New Roman" w:eastAsia="Times New Roman" w:hAnsi="Times New Roman"/>
                <w:sz w:val="20"/>
                <w:szCs w:val="20"/>
                <w:color w:val="B8BABC"/>
              </w:rPr>
              <w:t>.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204</w:t>
            </w:r>
          </w:p>
        </w:tc>
        <w:tc>
          <w:tcPr>
            <w:tcW w:w="0" w:type="dxa"/>
            <w:vAlign w:val="bottom"/>
          </w:tcPr>
          <w:p>
            <w:pPr>
              <w:spacing w:after="0"/>
              <w:rPr>
                <w:sz w:val="1"/>
                <w:szCs w:val="1"/>
                <w:color w:val="auto"/>
              </w:rPr>
            </w:pPr>
          </w:p>
        </w:tc>
      </w:tr>
      <w:tr>
        <w:trPr>
          <w:trHeight w:val="285"/>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Income taxes paid, net of refunds </w:t>
            </w:r>
            <w:r>
              <w:rPr>
                <w:rFonts w:ascii="Times New Roman" w:cs="Times New Roman" w:eastAsia="Times New Roman" w:hAnsi="Times New Roman"/>
                <w:sz w:val="20"/>
                <w:szCs w:val="20"/>
                <w:color w:val="B8BABC"/>
              </w:rPr>
              <w:t>.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See Notes to Consolidated Financial Statements</w:t>
      </w:r>
    </w:p>
    <w:p>
      <w:pPr>
        <w:sectPr>
          <w:pgSz w:w="11880" w:h="15480" w:orient="portrait"/>
          <w:cols w:equalWidth="0" w:num="1">
            <w:col w:w="9660"/>
          </w:cols>
          <w:pgMar w:left="1140" w:top="83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77</w:t>
      </w:r>
    </w:p>
    <w:p>
      <w:pPr>
        <w:sectPr>
          <w:pgSz w:w="11880" w:h="15480" w:orient="portrait"/>
          <w:cols w:equalWidth="0" w:num="1">
            <w:col w:w="9660"/>
          </w:cols>
          <w:pgMar w:left="1140" w:top="831" w:right="1080" w:bottom="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231F20"/>
        </w:rPr>
        <w:t>MARRIOTT VACATIONS WORLDWIDE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CONSOLIDATED STATEMENTS OF STOCKHOLDERS’ EQUITY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Fiscal Years 2025, 2024 and 2023</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231F20"/>
                <w:w w:val="98"/>
              </w:rPr>
              <w:t>Common</w:t>
            </w:r>
          </w:p>
        </w:tc>
        <w:tc>
          <w:tcPr>
            <w:tcW w:w="3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9"/>
                <w:szCs w:val="19"/>
                <w:b w:val="1"/>
                <w:bCs w:val="1"/>
                <w:color w:val="231F20"/>
              </w:rPr>
              <w:t>Additional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40"/>
              <w:spacing w:after="0"/>
              <w:rPr>
                <w:sz w:val="20"/>
                <w:szCs w:val="20"/>
                <w:color w:val="auto"/>
              </w:rPr>
            </w:pPr>
            <w:r>
              <w:rPr>
                <w:rFonts w:ascii="Times New Roman" w:cs="Times New Roman" w:eastAsia="Times New Roman" w:hAnsi="Times New Roman"/>
                <w:sz w:val="19"/>
                <w:szCs w:val="19"/>
                <w:b w:val="1"/>
                <w:bCs w:val="1"/>
                <w:color w:val="231F20"/>
                <w:w w:val="98"/>
              </w:rPr>
              <w:t>Accumulated</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9"/>
                <w:szCs w:val="19"/>
                <w:b w:val="1"/>
                <w:bCs w:val="1"/>
                <w:color w:val="231F20"/>
              </w:rPr>
              <w:t>Total MVW</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restart"/>
          </w:tcPr>
          <w:p>
            <w:pPr>
              <w:jc w:val="right"/>
              <w:ind w:right="200"/>
              <w:spacing w:after="0"/>
              <w:rPr>
                <w:sz w:val="20"/>
                <w:szCs w:val="20"/>
                <w:color w:val="auto"/>
              </w:rPr>
            </w:pPr>
            <w:r>
              <w:rPr>
                <w:rFonts w:ascii="Times New Roman" w:cs="Times New Roman" w:eastAsia="Times New Roman" w:hAnsi="Times New Roman"/>
                <w:sz w:val="19"/>
                <w:szCs w:val="19"/>
                <w:b w:val="1"/>
                <w:bCs w:val="1"/>
                <w:color w:val="231F20"/>
              </w:rPr>
              <w:t>Non-</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60" w:type="dxa"/>
            <w:vAlign w:val="bottom"/>
            <w:vMerge w:val="continue"/>
          </w:tcPr>
          <w:p>
            <w:pPr>
              <w:spacing w:after="0"/>
              <w:rPr>
                <w:sz w:val="16"/>
                <w:szCs w:val="16"/>
                <w:color w:val="auto"/>
              </w:rPr>
            </w:pPr>
          </w:p>
        </w:tc>
        <w:tc>
          <w:tcPr>
            <w:tcW w:w="3980" w:type="dxa"/>
            <w:vAlign w:val="bottom"/>
          </w:tcPr>
          <w:p>
            <w:pPr>
              <w:spacing w:after="0"/>
              <w:rPr>
                <w:sz w:val="16"/>
                <w:szCs w:val="16"/>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231F20"/>
              </w:rPr>
              <w:t>Common</w:t>
            </w:r>
          </w:p>
        </w:tc>
        <w:tc>
          <w:tcPr>
            <w:tcW w:w="6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9"/>
                <w:szCs w:val="19"/>
                <w:b w:val="1"/>
                <w:bCs w:val="1"/>
                <w:color w:val="231F20"/>
              </w:rPr>
              <w:t>Treasury</w:t>
            </w:r>
          </w:p>
        </w:tc>
        <w:tc>
          <w:tcPr>
            <w:tcW w:w="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40"/>
              <w:spacing w:after="0" w:line="190" w:lineRule="exact"/>
              <w:rPr>
                <w:sz w:val="20"/>
                <w:szCs w:val="20"/>
                <w:color w:val="auto"/>
              </w:rPr>
            </w:pPr>
            <w:r>
              <w:rPr>
                <w:rFonts w:ascii="Times New Roman" w:cs="Times New Roman" w:eastAsia="Times New Roman" w:hAnsi="Times New Roman"/>
                <w:sz w:val="19"/>
                <w:szCs w:val="19"/>
                <w:b w:val="1"/>
                <w:bCs w:val="1"/>
                <w:color w:val="231F20"/>
              </w:rPr>
              <w:t>Other</w:t>
            </w:r>
          </w:p>
        </w:tc>
        <w:tc>
          <w:tcPr>
            <w:tcW w:w="6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231F20"/>
              </w:rPr>
              <w:t>Retained</w:t>
            </w:r>
          </w:p>
        </w:tc>
        <w:tc>
          <w:tcPr>
            <w:tcW w:w="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restart"/>
          </w:tcPr>
          <w:p>
            <w:pPr>
              <w:jc w:val="right"/>
              <w:ind w:right="82"/>
              <w:spacing w:after="0"/>
              <w:rPr>
                <w:sz w:val="20"/>
                <w:szCs w:val="20"/>
                <w:color w:val="auto"/>
              </w:rPr>
            </w:pPr>
            <w:r>
              <w:rPr>
                <w:rFonts w:ascii="Times New Roman" w:cs="Times New Roman" w:eastAsia="Times New Roman" w:hAnsi="Times New Roman"/>
                <w:sz w:val="19"/>
                <w:szCs w:val="19"/>
                <w:b w:val="1"/>
                <w:bCs w:val="1"/>
                <w:color w:val="231F20"/>
              </w:rPr>
              <w:t>Total</w:t>
            </w:r>
          </w:p>
        </w:tc>
        <w:tc>
          <w:tcPr>
            <w:tcW w:w="0" w:type="dxa"/>
            <w:vAlign w:val="bottom"/>
          </w:tcPr>
          <w:p>
            <w:pPr>
              <w:spacing w:after="0"/>
              <w:rPr>
                <w:sz w:val="1"/>
                <w:szCs w:val="1"/>
                <w:color w:val="auto"/>
              </w:rPr>
            </w:pPr>
          </w:p>
        </w:tc>
      </w:tr>
      <w:tr>
        <w:trPr>
          <w:trHeight w:val="190"/>
        </w:trPr>
        <w:tc>
          <w:tcPr>
            <w:tcW w:w="86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231F20"/>
              </w:rPr>
              <w:t>Stock</w:t>
            </w:r>
          </w:p>
        </w:tc>
        <w:tc>
          <w:tcPr>
            <w:tcW w:w="39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00"/>
              <w:spacing w:after="0" w:line="190" w:lineRule="exact"/>
              <w:rPr>
                <w:sz w:val="20"/>
                <w:szCs w:val="20"/>
                <w:color w:val="auto"/>
              </w:rPr>
            </w:pPr>
            <w:r>
              <w:rPr>
                <w:rFonts w:ascii="Times New Roman" w:cs="Times New Roman" w:eastAsia="Times New Roman" w:hAnsi="Times New Roman"/>
                <w:sz w:val="19"/>
                <w:szCs w:val="19"/>
                <w:b w:val="1"/>
                <w:bCs w:val="1"/>
                <w:color w:val="231F20"/>
              </w:rPr>
              <w:t>Paid-In</w:t>
            </w:r>
          </w:p>
        </w:tc>
        <w:tc>
          <w:tcPr>
            <w:tcW w:w="60" w:type="dxa"/>
            <w:vAlign w:val="bottom"/>
          </w:tcPr>
          <w:p>
            <w:pPr>
              <w:spacing w:after="0"/>
              <w:rPr>
                <w:sz w:val="16"/>
                <w:szCs w:val="16"/>
                <w:color w:val="auto"/>
              </w:rPr>
            </w:pPr>
          </w:p>
        </w:tc>
        <w:tc>
          <w:tcPr>
            <w:tcW w:w="1380" w:type="dxa"/>
            <w:vAlign w:val="bottom"/>
            <w:gridSpan w:val="2"/>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231F20"/>
                <w:w w:val="99"/>
              </w:rPr>
              <w:t>Comprehensive</w:t>
            </w:r>
          </w:p>
        </w:tc>
        <w:tc>
          <w:tcPr>
            <w:tcW w:w="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9"/>
                <w:szCs w:val="19"/>
                <w:b w:val="1"/>
                <w:bCs w:val="1"/>
                <w:color w:val="231F20"/>
              </w:rPr>
              <w:t>Stockholders'</w:t>
            </w:r>
          </w:p>
        </w:tc>
        <w:tc>
          <w:tcPr>
            <w:tcW w:w="60" w:type="dxa"/>
            <w:vAlign w:val="bottom"/>
          </w:tcPr>
          <w:p>
            <w:pPr>
              <w:spacing w:after="0"/>
              <w:rPr>
                <w:sz w:val="16"/>
                <w:szCs w:val="16"/>
                <w:color w:val="auto"/>
              </w:rPr>
            </w:pPr>
          </w:p>
        </w:tc>
        <w:tc>
          <w:tcPr>
            <w:tcW w:w="100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9"/>
                <w:szCs w:val="19"/>
                <w:b w:val="1"/>
                <w:bCs w:val="1"/>
                <w:color w:val="231F20"/>
              </w:rPr>
              <w:t>controlling</w:t>
            </w: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9"/>
                <w:szCs w:val="19"/>
                <w:b w:val="1"/>
                <w:bCs w:val="1"/>
                <w:color w:val="231F20"/>
              </w:rPr>
              <w:t>Issued</w:t>
            </w:r>
          </w:p>
        </w:tc>
        <w:tc>
          <w:tcPr>
            <w:tcW w:w="398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700" w:type="dxa"/>
            <w:vAlign w:val="bottom"/>
            <w:tcBorders>
              <w:bottom w:val="single" w:sz="8" w:color="231F20"/>
            </w:tcBorders>
          </w:tcPr>
          <w:p>
            <w:pPr>
              <w:jc w:val="right"/>
              <w:ind w:right="120"/>
              <w:spacing w:after="0"/>
              <w:rPr>
                <w:sz w:val="20"/>
                <w:szCs w:val="20"/>
                <w:color w:val="auto"/>
              </w:rPr>
            </w:pPr>
            <w:r>
              <w:rPr>
                <w:rFonts w:ascii="Times New Roman" w:cs="Times New Roman" w:eastAsia="Times New Roman" w:hAnsi="Times New Roman"/>
                <w:sz w:val="19"/>
                <w:szCs w:val="19"/>
                <w:b w:val="1"/>
                <w:bCs w:val="1"/>
                <w:color w:val="231F20"/>
              </w:rPr>
              <w:t>Stock</w:t>
            </w: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700" w:type="dxa"/>
            <w:vAlign w:val="bottom"/>
            <w:tcBorders>
              <w:bottom w:val="single" w:sz="8" w:color="231F20"/>
            </w:tcBorders>
          </w:tcPr>
          <w:p>
            <w:pPr>
              <w:jc w:val="right"/>
              <w:ind w:right="100"/>
              <w:spacing w:after="0"/>
              <w:rPr>
                <w:sz w:val="20"/>
                <w:szCs w:val="20"/>
                <w:color w:val="auto"/>
              </w:rPr>
            </w:pPr>
            <w:r>
              <w:rPr>
                <w:rFonts w:ascii="Times New Roman" w:cs="Times New Roman" w:eastAsia="Times New Roman" w:hAnsi="Times New Roman"/>
                <w:sz w:val="19"/>
                <w:szCs w:val="19"/>
                <w:b w:val="1"/>
                <w:bCs w:val="1"/>
                <w:color w:val="231F20"/>
              </w:rPr>
              <w:t>Stock</w:t>
            </w: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ind w:right="100"/>
              <w:spacing w:after="0"/>
              <w:rPr>
                <w:sz w:val="20"/>
                <w:szCs w:val="20"/>
                <w:color w:val="auto"/>
              </w:rPr>
            </w:pPr>
            <w:r>
              <w:rPr>
                <w:rFonts w:ascii="Times New Roman" w:cs="Times New Roman" w:eastAsia="Times New Roman" w:hAnsi="Times New Roman"/>
                <w:sz w:val="19"/>
                <w:szCs w:val="19"/>
                <w:b w:val="1"/>
                <w:bCs w:val="1"/>
                <w:color w:val="231F20"/>
              </w:rPr>
              <w:t>Capital</w:t>
            </w:r>
          </w:p>
        </w:tc>
        <w:tc>
          <w:tcPr>
            <w:tcW w:w="60" w:type="dxa"/>
            <w:vAlign w:val="bottom"/>
          </w:tcPr>
          <w:p>
            <w:pPr>
              <w:spacing w:after="0"/>
              <w:rPr>
                <w:sz w:val="21"/>
                <w:szCs w:val="21"/>
                <w:color w:val="auto"/>
              </w:rPr>
            </w:pPr>
          </w:p>
        </w:tc>
        <w:tc>
          <w:tcPr>
            <w:tcW w:w="138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9"/>
                <w:szCs w:val="19"/>
                <w:b w:val="1"/>
                <w:bCs w:val="1"/>
                <w:color w:val="231F20"/>
                <w:w w:val="99"/>
              </w:rPr>
              <w:t>(Loss) Income</w:t>
            </w:r>
          </w:p>
        </w:tc>
        <w:tc>
          <w:tcPr>
            <w:tcW w:w="60" w:type="dxa"/>
            <w:vAlign w:val="bottom"/>
          </w:tcPr>
          <w:p>
            <w:pPr>
              <w:spacing w:after="0"/>
              <w:rPr>
                <w:sz w:val="21"/>
                <w:szCs w:val="21"/>
                <w:color w:val="auto"/>
              </w:rPr>
            </w:pPr>
          </w:p>
        </w:tc>
        <w:tc>
          <w:tcPr>
            <w:tcW w:w="900" w:type="dxa"/>
            <w:vAlign w:val="bottom"/>
            <w:tcBorders>
              <w:bottom w:val="single" w:sz="8" w:color="231F20"/>
            </w:tcBorders>
            <w:gridSpan w:val="2"/>
          </w:tcPr>
          <w:p>
            <w:pPr>
              <w:ind w:left="80"/>
              <w:spacing w:after="0"/>
              <w:rPr>
                <w:sz w:val="20"/>
                <w:szCs w:val="20"/>
                <w:color w:val="auto"/>
              </w:rPr>
            </w:pPr>
            <w:r>
              <w:rPr>
                <w:rFonts w:ascii="Times New Roman" w:cs="Times New Roman" w:eastAsia="Times New Roman" w:hAnsi="Times New Roman"/>
                <w:sz w:val="19"/>
                <w:szCs w:val="19"/>
                <w:b w:val="1"/>
                <w:bCs w:val="1"/>
                <w:color w:val="231F20"/>
              </w:rPr>
              <w:t>Earnings</w:t>
            </w:r>
          </w:p>
        </w:tc>
        <w:tc>
          <w:tcPr>
            <w:tcW w:w="6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40"/>
              <w:spacing w:after="0"/>
              <w:rPr>
                <w:sz w:val="20"/>
                <w:szCs w:val="20"/>
                <w:color w:val="auto"/>
              </w:rPr>
            </w:pPr>
            <w:r>
              <w:rPr>
                <w:rFonts w:ascii="Times New Roman" w:cs="Times New Roman" w:eastAsia="Times New Roman" w:hAnsi="Times New Roman"/>
                <w:sz w:val="19"/>
                <w:szCs w:val="19"/>
                <w:b w:val="1"/>
                <w:bCs w:val="1"/>
                <w:color w:val="231F20"/>
              </w:rPr>
              <w:t>Equity</w:t>
            </w:r>
          </w:p>
        </w:tc>
        <w:tc>
          <w:tcPr>
            <w:tcW w:w="60" w:type="dxa"/>
            <w:vAlign w:val="bottom"/>
          </w:tcPr>
          <w:p>
            <w:pPr>
              <w:spacing w:after="0"/>
              <w:rPr>
                <w:sz w:val="21"/>
                <w:szCs w:val="21"/>
                <w:color w:val="auto"/>
              </w:rPr>
            </w:pPr>
          </w:p>
        </w:tc>
        <w:tc>
          <w:tcPr>
            <w:tcW w:w="100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19"/>
                <w:szCs w:val="19"/>
                <w:b w:val="1"/>
                <w:bCs w:val="1"/>
                <w:color w:val="231F20"/>
              </w:rPr>
              <w:t>Interests</w:t>
            </w:r>
          </w:p>
        </w:tc>
        <w:tc>
          <w:tcPr>
            <w:tcW w:w="60" w:type="dxa"/>
            <w:vAlign w:val="bottom"/>
          </w:tcPr>
          <w:p>
            <w:pPr>
              <w:spacing w:after="0"/>
              <w:rPr>
                <w:sz w:val="21"/>
                <w:szCs w:val="21"/>
                <w:color w:val="auto"/>
              </w:rPr>
            </w:pPr>
          </w:p>
        </w:tc>
        <w:tc>
          <w:tcPr>
            <w:tcW w:w="780" w:type="dxa"/>
            <w:vAlign w:val="bottom"/>
            <w:tcBorders>
              <w:bottom w:val="single" w:sz="8" w:color="231F20"/>
            </w:tcBorders>
          </w:tcPr>
          <w:p>
            <w:pPr>
              <w:jc w:val="right"/>
              <w:ind w:right="22"/>
              <w:spacing w:after="0"/>
              <w:rPr>
                <w:sz w:val="20"/>
                <w:szCs w:val="20"/>
                <w:color w:val="auto"/>
              </w:rPr>
            </w:pPr>
            <w:r>
              <w:rPr>
                <w:rFonts w:ascii="Times New Roman" w:cs="Times New Roman" w:eastAsia="Times New Roman" w:hAnsi="Times New Roman"/>
                <w:sz w:val="19"/>
                <w:szCs w:val="19"/>
                <w:b w:val="1"/>
                <w:bCs w:val="1"/>
                <w:color w:val="231F20"/>
              </w:rPr>
              <w:t>Equity</w:t>
            </w:r>
          </w:p>
        </w:tc>
        <w:tc>
          <w:tcPr>
            <w:tcW w:w="0" w:type="dxa"/>
            <w:vAlign w:val="bottom"/>
          </w:tcPr>
          <w:p>
            <w:pPr>
              <w:spacing w:after="0"/>
              <w:rPr>
                <w:sz w:val="1"/>
                <w:szCs w:val="1"/>
                <w:color w:val="auto"/>
              </w:rPr>
            </w:pPr>
          </w:p>
        </w:tc>
      </w:tr>
      <w:tr>
        <w:trPr>
          <w:trHeight w:val="238"/>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75.7</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B8BABC"/>
              </w:rPr>
              <w:t>. . . . . . . .</w:t>
            </w:r>
            <w:r>
              <w:rPr>
                <w:rFonts w:ascii="Times New Roman" w:cs="Times New Roman" w:eastAsia="Times New Roman" w:hAnsi="Times New Roman"/>
                <w:sz w:val="20"/>
                <w:szCs w:val="20"/>
                <w:b w:val="1"/>
                <w:bCs w:val="1"/>
                <w:color w:val="231F20"/>
              </w:rPr>
              <w:t>BALANCEATYEAR-END2022</w:t>
            </w:r>
          </w:p>
        </w:tc>
        <w:tc>
          <w:tcPr>
            <w:tcW w:w="180" w:type="dxa"/>
            <w:vAlign w:val="bottom"/>
          </w:tcPr>
          <w:p>
            <w:pPr>
              <w:ind w:left="60"/>
              <w:spacing w:after="0"/>
              <w:rPr>
                <w:sz w:val="20"/>
                <w:szCs w:val="20"/>
                <w:color w:val="auto"/>
              </w:rPr>
            </w:pPr>
            <w:r>
              <w:rPr>
                <w:rFonts w:ascii="Times New Roman" w:cs="Times New Roman" w:eastAsia="Times New Roman" w:hAnsi="Times New Roman"/>
                <w:sz w:val="20"/>
                <w:szCs w:val="20"/>
                <w:color w:val="231F20"/>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0"/>
                <w:szCs w:val="20"/>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20"/>
                <w:szCs w:val="20"/>
                <w:color w:val="231F20"/>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(2,054)</w:t>
            </w:r>
          </w:p>
        </w:tc>
        <w:tc>
          <w:tcPr>
            <w:tcW w:w="60" w:type="dxa"/>
            <w:vAlign w:val="bottom"/>
          </w:tcPr>
          <w:p>
            <w:pPr>
              <w:spacing w:after="0"/>
              <w:rPr>
                <w:sz w:val="20"/>
                <w:szCs w:val="20"/>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20"/>
                <w:szCs w:val="20"/>
                <w:color w:val="231F20"/>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3,941</w:t>
            </w:r>
          </w:p>
        </w:tc>
        <w:tc>
          <w:tcPr>
            <w:tcW w:w="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60" w:type="dxa"/>
            <w:vAlign w:val="bottom"/>
          </w:tcPr>
          <w:p>
            <w:pPr>
              <w:spacing w:after="0"/>
              <w:rPr>
                <w:sz w:val="20"/>
                <w:szCs w:val="20"/>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593</w:t>
            </w:r>
          </w:p>
        </w:tc>
        <w:tc>
          <w:tcPr>
            <w:tcW w:w="6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2,496</w:t>
            </w:r>
          </w:p>
        </w:tc>
        <w:tc>
          <w:tcPr>
            <w:tcW w:w="60" w:type="dxa"/>
            <w:vAlign w:val="bottom"/>
          </w:tcPr>
          <w:p>
            <w:pPr>
              <w:spacing w:after="0"/>
              <w:rPr>
                <w:sz w:val="20"/>
                <w:szCs w:val="20"/>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$ 2,498</w:t>
            </w:r>
          </w:p>
        </w:tc>
        <w:tc>
          <w:tcPr>
            <w:tcW w:w="0" w:type="dxa"/>
            <w:vAlign w:val="bottom"/>
          </w:tcPr>
          <w:p>
            <w:pPr>
              <w:spacing w:after="0"/>
              <w:rPr>
                <w:sz w:val="1"/>
                <w:szCs w:val="1"/>
                <w:color w:val="auto"/>
              </w:rPr>
            </w:pPr>
          </w:p>
        </w:tc>
      </w:tr>
      <w:tr>
        <w:trPr>
          <w:trHeight w:val="271"/>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Net income (loss) </w:t>
            </w:r>
            <w:r>
              <w:rPr>
                <w:rFonts w:ascii="Times New Roman" w:cs="Times New Roman" w:eastAsia="Times New Roman" w:hAnsi="Times New Roman"/>
                <w:sz w:val="20"/>
                <w:szCs w:val="20"/>
                <w:color w:val="B8BABC"/>
              </w:rPr>
              <w:t>. . . . . . . . . . . . . . . . . . . . .</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254</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252</w:t>
            </w:r>
          </w:p>
        </w:tc>
        <w:tc>
          <w:tcPr>
            <w:tcW w:w="0" w:type="dxa"/>
            <w:vAlign w:val="bottom"/>
          </w:tcPr>
          <w:p>
            <w:pPr>
              <w:spacing w:after="0"/>
              <w:rPr>
                <w:sz w:val="1"/>
                <w:szCs w:val="1"/>
                <w:color w:val="auto"/>
              </w:rPr>
            </w:pPr>
          </w:p>
        </w:tc>
      </w:tr>
      <w:tr>
        <w:trPr>
          <w:trHeight w:val="285"/>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Foreign currency translation adjustments </w:t>
            </w:r>
            <w:r>
              <w:rPr>
                <w:rFonts w:ascii="Times New Roman" w:cs="Times New Roman" w:eastAsia="Times New Roman" w:hAnsi="Times New Roman"/>
                <w:sz w:val="20"/>
                <w:szCs w:val="20"/>
                <w:color w:val="B8BABC"/>
              </w:rPr>
              <w:t>. .</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0" w:type="dxa"/>
            <w:vAlign w:val="bottom"/>
          </w:tcPr>
          <w:p>
            <w:pPr>
              <w:spacing w:after="0"/>
              <w:rPr>
                <w:sz w:val="1"/>
                <w:szCs w:val="1"/>
                <w:color w:val="auto"/>
              </w:rPr>
            </w:pPr>
          </w:p>
        </w:tc>
      </w:tr>
      <w:tr>
        <w:trPr>
          <w:trHeight w:val="285"/>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Derivative instrument adjustment </w:t>
            </w:r>
            <w:r>
              <w:rPr>
                <w:rFonts w:ascii="Times New Roman" w:cs="Times New Roman" w:eastAsia="Times New Roman" w:hAnsi="Times New Roman"/>
                <w:sz w:val="20"/>
                <w:szCs w:val="20"/>
                <w:color w:val="B8BABC"/>
              </w:rPr>
              <w:t>. . . . . . . .</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0" w:type="dxa"/>
            <w:vAlign w:val="bottom"/>
          </w:tcPr>
          <w:p>
            <w:pPr>
              <w:spacing w:after="0"/>
              <w:rPr>
                <w:sz w:val="1"/>
                <w:szCs w:val="1"/>
                <w:color w:val="auto"/>
              </w:rPr>
            </w:pPr>
          </w:p>
        </w:tc>
      </w:tr>
      <w:tr>
        <w:trPr>
          <w:trHeight w:val="285"/>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Share-based compensation plans </w:t>
            </w:r>
            <w:r>
              <w:rPr>
                <w:rFonts w:ascii="Times New Roman" w:cs="Times New Roman" w:eastAsia="Times New Roman" w:hAnsi="Times New Roman"/>
                <w:sz w:val="20"/>
                <w:szCs w:val="20"/>
                <w:color w:val="B8BABC"/>
              </w:rPr>
              <w:t>. . . . . . . . .</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0" w:type="dxa"/>
            <w:vAlign w:val="bottom"/>
          </w:tcPr>
          <w:p>
            <w:pPr>
              <w:spacing w:after="0"/>
              <w:rPr>
                <w:sz w:val="1"/>
                <w:szCs w:val="1"/>
                <w:color w:val="auto"/>
              </w:rPr>
            </w:pPr>
          </w:p>
        </w:tc>
      </w:tr>
      <w:tr>
        <w:trPr>
          <w:trHeight w:val="285"/>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Repurchase of common stock </w:t>
            </w:r>
            <w:r>
              <w:rPr>
                <w:rFonts w:ascii="Times New Roman" w:cs="Times New Roman" w:eastAsia="Times New Roman" w:hAnsi="Times New Roman"/>
                <w:sz w:val="20"/>
                <w:szCs w:val="20"/>
                <w:color w:val="B8BABC"/>
              </w:rPr>
              <w:t>. . . . . . . . . . .</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(286)</w:t>
            </w:r>
          </w:p>
        </w:tc>
        <w:tc>
          <w:tcPr>
            <w:tcW w:w="0" w:type="dxa"/>
            <w:vAlign w:val="bottom"/>
          </w:tcPr>
          <w:p>
            <w:pPr>
              <w:spacing w:after="0"/>
              <w:rPr>
                <w:sz w:val="1"/>
                <w:szCs w:val="1"/>
                <w:color w:val="auto"/>
              </w:rPr>
            </w:pPr>
          </w:p>
        </w:tc>
      </w:tr>
      <w:tr>
        <w:trPr>
          <w:trHeight w:val="285"/>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Dividends </w:t>
            </w:r>
            <w:r>
              <w:rPr>
                <w:rFonts w:ascii="Times New Roman" w:cs="Times New Roman" w:eastAsia="Times New Roman" w:hAnsi="Times New Roman"/>
                <w:sz w:val="20"/>
                <w:szCs w:val="20"/>
                <w:color w:val="B8BABC"/>
              </w:rPr>
              <w:t>. . . . . . . . . . . . . . . . . . . . . . . . . . .</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0" w:type="dxa"/>
            <w:vAlign w:val="bottom"/>
          </w:tcPr>
          <w:p>
            <w:pPr>
              <w:spacing w:after="0"/>
              <w:rPr>
                <w:sz w:val="1"/>
                <w:szCs w:val="1"/>
                <w:color w:val="auto"/>
              </w:rPr>
            </w:pPr>
          </w:p>
        </w:tc>
      </w:tr>
      <w:tr>
        <w:trPr>
          <w:trHeight w:val="41"/>
        </w:trPr>
        <w:tc>
          <w:tcPr>
            <w:tcW w:w="860" w:type="dxa"/>
            <w:vAlign w:val="bottom"/>
            <w:tcBorders>
              <w:bottom w:val="single" w:sz="8" w:color="231F20"/>
            </w:tcBorders>
          </w:tcPr>
          <w:p>
            <w:pPr>
              <w:spacing w:after="0"/>
              <w:rPr>
                <w:sz w:val="3"/>
                <w:szCs w:val="3"/>
                <w:color w:val="auto"/>
              </w:rPr>
            </w:pPr>
          </w:p>
        </w:tc>
        <w:tc>
          <w:tcPr>
            <w:tcW w:w="3980" w:type="dxa"/>
            <w:vAlign w:val="bottom"/>
            <w:vMerge w:val="restart"/>
          </w:tcPr>
          <w:p>
            <w:pPr>
              <w:jc w:val="right"/>
              <w:ind w:right="900"/>
              <w:spacing w:after="0"/>
              <w:rPr>
                <w:sz w:val="20"/>
                <w:szCs w:val="20"/>
                <w:color w:val="auto"/>
              </w:rPr>
            </w:pPr>
            <w:r>
              <w:rPr>
                <w:rFonts w:ascii="Times New Roman" w:cs="Times New Roman" w:eastAsia="Times New Roman" w:hAnsi="Times New Roman"/>
                <w:sz w:val="20"/>
                <w:szCs w:val="20"/>
                <w:b w:val="1"/>
                <w:bCs w:val="1"/>
                <w:color w:val="231F20"/>
              </w:rPr>
              <w:t>BALANCE AT YEAR-END 2023</w:t>
            </w:r>
          </w:p>
        </w:tc>
        <w:tc>
          <w:tcPr>
            <w:tcW w:w="180" w:type="dxa"/>
            <w:vAlign w:val="bottom"/>
            <w:tcBorders>
              <w:bottom w:val="single" w:sz="8" w:color="231F20"/>
            </w:tcBorders>
          </w:tcPr>
          <w:p>
            <w:pPr>
              <w:spacing w:after="0"/>
              <w:rPr>
                <w:sz w:val="3"/>
                <w:szCs w:val="3"/>
                <w:color w:val="auto"/>
              </w:rPr>
            </w:pPr>
          </w:p>
        </w:tc>
        <w:tc>
          <w:tcPr>
            <w:tcW w:w="70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70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231F20"/>
            </w:tcBorders>
          </w:tcPr>
          <w:p>
            <w:pPr>
              <w:spacing w:after="0"/>
              <w:rPr>
                <w:sz w:val="3"/>
                <w:szCs w:val="3"/>
                <w:color w:val="auto"/>
              </w:rPr>
            </w:pPr>
          </w:p>
        </w:tc>
        <w:tc>
          <w:tcPr>
            <w:tcW w:w="12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60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96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231F20"/>
            </w:tcBorders>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60" w:type="dxa"/>
            <w:vAlign w:val="bottom"/>
            <w:vMerge w:val="restart"/>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75.8</w:t>
            </w:r>
          </w:p>
        </w:tc>
        <w:tc>
          <w:tcPr>
            <w:tcW w:w="3980" w:type="dxa"/>
            <w:vAlign w:val="bottom"/>
            <w:vMerge w:val="continue"/>
          </w:tcPr>
          <w:p>
            <w:pPr>
              <w:jc w:val="right"/>
              <w:ind w:right="20"/>
              <w:spacing w:after="0" w:line="190" w:lineRule="exact"/>
              <w:rPr>
                <w:sz w:val="20"/>
                <w:szCs w:val="20"/>
                <w:color w:val="auto"/>
              </w:rPr>
            </w:pPr>
            <w:r>
              <w:rPr>
                <w:rFonts w:ascii="Times New Roman" w:cs="Times New Roman" w:eastAsia="Times New Roman" w:hAnsi="Times New Roman"/>
                <w:sz w:val="20"/>
                <w:szCs w:val="20"/>
                <w:b w:val="1"/>
                <w:bCs w:val="1"/>
                <w:color w:val="B8BABC"/>
              </w:rPr>
              <w:t>. . . . . . . .</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(2,332)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2,382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2,382</w:t>
            </w:r>
          </w:p>
        </w:tc>
        <w:tc>
          <w:tcPr>
            <w:tcW w:w="0" w:type="dxa"/>
            <w:vAlign w:val="bottom"/>
          </w:tcPr>
          <w:p>
            <w:pPr>
              <w:spacing w:after="0"/>
              <w:rPr>
                <w:sz w:val="1"/>
                <w:szCs w:val="1"/>
                <w:color w:val="auto"/>
              </w:rPr>
            </w:pPr>
          </w:p>
        </w:tc>
      </w:tr>
      <w:tr>
        <w:trPr>
          <w:trHeight w:val="271"/>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Net income (loss) </w:t>
            </w:r>
            <w:r>
              <w:rPr>
                <w:rFonts w:ascii="Times New Roman" w:cs="Times New Roman" w:eastAsia="Times New Roman" w:hAnsi="Times New Roman"/>
                <w:sz w:val="20"/>
                <w:szCs w:val="20"/>
                <w:color w:val="B8BABC"/>
              </w:rPr>
              <w:t>. . . . . . . . . . . . . . . . . . . . .</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217</w:t>
            </w:r>
          </w:p>
        </w:tc>
        <w:tc>
          <w:tcPr>
            <w:tcW w:w="0" w:type="dxa"/>
            <w:vAlign w:val="bottom"/>
          </w:tcPr>
          <w:p>
            <w:pPr>
              <w:spacing w:after="0"/>
              <w:rPr>
                <w:sz w:val="1"/>
                <w:szCs w:val="1"/>
                <w:color w:val="auto"/>
              </w:rPr>
            </w:pPr>
          </w:p>
        </w:tc>
      </w:tr>
      <w:tr>
        <w:trPr>
          <w:trHeight w:val="285"/>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Foreign currency translation adjustments </w:t>
            </w:r>
            <w:r>
              <w:rPr>
                <w:rFonts w:ascii="Times New Roman" w:cs="Times New Roman" w:eastAsia="Times New Roman" w:hAnsi="Times New Roman"/>
                <w:sz w:val="20"/>
                <w:szCs w:val="20"/>
                <w:color w:val="B8BABC"/>
              </w:rPr>
              <w:t>. .</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0" w:type="dxa"/>
            <w:vAlign w:val="bottom"/>
          </w:tcPr>
          <w:p>
            <w:pPr>
              <w:spacing w:after="0"/>
              <w:rPr>
                <w:sz w:val="1"/>
                <w:szCs w:val="1"/>
                <w:color w:val="auto"/>
              </w:rPr>
            </w:pPr>
          </w:p>
        </w:tc>
      </w:tr>
      <w:tr>
        <w:trPr>
          <w:trHeight w:val="285"/>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Derivative instrument adjustment </w:t>
            </w:r>
            <w:r>
              <w:rPr>
                <w:rFonts w:ascii="Times New Roman" w:cs="Times New Roman" w:eastAsia="Times New Roman" w:hAnsi="Times New Roman"/>
                <w:sz w:val="20"/>
                <w:szCs w:val="20"/>
                <w:color w:val="B8BABC"/>
              </w:rPr>
              <w:t>. . . . . . . .</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85"/>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Share-based compensation plans </w:t>
            </w:r>
            <w:r>
              <w:rPr>
                <w:rFonts w:ascii="Times New Roman" w:cs="Times New Roman" w:eastAsia="Times New Roman" w:hAnsi="Times New Roman"/>
                <w:sz w:val="20"/>
                <w:szCs w:val="20"/>
                <w:color w:val="B8BABC"/>
              </w:rPr>
              <w:t>. . . . . . . . .</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0" w:type="dxa"/>
            <w:vAlign w:val="bottom"/>
          </w:tcPr>
          <w:p>
            <w:pPr>
              <w:spacing w:after="0"/>
              <w:rPr>
                <w:sz w:val="1"/>
                <w:szCs w:val="1"/>
                <w:color w:val="auto"/>
              </w:rPr>
            </w:pPr>
          </w:p>
        </w:tc>
      </w:tr>
      <w:tr>
        <w:trPr>
          <w:trHeight w:val="285"/>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Repurchase of common stock </w:t>
            </w:r>
            <w:r>
              <w:rPr>
                <w:rFonts w:ascii="Times New Roman" w:cs="Times New Roman" w:eastAsia="Times New Roman" w:hAnsi="Times New Roman"/>
                <w:sz w:val="20"/>
                <w:szCs w:val="20"/>
                <w:color w:val="B8BABC"/>
              </w:rPr>
              <w:t>. . . . . . . . . . .</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0" w:type="dxa"/>
            <w:vAlign w:val="bottom"/>
          </w:tcPr>
          <w:p>
            <w:pPr>
              <w:spacing w:after="0"/>
              <w:rPr>
                <w:sz w:val="1"/>
                <w:szCs w:val="1"/>
                <w:color w:val="auto"/>
              </w:rPr>
            </w:pPr>
          </w:p>
        </w:tc>
      </w:tr>
      <w:tr>
        <w:trPr>
          <w:trHeight w:val="285"/>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Dividends </w:t>
            </w:r>
            <w:r>
              <w:rPr>
                <w:rFonts w:ascii="Times New Roman" w:cs="Times New Roman" w:eastAsia="Times New Roman" w:hAnsi="Times New Roman"/>
                <w:sz w:val="20"/>
                <w:szCs w:val="20"/>
                <w:color w:val="B8BABC"/>
              </w:rPr>
              <w:t>. . . . . . . . . . . . . . . . . . . . . . . . . . .</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(108)</w:t>
            </w:r>
          </w:p>
        </w:tc>
        <w:tc>
          <w:tcPr>
            <w:tcW w:w="0" w:type="dxa"/>
            <w:vAlign w:val="bottom"/>
          </w:tcPr>
          <w:p>
            <w:pPr>
              <w:spacing w:after="0"/>
              <w:rPr>
                <w:sz w:val="1"/>
                <w:szCs w:val="1"/>
                <w:color w:val="auto"/>
              </w:rPr>
            </w:pPr>
          </w:p>
        </w:tc>
      </w:tr>
      <w:tr>
        <w:trPr>
          <w:trHeight w:val="41"/>
        </w:trPr>
        <w:tc>
          <w:tcPr>
            <w:tcW w:w="860" w:type="dxa"/>
            <w:vAlign w:val="bottom"/>
            <w:tcBorders>
              <w:bottom w:val="single" w:sz="8" w:color="231F20"/>
            </w:tcBorders>
          </w:tcPr>
          <w:p>
            <w:pPr>
              <w:spacing w:after="0"/>
              <w:rPr>
                <w:sz w:val="3"/>
                <w:szCs w:val="3"/>
                <w:color w:val="auto"/>
              </w:rPr>
            </w:pPr>
          </w:p>
        </w:tc>
        <w:tc>
          <w:tcPr>
            <w:tcW w:w="3980" w:type="dxa"/>
            <w:vAlign w:val="bottom"/>
            <w:vMerge w:val="restart"/>
          </w:tcPr>
          <w:p>
            <w:pPr>
              <w:jc w:val="right"/>
              <w:ind w:right="900"/>
              <w:spacing w:after="0"/>
              <w:rPr>
                <w:sz w:val="20"/>
                <w:szCs w:val="20"/>
                <w:color w:val="auto"/>
              </w:rPr>
            </w:pPr>
            <w:r>
              <w:rPr>
                <w:rFonts w:ascii="Times New Roman" w:cs="Times New Roman" w:eastAsia="Times New Roman" w:hAnsi="Times New Roman"/>
                <w:sz w:val="20"/>
                <w:szCs w:val="20"/>
                <w:b w:val="1"/>
                <w:bCs w:val="1"/>
                <w:color w:val="231F20"/>
              </w:rPr>
              <w:t>BALANCE AT YEAR-END 2024</w:t>
            </w:r>
          </w:p>
        </w:tc>
        <w:tc>
          <w:tcPr>
            <w:tcW w:w="180" w:type="dxa"/>
            <w:vAlign w:val="bottom"/>
            <w:tcBorders>
              <w:bottom w:val="single" w:sz="8" w:color="231F20"/>
            </w:tcBorders>
          </w:tcPr>
          <w:p>
            <w:pPr>
              <w:spacing w:after="0"/>
              <w:rPr>
                <w:sz w:val="3"/>
                <w:szCs w:val="3"/>
                <w:color w:val="auto"/>
              </w:rPr>
            </w:pPr>
          </w:p>
        </w:tc>
        <w:tc>
          <w:tcPr>
            <w:tcW w:w="70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70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231F20"/>
            </w:tcBorders>
          </w:tcPr>
          <w:p>
            <w:pPr>
              <w:spacing w:after="0"/>
              <w:rPr>
                <w:sz w:val="3"/>
                <w:szCs w:val="3"/>
                <w:color w:val="auto"/>
              </w:rPr>
            </w:pPr>
          </w:p>
        </w:tc>
        <w:tc>
          <w:tcPr>
            <w:tcW w:w="124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60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96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231F20"/>
            </w:tcBorders>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60" w:type="dxa"/>
            <w:vAlign w:val="bottom"/>
            <w:vMerge w:val="restart"/>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75.9</w:t>
            </w:r>
          </w:p>
        </w:tc>
        <w:tc>
          <w:tcPr>
            <w:tcW w:w="3980" w:type="dxa"/>
            <w:vAlign w:val="bottom"/>
            <w:vMerge w:val="continue"/>
          </w:tcPr>
          <w:p>
            <w:pPr>
              <w:jc w:val="right"/>
              <w:ind w:right="20"/>
              <w:spacing w:after="0" w:line="190" w:lineRule="exact"/>
              <w:rPr>
                <w:sz w:val="20"/>
                <w:szCs w:val="20"/>
                <w:color w:val="auto"/>
              </w:rPr>
            </w:pPr>
            <w:r>
              <w:rPr>
                <w:rFonts w:ascii="Times New Roman" w:cs="Times New Roman" w:eastAsia="Times New Roman" w:hAnsi="Times New Roman"/>
                <w:sz w:val="20"/>
                <w:szCs w:val="20"/>
                <w:b w:val="1"/>
                <w:bCs w:val="1"/>
                <w:color w:val="B8BABC"/>
              </w:rPr>
              <w:t>. . . . . . . .</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3,975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2,442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2,441</w:t>
            </w:r>
          </w:p>
        </w:tc>
        <w:tc>
          <w:tcPr>
            <w:tcW w:w="0" w:type="dxa"/>
            <w:vAlign w:val="bottom"/>
          </w:tcPr>
          <w:p>
            <w:pPr>
              <w:spacing w:after="0"/>
              <w:rPr>
                <w:sz w:val="1"/>
                <w:szCs w:val="1"/>
                <w:color w:val="auto"/>
              </w:rPr>
            </w:pPr>
          </w:p>
        </w:tc>
      </w:tr>
      <w:tr>
        <w:trPr>
          <w:trHeight w:val="271"/>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Net (loss) income </w:t>
            </w:r>
            <w:r>
              <w:rPr>
                <w:rFonts w:ascii="Times New Roman" w:cs="Times New Roman" w:eastAsia="Times New Roman" w:hAnsi="Times New Roman"/>
                <w:sz w:val="20"/>
                <w:szCs w:val="20"/>
                <w:color w:val="B8BABC"/>
              </w:rPr>
              <w:t>. . . . . . . . . . . . . . . . . . . . .</w:t>
            </w: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(308)</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(307)</w:t>
            </w:r>
          </w:p>
        </w:tc>
        <w:tc>
          <w:tcPr>
            <w:tcW w:w="0" w:type="dxa"/>
            <w:vAlign w:val="bottom"/>
          </w:tcPr>
          <w:p>
            <w:pPr>
              <w:spacing w:after="0"/>
              <w:rPr>
                <w:sz w:val="1"/>
                <w:szCs w:val="1"/>
                <w:color w:val="auto"/>
              </w:rPr>
            </w:pPr>
          </w:p>
        </w:tc>
      </w:tr>
      <w:tr>
        <w:trPr>
          <w:trHeight w:val="285"/>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Foreign currency translation adjustments </w:t>
            </w:r>
            <w:r>
              <w:rPr>
                <w:rFonts w:ascii="Times New Roman" w:cs="Times New Roman" w:eastAsia="Times New Roman" w:hAnsi="Times New Roman"/>
                <w:sz w:val="20"/>
                <w:szCs w:val="20"/>
                <w:color w:val="B8BABC"/>
              </w:rPr>
              <w:t>. .</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85"/>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Share-based compensation plans </w:t>
            </w:r>
            <w:r>
              <w:rPr>
                <w:rFonts w:ascii="Times New Roman" w:cs="Times New Roman" w:eastAsia="Times New Roman" w:hAnsi="Times New Roman"/>
                <w:sz w:val="20"/>
                <w:szCs w:val="20"/>
                <w:color w:val="B8BABC"/>
              </w:rPr>
              <w:t>. . . . . . . . .</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0" w:type="dxa"/>
            <w:vAlign w:val="bottom"/>
          </w:tcPr>
          <w:p>
            <w:pPr>
              <w:spacing w:after="0"/>
              <w:rPr>
                <w:sz w:val="1"/>
                <w:szCs w:val="1"/>
                <w:color w:val="auto"/>
              </w:rPr>
            </w:pPr>
          </w:p>
        </w:tc>
      </w:tr>
      <w:tr>
        <w:trPr>
          <w:trHeight w:val="285"/>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Repurchase of common stock </w:t>
            </w:r>
            <w:r>
              <w:rPr>
                <w:rFonts w:ascii="Times New Roman" w:cs="Times New Roman" w:eastAsia="Times New Roman" w:hAnsi="Times New Roman"/>
                <w:sz w:val="20"/>
                <w:szCs w:val="20"/>
                <w:color w:val="B8BABC"/>
              </w:rPr>
              <w:t>. . . . . . . . . . .</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0" w:type="dxa"/>
            <w:vAlign w:val="bottom"/>
          </w:tcPr>
          <w:p>
            <w:pPr>
              <w:spacing w:after="0"/>
              <w:rPr>
                <w:sz w:val="1"/>
                <w:szCs w:val="1"/>
                <w:color w:val="auto"/>
              </w:rPr>
            </w:pPr>
          </w:p>
        </w:tc>
      </w:tr>
      <w:tr>
        <w:trPr>
          <w:trHeight w:val="285"/>
        </w:trPr>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 xml:space="preserve">Dividends </w:t>
            </w:r>
            <w:r>
              <w:rPr>
                <w:rFonts w:ascii="Times New Roman" w:cs="Times New Roman" w:eastAsia="Times New Roman" w:hAnsi="Times New Roman"/>
                <w:sz w:val="20"/>
                <w:szCs w:val="20"/>
                <w:color w:val="B8BABC"/>
              </w:rPr>
              <w:t>. . . . . . . . . . . . . . . . . . . . . . . . . . .</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(110)</w:t>
            </w:r>
          </w:p>
        </w:tc>
        <w:tc>
          <w:tcPr>
            <w:tcW w:w="0" w:type="dxa"/>
            <w:vAlign w:val="bottom"/>
          </w:tcPr>
          <w:p>
            <w:pPr>
              <w:spacing w:after="0"/>
              <w:rPr>
                <w:sz w:val="1"/>
                <w:szCs w:val="1"/>
                <w:color w:val="auto"/>
              </w:rPr>
            </w:pPr>
          </w:p>
        </w:tc>
      </w:tr>
      <w:tr>
        <w:trPr>
          <w:trHeight w:val="41"/>
        </w:trPr>
        <w:tc>
          <w:tcPr>
            <w:tcW w:w="860" w:type="dxa"/>
            <w:vAlign w:val="bottom"/>
            <w:tcBorders>
              <w:bottom w:val="single" w:sz="8" w:color="231F20"/>
            </w:tcBorders>
          </w:tcPr>
          <w:p>
            <w:pPr>
              <w:spacing w:after="0"/>
              <w:rPr>
                <w:sz w:val="3"/>
                <w:szCs w:val="3"/>
                <w:color w:val="auto"/>
              </w:rPr>
            </w:pPr>
          </w:p>
        </w:tc>
        <w:tc>
          <w:tcPr>
            <w:tcW w:w="3980" w:type="dxa"/>
            <w:vAlign w:val="bottom"/>
            <w:vMerge w:val="restart"/>
          </w:tcPr>
          <w:p>
            <w:pPr>
              <w:jc w:val="right"/>
              <w:ind w:right="900"/>
              <w:spacing w:after="0"/>
              <w:rPr>
                <w:sz w:val="20"/>
                <w:szCs w:val="20"/>
                <w:color w:val="auto"/>
              </w:rPr>
            </w:pPr>
            <w:r>
              <w:rPr>
                <w:rFonts w:ascii="Times New Roman" w:cs="Times New Roman" w:eastAsia="Times New Roman" w:hAnsi="Times New Roman"/>
                <w:sz w:val="20"/>
                <w:szCs w:val="20"/>
                <w:b w:val="1"/>
                <w:bCs w:val="1"/>
                <w:color w:val="231F20"/>
              </w:rPr>
              <w:t>BALANCE AT YEAR-END 2025</w:t>
            </w:r>
          </w:p>
        </w:tc>
        <w:tc>
          <w:tcPr>
            <w:tcW w:w="180" w:type="dxa"/>
            <w:vAlign w:val="bottom"/>
            <w:tcBorders>
              <w:bottom w:val="single" w:sz="8" w:color="231F20"/>
            </w:tcBorders>
          </w:tcPr>
          <w:p>
            <w:pPr>
              <w:spacing w:after="0"/>
              <w:rPr>
                <w:sz w:val="3"/>
                <w:szCs w:val="3"/>
                <w:color w:val="auto"/>
              </w:rPr>
            </w:pPr>
          </w:p>
        </w:tc>
        <w:tc>
          <w:tcPr>
            <w:tcW w:w="700" w:type="dxa"/>
            <w:vAlign w:val="bottom"/>
            <w:tcBorders>
              <w:bottom w:val="single" w:sz="8" w:color="231F20"/>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700" w:type="dxa"/>
            <w:vAlign w:val="bottom"/>
            <w:tcBorders>
              <w:bottom w:val="single" w:sz="8" w:color="231F20"/>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40" w:type="dxa"/>
            <w:vAlign w:val="bottom"/>
            <w:tcBorders>
              <w:bottom w:val="single" w:sz="8" w:color="231F20"/>
            </w:tcBorders>
          </w:tcPr>
          <w:p>
            <w:pPr>
              <w:spacing w:after="0"/>
              <w:rPr>
                <w:sz w:val="3"/>
                <w:szCs w:val="3"/>
                <w:color w:val="auto"/>
              </w:rPr>
            </w:pPr>
          </w:p>
        </w:tc>
        <w:tc>
          <w:tcPr>
            <w:tcW w:w="1240" w:type="dxa"/>
            <w:vAlign w:val="bottom"/>
            <w:tcBorders>
              <w:bottom w:val="single" w:sz="8" w:color="231F20"/>
            </w:tcBorders>
          </w:tcPr>
          <w:p>
            <w:pPr>
              <w:spacing w:after="0"/>
              <w:rPr>
                <w:sz w:val="3"/>
                <w:szCs w:val="3"/>
                <w:color w:val="auto"/>
              </w:rPr>
            </w:pPr>
          </w:p>
        </w:tc>
        <w:tc>
          <w:tcPr>
            <w:tcW w:w="60" w:type="dxa"/>
            <w:vAlign w:val="bottom"/>
            <w:vMerge w:val="restart"/>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600" w:type="dxa"/>
            <w:vAlign w:val="bottom"/>
            <w:tcBorders>
              <w:bottom w:val="single" w:sz="8" w:color="231F20"/>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960" w:type="dxa"/>
            <w:vAlign w:val="bottom"/>
            <w:tcBorders>
              <w:bottom w:val="single" w:sz="8" w:color="231F20"/>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20" w:type="dxa"/>
            <w:vAlign w:val="bottom"/>
            <w:tcBorders>
              <w:bottom w:val="single" w:sz="8" w:color="231F20"/>
            </w:tcBorders>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60" w:type="dxa"/>
            <w:vAlign w:val="bottom"/>
            <w:vMerge w:val="restart"/>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75.9</w:t>
            </w:r>
          </w:p>
        </w:tc>
        <w:tc>
          <w:tcPr>
            <w:tcW w:w="3980" w:type="dxa"/>
            <w:vAlign w:val="bottom"/>
            <w:vMerge w:val="continue"/>
          </w:tcPr>
          <w:p>
            <w:pPr>
              <w:jc w:val="right"/>
              <w:ind w:right="20"/>
              <w:spacing w:after="0" w:line="190" w:lineRule="exact"/>
              <w:rPr>
                <w:sz w:val="20"/>
                <w:szCs w:val="20"/>
                <w:color w:val="auto"/>
              </w:rPr>
            </w:pPr>
            <w:r>
              <w:rPr>
                <w:rFonts w:ascii="Times New Roman" w:cs="Times New Roman" w:eastAsia="Times New Roman" w:hAnsi="Times New Roman"/>
                <w:sz w:val="20"/>
                <w:szCs w:val="20"/>
                <w:b w:val="1"/>
                <w:bCs w:val="1"/>
                <w:color w:val="B8BABC"/>
              </w:rPr>
              <w:t>. . . . . . . .</w:t>
            </w:r>
          </w:p>
        </w:tc>
        <w:tc>
          <w:tcPr>
            <w:tcW w:w="18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w w:val="99"/>
              </w:rPr>
              <w:t>$</w:t>
            </w: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vMerge w:val="continue"/>
          </w:tcPr>
          <w:p>
            <w:pPr>
              <w:spacing w:after="0"/>
              <w:rPr>
                <w:sz w:val="21"/>
                <w:szCs w:val="21"/>
                <w:color w:val="auto"/>
              </w:rPr>
            </w:pPr>
          </w:p>
        </w:tc>
        <w:tc>
          <w:tcPr>
            <w:tcW w:w="18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w w:val="99"/>
              </w:rPr>
              <w:t>$</w:t>
            </w: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(2,427)</w:t>
            </w:r>
          </w:p>
        </w:tc>
        <w:tc>
          <w:tcPr>
            <w:tcW w:w="60" w:type="dxa"/>
            <w:vAlign w:val="bottom"/>
            <w:vMerge w:val="continue"/>
          </w:tcPr>
          <w:p>
            <w:pPr>
              <w:spacing w:after="0"/>
              <w:rPr>
                <w:sz w:val="21"/>
                <w:szCs w:val="21"/>
                <w:color w:val="auto"/>
              </w:rPr>
            </w:pPr>
          </w:p>
        </w:tc>
        <w:tc>
          <w:tcPr>
            <w:tcW w:w="18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w w:val="99"/>
              </w:rPr>
              <w:t>$</w:t>
            </w: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3,996</w:t>
            </w:r>
          </w:p>
        </w:tc>
        <w:tc>
          <w:tcPr>
            <w:tcW w:w="60" w:type="dxa"/>
            <w:vAlign w:val="bottom"/>
            <w:vMerge w:val="continue"/>
          </w:tcPr>
          <w:p>
            <w:pPr>
              <w:spacing w:after="0"/>
              <w:rPr>
                <w:sz w:val="21"/>
                <w:szCs w:val="21"/>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60" w:type="dxa"/>
            <w:vAlign w:val="bottom"/>
            <w:vMerge w:val="continue"/>
          </w:tcPr>
          <w:p>
            <w:pPr>
              <w:spacing w:after="0"/>
              <w:rPr>
                <w:sz w:val="21"/>
                <w:szCs w:val="21"/>
                <w:color w:val="auto"/>
              </w:rPr>
            </w:pPr>
          </w:p>
        </w:tc>
        <w:tc>
          <w:tcPr>
            <w:tcW w:w="3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434</w:t>
            </w:r>
          </w:p>
        </w:tc>
        <w:tc>
          <w:tcPr>
            <w:tcW w:w="60" w:type="dxa"/>
            <w:vAlign w:val="bottom"/>
            <w:vMerge w:val="continue"/>
          </w:tcPr>
          <w:p>
            <w:pPr>
              <w:spacing w:after="0"/>
              <w:rPr>
                <w:sz w:val="21"/>
                <w:szCs w:val="21"/>
                <w:color w:val="auto"/>
              </w:rPr>
            </w:pPr>
          </w:p>
        </w:tc>
        <w:tc>
          <w:tcPr>
            <w:tcW w:w="26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1,993</w:t>
            </w:r>
          </w:p>
        </w:tc>
        <w:tc>
          <w:tcPr>
            <w:tcW w:w="60" w:type="dxa"/>
            <w:vAlign w:val="bottom"/>
            <w:vMerge w:val="continue"/>
          </w:tcPr>
          <w:p>
            <w:pPr>
              <w:spacing w:after="0"/>
              <w:rPr>
                <w:sz w:val="21"/>
                <w:szCs w:val="21"/>
                <w:color w:val="auto"/>
              </w:rPr>
            </w:pPr>
          </w:p>
        </w:tc>
        <w:tc>
          <w:tcPr>
            <w:tcW w:w="22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vMerge w:val="continue"/>
          </w:tcPr>
          <w:p>
            <w:pPr>
              <w:spacing w:after="0"/>
              <w:rPr>
                <w:sz w:val="21"/>
                <w:szCs w:val="21"/>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$ 1,993</w:t>
            </w:r>
          </w:p>
        </w:tc>
        <w:tc>
          <w:tcPr>
            <w:tcW w:w="0" w:type="dxa"/>
            <w:vAlign w:val="bottom"/>
          </w:tcPr>
          <w:p>
            <w:pPr>
              <w:spacing w:after="0"/>
              <w:rPr>
                <w:sz w:val="1"/>
                <w:szCs w:val="1"/>
                <w:color w:val="auto"/>
              </w:rPr>
            </w:pPr>
          </w:p>
        </w:tc>
      </w:tr>
      <w:tr>
        <w:trPr>
          <w:trHeight w:val="20"/>
        </w:trPr>
        <w:tc>
          <w:tcPr>
            <w:tcW w:w="860" w:type="dxa"/>
            <w:vAlign w:val="bottom"/>
            <w:tcBorders>
              <w:bottom w:val="single" w:sz="8" w:color="231F20"/>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See Notes to Consolidated Financial Statements</w:t>
      </w:r>
    </w:p>
    <w:p>
      <w:pPr>
        <w:sectPr>
          <w:pgSz w:w="15480" w:h="11880" w:orient="landscape"/>
          <w:cols w:equalWidth="0" w:num="1">
            <w:col w:w="13320"/>
          </w:cols>
          <w:pgMar w:left="1080" w:top="797"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78</w:t>
      </w:r>
    </w:p>
    <w:p>
      <w:pPr>
        <w:sectPr>
          <w:pgSz w:w="15480" w:h="11880" w:orient="landscape"/>
          <w:cols w:equalWidth="0" w:num="1">
            <w:col w:w="13320"/>
          </w:cols>
          <w:pgMar w:left="1080" w:top="797" w:right="1080" w:bottom="0" w:gutter="0" w:footer="0" w:header="0"/>
          <w:type w:val="continuous"/>
        </w:sectPr>
      </w:pPr>
    </w:p>
    <w:bookmarkStart w:id="82" w:name="page83"/>
    <w:bookmarkEnd w:id="82"/>
    <w:p>
      <w:pPr>
        <w:ind w:left="2200"/>
        <w:spacing w:after="0"/>
        <w:rPr>
          <w:sz w:val="20"/>
          <w:szCs w:val="20"/>
          <w:color w:val="auto"/>
        </w:rPr>
      </w:pPr>
      <w:r>
        <w:rPr>
          <w:rFonts w:ascii="Times New Roman" w:cs="Times New Roman" w:eastAsia="Times New Roman" w:hAnsi="Times New Roman"/>
          <w:sz w:val="20"/>
          <w:szCs w:val="20"/>
          <w:b w:val="1"/>
          <w:bCs w:val="1"/>
          <w:color w:val="231F20"/>
        </w:rPr>
        <w:t>MARRIOTT VACATIONS WORLDWIDE CORPORATION</w:t>
      </w:r>
    </w:p>
    <w:p>
      <w:pPr>
        <w:spacing w:after="0" w:line="3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 BASIS OF PRESENTATION</w:t>
      </w:r>
    </w:p>
    <w:p>
      <w:pPr>
        <w:spacing w:after="0" w:line="13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231F20"/>
        </w:rPr>
        <w:t>The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Consolidated Financial Statements as our “Financial Statements,” (ii) our Consolidated Statements of Income as our “Income Statements,” (iii) our Consolidated Balance Sheets as our “Balance Sheets,” and (iv) our Consolidated Statements of Cash Flows as our “Cash Flows.” In addition, references throughout to numbered “Footnotes” refer to the numbered notes in the Financial Statements, unless otherwise noted. We refer to Marriott International, Inc. as “Marriott International” and Marriott International’s Marriott Bonvoy customer loyalty program as “Marriott Bonvoy.” Additionally, we use the term “Marriott Vacation Ownership” to refer to our Marriott, Sheraton, and Westin branded businesses and the term “Hyatt Vacation Ownership” to refer to our Hyatt branded business. We also use certain other terms that are defined within these Financial Statements.</w:t>
      </w:r>
    </w:p>
    <w:p>
      <w:pPr>
        <w:spacing w:after="0" w:line="8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231F20"/>
        </w:rPr>
        <w:t>The Financial Statements presented herein and discussed below include 100% of the assets, liabilities, revenues, expenses, and cash flows of Marriott Vacations Worldwide, all entities in which Marriott Vacations Worldwide has a controlling voting interest (“subsidiaries”), and those variable interest entities (“VIEs”) for which Marriott Vacations Worldwide is the primary beneficiary in accordance with consolidation accounting guidance. References in these Financial Statements to net income attributable to common stockholders and MVW stockholders’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9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goodwill and intangibles valuation, vacation ownership notes receivable reserves, income taxes, and loss contingencies. The uncertainties in the broader macroeconomic environment, including inflation, continuing high interest rates, mixed economic indicators, increased consumer debt, continuing global insecurity and political uncertainty, have made it more challenging to make these estimates. Actual results could differ from our estimates, and such differences may be material.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Reclassifications</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For the year ended December 31, 2025, we separately presented Modernization expense in our Income Statements. As a result, prior year amounts were reclassified from Restructuring expense to conform to the current year presentation. Additionally during the year ended December 31, 2025, we reclassified $6 million of certain amounts related to ongoing litigation from General and administrative expense to Litigation charges in order to conform our 2024 results with our current year presentation.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Acquisition of Welk</w:t>
      </w:r>
    </w:p>
    <w:p>
      <w:pPr>
        <w:spacing w:after="0" w:line="13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On April 1, 2021 (the “Welk Acquisition Date”), we completed the acquisition of Welk Hospitality Group, Inc. (“Welk”) through a series of transactions (the “Welk Acquisition”), after which Welk became our indirect wholly-owned subsidiary. We refer to the business and brand that we acquired in the Welk Acquisition as “Legacy-Welk.” During 2023, we rebranded all Legacy-Welk resorts as Hyatt Vacation Club resorts.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Acquisition of ILG</w:t>
      </w:r>
    </w:p>
    <w:p>
      <w:pPr>
        <w:spacing w:after="0" w:line="13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231F20"/>
        </w:rPr>
        <w:t>On September 1, 2018, we completed the acquisition of ILG, LLC, formerly known as ILG, Inc. (“ILG”), through a series of transactions (the “ILG Acquisition”), after which ILG became our indirect wholly-owned subsidiary. We refer to our business associated with brands that existed prior to the ILG Acquisition as “Legacy-MVW” and to ILG’s business and brands that we acquired as “Legacy-ILG.” The businesses acquired from ILG that we currently operate as part of our Vacation Ownership business include Vistana Signature Experiences, which includes vacation ownership products branded as Sheraton or Westin, and Hyatt Vacation Ownership. The businesses acquired from ILG that we currently operate as part of our Exchange &amp; Third-Party Management business include Interval International and Aqua-Aston Hospitality.</w:t>
      </w:r>
    </w:p>
    <w:p>
      <w:pPr>
        <w:sectPr>
          <w:pgSz w:w="11880" w:h="15480" w:orient="portrait"/>
          <w:cols w:equalWidth="0" w:num="1">
            <w:col w:w="9700"/>
          </w:cols>
          <w:pgMar w:left="1080" w:top="651" w:right="1100" w:bottom="0" w:gutter="0" w:footer="0" w:header="0"/>
        </w:sect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79</w:t>
      </w:r>
    </w:p>
    <w:p>
      <w:pPr>
        <w:sectPr>
          <w:pgSz w:w="11880" w:h="15480" w:orient="portrait"/>
          <w:cols w:equalWidth="0" w:num="1">
            <w:col w:w="9700"/>
          </w:cols>
          <w:pgMar w:left="1080" w:top="651" w:right="1100" w:bottom="0" w:gutter="0" w:footer="0" w:header="0"/>
          <w:type w:val="continuous"/>
        </w:sectPr>
      </w:pPr>
    </w:p>
    <w:bookmarkStart w:id="83" w:name="page84"/>
    <w:bookmarkEnd w:id="83"/>
    <w:p>
      <w:pPr>
        <w:ind w:right="4260"/>
        <w:spacing w:after="0" w:line="377" w:lineRule="auto"/>
        <w:rPr>
          <w:sz w:val="20"/>
          <w:szCs w:val="20"/>
          <w:color w:val="auto"/>
        </w:rPr>
      </w:pPr>
      <w:r>
        <w:rPr>
          <w:rFonts w:ascii="Times New Roman" w:cs="Times New Roman" w:eastAsia="Times New Roman" w:hAnsi="Times New Roman"/>
          <w:sz w:val="20"/>
          <w:szCs w:val="20"/>
          <w:b w:val="1"/>
          <w:bCs w:val="1"/>
          <w:color w:val="231F20"/>
        </w:rPr>
        <w:t xml:space="preserve">2. SUMMARY OF SIGNIFICANT ACCOUNTING POLICIES </w:t>
      </w:r>
      <w:r>
        <w:rPr>
          <w:rFonts w:ascii="Times New Roman" w:cs="Times New Roman" w:eastAsia="Times New Roman" w:hAnsi="Times New Roman"/>
          <w:sz w:val="20"/>
          <w:szCs w:val="20"/>
          <w:b w:val="1"/>
          <w:bCs w:val="1"/>
          <w:i w:val="1"/>
          <w:iCs w:val="1"/>
          <w:color w:val="231F20"/>
        </w:rPr>
        <w:t>Revenue Recognition</w:t>
      </w:r>
    </w:p>
    <w:p>
      <w:pPr>
        <w:spacing w:after="0" w:line="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20"/>
          <w:szCs w:val="20"/>
          <w:color w:val="231F20"/>
        </w:rPr>
        <w:t>We account for revenue in accordance with Accounting Standards Codification (“ASC”) Topic 606, “</w:t>
      </w:r>
      <w:r>
        <w:rPr>
          <w:rFonts w:ascii="Times New Roman" w:cs="Times New Roman" w:eastAsia="Times New Roman" w:hAnsi="Times New Roman"/>
          <w:sz w:val="20"/>
          <w:szCs w:val="20"/>
          <w:i w:val="1"/>
          <w:iCs w:val="1"/>
          <w:color w:val="231F20"/>
        </w:rPr>
        <w:t>Revenue from</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Contracts with Customers</w:t>
      </w:r>
      <w:r>
        <w:rPr>
          <w:rFonts w:ascii="Times New Roman" w:cs="Times New Roman" w:eastAsia="Times New Roman" w:hAnsi="Times New Roman"/>
          <w:sz w:val="20"/>
          <w:szCs w:val="20"/>
          <w:color w:val="231F20"/>
        </w:rPr>
        <w:t>” (“ASC 606”).</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Sale of Vacation Ownership Products</w:t>
      </w:r>
    </w:p>
    <w:p>
      <w:pPr>
        <w:spacing w:after="0" w:line="13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231F20"/>
        </w:rPr>
        <w:t>We market and sell vacation ownership products in our Vacation Ownership segment. Vacation ownership products include deeded vacation ownership products, deeded beneficial interests, rights to use real estate and other interests in trusts that solely hold real estate (collectively “vacation ownership products” or “VOIs”). Vacation ownership products may be sold for cash or we may provide financing.</w:t>
      </w:r>
    </w:p>
    <w:p>
      <w:pPr>
        <w:spacing w:after="0" w:line="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In connection with the sale of vacation ownership products, we provide sales incentives to certain purchasers. Incentives typically include Marriott Bonvoy points, Hyatt’s customer loyalty program points (“World of Hyatt” points), or an alternative sales incentive that we refer to as “plus points.” Plus points are redeemable for stays at our resorts or for use in an exclusive selection of travel packages provided by third-party tour operators (the “Explorer Collection” or “BEYOND”), generally up to two years from the date of issuance.</w:t>
      </w:r>
    </w:p>
    <w:p>
      <w:pPr>
        <w:spacing w:after="0" w:line="8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231F20"/>
        </w:rPr>
        <w:t>Upon execution of a legal sales agreement, we typically receive an upfront deposit from our customer with the remainder of the purchase price for the vacation ownership product to either be collected at closing (“cash contract”) or financed by the customer through our financing programs (“financed contract”). Refer to “</w:t>
      </w:r>
      <w:r>
        <w:rPr>
          <w:rFonts w:ascii="Times New Roman" w:cs="Times New Roman" w:eastAsia="Times New Roman" w:hAnsi="Times New Roman"/>
          <w:sz w:val="19"/>
          <w:szCs w:val="19"/>
          <w:i w:val="1"/>
          <w:iCs w:val="1"/>
          <w:color w:val="231F20"/>
        </w:rPr>
        <w:t>Financing Revenues</w:t>
      </w:r>
      <w:r>
        <w:rPr>
          <w:rFonts w:ascii="Times New Roman" w:cs="Times New Roman" w:eastAsia="Times New Roman" w:hAnsi="Times New Roman"/>
          <w:sz w:val="19"/>
          <w:szCs w:val="19"/>
          <w:color w:val="231F20"/>
        </w:rPr>
        <w:t>” below for further information regarding financing terms. Customer deposits received for contracts are recorded as Advance deposits on our Balance Sheets until the point in time at which control of the vacation ownership product has transferred to the customer.</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231F20"/>
        </w:rPr>
        <w:t>Our assessment of collectability of the transaction price for sales of vacation ownership products is aligned with our credit granting policies for financed contracts. In determining the consideration to which we expect to be entitled for financed contracts, we include estimated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the customer class and the results of our static pool analyses, which primarily rely on historical payment data by customer class. We use the origination of vacation ownership notes receivable and the FICO scores of the customer by brand as the primary credit quality indicators, as historical performance indicates that there is a relationship between the default behavior of borrowers by FICO score and the brand associated with the VOI they have acquired. Variable consideration which has not been included within the transaction price is presented as a reserve on contracts receivable or vacation ownership notes receivable. Revisions to estimates of variable consideration from the sale of vacation ownership products impact the reserve on contracts receivable and originated vacation ownership notes receivable and can increase or decrease revenue. Revenues were reduced during 2025 by $10 million due to changes in our estimates of variable consideration for performance obligations that were satisfied in prior periods. Additionally, revenues were reduced during 2024 and 2023 by $68 million and $69 million, respectively, due to changes in our estimates of variable consideration for performance obligations that were satisfied in prior periods due to the increase in our reserve for originated vacation ownership notes receivable.</w:t>
      </w:r>
    </w:p>
    <w:p>
      <w:pPr>
        <w:spacing w:after="0" w:line="84" w:lineRule="exact"/>
        <w:rPr>
          <w:sz w:val="20"/>
          <w:szCs w:val="20"/>
          <w:color w:val="auto"/>
        </w:rPr>
      </w:pPr>
    </w:p>
    <w:p>
      <w:pPr>
        <w:ind w:right="860"/>
        <w:spacing w:after="0" w:line="281" w:lineRule="auto"/>
        <w:rPr>
          <w:sz w:val="20"/>
          <w:szCs w:val="20"/>
          <w:color w:val="auto"/>
        </w:rPr>
      </w:pPr>
      <w:r>
        <w:rPr>
          <w:rFonts w:ascii="Times New Roman" w:cs="Times New Roman" w:eastAsia="Times New Roman" w:hAnsi="Times New Roman"/>
          <w:sz w:val="20"/>
          <w:szCs w:val="20"/>
          <w:color w:val="231F20"/>
        </w:rPr>
        <w:t>See Footnote 5 “Vacation Ownership Notes Receivable” for additional information on our reserve for vacation ownership notes receivable and adjustments recorded for the years presented.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 addition, we account for cash incentives provided to customers as a reduction of the transaction price. Refer to</w:t>
      </w:r>
    </w:p>
    <w:p>
      <w:pPr>
        <w:spacing w:after="0" w:line="3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Arrangements with Multiple Performance Obligations</w:t>
      </w:r>
      <w:r>
        <w:rPr>
          <w:rFonts w:ascii="Times New Roman" w:cs="Times New Roman" w:eastAsia="Times New Roman" w:hAnsi="Times New Roman"/>
          <w:sz w:val="20"/>
          <w:szCs w:val="20"/>
          <w:color w:val="231F20"/>
        </w:rPr>
        <w:t>” below for a description of our methods of allocating transaction price to each performance obligation.</w:t>
      </w:r>
    </w:p>
    <w:p>
      <w:pPr>
        <w:spacing w:after="0" w:line="8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231F20"/>
        </w:rPr>
        <w:t>We recognize revenues from the sale of vacation ownership products when control of the vacation ownership product is transferred to the customer and the transaction price is deemed collectible, which typically correlates to expiration of the statutory rescission period.</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231F20"/>
        </w:rPr>
        <w:t>At the time at which we recognize revenue for VOIs, we temporarily record a contract receivable for both cash contracts and financed contracts, until the time at which we collect the cash or originate a vacation ownership note receivable, which occurs at closing.</w:t>
      </w:r>
    </w:p>
    <w:p>
      <w:pPr>
        <w:sectPr>
          <w:pgSz w:w="11880" w:h="15480" w:orient="portrait"/>
          <w:cols w:equalWidth="0" w:num="1">
            <w:col w:w="9720"/>
          </w:cols>
          <w:pgMar w:left="1080" w:top="83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80</w:t>
      </w:r>
    </w:p>
    <w:p>
      <w:pPr>
        <w:sectPr>
          <w:pgSz w:w="11880" w:h="15480" w:orient="portrait"/>
          <w:cols w:equalWidth="0" w:num="1">
            <w:col w:w="9720"/>
          </w:cols>
          <w:pgMar w:left="1080" w:top="831" w:right="1080" w:bottom="0" w:gutter="0" w:footer="0" w:header="0"/>
          <w:type w:val="continuous"/>
        </w:sectPr>
      </w:pPr>
    </w:p>
    <w:bookmarkStart w:id="84" w:name="page85"/>
    <w:bookmarkEnd w:id="84"/>
    <w:p>
      <w:pPr>
        <w:ind w:right="100"/>
        <w:spacing w:after="0" w:line="272" w:lineRule="auto"/>
        <w:rPr>
          <w:sz w:val="20"/>
          <w:szCs w:val="20"/>
          <w:color w:val="auto"/>
        </w:rPr>
      </w:pPr>
      <w:r>
        <w:rPr>
          <w:rFonts w:ascii="Times New Roman" w:cs="Times New Roman" w:eastAsia="Times New Roman" w:hAnsi="Times New Roman"/>
          <w:sz w:val="19"/>
          <w:szCs w:val="19"/>
          <w:color w:val="231F20"/>
        </w:rPr>
        <w:t>Revenue for plus points is recorded as Deferred revenue and other on our Balance Sheets at closing and is recognized as rental revenue upon transfer of control to the customer, which typically occurs upon delivery of the incentive, or at the point in time when the incentive is redeemed. For incentives provided by third parties (i.e. Marriott Bonvoy points, World of Hyatt points, third-party Explorer Collection offerings, or BEYOND), we evaluated whether we control the underlying good or service prior to delivery to the customer. We concluded that we are an agent for those incentives which we do not control prior to delivery and as such record the related revenue net of the related cost upon recognition.</w:t>
      </w:r>
    </w:p>
    <w:p>
      <w:pPr>
        <w:spacing w:after="0" w:line="65" w:lineRule="exact"/>
        <w:rPr>
          <w:sz w:val="20"/>
          <w:szCs w:val="20"/>
          <w:color w:val="auto"/>
        </w:rPr>
      </w:pPr>
    </w:p>
    <w:p>
      <w:pPr>
        <w:ind w:left="720" w:right="2780"/>
        <w:spacing w:after="0" w:line="380" w:lineRule="auto"/>
        <w:rPr>
          <w:sz w:val="20"/>
          <w:szCs w:val="20"/>
          <w:color w:val="auto"/>
        </w:rPr>
      </w:pPr>
      <w:r>
        <w:rPr>
          <w:rFonts w:ascii="Times New Roman" w:cs="Times New Roman" w:eastAsia="Times New Roman" w:hAnsi="Times New Roman"/>
          <w:sz w:val="20"/>
          <w:szCs w:val="20"/>
          <w:b w:val="1"/>
          <w:bCs w:val="1"/>
          <w:i w:val="1"/>
          <w:iCs w:val="1"/>
          <w:color w:val="231F20"/>
        </w:rPr>
        <w:t xml:space="preserve">Management and Exchange Revenues and Cost Reimbursements Revenues </w:t>
      </w:r>
      <w:r>
        <w:rPr>
          <w:rFonts w:ascii="Times New Roman" w:cs="Times New Roman" w:eastAsia="Times New Roman" w:hAnsi="Times New Roman"/>
          <w:sz w:val="20"/>
          <w:szCs w:val="20"/>
          <w:b w:val="1"/>
          <w:bCs w:val="1"/>
          <w:i w:val="1"/>
          <w:iCs w:val="1"/>
          <w:u w:val="single" w:color="auto"/>
          <w:color w:val="231F20"/>
        </w:rPr>
        <w:t>Ancillary Revenues</w:t>
      </w:r>
    </w:p>
    <w:p>
      <w:pPr>
        <w:spacing w:after="0" w:line="1"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9"/>
          <w:szCs w:val="19"/>
          <w:color w:val="231F20"/>
        </w:rPr>
        <w:t>Ancillary revenues consist of goods and services that are sold or provided by us at food and beverage outlets, golf courses and other retail and service outlets located at our resorts. Payments for such goods and services are generally received at the point of sale in the form of cash or credit card charges. For goods and services sold, we evaluate whether we control the underlying goods or services prior to delivery to the customer. For transactions where we do not control the goods or services prior to delivery, the related revenue is recorded net of the related cost upon recognition. We recognize ancillary revenue at the point in time when goods have been provided and/or services have been rendered.</w:t>
      </w:r>
    </w:p>
    <w:p>
      <w:pPr>
        <w:spacing w:after="0" w:line="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u w:val="single" w:color="auto"/>
          <w:color w:val="231F20"/>
        </w:rPr>
        <w:t>Management Fee Revenues and Cost Reimbursements Revenues</w:t>
      </w:r>
    </w:p>
    <w:p>
      <w:pPr>
        <w:spacing w:after="0" w:line="13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20"/>
          <w:szCs w:val="20"/>
          <w:color w:val="231F20"/>
        </w:rPr>
        <w:t>We provide day-to-day-management services, including housekeeping services, operation of reservation systems, maintenance and certain accounting and administrative services for owners’ associations, condominium owners and hotels.</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We generate revenue from fees we earn for managing vacation ownership resorts, clubs, owners’ associations, condominiums and hotels. In our Vacation Ownership segment, these fees are earned regardless of usage or occupancy and are typically based on either a percentage of the budgeted costs to operate the resorts or a fixed fee arrangement (“VO management fee revenues”). In our Exchange &amp; Third-Party Management segment, we earn base management fees which are typically either (i) fixed amounts, (ii) amounts based on a percentage of adjusted gross lodging revenue, or (iii) various revenue sharing agreements based on stated formulas (“Base management fee revenues”) and incentive management fees, which are generally a percentage of either operating profits or improvement in operating profits (“Incentive management fees”). In addition, we receive reimbursement of costs incurred on behalf of our customers, which consist of actual expenses with no added margin (“cost reimbursements”). Vacation Ownership segment cost reimbursements revenues exclude amounts that we have paid to the owners’ associations related to maintenance fees for unsold vacation ownership products, as we have concluded that such payments are consideration payable to a customer.</w:t>
      </w:r>
    </w:p>
    <w:p>
      <w:pPr>
        <w:spacing w:after="0" w:line="9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231F20"/>
        </w:rPr>
        <w:t>Management fees are collected over time or upfront depending upon the specific management contract. Cost reimbursements are received over time and considered variable consideration. We have determined that a significant financing component does not exist as a substantial amount of the consideration promised by the customer is paid when the associated variable consideration is determined.</w:t>
      </w:r>
    </w:p>
    <w:p>
      <w:pPr>
        <w:spacing w:after="0" w:line="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We evaluated the nature of the management services provided and concluded that the management services constitute a series of distinct services to be accounted for as a single performance obligation transferred over time. We use an input method, the number of days that management services are provided, to recognize VO management fee revenues and base management fee revenues, which is consistent with the pattern of transfer to the customers who receive and consume the benefits as services are provided each day. We recognize Incentive management fees as earned throughout the incentive period based on actual results, which is subject to estimation of the transaction price.</w:t>
      </w:r>
    </w:p>
    <w:p>
      <w:pPr>
        <w:spacing w:after="0" w:line="8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color w:val="231F20"/>
        </w:rPr>
        <w:t>Any consideration we receive in advance of services being rendered is recorded as Deferred revenue and other on our Balance Sheets and is recognized ratably across the service period to which it relates. We recognize variable consideration for Cost reimbursements revenues when the reimbursable costs are incurred.</w:t>
      </w:r>
    </w:p>
    <w:p>
      <w:pPr>
        <w:spacing w:after="0" w:line="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u w:val="single" w:color="auto"/>
          <w:color w:val="231F20"/>
        </w:rPr>
        <w:t>Other Services Revenues</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Other services revenues includes revenues from membership fees, club dues and additional fees for services we provide to customers. Membership fees and club dues are received in advance of providing access to the exchange services, are recorded as Deferred revenue and other on our Balance Sheets and are earned regardless of whether exchange services are provided. Generally, Interval Network memberships are cancellable and refundable on a pro-rata basis, with the exception of the Interval Network’s Platinum tier which is non-refundable.</w:t>
      </w:r>
    </w:p>
    <w:p>
      <w:pPr>
        <w:spacing w:after="0" w:line="84" w:lineRule="exact"/>
        <w:rPr>
          <w:sz w:val="20"/>
          <w:szCs w:val="20"/>
          <w:color w:val="auto"/>
        </w:rPr>
      </w:pPr>
    </w:p>
    <w:p>
      <w:pPr>
        <w:ind w:right="160"/>
        <w:spacing w:after="0" w:line="309" w:lineRule="auto"/>
        <w:rPr>
          <w:sz w:val="20"/>
          <w:szCs w:val="20"/>
          <w:color w:val="auto"/>
        </w:rPr>
      </w:pPr>
      <w:r>
        <w:rPr>
          <w:rFonts w:ascii="Times New Roman" w:cs="Times New Roman" w:eastAsia="Times New Roman" w:hAnsi="Times New Roman"/>
          <w:sz w:val="19"/>
          <w:szCs w:val="19"/>
          <w:color w:val="231F20"/>
        </w:rPr>
        <w:t>We have determined that exchange services constitute a stand-ready obligation for us to provide unlimited access to exchange services over a defined period of time, when and if a customer (or customer of a customer) requests. We have</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81</w:t>
      </w:r>
    </w:p>
    <w:p>
      <w:pPr>
        <w:sectPr>
          <w:pgSz w:w="11880" w:h="15480" w:orient="portrait"/>
          <w:cols w:equalWidth="0" w:num="1">
            <w:col w:w="9720"/>
          </w:cols>
          <w:pgMar w:left="1080" w:top="838" w:right="1080" w:bottom="0" w:gutter="0" w:footer="0" w:header="0"/>
          <w:type w:val="continuous"/>
        </w:sectPr>
      </w:pPr>
    </w:p>
    <w:bookmarkStart w:id="85" w:name="page86"/>
    <w:bookmarkEnd w:id="85"/>
    <w:p>
      <w:pPr>
        <w:jc w:val="both"/>
        <w:ind w:right="220"/>
        <w:spacing w:after="0" w:line="266" w:lineRule="auto"/>
        <w:rPr>
          <w:sz w:val="20"/>
          <w:szCs w:val="20"/>
          <w:color w:val="auto"/>
        </w:rPr>
      </w:pPr>
      <w:r>
        <w:rPr>
          <w:rFonts w:ascii="Times New Roman" w:cs="Times New Roman" w:eastAsia="Times New Roman" w:hAnsi="Times New Roman"/>
          <w:sz w:val="20"/>
          <w:szCs w:val="20"/>
          <w:color w:val="231F20"/>
        </w:rPr>
        <w:t>determined that customers benefit from the stand-ready obligation evenly throughout the period in which the customer has access to exchange services and as such, recognize membership fees and club dues on a straight-line basis over the related period of time.</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Transaction-based fees are typically collected at a point in time and are recognized as revenue at the point in time at which the relevant goods or services are transferred to the customer. For transaction-based fees, we evaluate whether we control the underlying goods or services prior to delivery to the customer. Transaction-based fees from exchanges and other transactions in our Exchange &amp; Third-Party Management segment are generally recognized when confirmation of the transaction is provided and services have been rendered. For transactions where we do not control the goods or services prior to delivery, the related revenue is recorded net of the related cost upon recognition.</w:t>
      </w:r>
    </w:p>
    <w:p>
      <w:pPr>
        <w:spacing w:after="0" w:line="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Financing Revenues</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We offer consumer financing as an option to qualifying customers purchasing vacation ownership products, which is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to fifteen years. Generally, payments commence under the financing contracts 30 to 60 days after closing. We earn interest income from the financing arrangements on the principal balance outstanding over the life of the arrangement and record that interest income in Financing revenues on our Income Statements.</w:t>
      </w:r>
    </w:p>
    <w:p>
      <w:pPr>
        <w:spacing w:after="0" w:line="9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231F20"/>
        </w:rPr>
        <w:t>Financing revenues include transaction-based fees we charge to owners and other third parties for services. We recognize fee revenues when services have been rendered.</w:t>
      </w:r>
    </w:p>
    <w:p>
      <w:pPr>
        <w:spacing w:after="0" w:line="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Rental Revenues</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In our Vacation Ownership segment,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In our Exchange &amp; Third-Party Management segment, we offer vacation rental opportunities for managed properties and to members of the Interval Network and certain other membership programs from seasonal oversupply or underutilized space, as well as sourced resort accommodations.</w:t>
      </w:r>
    </w:p>
    <w:p>
      <w:pPr>
        <w:spacing w:after="0" w:line="8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20"/>
          <w:szCs w:val="20"/>
          <w:color w:val="231F20"/>
        </w:rPr>
        <w:t>We receive payments for rentals primarily through credit card charges. We generally recognize rental revenues when occupancy has occurred, which is consistent with the period in which the customer benefits from such service. We recognize rental revenue from the utilization of plus points issued in connection with the sale of vacation ownership products, as described in “</w:t>
      </w:r>
      <w:r>
        <w:rPr>
          <w:rFonts w:ascii="Times New Roman" w:cs="Times New Roman" w:eastAsia="Times New Roman" w:hAnsi="Times New Roman"/>
          <w:sz w:val="20"/>
          <w:szCs w:val="20"/>
          <w:i w:val="1"/>
          <w:iCs w:val="1"/>
          <w:color w:val="231F20"/>
        </w:rPr>
        <w:t>Sale of Vacation Ownership Products</w:t>
      </w:r>
      <w:r>
        <w:rPr>
          <w:rFonts w:ascii="Times New Roman" w:cs="Times New Roman" w:eastAsia="Times New Roman" w:hAnsi="Times New Roman"/>
          <w:sz w:val="20"/>
          <w:szCs w:val="20"/>
          <w:color w:val="231F20"/>
        </w:rPr>
        <w:t>” above, when occupancy has occurred.</w:t>
      </w:r>
    </w:p>
    <w:p>
      <w:pPr>
        <w:spacing w:after="0" w:line="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We also generate revenues from vacation packages sold to our customers. The packages have an expiration period of six to twenty-four months, and payments for such packages are non-refundable and generally paid by the customer in advance. Payments received in advance are recorded as Advance deposits on our Balance Sheets until the revenue is recognized, when occupancy has occurred. For rental revenues associated with vacation ownership products which we own and which are registered and held for sale, to the extent that the proceeds are less than costs, revenues are reported net in accordance with ASC Topic 978, “</w:t>
      </w:r>
      <w:r>
        <w:rPr>
          <w:rFonts w:ascii="Times New Roman" w:cs="Times New Roman" w:eastAsia="Times New Roman" w:hAnsi="Times New Roman"/>
          <w:sz w:val="20"/>
          <w:szCs w:val="20"/>
          <w:i w:val="1"/>
          <w:iCs w:val="1"/>
          <w:color w:val="231F20"/>
        </w:rPr>
        <w:t>Real Estate</w:t>
      </w:r>
      <w:r>
        <w:rPr>
          <w:rFonts w:ascii="Times New Roman" w:cs="Times New Roman" w:eastAsia="Times New Roman" w:hAnsi="Times New Roman"/>
          <w:sz w:val="20"/>
          <w:szCs w:val="20"/>
          <w:color w:val="231F20"/>
        </w:rPr>
        <w:t xml:space="preserve"> – </w:t>
      </w:r>
      <w:r>
        <w:rPr>
          <w:rFonts w:ascii="Times New Roman" w:cs="Times New Roman" w:eastAsia="Times New Roman" w:hAnsi="Times New Roman"/>
          <w:sz w:val="20"/>
          <w:szCs w:val="20"/>
          <w:i w:val="1"/>
          <w:iCs w:val="1"/>
          <w:color w:val="231F20"/>
        </w:rPr>
        <w:t>Time-Sharing Activities</w:t>
      </w:r>
      <w:r>
        <w:rPr>
          <w:rFonts w:ascii="Times New Roman" w:cs="Times New Roman" w:eastAsia="Times New Roman" w:hAnsi="Times New Roman"/>
          <w:sz w:val="20"/>
          <w:szCs w:val="20"/>
          <w:color w:val="231F20"/>
        </w:rPr>
        <w:t>.”</w:t>
      </w:r>
    </w:p>
    <w:p>
      <w:pPr>
        <w:spacing w:after="0" w:line="88" w:lineRule="exact"/>
        <w:rPr>
          <w:sz w:val="20"/>
          <w:szCs w:val="20"/>
          <w:color w:val="auto"/>
        </w:rPr>
      </w:pPr>
    </w:p>
    <w:p>
      <w:pPr>
        <w:ind w:right="320"/>
        <w:spacing w:after="0" w:line="309" w:lineRule="auto"/>
        <w:rPr>
          <w:sz w:val="20"/>
          <w:szCs w:val="20"/>
          <w:color w:val="auto"/>
        </w:rPr>
      </w:pPr>
      <w:r>
        <w:rPr>
          <w:rFonts w:ascii="Times New Roman" w:cs="Times New Roman" w:eastAsia="Times New Roman" w:hAnsi="Times New Roman"/>
          <w:sz w:val="19"/>
          <w:szCs w:val="19"/>
          <w:color w:val="231F20"/>
        </w:rPr>
        <w:t>For certain rental revenues associated with our Exchange &amp; Third-Party Management segment, revenue is recognized when confirmation of the transaction is provided because we concluded we are an agent for these transactions.</w:t>
      </w:r>
    </w:p>
    <w:p>
      <w:pPr>
        <w:spacing w:after="0" w:line="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Arrangements with Multiple Performance Obligations</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Our contracts with customers may include multiple performance obligations. For such arrangements, we allocate revenue to each performance obligation based on its relative standalone selling price. In cases where the standalone selling price is not readily available, we generally determine the standalone selling prices utilizing the adjusted market approach, using prices from similar contracts, our historical pricing on similar contracts, our internal marketing and selling data and other internal and external inputs we deem to be appropriate.</w:t>
      </w:r>
    </w:p>
    <w:p>
      <w:pPr>
        <w:spacing w:after="0" w:line="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Receivables, Contract Assets &amp; Contract Liabilities</w:t>
      </w:r>
    </w:p>
    <w:p>
      <w:pPr>
        <w:spacing w:after="0" w:line="139"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9"/>
          <w:szCs w:val="19"/>
          <w:color w:val="231F20"/>
        </w:rPr>
        <w:t>As discussed above, the payment terms and conditions in our customer contracts vary. In some cases, customers prepay for their goods and services; in other cases, after appropriate credit evaluations, payment is due in arrears. When the timing of our delivery of goods and services is different from the timing of the payments made by customers, we recognize either a contract asset (performance precedes contractual due date) or a contract liability (customer payment</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82</w:t>
      </w:r>
    </w:p>
    <w:p>
      <w:pPr>
        <w:sectPr>
          <w:pgSz w:w="11880" w:h="15480" w:orient="portrait"/>
          <w:cols w:equalWidth="0" w:num="1">
            <w:col w:w="9720"/>
          </w:cols>
          <w:pgMar w:left="1080" w:top="838" w:right="1080" w:bottom="0" w:gutter="0" w:footer="0" w:header="0"/>
          <w:type w:val="continuous"/>
        </w:sectPr>
      </w:pPr>
    </w:p>
    <w:bookmarkStart w:id="86" w:name="page87"/>
    <w:bookmarkEnd w:id="86"/>
    <w:p>
      <w:pPr>
        <w:ind w:right="500"/>
        <w:spacing w:after="0" w:line="278" w:lineRule="auto"/>
        <w:rPr>
          <w:sz w:val="20"/>
          <w:szCs w:val="20"/>
          <w:color w:val="auto"/>
        </w:rPr>
      </w:pPr>
      <w:r>
        <w:rPr>
          <w:rFonts w:ascii="Times New Roman" w:cs="Times New Roman" w:eastAsia="Times New Roman" w:hAnsi="Times New Roman"/>
          <w:sz w:val="19"/>
          <w:szCs w:val="19"/>
          <w:color w:val="231F20"/>
        </w:rPr>
        <w:t>precedes performance or when we have a right to consideration that is unconditional before the transfer of goods or services to a customer). Receivables are recorded when the right to consideration becomes unconditional. Contract liabilities are recognized as revenue as (or when) we perform under the contract. See Footnote 3 “Revenue and Receivables” for additional information related to our receivables, contract assets and contract liabilities.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Costs Incurred to Sell Vacation Ownership Products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charge marketing and sales costs we incur to sell vacation ownership products to expense when incurred.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Earnings Per Share Attributable to Common Stockholders</w:t>
      </w:r>
    </w:p>
    <w:p>
      <w:pPr>
        <w:spacing w:after="0" w:line="13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231F20"/>
        </w:rPr>
        <w:t>Basic earnings or loss per share attributable to common stockholders is calculated by dividing the net income or loss attributable to common stockholders by the weighted average number of shares of common stock outstanding during the reporting period. Treasury stock is excluded from the weighted average number of shares of common stock outstanding. Diluted earnings or loss per share attributable to common stockholders is calculated to give effect to all potentially dilutive common shares that were outstanding during the reporting period. The dilutive effect of outstanding equity-based compensation awards is reflected in diluted earnings per share attributable to common stockholders by application of the treasury stock method.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Variable Interest Entities</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We consolidate entities under our control, including VIEs where we are deemed to be the primary beneficiary. In accordance with the applicable accounting guidance for the consolidation of VIEs, we analyze our variable interests, including loans, guarantees and equity investments, to determine if an entity in which we have a variable interest is a VIE.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VIE because we are its primary beneficiary.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Fair Value Measurements</w:t>
      </w:r>
    </w:p>
    <w:p>
      <w:pPr>
        <w:spacing w:after="0" w:line="1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231F20"/>
        </w:rPr>
        <w:t>We have several financial instruments that we are required to disclose at fair value on a recurring basis. See Footnote 6 “Financial Instruments” for further information. We also apply the provisions of fair value measurement to various non-recurring measurements for our financial and non-financial assets and liabilities.</w:t>
      </w:r>
    </w:p>
    <w:p>
      <w:pPr>
        <w:spacing w:after="0" w:line="5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231F20"/>
        </w:rPr>
        <w:t>ASC Topic 820, “Fair Value Measurements” (“ASC 820”) defines fair value as the price that would be received upon selling an asset or paid to transfer a liability in an orderly transaction between market participants at the measurement date (an exit price). We measure fair value of our assets and liabilities using inputs from the following three levels of the fair value hierarchy:</w:t>
      </w:r>
    </w:p>
    <w:p>
      <w:pPr>
        <w:spacing w:after="0" w:line="23" w:lineRule="exact"/>
        <w:rPr>
          <w:sz w:val="20"/>
          <w:szCs w:val="20"/>
          <w:color w:val="auto"/>
        </w:rPr>
      </w:pPr>
    </w:p>
    <w:p>
      <w:pPr>
        <w:ind w:left="540" w:right="380" w:hanging="360"/>
        <w:spacing w:after="0" w:line="281" w:lineRule="auto"/>
        <w:tabs>
          <w:tab w:leader="none" w:pos="54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Level 1 inputs are unadjusted quoted prices in active markets for identical assets or liabilities that we have the ability to access at the measurement date.</w:t>
      </w:r>
    </w:p>
    <w:p>
      <w:pPr>
        <w:spacing w:after="0" w:line="1" w:lineRule="exact"/>
        <w:rPr>
          <w:rFonts w:ascii="Times New Roman" w:cs="Times New Roman" w:eastAsia="Times New Roman" w:hAnsi="Times New Roman"/>
          <w:sz w:val="20"/>
          <w:szCs w:val="20"/>
          <w:color w:val="231F20"/>
        </w:rPr>
      </w:pPr>
    </w:p>
    <w:p>
      <w:pPr>
        <w:ind w:left="540" w:right="120" w:hanging="360"/>
        <w:spacing w:after="0" w:line="260" w:lineRule="auto"/>
        <w:tabs>
          <w:tab w:leader="none" w:pos="54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23" w:lineRule="exact"/>
        <w:rPr>
          <w:rFonts w:ascii="Times New Roman" w:cs="Times New Roman" w:eastAsia="Times New Roman" w:hAnsi="Times New Roman"/>
          <w:sz w:val="20"/>
          <w:szCs w:val="20"/>
          <w:color w:val="231F20"/>
        </w:rPr>
      </w:pPr>
    </w:p>
    <w:p>
      <w:pPr>
        <w:ind w:left="540" w:right="60" w:hanging="360"/>
        <w:spacing w:after="0" w:line="266" w:lineRule="auto"/>
        <w:tabs>
          <w:tab w:leader="none" w:pos="540" w:val="left"/>
        </w:tabs>
        <w:numPr>
          <w:ilvl w:val="0"/>
          <w:numId w:val="3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Level 3 includes unobservable inputs that reflect our assumptions about what factors market participants would use in pricing the asset or liability. We develop these inputs based on the best information available, including our own data.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Cash and Cash Equivalents</w:t>
      </w:r>
    </w:p>
    <w:p>
      <w:pPr>
        <w:spacing w:after="0" w:line="13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231F20"/>
        </w:rPr>
        <w:t>We consider all highly liquid investments with an initial purchase maturity of three months or less at the date of purchase to be cash equivalents.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Restricted Cash</w:t>
      </w:r>
    </w:p>
    <w:p>
      <w:pPr>
        <w:spacing w:after="0" w:line="13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231F20"/>
        </w:rPr>
        <w:t>Restricted cash primarily consists of cash restricted for use by consolidated owners’ associations which is designated for resort operations and other specific uses, such as reserves, cash held in a reserve account related to vacation ownership notes receivable securitizations, cash collected for maintenance fees to be remitted to owners’ associations, and deposits received and held in escrow, primarily associated with the sale of vacation ownership products.</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83</w:t>
      </w:r>
    </w:p>
    <w:p>
      <w:pPr>
        <w:sectPr>
          <w:pgSz w:w="11880" w:h="15480" w:orient="portrait"/>
          <w:cols w:equalWidth="0" w:num="1">
            <w:col w:w="9720"/>
          </w:cols>
          <w:pgMar w:left="1080" w:top="838" w:right="108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i w:val="1"/>
          <w:iCs w:val="1"/>
          <w:color w:val="231F20"/>
        </w:rPr>
        <w:t>Accounts Receivable</w:t>
      </w:r>
    </w:p>
    <w:p>
      <w:pPr>
        <w:spacing w:after="0" w:line="13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231F20"/>
        </w:rPr>
        <w:t>Accounts receivable are comprised of amounts due from customers, primarily owners’ associations, resort developers, owners and members, credit card receivables, amounts due from taxing authorities, indemnification assets, and other miscellaneous receivables. Accounts receivable outstanding longer than the contractual payment terms are considered past due. We determine our credit loss reserve for accounts receivable by considering a number of factors, including previous loss history, our judgment as to the specific customer’s current ability to pay its obligation and the condition of the general economy. We write off accounts receivable when they become uncollectible once we have exhausted all means of collection. Accounts receivable is presented net of a reserve for credit losses of $9 million and $10 million at December 31, 2025 and December 31, 2024, respectively. Accounts receivable also includes interest receivable on vacation ownership notes receivable. Write-offs of interest receivable are recorded as a reversal of previously recorded interest income.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Loan Loss Reserves</w:t>
      </w:r>
    </w:p>
    <w:p>
      <w:pPr>
        <w:spacing w:after="0" w:line="1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Acquired Vacation Ownership Notes Receivable Reserve for Credit Losses</w:t>
      </w:r>
    </w:p>
    <w:p>
      <w:pPr>
        <w:spacing w:after="0" w:line="13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231F20"/>
        </w:rPr>
        <w:t>As part of both the ILG Acquisition and Welk Acquisition, we acquired existing portfolios of vacation ownership notes receivable. We account for these acquired vacation ownership notes receivable using the purchased credit deteriorated assets provision of the current expected credit loss model, whereby we established a reserve for credit losses and a corresponding increase in the book value of the acquired vacation ownership notes receivable, resulting in no impact to the recorded balance. The estimates of the reserve for credit losses on the acquired vacation ownership notes receivable are based on default rates that are an output of our static pool analyses. Any changes in the reserve for credit losses are recorded as Financing expenses on our Income Statements. For acquired vacation ownership notes receivable, the estimated collateral value is transferred from vacation ownership notes receivable to inventory upon foreclosure or revocation of the related vacation ownership note receivable.</w:t>
      </w:r>
    </w:p>
    <w:p>
      <w:pPr>
        <w:spacing w:after="0" w:line="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Contracts Receivable and Originated Vacation Ownership Notes Receivable Reserve</w:t>
      </w:r>
    </w:p>
    <w:p>
      <w:pPr>
        <w:spacing w:after="0" w:line="13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231F20"/>
        </w:rPr>
        <w:t>We record the difference between the contract receivable or vacation ownership note receivable and the variable consideration included in the transaction price for the sale of the related vacation ownership product as a reserve on our contracts receivable or originated vacation ownership notes receivable, as applicable. See Footnote 5 “Vacation Ownership Notes Receivable” for further information.</w:t>
      </w:r>
    </w:p>
    <w:p>
      <w:pPr>
        <w:spacing w:after="0" w:line="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231F20"/>
        </w:rPr>
        <w:t>Past Due and Defaulted</w:t>
      </w:r>
    </w:p>
    <w:p>
      <w:pPr>
        <w:spacing w:after="0" w:line="13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231F20"/>
        </w:rPr>
        <w:t>Although we consider loans to owners to be past due if we do not receive payment within 30 days of the due date, we suspend accrual of interest only on those loans that are over 90 days past due. For Legacy-MVW vacation ownership notes receivable, we consider loans over 150 days past due to be in default and fully reserve such amounts, less an estimate for reinstatement. For Legacy-ILG and Legacy-Welk vacation ownership notes receivable, we consider loans over 120 days past due to be in default and fully reserve such amounts, less an estimate for reinstatement.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vacation ownership notes receivable against the reserve once we receive title to the vacation ownership products through the foreclosure or deed-in-lieu process or, in certain circumstances, when revocation is complete.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Inventory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inventory consists primarily of completed vacation ownership products. We carry our inventory at the lower of</w:t>
      </w:r>
    </w:p>
    <w:p>
      <w:pPr>
        <w:spacing w:after="0" w:line="30" w:lineRule="exact"/>
        <w:rPr>
          <w:sz w:val="20"/>
          <w:szCs w:val="20"/>
          <w:color w:val="auto"/>
        </w:rPr>
      </w:pPr>
    </w:p>
    <w:p>
      <w:pPr>
        <w:spacing w:after="0" w:line="255" w:lineRule="auto"/>
        <w:tabs>
          <w:tab w:leader="none" w:pos="283" w:val="left"/>
        </w:tabs>
        <w:numPr>
          <w:ilvl w:val="0"/>
          <w:numId w:val="3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cost, including costs of improvements and amenities incurred subsequent to acquisition, capitalized interest and real estate taxes plus other costs incurred during construction, or (2) estimated fair value, less costs to sell, which can result in impairment charges and/or recoveries of previous impairments.</w:t>
      </w:r>
    </w:p>
    <w:p>
      <w:pPr>
        <w:spacing w:after="0" w:line="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We account for vacation ownership inventory and cost of vacation ownership products in accordance with the authoritative guidance for accounting for real estate time-sharing transactions, which defines a specific application of the relative sales value method for reducing vacation ownership inventory and recording cost of sales as described in our policy for revenue recognition for vacation ownership products. Also, pursuant to the guidance for accounting for real estate time-sharing transactions, we do not reduce inventory for the cost of vacation ownership products related to variable consideration which has not been included within the transaction price (accordingly, no adjustment is made</w:t>
      </w:r>
    </w:p>
    <w:p>
      <w:pPr>
        <w:sectPr>
          <w:pgSz w:w="11880" w:h="15480" w:orient="portrait"/>
          <w:cols w:equalWidth="0" w:num="1">
            <w:col w:w="9700"/>
          </w:cols>
          <w:pgMar w:left="1080" w:top="829"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84</w:t>
      </w:r>
    </w:p>
    <w:p>
      <w:pPr>
        <w:sectPr>
          <w:pgSz w:w="11880" w:h="15480" w:orient="portrait"/>
          <w:cols w:equalWidth="0" w:num="1">
            <w:col w:w="9700"/>
          </w:cols>
          <w:pgMar w:left="1080" w:top="829" w:right="1100" w:bottom="0" w:gutter="0" w:footer="0" w:header="0"/>
          <w:type w:val="continuous"/>
        </w:sectPr>
      </w:pPr>
    </w:p>
    <w:bookmarkStart w:id="88" w:name="page89"/>
    <w:bookmarkEnd w:id="88"/>
    <w:p>
      <w:pPr>
        <w:ind w:right="60"/>
        <w:spacing w:after="0" w:line="254" w:lineRule="auto"/>
        <w:rPr>
          <w:sz w:val="20"/>
          <w:szCs w:val="20"/>
          <w:color w:val="auto"/>
        </w:rPr>
      </w:pPr>
      <w:r>
        <w:rPr>
          <w:rFonts w:ascii="Times New Roman" w:cs="Times New Roman" w:eastAsia="Times New Roman" w:hAnsi="Times New Roman"/>
          <w:sz w:val="20"/>
          <w:szCs w:val="20"/>
          <w:color w:val="231F20"/>
        </w:rPr>
        <w:t>when inventory is reacquired upon default of the related originated vacation ownership note receivable). These standards provide for changes in estimates which include future revenues, inclusive of the pricing assumptions from sales of vacation ownership products within the relative sales value calculations to be accounted for as real estate inventory true-ups, which we refer to as product cost true-up activity, and to be recorded in Cost of vacation ownership product expenses on the Income Statements in the period that the changes occurred in order to retrospectively adjust the margin previously recorded subject to those estimates to the amounts that would have been recorded historically had the revised estimates been used. Product cost true-up activity relating to vacation ownership products increased carrying values of inventory by $40 million, $39 million and $36 million during 2025, 2024 and 2023,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Property and Equipment</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Property and equipment includes our sales centers, golf courses, information technology, including internal use software, finance lease assets, and other assets used in the normal course of business, as well as land held for future vacation ownership product development, and undeveloped and partially developed land parcels that are not part of an approved development plan and do not meet the criteria to be classified as held for sale. In addition, fully developed VOIs are classified as property and equipment until they are registered and available for sale. We record property and equipment at cost, including capitalized interest and real estate taxes incurred during active development. We capitalize the cost of improvements that extend the useful life of property and equipment when incurred. We expense all repair and maintenance costs as incurred. We compute depreciation using the straight-line method over the estimated useful lives of the assets (three to forty years), and we amortize leasehold improvements over the shorter of the asset life or lease term.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Cloud Computing Arrangements</w:t>
      </w:r>
    </w:p>
    <w:p>
      <w:pPr>
        <w:spacing w:after="0" w:line="13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231F20"/>
        </w:rPr>
        <w:t>We have entered into various cloud computing arrangements that are considered service contracts. We capitalize certain qualified implementation costs incurred in connection with these arrangements, including both internal and external costs. Capitalization of costs begins when the preliminary project stage is completed, management with the relevant authority authorizes and commits to the funding of the project, and it is probable that the project will be completed and will be used to perform the function intended. We cease capitalization of such costs when the implementation activities are complete. Capitalized implementation costs of $35 million are recorded in Other assets on our Balance Sheets as of both December 31, 2025 and December 31, 2024.</w:t>
      </w:r>
    </w:p>
    <w:p>
      <w:pPr>
        <w:spacing w:after="0" w:line="9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231F20"/>
        </w:rPr>
        <w:t>We amortize capitalized implementation costs to an operating expense using the straight-line method over the term of the cloud computing arrangement (3 to 5 years). To the extent that we conclude we will not complete a project, we expect to cease using the services such capitalized costs are related to or expect to terminate the cloud computing arrangement early, we write off the remaining capitalized cost.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Leases</w:t>
      </w:r>
    </w:p>
    <w:p>
      <w:pPr>
        <w:spacing w:after="0" w:line="13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231F20"/>
        </w:rPr>
        <w:t>We account for leases in accordance with ASC Topic 842, “</w:t>
      </w:r>
      <w:r>
        <w:rPr>
          <w:rFonts w:ascii="Times New Roman" w:cs="Times New Roman" w:eastAsia="Times New Roman" w:hAnsi="Times New Roman"/>
          <w:sz w:val="20"/>
          <w:szCs w:val="20"/>
          <w:i w:val="1"/>
          <w:iCs w:val="1"/>
          <w:color w:val="231F20"/>
        </w:rPr>
        <w:t>Leases</w:t>
      </w:r>
      <w:r>
        <w:rPr>
          <w:rFonts w:ascii="Times New Roman" w:cs="Times New Roman" w:eastAsia="Times New Roman" w:hAnsi="Times New Roman"/>
          <w:sz w:val="20"/>
          <w:szCs w:val="20"/>
          <w:color w:val="231F20"/>
        </w:rPr>
        <w:t>” (“ASC 842”). We determine if an arrangement is or contains a lease at contract inception. Operating leases include lease arrangements for land, office space, real estate, sales centers, as well as various facilities and equipment supporting our operations, with varying terms and renewal option periods.</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Finance leases include lease arrangements for our corporate headquarters in Orlando, Florida, as well as other operations space. We also have a long-term finance lease for land underlying an operating hotel. In addition, we lease various equipment supporting our operations and classify these leases as finance leases in accordance with ASC 842. The depreciable life of these assets is limited to the expected lease term, unless there is a transfer of title or purchase option reasonably certain of exercise.</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231F20"/>
        </w:rPr>
        <w:t>Right-of-use assets and lease liabilities are recognized based on the present value of lease payments over the lease term at commencement date. Short-term leases, which have an initial term of a year or less, are not recorded on the balance sheet. For purposes of calculating lease liabilities, lease terms may be deemed to include options to extend or terminate the lease when it is reasonably certain that we will exercise that option. Macroeconomic conditions are the primary factor used to estimate whether an option to extend a lease term will be exercised or not. Because the rate implicit in our leases is not readily determinable, we use our incremental borrowing rate as the discount rate, which approximates the interest rate at which we could borrow on a collateralized basis with similar terms and payments and in similar economic environments. Right-of-use assets exclude the unamortized portion of lease incentives received. Certain of our lease agreements include variable rental payments that are based on a percentage of sales over contractual levels and others include rental payments adjusted periodically for inflation. Additionally, with respect to our real estate leases, we do not separate lease and non-lease components.</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85</w:t>
      </w:r>
    </w:p>
    <w:p>
      <w:pPr>
        <w:sectPr>
          <w:pgSz w:w="11880" w:h="15480" w:orient="portrait"/>
          <w:cols w:equalWidth="0" w:num="1">
            <w:col w:w="9720"/>
          </w:cols>
          <w:pgMar w:left="1080" w:top="838" w:right="108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i w:val="1"/>
          <w:iCs w:val="1"/>
          <w:color w:val="231F20"/>
        </w:rPr>
        <w:t>Impairment of Long-Lived Assets and Other Intangible Assets</w:t>
      </w:r>
    </w:p>
    <w:p>
      <w:pPr>
        <w:spacing w:after="0" w:line="13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231F20"/>
        </w:rPr>
        <w:t>We assess long-lived assets, including property and equipment, leases, and definite-lived intangible assets, for recoverability when changes in circumstances indicate the carrying value may not be recoverable, for example, when there are material adverse changes in projected revenues or expenses, significant underperformance relative to historical or projected operating results, or significant negative industry or economic trends. We evaluate recoverability of an asset group by comparing its carrying value to the future net undiscounted cash flows that we expect will be generated by the asset group. If the comparison indicates that the carrying value of an asset group is not recoverable, we recognize an impairment loss for the excess of carrying value over the estimated fair value. When we recognize an impairment loss for assets to be held and used, we depreciate the adjusted carrying amount of those assets over their remaining useful life.</w:t>
      </w:r>
    </w:p>
    <w:p>
      <w:pPr>
        <w:spacing w:after="0" w:line="7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color w:val="231F20"/>
        </w:rPr>
        <w:t>We assess indefinite-lived intangible assets for potential impairment and continued indefinite use annually, or more frequently if an event or other circumstance indicates that we may not be able to recover the carrying amount of the asset. We may first assess qualitative factors to determine whether it is more likely than not that the fair value of the indefinite-lived intangible is less than its carrying amount. If the carrying value of the asset exceeds the fair value, we recognize an impairment loss in the amount of that excess.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Goodwill</w:t>
      </w:r>
    </w:p>
    <w:p>
      <w:pPr>
        <w:spacing w:after="0" w:line="13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231F20"/>
        </w:rPr>
        <w:t>We perform an annual review for the potential impairment of the carrying value of goodwill in the fourth quarter, or more frequently if events or circumstances indicate a possible impairment. For purposes of evaluating goodwill for impairment, we have two reporting units, which are also our reportable operating segments. In evaluating goodwill for impairment, we may assess qualitative factors to determine whether it is more likely than not (that is, a likelihood of more than 50%) that the fair value of a reporting unit is less than its carrying amount. If we bypass the qualitative assessment, or if we conclude that it is more likely than not that the fair value of a reporting unit is less than its carrying value, then we perform a quantitative impairment test by comparing the fair value of a reporting unit with its carrying amount.</w:t>
      </w:r>
    </w:p>
    <w:p>
      <w:pPr>
        <w:spacing w:after="0" w:line="9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231F20"/>
        </w:rPr>
        <w:t>Qualitative factors that we consider include, for example, macroeconomic and industry conditions, overall financial performance, and other relevant entity-specific events. If the qualitative assessment is not conclusive, then a quantitative impairment analysis for goodwill is performed at the reporting unit level. We may also choose to perform this quantitative impairment analysis instead of the qualitative analysis. The quantitative impairment analysis compares the fair value of the reporting unit, determined using the income and/or market approach, to its recorded amount. If the recorded amount exceeds the fair value, then a goodwill impairment charge is recorded for the difference up to the recorded amount of goodwill.</w:t>
      </w:r>
    </w:p>
    <w:p>
      <w:pPr>
        <w:spacing w:after="0" w:line="9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231F20"/>
        </w:rPr>
        <w:t>We calculate the estimated fair value of a reporting unit using a weighting of the income and market approaches. For the income approach, we use internally developed discounted cash flow models that include the following assumptions, among others: projections of revenues, expenses, EBITDA margin, and related cash flows based on assumed long-term growth rates and demand trends; expected future investments to grow new units; and estimated discount rates. For the market approach, we use internal analyses based primarily on market comparables. We base these assumptions on our historical data and experience, in consideration of industry projections, micro and macro general economic condition projections, and our expectations.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Derivative Instruments</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We record derivatives at fair value. The designation of a derivative instrument as a hedge and its ability to meet the hedge accounting criteria determine how we reflect the change in fair value of the derivative instrument in our financial statements. A derivative qualifies for hedge accounting if we expect it to be highly effective in offsetting the underlying hedged exposure and we fulfill the hedge documentation requirements. We may designate a hedge as a cash flow hedge, fair value hedge, or a net investment in non-U.S. operations hedge based on the exposure we are hedging. If a qualifying hedge is deemed effective, we record changes in fair value in other comprehensive income.</w:t>
      </w:r>
    </w:p>
    <w:p>
      <w:pPr>
        <w:spacing w:after="0" w:line="88"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231F20"/>
        </w:rPr>
        <w:t>We assess the effectiveness of our hedging instruments quarterly, recognize current period hedge ineffectiveness immediately in earnings, and discontinue hedge accounting for any hedge that we no longer consider to be highly effective. We recognize changes in fair value for derivatives not designated as hedges or those not qualifying for hedge accounting in current period earnings.</w:t>
      </w:r>
    </w:p>
    <w:p>
      <w:pPr>
        <w:spacing w:after="0" w:line="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231F20"/>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 We may use derivative instruments as part of our</w:t>
      </w:r>
    </w:p>
    <w:p>
      <w:pPr>
        <w:sectPr>
          <w:pgSz w:w="11880" w:h="15480" w:orient="portrait"/>
          <w:cols w:equalWidth="0" w:num="1">
            <w:col w:w="9720"/>
          </w:cols>
          <w:pgMar w:left="1080" w:top="829" w:right="108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86</w:t>
      </w:r>
    </w:p>
    <w:p>
      <w:pPr>
        <w:sectPr>
          <w:pgSz w:w="11880" w:h="15480" w:orient="portrait"/>
          <w:cols w:equalWidth="0" w:num="1">
            <w:col w:w="9720"/>
          </w:cols>
          <w:pgMar w:left="1080" w:top="829" w:right="1080" w:bottom="0" w:gutter="0" w:footer="0" w:header="0"/>
          <w:type w:val="continuous"/>
        </w:sectPr>
      </w:pPr>
    </w:p>
    <w:bookmarkStart w:id="90" w:name="page91"/>
    <w:bookmarkEnd w:id="90"/>
    <w:p>
      <w:pPr>
        <w:ind w:right="20"/>
        <w:spacing w:after="0" w:line="266" w:lineRule="auto"/>
        <w:rPr>
          <w:sz w:val="20"/>
          <w:szCs w:val="20"/>
          <w:color w:val="auto"/>
        </w:rPr>
      </w:pPr>
      <w:r>
        <w:rPr>
          <w:rFonts w:ascii="Times New Roman" w:cs="Times New Roman" w:eastAsia="Times New Roman" w:hAnsi="Times New Roman"/>
          <w:sz w:val="20"/>
          <w:szCs w:val="20"/>
          <w:color w:val="231F20"/>
        </w:rPr>
        <w:t>overall strategy to manage our exposure to market risks associated with fluctuations in interest rates and currency exchange rates. As a matter of policy, we only enter into transactions that we believe will be highly effective at offsetting the underlying risk and we do not use derivatives for trading or speculative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Loss Contingencies</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We are subject to various legal proceedings and claims in the normal course of business, the outcomes of which are subject to significant uncertainty. We record an accrual for loss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the loss. We review these accruals each reporting period and make revisions based on changes in facts and circumstances.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Defined Contribution Plan</w:t>
      </w:r>
    </w:p>
    <w:p>
      <w:pPr>
        <w:spacing w:after="0" w:line="139"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9"/>
          <w:szCs w:val="19"/>
          <w:color w:val="231F20"/>
        </w:rPr>
        <w:t>We administer and maintain a defined contribution plan for the benefit of all employees meeting certain eligibility requirements who elect to participate in the plan. Contributions are determined based on a specified percentage of salary deferrals by participating employees. We recognized compensation expense (net of cost reimbursements from owners’ associations) for our participating employees totaling $25 million in 2025, $24 million in 2024, and $24 million in 2023.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Deferred Compensation Plan</w:t>
      </w:r>
    </w:p>
    <w:p>
      <w:pPr>
        <w:spacing w:after="0" w:line="1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Certain members of our senior management have the opportunity to participate in the Marriott Vacations Worldwide Deferred Compensation Plan (the “Deferred Compensation Plan”), which we maintain and administer. Under both the Deferred Compensation Plan and the Marriott International EDC (as defined below), participating employees are able to defer payment and income taxation of a portion of their salary and bonus. It also provides participants with the opportunity for long-term capital appreciation by crediting their accounts with notional earnings.</w:t>
      </w:r>
    </w:p>
    <w:p>
      <w:pPr>
        <w:spacing w:after="0" w:line="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Prior to the spin-off of MVW from Marriott International (the “Marriott Spin-Off”), certain members of our senior management had the opportunity to participate in the Marriott International, Inc. Executive Deferred Compensation Plan (the “Marriott International EDC”), which Marriott International maintains and administers. Subsequent to the Marriott Spin-Off, we remain liable to reimburse Marriott International for distributions to participants who were employees of Marriott Vacations Worldwide at the time of the Marriott Spin-Off, including earnings thereon.</w:t>
      </w:r>
    </w:p>
    <w:p>
      <w:pPr>
        <w:spacing w:after="0" w:line="8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231F20"/>
        </w:rPr>
        <w:t>To support our ability to meet a portion of our obligations under the Deferred Compensation Plan, we acquired company owned insurance policies (the “COLI policies”) on the lives of certain participants in the Deferred Compensation Plan, the proceeds of which are intended to be aligned with the investment alternatives elected by plan participants and are payable to a rabbi trust with the Company as grantor. For both 2025 and 2024, participants were able to select a rate of return based on market-based investment alternatives for up to 100% of their contributions and existing balances, with one of those options being a fixed rate of return of 3.5%.</w:t>
      </w:r>
    </w:p>
    <w:p>
      <w:pPr>
        <w:spacing w:after="0" w:line="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We consolidate the liabilities of the Deferred Compensation Plan and the related assets, which consist of the COLI policies held in the rabbi trust. The rabbi trust is considered a VIE. We are the primary beneficiary of the rabbi trust because we direct the activities of the trust and are the beneficiary of the trust. At December 31, 2025 and December 31, 2024, the value of the assets held in the rabbi trust was $168 million and $131 million, respectively, and is included in the Other line within assets on our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Share-Based Compensation Costs</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During 2024, our stockholders approved the Amended and Restated Marriott Vacations Worldwide Corporation 2020 Equity Incentive Plan (the “MVW Equity Plan”), which supersedes the Marriott Vacations Worldwide Corporation Stock and Cash Incentive Plan and the Interval Leisure Group, Inc. 2013 Stock and Incentive Plan (collectively, the “Prior Plans”). No new awards will be granted under the Prior Plans and all awards that were granted under the Prior Plans will remain outstanding and continue to be governed by the Prior Plans.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231F20"/>
        </w:rPr>
        <w:t>The MVW Equity Plan is maintained for the benefit of our officers, directors, and employees. Under the MVW Equity Plan, we are authorized to award: (1) restricted stock and restricted stock units (“RSUs”) of our common stock, (2) stock appreciation rights (“SARs”) relating to our common stock, and (3) stock options to purchase our common stock.</w:t>
      </w:r>
    </w:p>
    <w:p>
      <w:pPr>
        <w:spacing w:after="0" w:line="72"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9"/>
          <w:szCs w:val="19"/>
          <w:color w:val="231F20"/>
        </w:rPr>
        <w:t>We follow the provisions of ASC Topic 718 “</w:t>
      </w:r>
      <w:r>
        <w:rPr>
          <w:rFonts w:ascii="Times New Roman" w:cs="Times New Roman" w:eastAsia="Times New Roman" w:hAnsi="Times New Roman"/>
          <w:sz w:val="19"/>
          <w:szCs w:val="19"/>
          <w:i w:val="1"/>
          <w:iCs w:val="1"/>
          <w:color w:val="231F20"/>
        </w:rPr>
        <w:t>Compensation—Stock Compensation</w:t>
      </w:r>
      <w:r>
        <w:rPr>
          <w:rFonts w:ascii="Times New Roman" w:cs="Times New Roman" w:eastAsia="Times New Roman" w:hAnsi="Times New Roman"/>
          <w:sz w:val="19"/>
          <w:szCs w:val="19"/>
          <w:color w:val="231F20"/>
        </w:rPr>
        <w:t>,” which requires that a company measure the expense of employee services received in exchange for an award of equity instruments based on the grant-date fair value of the award. Generally, share-based awards granted to our employees, other than RSUs with performance</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87</w:t>
      </w:r>
    </w:p>
    <w:p>
      <w:pPr>
        <w:sectPr>
          <w:pgSz w:w="11880" w:h="15480" w:orient="portrait"/>
          <w:cols w:equalWidth="0" w:num="1">
            <w:col w:w="9720"/>
          </w:cols>
          <w:pgMar w:left="1080" w:top="838" w:right="1080" w:bottom="0" w:gutter="0" w:footer="0" w:header="0"/>
          <w:type w:val="continuous"/>
        </w:sectPr>
      </w:pPr>
    </w:p>
    <w:bookmarkStart w:id="91" w:name="page92"/>
    <w:bookmarkEnd w:id="91"/>
    <w:p>
      <w:pPr>
        <w:ind w:right="60"/>
        <w:spacing w:after="0" w:line="256" w:lineRule="auto"/>
        <w:rPr>
          <w:sz w:val="20"/>
          <w:szCs w:val="20"/>
          <w:color w:val="auto"/>
        </w:rPr>
      </w:pPr>
      <w:r>
        <w:rPr>
          <w:rFonts w:ascii="Times New Roman" w:cs="Times New Roman" w:eastAsia="Times New Roman" w:hAnsi="Times New Roman"/>
          <w:sz w:val="20"/>
          <w:szCs w:val="20"/>
          <w:color w:val="231F20"/>
        </w:rPr>
        <w:t>vesting conditions, vest ratably over a four-year period. For share-based awards with service-only vesting conditions, we record compensation expense on a straight-line basis over the requisite service period. For RSUs with performance vesting conditions, the number of RSUs earned, if any, is determined following the end of a performance period (typically three years) based upon the achievement over that period of specific quantitative operating financial measures and we recognize compensation expense once it is probable that the corresponding performance condition will be achieved.</w:t>
      </w:r>
    </w:p>
    <w:p>
      <w:pPr>
        <w:spacing w:after="0" w:line="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SARs awarded under the MVW Equity Plan are granted at exercise prices or strike prices equal to the market price of our common stock on the date of grant (this price is referred to as the “base value”). SARs generally expire ten years after the date of grant and both vest and become exercisable in cumulative installments of one quarter of the grant per year in each of the first four years following the date of grant. Upon exercise of SARs, our employees and non-employee directors receive a number of shares of our common stock equal to the number of SARs being exercised, multiplied by the quotient of (a) the market price of the common stock on the date of exercise (this price is referred to as the “final value”) minus the base value, divided by (b) the final value.</w:t>
      </w:r>
    </w:p>
    <w:p>
      <w:pPr>
        <w:spacing w:after="0" w:line="9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231F20"/>
        </w:rPr>
        <w:t>We recognize the expense associated with these awards on our Income Statements based on the fair value of the awards as of the date that the share-based awards are granted and adjust that expense to the estimated number of awards that we expect will vest or be earned. The fair value of RSUs represents the number of awards granted multiplied by the average of the high and low market price of our common stock on the date the awards are granted, reduced by the present value of the dividends expected to be paid on the shares during the vesting period, discounted at a risk-free interest rate. We generally determine the fair value of SARs using the Black-Scholes option valuation model, which incorporates assumptions about expected volatility, risk free interest rate, dividend yield and expected term. We issue shares from authorized shares upon the exercise of SARs held by our employees and directors.</w:t>
      </w:r>
    </w:p>
    <w:p>
      <w:pPr>
        <w:spacing w:after="0" w:line="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231F20"/>
        </w:rPr>
        <w:t>For share-based awards granted to non-employee directors, we recognize compensation expense on the grant date based on the fair value of the awards as of that date. See Footnote 17 “Share-Based Compensation” for more information on the MVW Equity Plan.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Employee Stock Purchase Plan</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During 2015, our Board of Directors adopted, and our stockholders subsequently approved, the Marriott Vacations Worldwide Corporation Employee Stock Purchase Plan (the “ESPP”), which became effective during 2015. A total of 500,000 shares of common stock may be purchased under the ESPP. The ESPP allows eligible employees to purchase shares of our common stock at a price per share not less than 95% of the fair market value per share of common stock on the purchase date, up to a maximum threshold established by the plan administrator for the offering period.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Non-U.S. Operations</w:t>
      </w:r>
    </w:p>
    <w:p>
      <w:pPr>
        <w:spacing w:after="0" w:line="13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231F20"/>
        </w:rPr>
        <w:t>The U.S. dollar is the functional currency of our consolidated entities operating in the United States. The functional currency for our consolidated entities operating outside of the United States is generally the currency of the economic environment in which the entity primarily generates and expends cash. For consolidated entities whose functional currency is not the U.S. dollar, we translate their financial statements into U.S. dollars. We translate assets and liabilities at the exchange rate in effect as of the financial statement date and translate Income Statement accounts using the weighted average exchange rate for the period. We include translation adjustments from currency exchange and the effect of exchange rate changes on intercompany transactions of a long-term investment nature as a separate component of equity. We report gains and losses from currency exchange rate changes related to intercompany receivables and payables that are not of a long-term investment nature, as well as gains and losses from non-U.S. currency transactions, in the Gains (losses) and other income (expense), net line on our Income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13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231F20"/>
        </w:rPr>
        <w:t>We file income tax returns, including with respect to our subsidiaries, in various jurisdictions around the world.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provision for income tax in the period that includes the enactment date.</w:t>
      </w:r>
    </w:p>
    <w:p>
      <w:pPr>
        <w:spacing w:after="0" w:line="90" w:lineRule="exact"/>
        <w:rPr>
          <w:sz w:val="20"/>
          <w:szCs w:val="20"/>
          <w:color w:val="auto"/>
        </w:rPr>
      </w:pPr>
    </w:p>
    <w:p>
      <w:pPr>
        <w:ind w:right="420"/>
        <w:spacing w:after="0" w:line="309" w:lineRule="auto"/>
        <w:rPr>
          <w:sz w:val="20"/>
          <w:szCs w:val="20"/>
          <w:color w:val="auto"/>
        </w:rPr>
      </w:pPr>
      <w:r>
        <w:rPr>
          <w:rFonts w:ascii="Times New Roman" w:cs="Times New Roman" w:eastAsia="Times New Roman" w:hAnsi="Times New Roman"/>
          <w:sz w:val="19"/>
          <w:szCs w:val="19"/>
          <w:color w:val="231F20"/>
        </w:rPr>
        <w:t>Changes in existing tax laws and rates, their related interpretations, and the uncertainty generated by the current economic environment may affect the amounts of deferred tax liabilities or the valuations of deferred tax assets over</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88</w:t>
      </w:r>
    </w:p>
    <w:p>
      <w:pPr>
        <w:sectPr>
          <w:pgSz w:w="11880" w:h="15480" w:orient="portrait"/>
          <w:cols w:equalWidth="0" w:num="1">
            <w:col w:w="9720"/>
          </w:cols>
          <w:pgMar w:left="1080" w:top="838" w:right="1080" w:bottom="0" w:gutter="0" w:footer="0" w:header="0"/>
          <w:type w:val="continuous"/>
        </w:sectPr>
      </w:pPr>
    </w:p>
    <w:bookmarkStart w:id="92" w:name="page93"/>
    <w:bookmarkEnd w:id="92"/>
    <w:p>
      <w:pPr>
        <w:ind w:right="160"/>
        <w:spacing w:after="0" w:line="281" w:lineRule="auto"/>
        <w:rPr>
          <w:sz w:val="20"/>
          <w:szCs w:val="20"/>
          <w:color w:val="auto"/>
        </w:rPr>
      </w:pPr>
      <w:r>
        <w:rPr>
          <w:rFonts w:ascii="Times New Roman" w:cs="Times New Roman" w:eastAsia="Times New Roman" w:hAnsi="Times New Roman"/>
          <w:sz w:val="20"/>
          <w:szCs w:val="20"/>
          <w:color w:val="231F20"/>
        </w:rPr>
        <w:t>time. Our accounting for deferred tax consequences represents management’s best estimate of future events that can be appropriately reflected in the accounting estimates.</w:t>
      </w:r>
    </w:p>
    <w:p>
      <w:pPr>
        <w:spacing w:after="0" w:line="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We record a valuation allowance on deferred taxes if we determine it is more likely than not that we will not fully realize the future benefit of deferred tax assets. In making such a determination, we consider all available positive and negative evidence, including future reversals of existing taxable temporary differences, projected future taxable income, tax-planning strategies, and results of recent operations. In the event we determine that we would be able to realize our deferred income tax assets in the future in excess of their net recorded amount, we would make an adjustment to the deferred tax asset valuation allowance, which impacts the provision for income taxes.</w:t>
      </w:r>
    </w:p>
    <w:p>
      <w:pPr>
        <w:spacing w:after="0" w:line="8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231F20"/>
        </w:rPr>
        <w:t>We file tax returns after the close of our fiscal year end and adjust our estimated tax receivable or liability to the actual tax receivable or tax due per the filed tax returns in the provision for income tax.</w:t>
      </w:r>
    </w:p>
    <w:p>
      <w:pPr>
        <w:spacing w:after="0" w:line="6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231F20"/>
        </w:rPr>
        <w:t>For purposes of Global Intangible Low-Taxed Income, we have elected to use the period cost method and therefore have not recorded deferred taxes for basis differences expected to reverse in future periods.</w:t>
      </w:r>
    </w:p>
    <w:p>
      <w:pPr>
        <w:spacing w:after="0" w:line="6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231F20"/>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in order to continue to recognize the benefit. In determining our provision for income taxes, we use judgment, reflecting our estimates and assumptions, in applying the more likely than not threshold. Based on our evaluations of tax positions, we believe that potential tax exposures have been recorded appropriately. Additionally, we recognize accrued interest and penalties related to our unrecognized tax benefits as a component of tax expense.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New Accounting Standards</w:t>
      </w:r>
    </w:p>
    <w:p>
      <w:pPr>
        <w:spacing w:after="0" w:line="135"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0"/>
          <w:szCs w:val="20"/>
          <w:color w:val="231F20"/>
        </w:rPr>
        <w:t xml:space="preserve">Accounting Standards Update 2023-09 – </w:t>
      </w:r>
      <w:r>
        <w:rPr>
          <w:rFonts w:ascii="Times New Roman" w:cs="Times New Roman" w:eastAsia="Times New Roman" w:hAnsi="Times New Roman"/>
          <w:sz w:val="20"/>
          <w:szCs w:val="20"/>
          <w:i w:val="1"/>
          <w:iCs w:val="1"/>
          <w:color w:val="231F20"/>
        </w:rPr>
        <w:t>“Income Taxes (Topic 740): Improvements to Income Tax Disclosures”</w:t>
      </w:r>
      <w:r>
        <w:rPr>
          <w:rFonts w:ascii="Times New Roman" w:cs="Times New Roman" w:eastAsia="Times New Roman" w:hAnsi="Times New Roman"/>
          <w:sz w:val="20"/>
          <w:szCs w:val="20"/>
          <w:color w:val="231F20"/>
        </w:rPr>
        <w:t xml:space="preserve"> (“ASU 2023-09”)</w:t>
      </w:r>
    </w:p>
    <w:p>
      <w:pPr>
        <w:spacing w:after="0" w:line="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In December 2023, the Financial Accounting Standards Board (“FASB”) issued Accounting Standards Update (“ASU”) 2023-09, which is intended to enhance the transparency and decision usefulness of income tax disclosures. We adopted ASU 2023-09 on a prospective basis beginning with the year ended December 31, 2025. The adoption did not have a material impact on our financial statements or disclosures other than the addition of incremental disclosures intended to enhance and expand our annual effective tax rate reconciliation disclosure and income taxes paid disclosure. See Footnote 4 “Income Taxes” for the additional disclosures required by the adoption of ASU 2023-09.</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Future Adoption of Accounting Standards</w:t>
      </w:r>
    </w:p>
    <w:p>
      <w:pPr>
        <w:spacing w:after="0" w:line="135" w:lineRule="exact"/>
        <w:rPr>
          <w:sz w:val="20"/>
          <w:szCs w:val="20"/>
          <w:color w:val="auto"/>
        </w:rPr>
      </w:pPr>
    </w:p>
    <w:p>
      <w:pPr>
        <w:ind w:right="500"/>
        <w:spacing w:after="0" w:line="313" w:lineRule="auto"/>
        <w:rPr>
          <w:sz w:val="20"/>
          <w:szCs w:val="20"/>
          <w:color w:val="auto"/>
        </w:rPr>
      </w:pPr>
      <w:r>
        <w:rPr>
          <w:rFonts w:ascii="Times New Roman" w:cs="Times New Roman" w:eastAsia="Times New Roman" w:hAnsi="Times New Roman"/>
          <w:sz w:val="19"/>
          <w:szCs w:val="19"/>
          <w:color w:val="231F20"/>
        </w:rPr>
        <w:t xml:space="preserve">Accounting Standards Update 2024-03 - </w:t>
      </w:r>
      <w:r>
        <w:rPr>
          <w:rFonts w:ascii="Times New Roman" w:cs="Times New Roman" w:eastAsia="Times New Roman" w:hAnsi="Times New Roman"/>
          <w:sz w:val="19"/>
          <w:szCs w:val="19"/>
          <w:i w:val="1"/>
          <w:iCs w:val="1"/>
          <w:color w:val="231F20"/>
        </w:rPr>
        <w:t>“Income Statement - Reporting Comprehensive Income - Expense</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 xml:space="preserve">Disaggregation Disclosures (Subtopic 220-40): Disaggregation of Income Statement Expenses” </w:t>
      </w:r>
      <w:r>
        <w:rPr>
          <w:rFonts w:ascii="Times New Roman" w:cs="Times New Roman" w:eastAsia="Times New Roman" w:hAnsi="Times New Roman"/>
          <w:sz w:val="19"/>
          <w:szCs w:val="19"/>
          <w:color w:val="231F20"/>
        </w:rPr>
        <w:t>(“ASU 2024-03”)</w:t>
      </w:r>
    </w:p>
    <w:p>
      <w:pPr>
        <w:spacing w:after="0" w:line="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In November 2024, the FASB issued ASU 2024-03, which requires additional information about specific expense categories in the notes to financial statements for both interim and annual reporting periods. This update is effective for annual periods beginning after December 15, 2026, and interim periods within annual periods beginning after December 15, 2027, and may be adopted on a prospective or retrospective basis, with early adoption permitted. We are evaluating the impact that the adoption of this update, including the timing of implementation, will have on our disclosures.</w:t>
      </w:r>
    </w:p>
    <w:p>
      <w:pPr>
        <w:spacing w:after="0" w:line="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20"/>
          <w:szCs w:val="20"/>
          <w:color w:val="231F20"/>
        </w:rPr>
        <w:t xml:space="preserve">Accounting Standards Update 2024-04 - </w:t>
      </w:r>
      <w:r>
        <w:rPr>
          <w:rFonts w:ascii="Times New Roman" w:cs="Times New Roman" w:eastAsia="Times New Roman" w:hAnsi="Times New Roman"/>
          <w:sz w:val="20"/>
          <w:szCs w:val="20"/>
          <w:i w:val="1"/>
          <w:iCs w:val="1"/>
          <w:color w:val="231F20"/>
        </w:rPr>
        <w:t>“Debt - Debt with Conversion and Other Options (Subtopic 470-20): Induced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Conversions of Convertible Debt Instruments” </w:t>
      </w:r>
      <w:r>
        <w:rPr>
          <w:rFonts w:ascii="Times New Roman" w:cs="Times New Roman" w:eastAsia="Times New Roman" w:hAnsi="Times New Roman"/>
          <w:sz w:val="20"/>
          <w:szCs w:val="20"/>
          <w:color w:val="231F20"/>
        </w:rPr>
        <w:t>(“ASU 2024-04”)</w:t>
      </w:r>
    </w:p>
    <w:p>
      <w:pPr>
        <w:spacing w:after="0" w:line="56"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9"/>
          <w:szCs w:val="19"/>
          <w:color w:val="231F20"/>
        </w:rPr>
        <w:t>In November 2024, the FASB issued ASU 2024-04, which requires an entity to account for certain early settlements of convertible debt instruments as an induced conversion if the inducement offer includes the issuance of all consideration (in form and amount) issuable under the conversion privileges provided in the terms of the existing convertible debt instrument. This update is effective for annual periods beginning after December 15, 2025, and interim periods within those annual reporting periods, with early adoption permitted for all entities that have adopted the amendments in ASU 2020-06. We adopted ASU 2020-06 on January 1, 2022 using the modified retrospective method. We expect to adopt ASU 2024-04 effective January 1, 2026 with no material impact to our financial statements and disclosures.</w:t>
      </w:r>
    </w:p>
    <w:p>
      <w:pPr>
        <w:spacing w:after="0" w:line="6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20"/>
          <w:szCs w:val="20"/>
          <w:color w:val="231F20"/>
        </w:rPr>
        <w:t xml:space="preserve">Accounting Standards Update 2025-05 - </w:t>
      </w:r>
      <w:r>
        <w:rPr>
          <w:rFonts w:ascii="Times New Roman" w:cs="Times New Roman" w:eastAsia="Times New Roman" w:hAnsi="Times New Roman"/>
          <w:sz w:val="20"/>
          <w:szCs w:val="20"/>
          <w:i w:val="1"/>
          <w:iCs w:val="1"/>
          <w:color w:val="231F20"/>
        </w:rPr>
        <w:t>“Financial Instruments—Credit Losses (Topic 326): Measurement of Credit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Losses for Accounts Receivable and Contract Assets” </w:t>
      </w:r>
      <w:r>
        <w:rPr>
          <w:rFonts w:ascii="Times New Roman" w:cs="Times New Roman" w:eastAsia="Times New Roman" w:hAnsi="Times New Roman"/>
          <w:sz w:val="20"/>
          <w:szCs w:val="20"/>
          <w:color w:val="231F20"/>
        </w:rPr>
        <w:t>(“ASU 2025-05”)</w:t>
      </w:r>
    </w:p>
    <w:p>
      <w:pPr>
        <w:spacing w:after="0" w:line="56" w:lineRule="exact"/>
        <w:rPr>
          <w:sz w:val="20"/>
          <w:szCs w:val="20"/>
          <w:color w:val="auto"/>
        </w:rPr>
      </w:pPr>
    </w:p>
    <w:p>
      <w:pPr>
        <w:ind w:right="460"/>
        <w:spacing w:after="0" w:line="309" w:lineRule="auto"/>
        <w:rPr>
          <w:sz w:val="20"/>
          <w:szCs w:val="20"/>
          <w:color w:val="auto"/>
        </w:rPr>
      </w:pPr>
      <w:r>
        <w:rPr>
          <w:rFonts w:ascii="Times New Roman" w:cs="Times New Roman" w:eastAsia="Times New Roman" w:hAnsi="Times New Roman"/>
          <w:sz w:val="19"/>
          <w:szCs w:val="19"/>
          <w:color w:val="231F20"/>
        </w:rPr>
        <w:t>In July 2025, the FASB issued ASU 2025-05, which introduces a practical expedient for estimating expected credit losses on current accounts receivable and contract assets. Under this expedient, entities may assume that conditions</w:t>
      </w:r>
    </w:p>
    <w:p>
      <w:pPr>
        <w:sectPr>
          <w:pgSz w:w="11880" w:h="15480" w:orient="portrait"/>
          <w:cols w:equalWidth="0" w:num="1">
            <w:col w:w="9680"/>
          </w:cols>
          <w:pgMar w:left="1080" w:top="838" w:right="112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89</w:t>
      </w:r>
    </w:p>
    <w:p>
      <w:pPr>
        <w:sectPr>
          <w:pgSz w:w="11880" w:h="15480" w:orient="portrait"/>
          <w:cols w:equalWidth="0" w:num="1">
            <w:col w:w="9680"/>
          </w:cols>
          <w:pgMar w:left="1080" w:top="838" w:right="1120" w:bottom="0" w:gutter="0" w:footer="0" w:header="0"/>
          <w:type w:val="continuous"/>
        </w:sectPr>
      </w:pPr>
    </w:p>
    <w:bookmarkStart w:id="93" w:name="page94"/>
    <w:bookmarkEnd w:id="93"/>
    <w:p>
      <w:pPr>
        <w:ind w:right="20"/>
        <w:spacing w:after="0" w:line="258" w:lineRule="auto"/>
        <w:rPr>
          <w:sz w:val="20"/>
          <w:szCs w:val="20"/>
          <w:color w:val="auto"/>
        </w:rPr>
      </w:pPr>
      <w:r>
        <w:rPr>
          <w:rFonts w:ascii="Times New Roman" w:cs="Times New Roman" w:eastAsia="Times New Roman" w:hAnsi="Times New Roman"/>
          <w:sz w:val="20"/>
          <w:szCs w:val="20"/>
          <w:color w:val="231F20"/>
        </w:rPr>
        <w:t>existing at the balance sheet date will persist for the remaining life of the asset, which simplifies the estimation process by eliminating the need to forecast future economic conditions for short-term assets. This update is effective for fiscal years beginning after December 15, 2025, and interim periods within those annual reporting periods, and is to be adopted on a prospective basis, with early adoption permitted. We are evaluating the impact of ASU 2025-05 but do not expect a material impact on our financial statements and disclosures.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3.  REVENUE AND RECEIVABLES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Sources of Revenue by Segment</w:t>
      </w:r>
    </w:p>
    <w:p>
      <w:pPr>
        <w:spacing w:after="0" w:line="8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02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560" w:type="dxa"/>
            <w:vAlign w:val="bottom"/>
            <w:tcBorders>
              <w:bottom w:val="single" w:sz="8" w:color="231F20"/>
            </w:tcBorders>
            <w:gridSpan w:val="3"/>
          </w:tcPr>
          <w:p>
            <w:pPr>
              <w:jc w:val="right"/>
              <w:ind w:right="64"/>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106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restart"/>
          </w:tcPr>
          <w:p>
            <w:pPr>
              <w:jc w:val="center"/>
              <w:ind w:right="102"/>
              <w:spacing w:after="0"/>
              <w:rPr>
                <w:sz w:val="20"/>
                <w:szCs w:val="20"/>
                <w:color w:val="auto"/>
              </w:rPr>
            </w:pPr>
            <w:r>
              <w:rPr>
                <w:rFonts w:ascii="Times New Roman" w:cs="Times New Roman" w:eastAsia="Times New Roman" w:hAnsi="Times New Roman"/>
                <w:sz w:val="18"/>
                <w:szCs w:val="18"/>
                <w:b w:val="1"/>
                <w:bCs w:val="1"/>
                <w:color w:val="231F20"/>
                <w:w w:val="98"/>
              </w:rPr>
              <w:t>Vacation</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83"/>
              <w:spacing w:after="0" w:line="176" w:lineRule="exact"/>
              <w:rPr>
                <w:sz w:val="20"/>
                <w:szCs w:val="20"/>
                <w:color w:val="auto"/>
              </w:rPr>
            </w:pPr>
            <w:r>
              <w:rPr>
                <w:rFonts w:ascii="Times New Roman" w:cs="Times New Roman" w:eastAsia="Times New Roman" w:hAnsi="Times New Roman"/>
                <w:sz w:val="18"/>
                <w:szCs w:val="18"/>
                <w:b w:val="1"/>
                <w:bCs w:val="1"/>
                <w:color w:val="231F20"/>
                <w:w w:val="99"/>
              </w:rPr>
              <w:t>Exchange &amp;</w:t>
            </w:r>
          </w:p>
        </w:tc>
        <w:tc>
          <w:tcPr>
            <w:tcW w:w="60" w:type="dxa"/>
            <w:vAlign w:val="bottom"/>
          </w:tcPr>
          <w:p>
            <w:pPr>
              <w:spacing w:after="0"/>
              <w:rPr>
                <w:sz w:val="15"/>
                <w:szCs w:val="15"/>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rPr>
              <w:t>Corporate and</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83"/>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Third-Party</w:t>
            </w:r>
          </w:p>
        </w:tc>
        <w:tc>
          <w:tcPr>
            <w:tcW w:w="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381"/>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239"/>
        </w:trPr>
        <w:tc>
          <w:tcPr>
            <w:tcW w:w="4020" w:type="dxa"/>
            <w:vAlign w:val="bottom"/>
          </w:tcPr>
          <w:p>
            <w:pPr>
              <w:jc w:val="right"/>
              <w:ind w:right="3002"/>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20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tcBorders>
          </w:tcPr>
          <w:p>
            <w:pPr>
              <w:jc w:val="center"/>
              <w:ind w:right="102"/>
              <w:spacing w:after="0"/>
              <w:rPr>
                <w:sz w:val="20"/>
                <w:szCs w:val="20"/>
                <w:color w:val="auto"/>
              </w:rPr>
            </w:pPr>
            <w:r>
              <w:rPr>
                <w:rFonts w:ascii="Times New Roman" w:cs="Times New Roman" w:eastAsia="Times New Roman" w:hAnsi="Times New Roman"/>
                <w:sz w:val="18"/>
                <w:szCs w:val="18"/>
                <w:b w:val="1"/>
                <w:bCs w:val="1"/>
                <w:color w:val="231F20"/>
                <w:w w:val="98"/>
              </w:rPr>
              <w:t>Ownership</w:t>
            </w: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center"/>
              <w:ind w:right="83"/>
              <w:spacing w:after="0"/>
              <w:rPr>
                <w:sz w:val="20"/>
                <w:szCs w:val="20"/>
                <w:color w:val="auto"/>
              </w:rPr>
            </w:pPr>
            <w:r>
              <w:rPr>
                <w:rFonts w:ascii="Times New Roman" w:cs="Times New Roman" w:eastAsia="Times New Roman" w:hAnsi="Times New Roman"/>
                <w:sz w:val="18"/>
                <w:szCs w:val="18"/>
                <w:b w:val="1"/>
                <w:bCs w:val="1"/>
                <w:color w:val="231F20"/>
              </w:rPr>
              <w:t>Management</w:t>
            </w: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center"/>
              <w:ind w:right="221"/>
              <w:spacing w:after="0"/>
              <w:rPr>
                <w:sz w:val="20"/>
                <w:szCs w:val="20"/>
                <w:color w:val="auto"/>
              </w:rPr>
            </w:pPr>
            <w:r>
              <w:rPr>
                <w:rFonts w:ascii="Times New Roman" w:cs="Times New Roman" w:eastAsia="Times New Roman" w:hAnsi="Times New Roman"/>
                <w:sz w:val="18"/>
                <w:szCs w:val="18"/>
                <w:b w:val="1"/>
                <w:bCs w:val="1"/>
                <w:color w:val="231F20"/>
                <w:w w:val="99"/>
              </w:rPr>
              <w:t>Other</w:t>
            </w:r>
          </w:p>
        </w:tc>
        <w:tc>
          <w:tcPr>
            <w:tcW w:w="6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B8BABC"/>
              </w:rPr>
              <w:t>. . . . . . . . . .</w:t>
            </w:r>
            <w:r>
              <w:rPr>
                <w:rFonts w:ascii="Times New Roman" w:cs="Times New Roman" w:eastAsia="Times New Roman" w:hAnsi="Times New Roman"/>
                <w:sz w:val="20"/>
                <w:szCs w:val="20"/>
                <w:color w:val="231F20"/>
              </w:rPr>
              <w:t>Saleofvacationownershipproducts</w:t>
            </w:r>
          </w:p>
        </w:tc>
        <w:tc>
          <w:tcPr>
            <w:tcW w:w="2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1,464</w:t>
            </w:r>
          </w:p>
        </w:tc>
        <w:tc>
          <w:tcPr>
            <w:tcW w:w="60" w:type="dxa"/>
            <w:vAlign w:val="bottom"/>
          </w:tcPr>
          <w:p>
            <w:pPr>
              <w:spacing w:after="0"/>
              <w:rPr>
                <w:sz w:val="19"/>
                <w:szCs w:val="19"/>
                <w:color w:val="auto"/>
              </w:rPr>
            </w:pPr>
          </w:p>
        </w:tc>
        <w:tc>
          <w:tcPr>
            <w:tcW w:w="1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1200" w:type="dxa"/>
            <w:vAlign w:val="bottom"/>
          </w:tcPr>
          <w:p>
            <w:pPr>
              <w:jc w:val="right"/>
              <w:ind w:right="3"/>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19"/>
                <w:szCs w:val="19"/>
                <w:color w:val="auto"/>
              </w:rPr>
            </w:pPr>
          </w:p>
        </w:tc>
        <w:tc>
          <w:tcPr>
            <w:tcW w:w="300" w:type="dxa"/>
            <w:vAlign w:val="bottom"/>
          </w:tcPr>
          <w:p>
            <w:pPr>
              <w:jc w:val="right"/>
              <w:ind w:right="64"/>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19"/>
                <w:szCs w:val="19"/>
                <w:color w:val="auto"/>
              </w:rPr>
            </w:pPr>
          </w:p>
        </w:tc>
        <w:tc>
          <w:tcPr>
            <w:tcW w:w="320" w:type="dxa"/>
            <w:vAlign w:val="bottom"/>
          </w:tcPr>
          <w:p>
            <w:pPr>
              <w:jc w:val="right"/>
              <w:ind w:right="80"/>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1,464</w:t>
            </w:r>
          </w:p>
        </w:tc>
        <w:tc>
          <w:tcPr>
            <w:tcW w:w="0" w:type="dxa"/>
            <w:vAlign w:val="bottom"/>
          </w:tcPr>
          <w:p>
            <w:pPr>
              <w:spacing w:after="0"/>
              <w:rPr>
                <w:sz w:val="1"/>
                <w:szCs w:val="1"/>
                <w:color w:val="auto"/>
              </w:rPr>
            </w:pPr>
          </w:p>
        </w:tc>
      </w:tr>
      <w:tr>
        <w:trPr>
          <w:trHeight w:val="255"/>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Ancillary revenues </w:t>
            </w:r>
            <w:r>
              <w:rPr>
                <w:rFonts w:ascii="Times New Roman" w:cs="Times New Roman" w:eastAsia="Times New Roman" w:hAnsi="Times New Roman"/>
                <w:sz w:val="20"/>
                <w:szCs w:val="20"/>
                <w:color w:val="B8BABC"/>
              </w:rPr>
              <w:t>. . . . . . . . . . . . . . . . . . . . . .</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276</w:t>
            </w:r>
          </w:p>
        </w:tc>
        <w:tc>
          <w:tcPr>
            <w:tcW w:w="0" w:type="dxa"/>
            <w:vAlign w:val="bottom"/>
          </w:tcPr>
          <w:p>
            <w:pPr>
              <w:spacing w:after="0"/>
              <w:rPr>
                <w:sz w:val="1"/>
                <w:szCs w:val="1"/>
                <w:color w:val="auto"/>
              </w:rPr>
            </w:pPr>
          </w:p>
        </w:tc>
      </w:tr>
      <w:tr>
        <w:trPr>
          <w:trHeight w:val="255"/>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fee revenues </w:t>
            </w:r>
            <w:r>
              <w:rPr>
                <w:rFonts w:ascii="Times New Roman" w:cs="Times New Roman" w:eastAsia="Times New Roman" w:hAnsi="Times New Roman"/>
                <w:sz w:val="20"/>
                <w:szCs w:val="20"/>
                <w:color w:val="B8BABC"/>
              </w:rPr>
              <w:t>. . . . . . . . . . . . . . . .</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226</w:t>
            </w:r>
          </w:p>
        </w:tc>
        <w:tc>
          <w:tcPr>
            <w:tcW w:w="0" w:type="dxa"/>
            <w:vAlign w:val="bottom"/>
          </w:tcPr>
          <w:p>
            <w:pPr>
              <w:spacing w:after="0"/>
              <w:rPr>
                <w:sz w:val="1"/>
                <w:szCs w:val="1"/>
                <w:color w:val="auto"/>
              </w:rPr>
            </w:pPr>
          </w:p>
        </w:tc>
      </w:tr>
      <w:tr>
        <w:trPr>
          <w:trHeight w:val="263"/>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Exchange and other services revenues </w:t>
            </w:r>
            <w:r>
              <w:rPr>
                <w:rFonts w:ascii="Times New Roman" w:cs="Times New Roman" w:eastAsia="Times New Roman" w:hAnsi="Times New Roman"/>
                <w:sz w:val="20"/>
                <w:szCs w:val="20"/>
                <w:color w:val="B8BABC"/>
              </w:rPr>
              <w:t>. . . . . . .</w:t>
            </w:r>
          </w:p>
        </w:tc>
        <w:tc>
          <w:tcPr>
            <w:tcW w:w="20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139</w:t>
            </w:r>
          </w:p>
        </w:tc>
        <w:tc>
          <w:tcPr>
            <w:tcW w:w="6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12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159</w:t>
            </w:r>
          </w:p>
        </w:tc>
        <w:tc>
          <w:tcPr>
            <w:tcW w:w="6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60</w:t>
            </w:r>
          </w:p>
        </w:tc>
        <w:tc>
          <w:tcPr>
            <w:tcW w:w="60" w:type="dxa"/>
            <w:vAlign w:val="bottom"/>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358</w:t>
            </w:r>
          </w:p>
        </w:tc>
        <w:tc>
          <w:tcPr>
            <w:tcW w:w="0" w:type="dxa"/>
            <w:vAlign w:val="bottom"/>
          </w:tcPr>
          <w:p>
            <w:pPr>
              <w:spacing w:after="0"/>
              <w:rPr>
                <w:sz w:val="1"/>
                <w:szCs w:val="1"/>
                <w:color w:val="auto"/>
              </w:rPr>
            </w:pPr>
          </w:p>
        </w:tc>
      </w:tr>
      <w:tr>
        <w:trPr>
          <w:trHeight w:val="262"/>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and exchange </w:t>
            </w:r>
            <w:r>
              <w:rPr>
                <w:rFonts w:ascii="Times New Roman" w:cs="Times New Roman" w:eastAsia="Times New Roman" w:hAnsi="Times New Roman"/>
                <w:sz w:val="20"/>
                <w:szCs w:val="20"/>
                <w:color w:val="B8BABC"/>
              </w:rPr>
              <w:t>. . . . . . . . . . . . . . . . .</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170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860</w:t>
            </w:r>
          </w:p>
        </w:tc>
        <w:tc>
          <w:tcPr>
            <w:tcW w:w="0" w:type="dxa"/>
            <w:vAlign w:val="bottom"/>
          </w:tcPr>
          <w:p>
            <w:pPr>
              <w:spacing w:after="0"/>
              <w:rPr>
                <w:sz w:val="1"/>
                <w:szCs w:val="1"/>
                <w:color w:val="auto"/>
              </w:rPr>
            </w:pPr>
          </w:p>
        </w:tc>
      </w:tr>
      <w:tr>
        <w:trPr>
          <w:trHeight w:val="285"/>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Rental </w:t>
            </w:r>
            <w:r>
              <w:rPr>
                <w:rFonts w:ascii="Times New Roman" w:cs="Times New Roman" w:eastAsia="Times New Roman" w:hAnsi="Times New Roman"/>
                <w:sz w:val="20"/>
                <w:szCs w:val="20"/>
                <w:color w:val="B8BABC"/>
              </w:rPr>
              <w:t>. . . . . . . . . . . . . . . . . . . . . . . . . . . . . . . . . .</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650</w:t>
            </w:r>
          </w:p>
        </w:tc>
        <w:tc>
          <w:tcPr>
            <w:tcW w:w="0" w:type="dxa"/>
            <w:vAlign w:val="bottom"/>
          </w:tcPr>
          <w:p>
            <w:pPr>
              <w:spacing w:after="0"/>
              <w:rPr>
                <w:sz w:val="1"/>
                <w:szCs w:val="1"/>
                <w:color w:val="auto"/>
              </w:rPr>
            </w:pPr>
          </w:p>
        </w:tc>
      </w:tr>
      <w:tr>
        <w:trPr>
          <w:trHeight w:val="288"/>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reimbursements </w:t>
            </w:r>
            <w:r>
              <w:rPr>
                <w:rFonts w:ascii="Times New Roman" w:cs="Times New Roman" w:eastAsia="Times New Roman" w:hAnsi="Times New Roman"/>
                <w:sz w:val="20"/>
                <w:szCs w:val="20"/>
                <w:color w:val="B8BABC"/>
              </w:rPr>
              <w:t>. . . . . . . . . . . . . . . . . . . . . .</w:t>
            </w:r>
          </w:p>
        </w:tc>
        <w:tc>
          <w:tcPr>
            <w:tcW w:w="20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1,733</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2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1,698</w:t>
            </w:r>
          </w:p>
        </w:tc>
        <w:tc>
          <w:tcPr>
            <w:tcW w:w="0" w:type="dxa"/>
            <w:vAlign w:val="bottom"/>
          </w:tcPr>
          <w:p>
            <w:pPr>
              <w:spacing w:after="0"/>
              <w:rPr>
                <w:sz w:val="1"/>
                <w:szCs w:val="1"/>
                <w:color w:val="auto"/>
              </w:rPr>
            </w:pPr>
          </w:p>
        </w:tc>
      </w:tr>
      <w:tr>
        <w:trPr>
          <w:trHeight w:val="262"/>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Revenue from contracts with customers </w:t>
            </w:r>
            <w:r>
              <w:rPr>
                <w:rFonts w:ascii="Times New Roman" w:cs="Times New Roman" w:eastAsia="Times New Roman" w:hAnsi="Times New Roman"/>
                <w:sz w:val="20"/>
                <w:szCs w:val="20"/>
                <w:color w:val="B8BABC"/>
              </w:rPr>
              <w:t>. . . . .</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4,445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213</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4,672</w:t>
            </w:r>
          </w:p>
        </w:tc>
        <w:tc>
          <w:tcPr>
            <w:tcW w:w="0" w:type="dxa"/>
            <w:vAlign w:val="bottom"/>
          </w:tcPr>
          <w:p>
            <w:pPr>
              <w:spacing w:after="0"/>
              <w:rPr>
                <w:sz w:val="1"/>
                <w:szCs w:val="1"/>
                <w:color w:val="auto"/>
              </w:rPr>
            </w:pPr>
          </w:p>
        </w:tc>
      </w:tr>
      <w:tr>
        <w:trPr>
          <w:trHeight w:val="288"/>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Financing </w:t>
            </w:r>
            <w:r>
              <w:rPr>
                <w:rFonts w:ascii="Times New Roman" w:cs="Times New Roman" w:eastAsia="Times New Roman" w:hAnsi="Times New Roman"/>
                <w:sz w:val="20"/>
                <w:szCs w:val="20"/>
                <w:color w:val="B8BABC"/>
              </w:rPr>
              <w:t>. . . . . . . . . . . . . . . . . . . . . . . . . . . . . . .</w:t>
            </w:r>
          </w:p>
        </w:tc>
        <w:tc>
          <w:tcPr>
            <w:tcW w:w="20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360</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2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360</w:t>
            </w:r>
          </w:p>
        </w:tc>
        <w:tc>
          <w:tcPr>
            <w:tcW w:w="0" w:type="dxa"/>
            <w:vAlign w:val="bottom"/>
          </w:tcPr>
          <w:p>
            <w:pPr>
              <w:spacing w:after="0"/>
              <w:rPr>
                <w:sz w:val="1"/>
                <w:szCs w:val="1"/>
                <w:color w:val="auto"/>
              </w:rPr>
            </w:pPr>
          </w:p>
        </w:tc>
      </w:tr>
      <w:tr>
        <w:trPr>
          <w:trHeight w:val="245"/>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Total Revenues </w:t>
            </w:r>
            <w:r>
              <w:rPr>
                <w:rFonts w:ascii="Times New Roman" w:cs="Times New Roman" w:eastAsia="Times New Roman" w:hAnsi="Times New Roman"/>
                <w:sz w:val="20"/>
                <w:szCs w:val="20"/>
                <w:color w:val="B8BABC"/>
              </w:rPr>
              <w:t>. . . . . . . . . . . . . . . . . . . . . . . . .</w:t>
            </w: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4,805</w:t>
            </w:r>
          </w:p>
        </w:tc>
        <w:tc>
          <w:tcPr>
            <w:tcW w:w="60" w:type="dxa"/>
            <w:vAlign w:val="bottom"/>
          </w:tcPr>
          <w:p>
            <w:pPr>
              <w:spacing w:after="0"/>
              <w:rPr>
                <w:sz w:val="21"/>
                <w:szCs w:val="21"/>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213</w:t>
            </w:r>
          </w:p>
        </w:tc>
        <w:tc>
          <w:tcPr>
            <w:tcW w:w="60" w:type="dxa"/>
            <w:vAlign w:val="bottom"/>
          </w:tcPr>
          <w:p>
            <w:pPr>
              <w:spacing w:after="0"/>
              <w:rPr>
                <w:sz w:val="21"/>
                <w:szCs w:val="21"/>
                <w:color w:val="auto"/>
              </w:rPr>
            </w:pPr>
          </w:p>
        </w:tc>
        <w:tc>
          <w:tcPr>
            <w:tcW w:w="300" w:type="dxa"/>
            <w:vAlign w:val="bottom"/>
            <w:tcBorders>
              <w:bottom w:val="single" w:sz="8" w:color="231F20"/>
            </w:tcBorders>
          </w:tcPr>
          <w:p>
            <w:pPr>
              <w:jc w:val="right"/>
              <w:ind w:right="64"/>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60" w:type="dxa"/>
            <w:vAlign w:val="bottom"/>
          </w:tcPr>
          <w:p>
            <w:pPr>
              <w:spacing w:after="0"/>
              <w:rPr>
                <w:sz w:val="21"/>
                <w:szCs w:val="21"/>
                <w:color w:val="auto"/>
              </w:rPr>
            </w:pPr>
          </w:p>
        </w:tc>
        <w:tc>
          <w:tcPr>
            <w:tcW w:w="32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5,032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02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560" w:type="dxa"/>
            <w:vAlign w:val="bottom"/>
            <w:tcBorders>
              <w:bottom w:val="single" w:sz="8" w:color="231F20"/>
            </w:tcBorders>
            <w:gridSpan w:val="3"/>
          </w:tcPr>
          <w:p>
            <w:pPr>
              <w:jc w:val="right"/>
              <w:ind w:right="64"/>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10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restart"/>
          </w:tcPr>
          <w:p>
            <w:pPr>
              <w:jc w:val="center"/>
              <w:ind w:right="102"/>
              <w:spacing w:after="0"/>
              <w:rPr>
                <w:sz w:val="20"/>
                <w:szCs w:val="20"/>
                <w:color w:val="auto"/>
              </w:rPr>
            </w:pPr>
            <w:r>
              <w:rPr>
                <w:rFonts w:ascii="Times New Roman" w:cs="Times New Roman" w:eastAsia="Times New Roman" w:hAnsi="Times New Roman"/>
                <w:sz w:val="18"/>
                <w:szCs w:val="18"/>
                <w:b w:val="1"/>
                <w:bCs w:val="1"/>
                <w:color w:val="231F20"/>
                <w:w w:val="98"/>
              </w:rPr>
              <w:t>Vacation</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83"/>
              <w:spacing w:after="0" w:line="176" w:lineRule="exact"/>
              <w:rPr>
                <w:sz w:val="20"/>
                <w:szCs w:val="20"/>
                <w:color w:val="auto"/>
              </w:rPr>
            </w:pPr>
            <w:r>
              <w:rPr>
                <w:rFonts w:ascii="Times New Roman" w:cs="Times New Roman" w:eastAsia="Times New Roman" w:hAnsi="Times New Roman"/>
                <w:sz w:val="18"/>
                <w:szCs w:val="18"/>
                <w:b w:val="1"/>
                <w:bCs w:val="1"/>
                <w:color w:val="231F20"/>
                <w:w w:val="99"/>
              </w:rPr>
              <w:t>Exchange &amp;</w:t>
            </w:r>
          </w:p>
        </w:tc>
        <w:tc>
          <w:tcPr>
            <w:tcW w:w="60" w:type="dxa"/>
            <w:vAlign w:val="bottom"/>
          </w:tcPr>
          <w:p>
            <w:pPr>
              <w:spacing w:after="0"/>
              <w:rPr>
                <w:sz w:val="15"/>
                <w:szCs w:val="15"/>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rPr>
              <w:t>Corporate and</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83"/>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Third-Party</w:t>
            </w:r>
          </w:p>
        </w:tc>
        <w:tc>
          <w:tcPr>
            <w:tcW w:w="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381"/>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239"/>
        </w:trPr>
        <w:tc>
          <w:tcPr>
            <w:tcW w:w="4020" w:type="dxa"/>
            <w:vAlign w:val="bottom"/>
          </w:tcPr>
          <w:p>
            <w:pPr>
              <w:jc w:val="right"/>
              <w:ind w:right="3002"/>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20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tcBorders>
          </w:tcPr>
          <w:p>
            <w:pPr>
              <w:jc w:val="center"/>
              <w:ind w:right="102"/>
              <w:spacing w:after="0"/>
              <w:rPr>
                <w:sz w:val="20"/>
                <w:szCs w:val="20"/>
                <w:color w:val="auto"/>
              </w:rPr>
            </w:pPr>
            <w:r>
              <w:rPr>
                <w:rFonts w:ascii="Times New Roman" w:cs="Times New Roman" w:eastAsia="Times New Roman" w:hAnsi="Times New Roman"/>
                <w:sz w:val="18"/>
                <w:szCs w:val="18"/>
                <w:b w:val="1"/>
                <w:bCs w:val="1"/>
                <w:color w:val="231F20"/>
                <w:w w:val="98"/>
              </w:rPr>
              <w:t>Ownership</w:t>
            </w: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center"/>
              <w:ind w:right="83"/>
              <w:spacing w:after="0"/>
              <w:rPr>
                <w:sz w:val="20"/>
                <w:szCs w:val="20"/>
                <w:color w:val="auto"/>
              </w:rPr>
            </w:pPr>
            <w:r>
              <w:rPr>
                <w:rFonts w:ascii="Times New Roman" w:cs="Times New Roman" w:eastAsia="Times New Roman" w:hAnsi="Times New Roman"/>
                <w:sz w:val="18"/>
                <w:szCs w:val="18"/>
                <w:b w:val="1"/>
                <w:bCs w:val="1"/>
                <w:color w:val="231F20"/>
              </w:rPr>
              <w:t>Management</w:t>
            </w: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center"/>
              <w:ind w:right="221"/>
              <w:spacing w:after="0"/>
              <w:rPr>
                <w:sz w:val="20"/>
                <w:szCs w:val="20"/>
                <w:color w:val="auto"/>
              </w:rPr>
            </w:pPr>
            <w:r>
              <w:rPr>
                <w:rFonts w:ascii="Times New Roman" w:cs="Times New Roman" w:eastAsia="Times New Roman" w:hAnsi="Times New Roman"/>
                <w:sz w:val="18"/>
                <w:szCs w:val="18"/>
                <w:b w:val="1"/>
                <w:bCs w:val="1"/>
                <w:color w:val="231F20"/>
                <w:w w:val="99"/>
              </w:rPr>
              <w:t>Other</w:t>
            </w:r>
          </w:p>
        </w:tc>
        <w:tc>
          <w:tcPr>
            <w:tcW w:w="6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B8BABC"/>
              </w:rPr>
              <w:t>. . . . . . . . . .</w:t>
            </w:r>
            <w:r>
              <w:rPr>
                <w:rFonts w:ascii="Times New Roman" w:cs="Times New Roman" w:eastAsia="Times New Roman" w:hAnsi="Times New Roman"/>
                <w:sz w:val="20"/>
                <w:szCs w:val="20"/>
                <w:color w:val="231F20"/>
              </w:rPr>
              <w:t>Saleofvacationownershipproducts</w:t>
            </w:r>
          </w:p>
        </w:tc>
        <w:tc>
          <w:tcPr>
            <w:tcW w:w="2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1,448</w:t>
            </w:r>
          </w:p>
        </w:tc>
        <w:tc>
          <w:tcPr>
            <w:tcW w:w="60" w:type="dxa"/>
            <w:vAlign w:val="bottom"/>
          </w:tcPr>
          <w:p>
            <w:pPr>
              <w:spacing w:after="0"/>
              <w:rPr>
                <w:sz w:val="19"/>
                <w:szCs w:val="19"/>
                <w:color w:val="auto"/>
              </w:rPr>
            </w:pPr>
          </w:p>
        </w:tc>
        <w:tc>
          <w:tcPr>
            <w:tcW w:w="1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1200" w:type="dxa"/>
            <w:vAlign w:val="bottom"/>
          </w:tcPr>
          <w:p>
            <w:pPr>
              <w:jc w:val="right"/>
              <w:ind w:right="3"/>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19"/>
                <w:szCs w:val="19"/>
                <w:color w:val="auto"/>
              </w:rPr>
            </w:pPr>
          </w:p>
        </w:tc>
        <w:tc>
          <w:tcPr>
            <w:tcW w:w="300" w:type="dxa"/>
            <w:vAlign w:val="bottom"/>
          </w:tcPr>
          <w:p>
            <w:pPr>
              <w:jc w:val="right"/>
              <w:ind w:right="64"/>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19"/>
                <w:szCs w:val="19"/>
                <w:color w:val="auto"/>
              </w:rPr>
            </w:pPr>
          </w:p>
        </w:tc>
        <w:tc>
          <w:tcPr>
            <w:tcW w:w="320" w:type="dxa"/>
            <w:vAlign w:val="bottom"/>
          </w:tcPr>
          <w:p>
            <w:pPr>
              <w:jc w:val="right"/>
              <w:ind w:right="80"/>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1,448</w:t>
            </w:r>
          </w:p>
        </w:tc>
        <w:tc>
          <w:tcPr>
            <w:tcW w:w="0" w:type="dxa"/>
            <w:vAlign w:val="bottom"/>
          </w:tcPr>
          <w:p>
            <w:pPr>
              <w:spacing w:after="0"/>
              <w:rPr>
                <w:sz w:val="1"/>
                <w:szCs w:val="1"/>
                <w:color w:val="auto"/>
              </w:rPr>
            </w:pPr>
          </w:p>
        </w:tc>
      </w:tr>
      <w:tr>
        <w:trPr>
          <w:trHeight w:val="255"/>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Ancillary revenues </w:t>
            </w:r>
            <w:r>
              <w:rPr>
                <w:rFonts w:ascii="Times New Roman" w:cs="Times New Roman" w:eastAsia="Times New Roman" w:hAnsi="Times New Roman"/>
                <w:sz w:val="20"/>
                <w:szCs w:val="20"/>
                <w:color w:val="B8BABC"/>
              </w:rPr>
              <w:t>. . . . . . . . . . . . . . . . . . . . . .</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270</w:t>
            </w:r>
          </w:p>
        </w:tc>
        <w:tc>
          <w:tcPr>
            <w:tcW w:w="0" w:type="dxa"/>
            <w:vAlign w:val="bottom"/>
          </w:tcPr>
          <w:p>
            <w:pPr>
              <w:spacing w:after="0"/>
              <w:rPr>
                <w:sz w:val="1"/>
                <w:szCs w:val="1"/>
                <w:color w:val="auto"/>
              </w:rPr>
            </w:pPr>
          </w:p>
        </w:tc>
      </w:tr>
      <w:tr>
        <w:trPr>
          <w:trHeight w:val="255"/>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fee revenues </w:t>
            </w:r>
            <w:r>
              <w:rPr>
                <w:rFonts w:ascii="Times New Roman" w:cs="Times New Roman" w:eastAsia="Times New Roman" w:hAnsi="Times New Roman"/>
                <w:sz w:val="20"/>
                <w:szCs w:val="20"/>
                <w:color w:val="B8BABC"/>
              </w:rPr>
              <w:t>. . . . . . . . . . . . . . . .</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w:t>
            </w:r>
          </w:p>
        </w:tc>
        <w:tc>
          <w:tcPr>
            <w:tcW w:w="0" w:type="dxa"/>
            <w:vAlign w:val="bottom"/>
          </w:tcPr>
          <w:p>
            <w:pPr>
              <w:spacing w:after="0"/>
              <w:rPr>
                <w:sz w:val="1"/>
                <w:szCs w:val="1"/>
                <w:color w:val="auto"/>
              </w:rPr>
            </w:pPr>
          </w:p>
        </w:tc>
      </w:tr>
      <w:tr>
        <w:trPr>
          <w:trHeight w:val="263"/>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Exchange and other services revenues </w:t>
            </w:r>
            <w:r>
              <w:rPr>
                <w:rFonts w:ascii="Times New Roman" w:cs="Times New Roman" w:eastAsia="Times New Roman" w:hAnsi="Times New Roman"/>
                <w:sz w:val="20"/>
                <w:szCs w:val="20"/>
                <w:color w:val="B8BABC"/>
              </w:rPr>
              <w:t>. . . . . . .</w:t>
            </w:r>
          </w:p>
        </w:tc>
        <w:tc>
          <w:tcPr>
            <w:tcW w:w="20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139</w:t>
            </w:r>
          </w:p>
        </w:tc>
        <w:tc>
          <w:tcPr>
            <w:tcW w:w="6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12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166</w:t>
            </w:r>
          </w:p>
        </w:tc>
        <w:tc>
          <w:tcPr>
            <w:tcW w:w="6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54</w:t>
            </w:r>
          </w:p>
        </w:tc>
        <w:tc>
          <w:tcPr>
            <w:tcW w:w="60" w:type="dxa"/>
            <w:vAlign w:val="bottom"/>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359</w:t>
            </w:r>
          </w:p>
        </w:tc>
        <w:tc>
          <w:tcPr>
            <w:tcW w:w="0" w:type="dxa"/>
            <w:vAlign w:val="bottom"/>
          </w:tcPr>
          <w:p>
            <w:pPr>
              <w:spacing w:after="0"/>
              <w:rPr>
                <w:sz w:val="1"/>
                <w:szCs w:val="1"/>
                <w:color w:val="auto"/>
              </w:rPr>
            </w:pPr>
          </w:p>
        </w:tc>
      </w:tr>
      <w:tr>
        <w:trPr>
          <w:trHeight w:val="262"/>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and exchange </w:t>
            </w:r>
            <w:r>
              <w:rPr>
                <w:rFonts w:ascii="Times New Roman" w:cs="Times New Roman" w:eastAsia="Times New Roman" w:hAnsi="Times New Roman"/>
                <w:sz w:val="20"/>
                <w:szCs w:val="20"/>
                <w:color w:val="B8BABC"/>
              </w:rPr>
              <w:t>. . . . . . . . . . . . . . . . .</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182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843</w:t>
            </w:r>
          </w:p>
        </w:tc>
        <w:tc>
          <w:tcPr>
            <w:tcW w:w="0" w:type="dxa"/>
            <w:vAlign w:val="bottom"/>
          </w:tcPr>
          <w:p>
            <w:pPr>
              <w:spacing w:after="0"/>
              <w:rPr>
                <w:sz w:val="1"/>
                <w:szCs w:val="1"/>
                <w:color w:val="auto"/>
              </w:rPr>
            </w:pPr>
          </w:p>
        </w:tc>
      </w:tr>
      <w:tr>
        <w:trPr>
          <w:trHeight w:val="285"/>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Rental </w:t>
            </w:r>
            <w:r>
              <w:rPr>
                <w:rFonts w:ascii="Times New Roman" w:cs="Times New Roman" w:eastAsia="Times New Roman" w:hAnsi="Times New Roman"/>
                <w:sz w:val="20"/>
                <w:szCs w:val="20"/>
                <w:color w:val="B8BABC"/>
              </w:rPr>
              <w:t>. . . . . . . . . . . . . . . . . . . . . . . . . . . . . . . . . .</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40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645</w:t>
            </w:r>
          </w:p>
        </w:tc>
        <w:tc>
          <w:tcPr>
            <w:tcW w:w="0" w:type="dxa"/>
            <w:vAlign w:val="bottom"/>
          </w:tcPr>
          <w:p>
            <w:pPr>
              <w:spacing w:after="0"/>
              <w:rPr>
                <w:sz w:val="1"/>
                <w:szCs w:val="1"/>
                <w:color w:val="auto"/>
              </w:rPr>
            </w:pPr>
          </w:p>
        </w:tc>
      </w:tr>
      <w:tr>
        <w:trPr>
          <w:trHeight w:val="288"/>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reimbursements </w:t>
            </w:r>
            <w:r>
              <w:rPr>
                <w:rFonts w:ascii="Times New Roman" w:cs="Times New Roman" w:eastAsia="Times New Roman" w:hAnsi="Times New Roman"/>
                <w:sz w:val="20"/>
                <w:szCs w:val="20"/>
                <w:color w:val="B8BABC"/>
              </w:rPr>
              <w:t>. . . . . . . . . . . . . . . . . . . . . .</w:t>
            </w:r>
          </w:p>
        </w:tc>
        <w:tc>
          <w:tcPr>
            <w:tcW w:w="20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1,723</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2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9</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1,689</w:t>
            </w:r>
          </w:p>
        </w:tc>
        <w:tc>
          <w:tcPr>
            <w:tcW w:w="0" w:type="dxa"/>
            <w:vAlign w:val="bottom"/>
          </w:tcPr>
          <w:p>
            <w:pPr>
              <w:spacing w:after="0"/>
              <w:rPr>
                <w:sz w:val="1"/>
                <w:szCs w:val="1"/>
                <w:color w:val="auto"/>
              </w:rPr>
            </w:pPr>
          </w:p>
        </w:tc>
      </w:tr>
      <w:tr>
        <w:trPr>
          <w:trHeight w:val="262"/>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Revenue from contracts with customers </w:t>
            </w:r>
            <w:r>
              <w:rPr>
                <w:rFonts w:ascii="Times New Roman" w:cs="Times New Roman" w:eastAsia="Times New Roman" w:hAnsi="Times New Roman"/>
                <w:sz w:val="20"/>
                <w:szCs w:val="20"/>
                <w:color w:val="B8BABC"/>
              </w:rPr>
              <w:t>. . . . .</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4,388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231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4,625</w:t>
            </w:r>
          </w:p>
        </w:tc>
        <w:tc>
          <w:tcPr>
            <w:tcW w:w="0" w:type="dxa"/>
            <w:vAlign w:val="bottom"/>
          </w:tcPr>
          <w:p>
            <w:pPr>
              <w:spacing w:after="0"/>
              <w:rPr>
                <w:sz w:val="1"/>
                <w:szCs w:val="1"/>
                <w:color w:val="auto"/>
              </w:rPr>
            </w:pPr>
          </w:p>
        </w:tc>
      </w:tr>
      <w:tr>
        <w:trPr>
          <w:trHeight w:val="288"/>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Financing </w:t>
            </w:r>
            <w:r>
              <w:rPr>
                <w:rFonts w:ascii="Times New Roman" w:cs="Times New Roman" w:eastAsia="Times New Roman" w:hAnsi="Times New Roman"/>
                <w:sz w:val="20"/>
                <w:szCs w:val="20"/>
                <w:color w:val="B8BABC"/>
              </w:rPr>
              <w:t>. . . . . . . . . . . . . . . . . . . . . . . . . . . . . . .</w:t>
            </w:r>
          </w:p>
        </w:tc>
        <w:tc>
          <w:tcPr>
            <w:tcW w:w="20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342</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2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342</w:t>
            </w:r>
          </w:p>
        </w:tc>
        <w:tc>
          <w:tcPr>
            <w:tcW w:w="0" w:type="dxa"/>
            <w:vAlign w:val="bottom"/>
          </w:tcPr>
          <w:p>
            <w:pPr>
              <w:spacing w:after="0"/>
              <w:rPr>
                <w:sz w:val="1"/>
                <w:szCs w:val="1"/>
                <w:color w:val="auto"/>
              </w:rPr>
            </w:pPr>
          </w:p>
        </w:tc>
      </w:tr>
      <w:tr>
        <w:trPr>
          <w:trHeight w:val="245"/>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Total Revenues </w:t>
            </w:r>
            <w:r>
              <w:rPr>
                <w:rFonts w:ascii="Times New Roman" w:cs="Times New Roman" w:eastAsia="Times New Roman" w:hAnsi="Times New Roman"/>
                <w:sz w:val="20"/>
                <w:szCs w:val="20"/>
                <w:color w:val="B8BABC"/>
              </w:rPr>
              <w:t>. . . . . . . . . . . . . . . . . . . . . . . . .</w:t>
            </w: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4,730</w:t>
            </w:r>
          </w:p>
        </w:tc>
        <w:tc>
          <w:tcPr>
            <w:tcW w:w="60" w:type="dxa"/>
            <w:vAlign w:val="bottom"/>
          </w:tcPr>
          <w:p>
            <w:pPr>
              <w:spacing w:after="0"/>
              <w:rPr>
                <w:sz w:val="21"/>
                <w:szCs w:val="21"/>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231</w:t>
            </w:r>
          </w:p>
        </w:tc>
        <w:tc>
          <w:tcPr>
            <w:tcW w:w="60" w:type="dxa"/>
            <w:vAlign w:val="bottom"/>
          </w:tcPr>
          <w:p>
            <w:pPr>
              <w:spacing w:after="0"/>
              <w:rPr>
                <w:sz w:val="21"/>
                <w:szCs w:val="21"/>
                <w:color w:val="auto"/>
              </w:rPr>
            </w:pPr>
          </w:p>
        </w:tc>
        <w:tc>
          <w:tcPr>
            <w:tcW w:w="300" w:type="dxa"/>
            <w:vAlign w:val="bottom"/>
            <w:tcBorders>
              <w:bottom w:val="single" w:sz="8" w:color="231F20"/>
            </w:tcBorders>
          </w:tcPr>
          <w:p>
            <w:pPr>
              <w:jc w:val="right"/>
              <w:ind w:right="64"/>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60" w:type="dxa"/>
            <w:vAlign w:val="bottom"/>
          </w:tcPr>
          <w:p>
            <w:pPr>
              <w:spacing w:after="0"/>
              <w:rPr>
                <w:sz w:val="21"/>
                <w:szCs w:val="21"/>
                <w:color w:val="auto"/>
              </w:rPr>
            </w:pPr>
          </w:p>
        </w:tc>
        <w:tc>
          <w:tcPr>
            <w:tcW w:w="320" w:type="dxa"/>
            <w:vAlign w:val="bottom"/>
            <w:tcBorders>
              <w:bottom w:val="single" w:sz="8" w:color="231F20"/>
            </w:tcBorders>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4,967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02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560" w:type="dxa"/>
            <w:vAlign w:val="bottom"/>
            <w:tcBorders>
              <w:bottom w:val="single" w:sz="8" w:color="231F20"/>
            </w:tcBorders>
            <w:gridSpan w:val="3"/>
          </w:tcPr>
          <w:p>
            <w:pPr>
              <w:jc w:val="right"/>
              <w:ind w:right="64"/>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10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restart"/>
          </w:tcPr>
          <w:p>
            <w:pPr>
              <w:jc w:val="center"/>
              <w:ind w:right="102"/>
              <w:spacing w:after="0"/>
              <w:rPr>
                <w:sz w:val="20"/>
                <w:szCs w:val="20"/>
                <w:color w:val="auto"/>
              </w:rPr>
            </w:pPr>
            <w:r>
              <w:rPr>
                <w:rFonts w:ascii="Times New Roman" w:cs="Times New Roman" w:eastAsia="Times New Roman" w:hAnsi="Times New Roman"/>
                <w:sz w:val="18"/>
                <w:szCs w:val="18"/>
                <w:b w:val="1"/>
                <w:bCs w:val="1"/>
                <w:color w:val="231F20"/>
                <w:w w:val="98"/>
              </w:rPr>
              <w:t>Vacation</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83"/>
              <w:spacing w:after="0" w:line="176" w:lineRule="exact"/>
              <w:rPr>
                <w:sz w:val="20"/>
                <w:szCs w:val="20"/>
                <w:color w:val="auto"/>
              </w:rPr>
            </w:pPr>
            <w:r>
              <w:rPr>
                <w:rFonts w:ascii="Times New Roman" w:cs="Times New Roman" w:eastAsia="Times New Roman" w:hAnsi="Times New Roman"/>
                <w:sz w:val="18"/>
                <w:szCs w:val="18"/>
                <w:b w:val="1"/>
                <w:bCs w:val="1"/>
                <w:color w:val="231F20"/>
                <w:w w:val="99"/>
              </w:rPr>
              <w:t>Exchange &amp;</w:t>
            </w:r>
          </w:p>
        </w:tc>
        <w:tc>
          <w:tcPr>
            <w:tcW w:w="60" w:type="dxa"/>
            <w:vAlign w:val="bottom"/>
          </w:tcPr>
          <w:p>
            <w:pPr>
              <w:spacing w:after="0"/>
              <w:rPr>
                <w:sz w:val="15"/>
                <w:szCs w:val="15"/>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rPr>
              <w:t>Corporate and</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83"/>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Third-Party</w:t>
            </w:r>
          </w:p>
        </w:tc>
        <w:tc>
          <w:tcPr>
            <w:tcW w:w="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381"/>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239"/>
        </w:trPr>
        <w:tc>
          <w:tcPr>
            <w:tcW w:w="4020" w:type="dxa"/>
            <w:vAlign w:val="bottom"/>
          </w:tcPr>
          <w:p>
            <w:pPr>
              <w:jc w:val="right"/>
              <w:ind w:right="3002"/>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20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tcBorders>
          </w:tcPr>
          <w:p>
            <w:pPr>
              <w:jc w:val="center"/>
              <w:ind w:right="102"/>
              <w:spacing w:after="0"/>
              <w:rPr>
                <w:sz w:val="20"/>
                <w:szCs w:val="20"/>
                <w:color w:val="auto"/>
              </w:rPr>
            </w:pPr>
            <w:r>
              <w:rPr>
                <w:rFonts w:ascii="Times New Roman" w:cs="Times New Roman" w:eastAsia="Times New Roman" w:hAnsi="Times New Roman"/>
                <w:sz w:val="18"/>
                <w:szCs w:val="18"/>
                <w:b w:val="1"/>
                <w:bCs w:val="1"/>
                <w:color w:val="231F20"/>
                <w:w w:val="98"/>
              </w:rPr>
              <w:t>Ownership</w:t>
            </w: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center"/>
              <w:ind w:right="83"/>
              <w:spacing w:after="0"/>
              <w:rPr>
                <w:sz w:val="20"/>
                <w:szCs w:val="20"/>
                <w:color w:val="auto"/>
              </w:rPr>
            </w:pPr>
            <w:r>
              <w:rPr>
                <w:rFonts w:ascii="Times New Roman" w:cs="Times New Roman" w:eastAsia="Times New Roman" w:hAnsi="Times New Roman"/>
                <w:sz w:val="18"/>
                <w:szCs w:val="18"/>
                <w:b w:val="1"/>
                <w:bCs w:val="1"/>
                <w:color w:val="231F20"/>
              </w:rPr>
              <w:t>Management</w:t>
            </w: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center"/>
              <w:ind w:right="221"/>
              <w:spacing w:after="0"/>
              <w:rPr>
                <w:sz w:val="20"/>
                <w:szCs w:val="20"/>
                <w:color w:val="auto"/>
              </w:rPr>
            </w:pPr>
            <w:r>
              <w:rPr>
                <w:rFonts w:ascii="Times New Roman" w:cs="Times New Roman" w:eastAsia="Times New Roman" w:hAnsi="Times New Roman"/>
                <w:sz w:val="18"/>
                <w:szCs w:val="18"/>
                <w:b w:val="1"/>
                <w:bCs w:val="1"/>
                <w:color w:val="231F20"/>
                <w:w w:val="99"/>
              </w:rPr>
              <w:t>Other</w:t>
            </w:r>
          </w:p>
        </w:tc>
        <w:tc>
          <w:tcPr>
            <w:tcW w:w="60" w:type="dxa"/>
            <w:vAlign w:val="bottom"/>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B8BABC"/>
              </w:rPr>
              <w:t>. . . . . . . . . .</w:t>
            </w:r>
            <w:r>
              <w:rPr>
                <w:rFonts w:ascii="Times New Roman" w:cs="Times New Roman" w:eastAsia="Times New Roman" w:hAnsi="Times New Roman"/>
                <w:sz w:val="20"/>
                <w:szCs w:val="20"/>
                <w:color w:val="231F20"/>
              </w:rPr>
              <w:t>Saleofvacationownershipproducts</w:t>
            </w:r>
          </w:p>
        </w:tc>
        <w:tc>
          <w:tcPr>
            <w:tcW w:w="2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1,460</w:t>
            </w:r>
          </w:p>
        </w:tc>
        <w:tc>
          <w:tcPr>
            <w:tcW w:w="60" w:type="dxa"/>
            <w:vAlign w:val="bottom"/>
          </w:tcPr>
          <w:p>
            <w:pPr>
              <w:spacing w:after="0"/>
              <w:rPr>
                <w:sz w:val="19"/>
                <w:szCs w:val="19"/>
                <w:color w:val="auto"/>
              </w:rPr>
            </w:pPr>
          </w:p>
        </w:tc>
        <w:tc>
          <w:tcPr>
            <w:tcW w:w="1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1200" w:type="dxa"/>
            <w:vAlign w:val="bottom"/>
          </w:tcPr>
          <w:p>
            <w:pPr>
              <w:jc w:val="right"/>
              <w:ind w:right="3"/>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19"/>
                <w:szCs w:val="19"/>
                <w:color w:val="auto"/>
              </w:rPr>
            </w:pPr>
          </w:p>
        </w:tc>
        <w:tc>
          <w:tcPr>
            <w:tcW w:w="300" w:type="dxa"/>
            <w:vAlign w:val="bottom"/>
          </w:tcPr>
          <w:p>
            <w:pPr>
              <w:jc w:val="right"/>
              <w:ind w:right="64"/>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19"/>
                <w:szCs w:val="19"/>
                <w:color w:val="auto"/>
              </w:rPr>
            </w:pPr>
          </w:p>
        </w:tc>
        <w:tc>
          <w:tcPr>
            <w:tcW w:w="320" w:type="dxa"/>
            <w:vAlign w:val="bottom"/>
          </w:tcPr>
          <w:p>
            <w:pPr>
              <w:jc w:val="right"/>
              <w:ind w:right="80"/>
              <w:spacing w:after="0" w:line="227" w:lineRule="exact"/>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231F20"/>
              </w:rPr>
              <w:t>1,460</w:t>
            </w:r>
          </w:p>
        </w:tc>
        <w:tc>
          <w:tcPr>
            <w:tcW w:w="0" w:type="dxa"/>
            <w:vAlign w:val="bottom"/>
          </w:tcPr>
          <w:p>
            <w:pPr>
              <w:spacing w:after="0"/>
              <w:rPr>
                <w:sz w:val="1"/>
                <w:szCs w:val="1"/>
                <w:color w:val="auto"/>
              </w:rPr>
            </w:pPr>
          </w:p>
        </w:tc>
      </w:tr>
      <w:tr>
        <w:trPr>
          <w:trHeight w:val="255"/>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Ancillary revenues </w:t>
            </w:r>
            <w:r>
              <w:rPr>
                <w:rFonts w:ascii="Times New Roman" w:cs="Times New Roman" w:eastAsia="Times New Roman" w:hAnsi="Times New Roman"/>
                <w:sz w:val="20"/>
                <w:szCs w:val="20"/>
                <w:color w:val="B8BABC"/>
              </w:rPr>
              <w:t>. . . . . . . . . . . . . . . . . . . . . .</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257</w:t>
            </w:r>
          </w:p>
        </w:tc>
        <w:tc>
          <w:tcPr>
            <w:tcW w:w="0" w:type="dxa"/>
            <w:vAlign w:val="bottom"/>
          </w:tcPr>
          <w:p>
            <w:pPr>
              <w:spacing w:after="0"/>
              <w:rPr>
                <w:sz w:val="1"/>
                <w:szCs w:val="1"/>
                <w:color w:val="auto"/>
              </w:rPr>
            </w:pPr>
          </w:p>
        </w:tc>
      </w:tr>
      <w:tr>
        <w:trPr>
          <w:trHeight w:val="255"/>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fee revenues </w:t>
            </w:r>
            <w:r>
              <w:rPr>
                <w:rFonts w:ascii="Times New Roman" w:cs="Times New Roman" w:eastAsia="Times New Roman" w:hAnsi="Times New Roman"/>
                <w:sz w:val="20"/>
                <w:szCs w:val="20"/>
                <w:color w:val="B8BABC"/>
              </w:rPr>
              <w:t>. . . . . . . . . . . . . . . .</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24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201</w:t>
            </w:r>
          </w:p>
        </w:tc>
        <w:tc>
          <w:tcPr>
            <w:tcW w:w="0" w:type="dxa"/>
            <w:vAlign w:val="bottom"/>
          </w:tcPr>
          <w:p>
            <w:pPr>
              <w:spacing w:after="0"/>
              <w:rPr>
                <w:sz w:val="1"/>
                <w:szCs w:val="1"/>
                <w:color w:val="auto"/>
              </w:rPr>
            </w:pPr>
          </w:p>
        </w:tc>
      </w:tr>
      <w:tr>
        <w:trPr>
          <w:trHeight w:val="263"/>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Exchange and other services revenues </w:t>
            </w:r>
            <w:r>
              <w:rPr>
                <w:rFonts w:ascii="Times New Roman" w:cs="Times New Roman" w:eastAsia="Times New Roman" w:hAnsi="Times New Roman"/>
                <w:sz w:val="20"/>
                <w:szCs w:val="20"/>
                <w:color w:val="B8BABC"/>
              </w:rPr>
              <w:t>. . . . . . .</w:t>
            </w:r>
          </w:p>
        </w:tc>
        <w:tc>
          <w:tcPr>
            <w:tcW w:w="20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136</w:t>
            </w:r>
          </w:p>
        </w:tc>
        <w:tc>
          <w:tcPr>
            <w:tcW w:w="60" w:type="dxa"/>
            <w:vAlign w:val="bottom"/>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12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177</w:t>
            </w:r>
          </w:p>
        </w:tc>
        <w:tc>
          <w:tcPr>
            <w:tcW w:w="6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60" w:type="dxa"/>
            <w:vAlign w:val="bottom"/>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355</w:t>
            </w:r>
          </w:p>
        </w:tc>
        <w:tc>
          <w:tcPr>
            <w:tcW w:w="0" w:type="dxa"/>
            <w:vAlign w:val="bottom"/>
          </w:tcPr>
          <w:p>
            <w:pPr>
              <w:spacing w:after="0"/>
              <w:rPr>
                <w:sz w:val="1"/>
                <w:szCs w:val="1"/>
                <w:color w:val="auto"/>
              </w:rPr>
            </w:pPr>
          </w:p>
        </w:tc>
      </w:tr>
      <w:tr>
        <w:trPr>
          <w:trHeight w:val="262"/>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and exchange </w:t>
            </w:r>
            <w:r>
              <w:rPr>
                <w:rFonts w:ascii="Times New Roman" w:cs="Times New Roman" w:eastAsia="Times New Roman" w:hAnsi="Times New Roman"/>
                <w:sz w:val="20"/>
                <w:szCs w:val="20"/>
                <w:color w:val="B8BABC"/>
              </w:rPr>
              <w:t>. . . . . . . . . . . . . . . . .</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206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813</w:t>
            </w:r>
          </w:p>
        </w:tc>
        <w:tc>
          <w:tcPr>
            <w:tcW w:w="0" w:type="dxa"/>
            <w:vAlign w:val="bottom"/>
          </w:tcPr>
          <w:p>
            <w:pPr>
              <w:spacing w:after="0"/>
              <w:rPr>
                <w:sz w:val="1"/>
                <w:szCs w:val="1"/>
                <w:color w:val="auto"/>
              </w:rPr>
            </w:pPr>
          </w:p>
        </w:tc>
      </w:tr>
      <w:tr>
        <w:trPr>
          <w:trHeight w:val="285"/>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Rental </w:t>
            </w:r>
            <w:r>
              <w:rPr>
                <w:rFonts w:ascii="Times New Roman" w:cs="Times New Roman" w:eastAsia="Times New Roman" w:hAnsi="Times New Roman"/>
                <w:sz w:val="20"/>
                <w:szCs w:val="20"/>
                <w:color w:val="B8BABC"/>
              </w:rPr>
              <w:t>. . . . . . . . . . . . . . . . . . . . . . . . . . . . . . . . . .</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40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571</w:t>
            </w:r>
          </w:p>
        </w:tc>
        <w:tc>
          <w:tcPr>
            <w:tcW w:w="0" w:type="dxa"/>
            <w:vAlign w:val="bottom"/>
          </w:tcPr>
          <w:p>
            <w:pPr>
              <w:spacing w:after="0"/>
              <w:rPr>
                <w:sz w:val="1"/>
                <w:szCs w:val="1"/>
                <w:color w:val="auto"/>
              </w:rPr>
            </w:pPr>
          </w:p>
        </w:tc>
      </w:tr>
      <w:tr>
        <w:trPr>
          <w:trHeight w:val="288"/>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Cost reimbursements </w:t>
            </w:r>
            <w:r>
              <w:rPr>
                <w:rFonts w:ascii="Times New Roman" w:cs="Times New Roman" w:eastAsia="Times New Roman" w:hAnsi="Times New Roman"/>
                <w:sz w:val="20"/>
                <w:szCs w:val="20"/>
                <w:color w:val="B8BABC"/>
              </w:rPr>
              <w:t>. . . . . . . . . . . . . . . . . . . . . .</w:t>
            </w:r>
          </w:p>
        </w:tc>
        <w:tc>
          <w:tcPr>
            <w:tcW w:w="20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1,587</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2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1,561</w:t>
            </w:r>
          </w:p>
        </w:tc>
        <w:tc>
          <w:tcPr>
            <w:tcW w:w="0" w:type="dxa"/>
            <w:vAlign w:val="bottom"/>
          </w:tcPr>
          <w:p>
            <w:pPr>
              <w:spacing w:after="0"/>
              <w:rPr>
                <w:sz w:val="1"/>
                <w:szCs w:val="1"/>
                <w:color w:val="auto"/>
              </w:rPr>
            </w:pPr>
          </w:p>
        </w:tc>
      </w:tr>
      <w:tr>
        <w:trPr>
          <w:trHeight w:val="262"/>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Revenue from contracts with customers </w:t>
            </w:r>
            <w:r>
              <w:rPr>
                <w:rFonts w:ascii="Times New Roman" w:cs="Times New Roman" w:eastAsia="Times New Roman" w:hAnsi="Times New Roman"/>
                <w:sz w:val="20"/>
                <w:szCs w:val="20"/>
                <w:color w:val="B8BABC"/>
              </w:rPr>
              <w:t>. . . . .</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4,146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262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4,405</w:t>
            </w:r>
          </w:p>
        </w:tc>
        <w:tc>
          <w:tcPr>
            <w:tcW w:w="0" w:type="dxa"/>
            <w:vAlign w:val="bottom"/>
          </w:tcPr>
          <w:p>
            <w:pPr>
              <w:spacing w:after="0"/>
              <w:rPr>
                <w:sz w:val="1"/>
                <w:szCs w:val="1"/>
                <w:color w:val="auto"/>
              </w:rPr>
            </w:pPr>
          </w:p>
        </w:tc>
      </w:tr>
      <w:tr>
        <w:trPr>
          <w:trHeight w:val="288"/>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Financing </w:t>
            </w:r>
            <w:r>
              <w:rPr>
                <w:rFonts w:ascii="Times New Roman" w:cs="Times New Roman" w:eastAsia="Times New Roman" w:hAnsi="Times New Roman"/>
                <w:sz w:val="20"/>
                <w:szCs w:val="20"/>
                <w:color w:val="B8BABC"/>
              </w:rPr>
              <w:t>. . . . . . . . . . . . . . . . . . . . . . . . . . . . . . .</w:t>
            </w:r>
          </w:p>
        </w:tc>
        <w:tc>
          <w:tcPr>
            <w:tcW w:w="20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322</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20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322</w:t>
            </w:r>
          </w:p>
        </w:tc>
        <w:tc>
          <w:tcPr>
            <w:tcW w:w="0" w:type="dxa"/>
            <w:vAlign w:val="bottom"/>
          </w:tcPr>
          <w:p>
            <w:pPr>
              <w:spacing w:after="0"/>
              <w:rPr>
                <w:sz w:val="1"/>
                <w:szCs w:val="1"/>
                <w:color w:val="auto"/>
              </w:rPr>
            </w:pPr>
          </w:p>
        </w:tc>
      </w:tr>
      <w:tr>
        <w:trPr>
          <w:trHeight w:val="245"/>
        </w:trPr>
        <w:tc>
          <w:tcPr>
            <w:tcW w:w="4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Total Revenues </w:t>
            </w:r>
            <w:r>
              <w:rPr>
                <w:rFonts w:ascii="Times New Roman" w:cs="Times New Roman" w:eastAsia="Times New Roman" w:hAnsi="Times New Roman"/>
                <w:sz w:val="20"/>
                <w:szCs w:val="20"/>
                <w:color w:val="B8BABC"/>
              </w:rPr>
              <w:t>. . . . . . . .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262</w:t>
            </w:r>
          </w:p>
        </w:tc>
        <w:tc>
          <w:tcPr>
            <w:tcW w:w="360" w:type="dxa"/>
            <w:vAlign w:val="bottom"/>
            <w:gridSpan w:val="2"/>
          </w:tcPr>
          <w:p>
            <w:pPr>
              <w:jc w:val="right"/>
              <w:ind w:right="64"/>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4,727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838" w:right="1080" w:bottom="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90</w:t>
      </w:r>
    </w:p>
    <w:p>
      <w:pPr>
        <w:sectPr>
          <w:pgSz w:w="11880" w:h="15480" w:orient="portrait"/>
          <w:cols w:equalWidth="0" w:num="1">
            <w:col w:w="9720"/>
          </w:cols>
          <w:pgMar w:left="1080" w:top="838" w:right="108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i w:val="1"/>
          <w:iCs w:val="1"/>
          <w:color w:val="231F20"/>
        </w:rPr>
        <w:t>Timing of Revenue from Contracts with Customers by Segment</w:t>
      </w:r>
    </w:p>
    <w:p>
      <w:pPr>
        <w:spacing w:after="0" w:line="139"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20"/>
          <w:szCs w:val="20"/>
          <w:color w:val="231F20"/>
        </w:rPr>
        <w:t>The following tables detail the timing of revenue from contracts with customers by segment for each of the last three fiscal years.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08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540" w:type="dxa"/>
            <w:vAlign w:val="bottom"/>
            <w:tcBorders>
              <w:bottom w:val="single" w:sz="8" w:color="231F20"/>
            </w:tcBorders>
            <w:gridSpan w:val="3"/>
          </w:tcPr>
          <w:p>
            <w:pPr>
              <w:jc w:val="right"/>
              <w:ind w:right="46"/>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106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center"/>
              <w:ind w:right="104"/>
              <w:spacing w:after="0"/>
              <w:rPr>
                <w:sz w:val="20"/>
                <w:szCs w:val="20"/>
                <w:color w:val="auto"/>
              </w:rPr>
            </w:pPr>
            <w:r>
              <w:rPr>
                <w:rFonts w:ascii="Times New Roman" w:cs="Times New Roman" w:eastAsia="Times New Roman" w:hAnsi="Times New Roman"/>
                <w:sz w:val="18"/>
                <w:szCs w:val="18"/>
                <w:b w:val="1"/>
                <w:bCs w:val="1"/>
                <w:color w:val="231F20"/>
                <w:w w:val="98"/>
              </w:rPr>
              <w:t>Vacation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66"/>
              <w:spacing w:after="0" w:line="161" w:lineRule="exact"/>
              <w:rPr>
                <w:sz w:val="20"/>
                <w:szCs w:val="20"/>
                <w:color w:val="auto"/>
              </w:rPr>
            </w:pPr>
            <w:r>
              <w:rPr>
                <w:rFonts w:ascii="Times New Roman" w:cs="Times New Roman" w:eastAsia="Times New Roman" w:hAnsi="Times New Roman"/>
                <w:sz w:val="18"/>
                <w:szCs w:val="18"/>
                <w:b w:val="1"/>
                <w:bCs w:val="1"/>
                <w:color w:val="231F20"/>
                <w:w w:val="99"/>
              </w:rPr>
              <w:t>Exchange &amp;</w:t>
            </w:r>
          </w:p>
        </w:tc>
        <w:tc>
          <w:tcPr>
            <w:tcW w:w="60" w:type="dxa"/>
            <w:vAlign w:val="bottom"/>
          </w:tcPr>
          <w:p>
            <w:pPr>
              <w:spacing w:after="0"/>
              <w:rPr>
                <w:sz w:val="14"/>
                <w:szCs w:val="14"/>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rPr>
              <w:t>Corporate and</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66"/>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Third-Party</w:t>
            </w:r>
          </w:p>
        </w:tc>
        <w:tc>
          <w:tcPr>
            <w:tcW w:w="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239"/>
        </w:trPr>
        <w:tc>
          <w:tcPr>
            <w:tcW w:w="40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20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tcBorders>
          </w:tcPr>
          <w:p>
            <w:pPr>
              <w:jc w:val="center"/>
              <w:ind w:right="104"/>
              <w:spacing w:after="0"/>
              <w:rPr>
                <w:sz w:val="20"/>
                <w:szCs w:val="20"/>
                <w:color w:val="auto"/>
              </w:rPr>
            </w:pPr>
            <w:r>
              <w:rPr>
                <w:rFonts w:ascii="Times New Roman" w:cs="Times New Roman" w:eastAsia="Times New Roman" w:hAnsi="Times New Roman"/>
                <w:sz w:val="18"/>
                <w:szCs w:val="18"/>
                <w:b w:val="1"/>
                <w:bCs w:val="1"/>
                <w:color w:val="231F20"/>
                <w:w w:val="98"/>
              </w:rPr>
              <w:t>Ownership</w:t>
            </w:r>
          </w:p>
        </w:tc>
        <w:tc>
          <w:tcPr>
            <w:tcW w:w="6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180" w:type="dxa"/>
            <w:vAlign w:val="bottom"/>
            <w:tcBorders>
              <w:bottom w:val="single" w:sz="8" w:color="231F20"/>
            </w:tcBorders>
          </w:tcPr>
          <w:p>
            <w:pPr>
              <w:jc w:val="center"/>
              <w:ind w:right="66"/>
              <w:spacing w:after="0"/>
              <w:rPr>
                <w:sz w:val="20"/>
                <w:szCs w:val="20"/>
                <w:color w:val="auto"/>
              </w:rPr>
            </w:pPr>
            <w:r>
              <w:rPr>
                <w:rFonts w:ascii="Times New Roman" w:cs="Times New Roman" w:eastAsia="Times New Roman" w:hAnsi="Times New Roman"/>
                <w:sz w:val="18"/>
                <w:szCs w:val="18"/>
                <w:b w:val="1"/>
                <w:bCs w:val="1"/>
                <w:color w:val="231F20"/>
              </w:rPr>
              <w:t>Management</w:t>
            </w: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center"/>
              <w:ind w:right="223"/>
              <w:spacing w:after="0"/>
              <w:rPr>
                <w:sz w:val="20"/>
                <w:szCs w:val="20"/>
                <w:color w:val="auto"/>
              </w:rPr>
            </w:pPr>
            <w:r>
              <w:rPr>
                <w:rFonts w:ascii="Times New Roman" w:cs="Times New Roman" w:eastAsia="Times New Roman" w:hAnsi="Times New Roman"/>
                <w:sz w:val="18"/>
                <w:szCs w:val="18"/>
                <w:b w:val="1"/>
                <w:bCs w:val="1"/>
                <w:color w:val="231F20"/>
                <w:w w:val="99"/>
              </w:rPr>
              <w:t>Other</w:t>
            </w: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Services transferred over time </w:t>
            </w:r>
            <w:r>
              <w:rPr>
                <w:rFonts w:ascii="Times New Roman" w:cs="Times New Roman" w:eastAsia="Times New Roman" w:hAnsi="Times New Roman"/>
                <w:sz w:val="20"/>
                <w:szCs w:val="20"/>
                <w:color w:val="B8BABC"/>
              </w:rPr>
              <w:t>.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2,689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83</w:t>
            </w:r>
          </w:p>
        </w:tc>
        <w:tc>
          <w:tcPr>
            <w:tcW w:w="360" w:type="dxa"/>
            <w:vAlign w:val="bottom"/>
            <w:gridSpan w:val="2"/>
          </w:tcPr>
          <w:p>
            <w:pPr>
              <w:jc w:val="right"/>
              <w:ind w:right="46"/>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14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2,786</w:t>
            </w:r>
          </w:p>
        </w:tc>
        <w:tc>
          <w:tcPr>
            <w:tcW w:w="0" w:type="dxa"/>
            <w:vAlign w:val="bottom"/>
          </w:tcPr>
          <w:p>
            <w:pPr>
              <w:spacing w:after="0"/>
              <w:rPr>
                <w:sz w:val="1"/>
                <w:szCs w:val="1"/>
                <w:color w:val="auto"/>
              </w:rPr>
            </w:pPr>
          </w:p>
        </w:tc>
      </w:tr>
      <w:tr>
        <w:trPr>
          <w:trHeight w:val="288"/>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Goods or services transferred at a point in time </w:t>
            </w:r>
            <w:r>
              <w:rPr>
                <w:rFonts w:ascii="Times New Roman" w:cs="Times New Roman" w:eastAsia="Times New Roman" w:hAnsi="Times New Roman"/>
                <w:sz w:val="20"/>
                <w:szCs w:val="20"/>
                <w:color w:val="B8BABC"/>
              </w:rPr>
              <w:t>. .</w:t>
            </w:r>
          </w:p>
        </w:tc>
        <w:tc>
          <w:tcPr>
            <w:tcW w:w="20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1,756</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130</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1,886</w:t>
            </w:r>
          </w:p>
        </w:tc>
        <w:tc>
          <w:tcPr>
            <w:tcW w:w="0" w:type="dxa"/>
            <w:vAlign w:val="bottom"/>
          </w:tcPr>
          <w:p>
            <w:pPr>
              <w:spacing w:after="0"/>
              <w:rPr>
                <w:sz w:val="1"/>
                <w:szCs w:val="1"/>
                <w:color w:val="auto"/>
              </w:rPr>
            </w:pPr>
          </w:p>
        </w:tc>
      </w:tr>
      <w:tr>
        <w:trPr>
          <w:trHeight w:val="245"/>
        </w:trPr>
        <w:tc>
          <w:tcPr>
            <w:tcW w:w="408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Revenue from contracts with customers </w:t>
            </w:r>
            <w:r>
              <w:rPr>
                <w:rFonts w:ascii="Times New Roman" w:cs="Times New Roman" w:eastAsia="Times New Roman" w:hAnsi="Times New Roman"/>
                <w:sz w:val="20"/>
                <w:szCs w:val="20"/>
                <w:color w:val="B8BABC"/>
              </w:rPr>
              <w:t>. . . . . .</w:t>
            </w: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4,445</w:t>
            </w:r>
          </w:p>
        </w:tc>
        <w:tc>
          <w:tcPr>
            <w:tcW w:w="60" w:type="dxa"/>
            <w:vAlign w:val="bottom"/>
          </w:tcPr>
          <w:p>
            <w:pPr>
              <w:spacing w:after="0"/>
              <w:rPr>
                <w:sz w:val="21"/>
                <w:szCs w:val="21"/>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213</w:t>
            </w:r>
          </w:p>
        </w:tc>
        <w:tc>
          <w:tcPr>
            <w:tcW w:w="60" w:type="dxa"/>
            <w:vAlign w:val="bottom"/>
          </w:tcPr>
          <w:p>
            <w:pPr>
              <w:spacing w:after="0"/>
              <w:rPr>
                <w:sz w:val="21"/>
                <w:szCs w:val="21"/>
                <w:color w:val="auto"/>
              </w:rPr>
            </w:pPr>
          </w:p>
        </w:tc>
        <w:tc>
          <w:tcPr>
            <w:tcW w:w="300" w:type="dxa"/>
            <w:vAlign w:val="bottom"/>
            <w:tcBorders>
              <w:bottom w:val="single" w:sz="8" w:color="231F20"/>
            </w:tcBorders>
          </w:tcPr>
          <w:p>
            <w:pPr>
              <w:jc w:val="right"/>
              <w:ind w:right="46"/>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14</w:t>
            </w:r>
          </w:p>
        </w:tc>
        <w:tc>
          <w:tcPr>
            <w:tcW w:w="60" w:type="dxa"/>
            <w:vAlign w:val="bottom"/>
          </w:tcPr>
          <w:p>
            <w:pPr>
              <w:spacing w:after="0"/>
              <w:rPr>
                <w:sz w:val="21"/>
                <w:szCs w:val="21"/>
                <w:color w:val="auto"/>
              </w:rPr>
            </w:pPr>
          </w:p>
        </w:tc>
        <w:tc>
          <w:tcPr>
            <w:tcW w:w="300" w:type="dxa"/>
            <w:vAlign w:val="bottom"/>
            <w:tcBorders>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4,672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40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540" w:type="dxa"/>
            <w:vAlign w:val="bottom"/>
            <w:tcBorders>
              <w:bottom w:val="single" w:sz="8" w:color="231F20"/>
            </w:tcBorders>
            <w:gridSpan w:val="3"/>
          </w:tcPr>
          <w:p>
            <w:pPr>
              <w:jc w:val="right"/>
              <w:ind w:right="46"/>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10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center"/>
              <w:ind w:right="104"/>
              <w:spacing w:after="0"/>
              <w:rPr>
                <w:sz w:val="20"/>
                <w:szCs w:val="20"/>
                <w:color w:val="auto"/>
              </w:rPr>
            </w:pPr>
            <w:r>
              <w:rPr>
                <w:rFonts w:ascii="Times New Roman" w:cs="Times New Roman" w:eastAsia="Times New Roman" w:hAnsi="Times New Roman"/>
                <w:sz w:val="18"/>
                <w:szCs w:val="18"/>
                <w:b w:val="1"/>
                <w:bCs w:val="1"/>
                <w:color w:val="231F20"/>
                <w:w w:val="98"/>
              </w:rPr>
              <w:t>Vacation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66"/>
              <w:spacing w:after="0" w:line="161" w:lineRule="exact"/>
              <w:rPr>
                <w:sz w:val="20"/>
                <w:szCs w:val="20"/>
                <w:color w:val="auto"/>
              </w:rPr>
            </w:pPr>
            <w:r>
              <w:rPr>
                <w:rFonts w:ascii="Times New Roman" w:cs="Times New Roman" w:eastAsia="Times New Roman" w:hAnsi="Times New Roman"/>
                <w:sz w:val="18"/>
                <w:szCs w:val="18"/>
                <w:b w:val="1"/>
                <w:bCs w:val="1"/>
                <w:color w:val="231F20"/>
                <w:w w:val="99"/>
              </w:rPr>
              <w:t>Exchange &amp;</w:t>
            </w:r>
          </w:p>
        </w:tc>
        <w:tc>
          <w:tcPr>
            <w:tcW w:w="60" w:type="dxa"/>
            <w:vAlign w:val="bottom"/>
          </w:tcPr>
          <w:p>
            <w:pPr>
              <w:spacing w:after="0"/>
              <w:rPr>
                <w:sz w:val="14"/>
                <w:szCs w:val="14"/>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rPr>
              <w:t>Corporate and</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66"/>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Third-Party</w:t>
            </w:r>
          </w:p>
        </w:tc>
        <w:tc>
          <w:tcPr>
            <w:tcW w:w="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239"/>
        </w:trPr>
        <w:tc>
          <w:tcPr>
            <w:tcW w:w="40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20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tcBorders>
          </w:tcPr>
          <w:p>
            <w:pPr>
              <w:jc w:val="center"/>
              <w:ind w:right="104"/>
              <w:spacing w:after="0"/>
              <w:rPr>
                <w:sz w:val="20"/>
                <w:szCs w:val="20"/>
                <w:color w:val="auto"/>
              </w:rPr>
            </w:pPr>
            <w:r>
              <w:rPr>
                <w:rFonts w:ascii="Times New Roman" w:cs="Times New Roman" w:eastAsia="Times New Roman" w:hAnsi="Times New Roman"/>
                <w:sz w:val="18"/>
                <w:szCs w:val="18"/>
                <w:b w:val="1"/>
                <w:bCs w:val="1"/>
                <w:color w:val="231F20"/>
                <w:w w:val="98"/>
              </w:rPr>
              <w:t>Ownership</w:t>
            </w:r>
          </w:p>
        </w:tc>
        <w:tc>
          <w:tcPr>
            <w:tcW w:w="6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180" w:type="dxa"/>
            <w:vAlign w:val="bottom"/>
            <w:tcBorders>
              <w:bottom w:val="single" w:sz="8" w:color="231F20"/>
            </w:tcBorders>
          </w:tcPr>
          <w:p>
            <w:pPr>
              <w:jc w:val="center"/>
              <w:ind w:right="66"/>
              <w:spacing w:after="0"/>
              <w:rPr>
                <w:sz w:val="20"/>
                <w:szCs w:val="20"/>
                <w:color w:val="auto"/>
              </w:rPr>
            </w:pPr>
            <w:r>
              <w:rPr>
                <w:rFonts w:ascii="Times New Roman" w:cs="Times New Roman" w:eastAsia="Times New Roman" w:hAnsi="Times New Roman"/>
                <w:sz w:val="18"/>
                <w:szCs w:val="18"/>
                <w:b w:val="1"/>
                <w:bCs w:val="1"/>
                <w:color w:val="231F20"/>
              </w:rPr>
              <w:t>Management</w:t>
            </w: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center"/>
              <w:ind w:right="223"/>
              <w:spacing w:after="0"/>
              <w:rPr>
                <w:sz w:val="20"/>
                <w:szCs w:val="20"/>
                <w:color w:val="auto"/>
              </w:rPr>
            </w:pPr>
            <w:r>
              <w:rPr>
                <w:rFonts w:ascii="Times New Roman" w:cs="Times New Roman" w:eastAsia="Times New Roman" w:hAnsi="Times New Roman"/>
                <w:sz w:val="18"/>
                <w:szCs w:val="18"/>
                <w:b w:val="1"/>
                <w:bCs w:val="1"/>
                <w:color w:val="231F20"/>
                <w:w w:val="99"/>
              </w:rPr>
              <w:t>Other</w:t>
            </w: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Services transferred over time </w:t>
            </w:r>
            <w:r>
              <w:rPr>
                <w:rFonts w:ascii="Times New Roman" w:cs="Times New Roman" w:eastAsia="Times New Roman" w:hAnsi="Times New Roman"/>
                <w:sz w:val="20"/>
                <w:szCs w:val="20"/>
                <w:color w:val="B8BABC"/>
              </w:rPr>
              <w:t>.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2,652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w:t>
            </w:r>
          </w:p>
        </w:tc>
        <w:tc>
          <w:tcPr>
            <w:tcW w:w="360" w:type="dxa"/>
            <w:vAlign w:val="bottom"/>
            <w:gridSpan w:val="2"/>
          </w:tcPr>
          <w:p>
            <w:pPr>
              <w:jc w:val="right"/>
              <w:ind w:right="46"/>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2,749</w:t>
            </w:r>
          </w:p>
        </w:tc>
        <w:tc>
          <w:tcPr>
            <w:tcW w:w="0" w:type="dxa"/>
            <w:vAlign w:val="bottom"/>
          </w:tcPr>
          <w:p>
            <w:pPr>
              <w:spacing w:after="0"/>
              <w:rPr>
                <w:sz w:val="1"/>
                <w:szCs w:val="1"/>
                <w:color w:val="auto"/>
              </w:rPr>
            </w:pPr>
          </w:p>
        </w:tc>
      </w:tr>
      <w:tr>
        <w:trPr>
          <w:trHeight w:val="288"/>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Goods or services transferred at a point in time </w:t>
            </w:r>
            <w:r>
              <w:rPr>
                <w:rFonts w:ascii="Times New Roman" w:cs="Times New Roman" w:eastAsia="Times New Roman" w:hAnsi="Times New Roman"/>
                <w:sz w:val="20"/>
                <w:szCs w:val="20"/>
                <w:color w:val="B8BABC"/>
              </w:rPr>
              <w:t>. .</w:t>
            </w:r>
          </w:p>
        </w:tc>
        <w:tc>
          <w:tcPr>
            <w:tcW w:w="20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1,736</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140</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1,876</w:t>
            </w:r>
          </w:p>
        </w:tc>
        <w:tc>
          <w:tcPr>
            <w:tcW w:w="0" w:type="dxa"/>
            <w:vAlign w:val="bottom"/>
          </w:tcPr>
          <w:p>
            <w:pPr>
              <w:spacing w:after="0"/>
              <w:rPr>
                <w:sz w:val="1"/>
                <w:szCs w:val="1"/>
                <w:color w:val="auto"/>
              </w:rPr>
            </w:pPr>
          </w:p>
        </w:tc>
      </w:tr>
      <w:tr>
        <w:trPr>
          <w:trHeight w:val="245"/>
        </w:trPr>
        <w:tc>
          <w:tcPr>
            <w:tcW w:w="408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Revenue from contracts with customers </w:t>
            </w:r>
            <w:r>
              <w:rPr>
                <w:rFonts w:ascii="Times New Roman" w:cs="Times New Roman" w:eastAsia="Times New Roman" w:hAnsi="Times New Roman"/>
                <w:sz w:val="20"/>
                <w:szCs w:val="20"/>
                <w:color w:val="B8BABC"/>
              </w:rPr>
              <w:t>. . . . . .</w:t>
            </w: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4,388</w:t>
            </w:r>
          </w:p>
        </w:tc>
        <w:tc>
          <w:tcPr>
            <w:tcW w:w="60" w:type="dxa"/>
            <w:vAlign w:val="bottom"/>
          </w:tcPr>
          <w:p>
            <w:pPr>
              <w:spacing w:after="0"/>
              <w:rPr>
                <w:sz w:val="21"/>
                <w:szCs w:val="21"/>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231</w:t>
            </w:r>
          </w:p>
        </w:tc>
        <w:tc>
          <w:tcPr>
            <w:tcW w:w="60" w:type="dxa"/>
            <w:vAlign w:val="bottom"/>
          </w:tcPr>
          <w:p>
            <w:pPr>
              <w:spacing w:after="0"/>
              <w:rPr>
                <w:sz w:val="21"/>
                <w:szCs w:val="21"/>
                <w:color w:val="auto"/>
              </w:rPr>
            </w:pPr>
          </w:p>
        </w:tc>
        <w:tc>
          <w:tcPr>
            <w:tcW w:w="300" w:type="dxa"/>
            <w:vAlign w:val="bottom"/>
            <w:tcBorders>
              <w:bottom w:val="single" w:sz="8" w:color="231F20"/>
            </w:tcBorders>
          </w:tcPr>
          <w:p>
            <w:pPr>
              <w:jc w:val="right"/>
              <w:ind w:right="46"/>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6</w:t>
            </w:r>
          </w:p>
        </w:tc>
        <w:tc>
          <w:tcPr>
            <w:tcW w:w="60" w:type="dxa"/>
            <w:vAlign w:val="bottom"/>
          </w:tcPr>
          <w:p>
            <w:pPr>
              <w:spacing w:after="0"/>
              <w:rPr>
                <w:sz w:val="21"/>
                <w:szCs w:val="21"/>
                <w:color w:val="auto"/>
              </w:rPr>
            </w:pPr>
          </w:p>
        </w:tc>
        <w:tc>
          <w:tcPr>
            <w:tcW w:w="300" w:type="dxa"/>
            <w:vAlign w:val="bottom"/>
            <w:tcBorders>
              <w:bottom w:val="single" w:sz="8" w:color="231F20"/>
            </w:tcBorders>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4,625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40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540" w:type="dxa"/>
            <w:vAlign w:val="bottom"/>
            <w:tcBorders>
              <w:bottom w:val="single" w:sz="8" w:color="231F20"/>
            </w:tcBorders>
            <w:gridSpan w:val="3"/>
          </w:tcPr>
          <w:p>
            <w:pPr>
              <w:jc w:val="right"/>
              <w:ind w:right="46"/>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10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center"/>
              <w:ind w:right="104"/>
              <w:spacing w:after="0"/>
              <w:rPr>
                <w:sz w:val="20"/>
                <w:szCs w:val="20"/>
                <w:color w:val="auto"/>
              </w:rPr>
            </w:pPr>
            <w:r>
              <w:rPr>
                <w:rFonts w:ascii="Times New Roman" w:cs="Times New Roman" w:eastAsia="Times New Roman" w:hAnsi="Times New Roman"/>
                <w:sz w:val="18"/>
                <w:szCs w:val="18"/>
                <w:b w:val="1"/>
                <w:bCs w:val="1"/>
                <w:color w:val="231F20"/>
                <w:w w:val="98"/>
              </w:rPr>
              <w:t>Vacation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66"/>
              <w:spacing w:after="0" w:line="161" w:lineRule="exact"/>
              <w:rPr>
                <w:sz w:val="20"/>
                <w:szCs w:val="20"/>
                <w:color w:val="auto"/>
              </w:rPr>
            </w:pPr>
            <w:r>
              <w:rPr>
                <w:rFonts w:ascii="Times New Roman" w:cs="Times New Roman" w:eastAsia="Times New Roman" w:hAnsi="Times New Roman"/>
                <w:sz w:val="18"/>
                <w:szCs w:val="18"/>
                <w:b w:val="1"/>
                <w:bCs w:val="1"/>
                <w:color w:val="231F20"/>
                <w:w w:val="99"/>
              </w:rPr>
              <w:t>Exchange &amp;</w:t>
            </w:r>
          </w:p>
        </w:tc>
        <w:tc>
          <w:tcPr>
            <w:tcW w:w="60" w:type="dxa"/>
            <w:vAlign w:val="bottom"/>
          </w:tcPr>
          <w:p>
            <w:pPr>
              <w:spacing w:after="0"/>
              <w:rPr>
                <w:sz w:val="14"/>
                <w:szCs w:val="14"/>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rPr>
              <w:t>Corporate and</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66"/>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Third-Party</w:t>
            </w:r>
          </w:p>
        </w:tc>
        <w:tc>
          <w:tcPr>
            <w:tcW w:w="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363"/>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239"/>
        </w:trPr>
        <w:tc>
          <w:tcPr>
            <w:tcW w:w="40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20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tcBorders>
          </w:tcPr>
          <w:p>
            <w:pPr>
              <w:jc w:val="center"/>
              <w:ind w:right="104"/>
              <w:spacing w:after="0"/>
              <w:rPr>
                <w:sz w:val="20"/>
                <w:szCs w:val="20"/>
                <w:color w:val="auto"/>
              </w:rPr>
            </w:pPr>
            <w:r>
              <w:rPr>
                <w:rFonts w:ascii="Times New Roman" w:cs="Times New Roman" w:eastAsia="Times New Roman" w:hAnsi="Times New Roman"/>
                <w:sz w:val="18"/>
                <w:szCs w:val="18"/>
                <w:b w:val="1"/>
                <w:bCs w:val="1"/>
                <w:color w:val="231F20"/>
                <w:w w:val="98"/>
              </w:rPr>
              <w:t>Ownership</w:t>
            </w:r>
          </w:p>
        </w:tc>
        <w:tc>
          <w:tcPr>
            <w:tcW w:w="6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180" w:type="dxa"/>
            <w:vAlign w:val="bottom"/>
            <w:tcBorders>
              <w:bottom w:val="single" w:sz="8" w:color="231F20"/>
            </w:tcBorders>
          </w:tcPr>
          <w:p>
            <w:pPr>
              <w:jc w:val="center"/>
              <w:ind w:right="66"/>
              <w:spacing w:after="0"/>
              <w:rPr>
                <w:sz w:val="20"/>
                <w:szCs w:val="20"/>
                <w:color w:val="auto"/>
              </w:rPr>
            </w:pPr>
            <w:r>
              <w:rPr>
                <w:rFonts w:ascii="Times New Roman" w:cs="Times New Roman" w:eastAsia="Times New Roman" w:hAnsi="Times New Roman"/>
                <w:sz w:val="18"/>
                <w:szCs w:val="18"/>
                <w:b w:val="1"/>
                <w:bCs w:val="1"/>
                <w:color w:val="231F20"/>
              </w:rPr>
              <w:t>Management</w:t>
            </w: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jc w:val="center"/>
              <w:ind w:right="223"/>
              <w:spacing w:after="0"/>
              <w:rPr>
                <w:sz w:val="20"/>
                <w:szCs w:val="20"/>
                <w:color w:val="auto"/>
              </w:rPr>
            </w:pPr>
            <w:r>
              <w:rPr>
                <w:rFonts w:ascii="Times New Roman" w:cs="Times New Roman" w:eastAsia="Times New Roman" w:hAnsi="Times New Roman"/>
                <w:sz w:val="18"/>
                <w:szCs w:val="18"/>
                <w:b w:val="1"/>
                <w:bCs w:val="1"/>
                <w:color w:val="231F20"/>
                <w:w w:val="99"/>
              </w:rPr>
              <w:t>Other</w:t>
            </w:r>
          </w:p>
        </w:tc>
        <w:tc>
          <w:tcPr>
            <w:tcW w:w="60" w:type="dxa"/>
            <w:vAlign w:val="bottom"/>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Services transferred over time </w:t>
            </w:r>
            <w:r>
              <w:rPr>
                <w:rFonts w:ascii="Times New Roman" w:cs="Times New Roman" w:eastAsia="Times New Roman" w:hAnsi="Times New Roman"/>
                <w:sz w:val="20"/>
                <w:szCs w:val="20"/>
                <w:color w:val="B8BABC"/>
              </w:rPr>
              <w:t>.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2,411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w:t>
            </w:r>
          </w:p>
        </w:tc>
        <w:tc>
          <w:tcPr>
            <w:tcW w:w="360" w:type="dxa"/>
            <w:vAlign w:val="bottom"/>
            <w:gridSpan w:val="2"/>
          </w:tcPr>
          <w:p>
            <w:pPr>
              <w:jc w:val="right"/>
              <w:ind w:right="46"/>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2,519</w:t>
            </w:r>
          </w:p>
        </w:tc>
        <w:tc>
          <w:tcPr>
            <w:tcW w:w="0" w:type="dxa"/>
            <w:vAlign w:val="bottom"/>
          </w:tcPr>
          <w:p>
            <w:pPr>
              <w:spacing w:after="0"/>
              <w:rPr>
                <w:sz w:val="1"/>
                <w:szCs w:val="1"/>
                <w:color w:val="auto"/>
              </w:rPr>
            </w:pPr>
          </w:p>
        </w:tc>
      </w:tr>
      <w:tr>
        <w:trPr>
          <w:trHeight w:val="288"/>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Goods or services transferred at a point in time </w:t>
            </w:r>
            <w:r>
              <w:rPr>
                <w:rFonts w:ascii="Times New Roman" w:cs="Times New Roman" w:eastAsia="Times New Roman" w:hAnsi="Times New Roman"/>
                <w:sz w:val="20"/>
                <w:szCs w:val="20"/>
                <w:color w:val="B8BABC"/>
              </w:rPr>
              <w:t>. .</w:t>
            </w:r>
          </w:p>
        </w:tc>
        <w:tc>
          <w:tcPr>
            <w:tcW w:w="20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1,735</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151</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1,886</w:t>
            </w:r>
          </w:p>
        </w:tc>
        <w:tc>
          <w:tcPr>
            <w:tcW w:w="0" w:type="dxa"/>
            <w:vAlign w:val="bottom"/>
          </w:tcPr>
          <w:p>
            <w:pPr>
              <w:spacing w:after="0"/>
              <w:rPr>
                <w:sz w:val="1"/>
                <w:szCs w:val="1"/>
                <w:color w:val="auto"/>
              </w:rPr>
            </w:pPr>
          </w:p>
        </w:tc>
      </w:tr>
      <w:tr>
        <w:trPr>
          <w:trHeight w:val="245"/>
        </w:trPr>
        <w:tc>
          <w:tcPr>
            <w:tcW w:w="408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Revenue from contracts with customers </w:t>
            </w:r>
            <w:r>
              <w:rPr>
                <w:rFonts w:ascii="Times New Roman" w:cs="Times New Roman" w:eastAsia="Times New Roman" w:hAnsi="Times New Roman"/>
                <w:sz w:val="20"/>
                <w:szCs w:val="20"/>
                <w:color w:val="B8BABC"/>
              </w:rPr>
              <w:t>.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4,146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262</w:t>
            </w:r>
          </w:p>
        </w:tc>
        <w:tc>
          <w:tcPr>
            <w:tcW w:w="360" w:type="dxa"/>
            <w:vAlign w:val="bottom"/>
            <w:gridSpan w:val="2"/>
          </w:tcPr>
          <w:p>
            <w:pPr>
              <w:jc w:val="right"/>
              <w:ind w:right="46"/>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4,405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Receivables from Contracts with Customers, Contract Assets, &amp; Contract Liabilities</w:t>
      </w:r>
    </w:p>
    <w:p>
      <w:pPr>
        <w:spacing w:after="0" w:line="19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231F20"/>
        </w:rPr>
        <w:t>The following table shows the composition of our receivables from contracts with customers and contract liabilities. We had no contract assets at either December 31, 2025 or December 31, 2024.</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40" w:type="dxa"/>
            <w:vAlign w:val="bottom"/>
            <w:tcBorders>
              <w:bottom w:val="single" w:sz="8" w:color="231F20"/>
            </w:tcBorders>
          </w:tcPr>
          <w:p>
            <w:pPr>
              <w:spacing w:after="0"/>
              <w:rPr>
                <w:sz w:val="21"/>
                <w:szCs w:val="21"/>
                <w:color w:val="auto"/>
              </w:rPr>
            </w:pPr>
          </w:p>
        </w:tc>
        <w:tc>
          <w:tcPr>
            <w:tcW w:w="1840" w:type="dxa"/>
            <w:vAlign w:val="bottom"/>
            <w:tcBorders>
              <w:bottom w:val="single" w:sz="8" w:color="231F20"/>
            </w:tcBorders>
          </w:tcPr>
          <w:p>
            <w:pPr>
              <w:jc w:val="right"/>
              <w:ind w:right="41"/>
              <w:spacing w:after="0"/>
              <w:rPr>
                <w:sz w:val="20"/>
                <w:szCs w:val="20"/>
                <w:color w:val="auto"/>
              </w:rPr>
            </w:pPr>
            <w:r>
              <w:rPr>
                <w:rFonts w:ascii="Times New Roman" w:cs="Times New Roman" w:eastAsia="Times New Roman" w:hAnsi="Times New Roman"/>
                <w:sz w:val="18"/>
                <w:szCs w:val="18"/>
                <w:b w:val="1"/>
                <w:bCs w:val="1"/>
                <w:color w:val="231F20"/>
                <w:w w:val="99"/>
              </w:rPr>
              <w:t>At December 31, 2025</w:t>
            </w:r>
          </w:p>
        </w:tc>
        <w:tc>
          <w:tcPr>
            <w:tcW w:w="60" w:type="dxa"/>
            <w:vAlign w:val="bottom"/>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840" w:type="dxa"/>
            <w:vAlign w:val="bottom"/>
            <w:tcBorders>
              <w:bottom w:val="single" w:sz="8" w:color="231F20"/>
            </w:tcBorders>
          </w:tcPr>
          <w:p>
            <w:pPr>
              <w:jc w:val="right"/>
              <w:ind w:right="61"/>
              <w:spacing w:after="0"/>
              <w:rPr>
                <w:sz w:val="20"/>
                <w:szCs w:val="20"/>
                <w:color w:val="auto"/>
              </w:rPr>
            </w:pPr>
            <w:r>
              <w:rPr>
                <w:rFonts w:ascii="Times New Roman" w:cs="Times New Roman" w:eastAsia="Times New Roman" w:hAnsi="Times New Roman"/>
                <w:sz w:val="18"/>
                <w:szCs w:val="18"/>
                <w:b w:val="1"/>
                <w:bCs w:val="1"/>
                <w:color w:val="231F20"/>
                <w:w w:val="98"/>
              </w:rPr>
              <w:t>At December 31, 2024</w:t>
            </w:r>
          </w:p>
        </w:tc>
        <w:tc>
          <w:tcPr>
            <w:tcW w:w="0" w:type="dxa"/>
            <w:vAlign w:val="bottom"/>
          </w:tcPr>
          <w:p>
            <w:pPr>
              <w:spacing w:after="0"/>
              <w:rPr>
                <w:sz w:val="1"/>
                <w:szCs w:val="1"/>
                <w:color w:val="auto"/>
              </w:rPr>
            </w:pPr>
          </w:p>
        </w:tc>
      </w:tr>
      <w:tr>
        <w:trPr>
          <w:trHeight w:val="239"/>
        </w:trPr>
        <w:tc>
          <w:tcPr>
            <w:tcW w:w="562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Receivables</w:t>
            </w: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562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Accounts and contracts receivable, net </w:t>
            </w:r>
            <w:r>
              <w:rPr>
                <w:rFonts w:ascii="Times New Roman" w:cs="Times New Roman" w:eastAsia="Times New Roman" w:hAnsi="Times New Roman"/>
                <w:sz w:val="20"/>
                <w:szCs w:val="20"/>
                <w:color w:val="B8BABC"/>
              </w:rPr>
              <w:t>. . . . . . . . . .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w:t>
            </w:r>
          </w:p>
        </w:tc>
        <w:tc>
          <w:tcPr>
            <w:tcW w:w="0" w:type="dxa"/>
            <w:vAlign w:val="bottom"/>
          </w:tcPr>
          <w:p>
            <w:pPr>
              <w:spacing w:after="0"/>
              <w:rPr>
                <w:sz w:val="1"/>
                <w:szCs w:val="1"/>
                <w:color w:val="auto"/>
              </w:rPr>
            </w:pPr>
          </w:p>
        </w:tc>
      </w:tr>
      <w:tr>
        <w:trPr>
          <w:trHeight w:val="288"/>
        </w:trPr>
        <w:tc>
          <w:tcPr>
            <w:tcW w:w="562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Vacation ownership notes receivable, net </w:t>
            </w:r>
            <w:r>
              <w:rPr>
                <w:rFonts w:ascii="Times New Roman" w:cs="Times New Roman" w:eastAsia="Times New Roman" w:hAnsi="Times New Roman"/>
                <w:sz w:val="20"/>
                <w:szCs w:val="20"/>
                <w:color w:val="B8BABC"/>
              </w:rPr>
              <w:t>. . . . . . . . . . . . . . . . . . . .</w:t>
            </w:r>
          </w:p>
        </w:tc>
        <w:tc>
          <w:tcPr>
            <w:tcW w:w="140" w:type="dxa"/>
            <w:vAlign w:val="bottom"/>
            <w:tcBorders>
              <w:bottom w:val="single" w:sz="8" w:color="231F20"/>
            </w:tcBorders>
          </w:tcPr>
          <w:p>
            <w:pPr>
              <w:spacing w:after="0"/>
              <w:rPr>
                <w:sz w:val="24"/>
                <w:szCs w:val="24"/>
                <w:color w:val="auto"/>
              </w:rPr>
            </w:pPr>
          </w:p>
        </w:tc>
        <w:tc>
          <w:tcPr>
            <w:tcW w:w="1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2,565</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2,440</w:t>
            </w:r>
          </w:p>
        </w:tc>
        <w:tc>
          <w:tcPr>
            <w:tcW w:w="0" w:type="dxa"/>
            <w:vAlign w:val="bottom"/>
          </w:tcPr>
          <w:p>
            <w:pPr>
              <w:spacing w:after="0"/>
              <w:rPr>
                <w:sz w:val="1"/>
                <w:szCs w:val="1"/>
                <w:color w:val="auto"/>
              </w:rPr>
            </w:pPr>
          </w:p>
        </w:tc>
      </w:tr>
      <w:tr>
        <w:trPr>
          <w:trHeight w:val="245"/>
        </w:trPr>
        <w:tc>
          <w:tcPr>
            <w:tcW w:w="56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2,690</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Contract Liabilities</w:t>
            </w: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8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8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5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62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Advance deposits</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w:t>
            </w:r>
          </w:p>
        </w:tc>
        <w:tc>
          <w:tcPr>
            <w:tcW w:w="0" w:type="dxa"/>
            <w:vAlign w:val="bottom"/>
          </w:tcPr>
          <w:p>
            <w:pPr>
              <w:spacing w:after="0"/>
              <w:rPr>
                <w:sz w:val="1"/>
                <w:szCs w:val="1"/>
                <w:color w:val="auto"/>
              </w:rPr>
            </w:pPr>
          </w:p>
        </w:tc>
      </w:tr>
      <w:tr>
        <w:trPr>
          <w:trHeight w:val="263"/>
        </w:trPr>
        <w:tc>
          <w:tcPr>
            <w:tcW w:w="5620" w:type="dxa"/>
            <w:vAlign w:val="bottom"/>
          </w:tcPr>
          <w:p>
            <w:pPr>
              <w:ind w:left="220"/>
              <w:spacing w:after="0" w:line="263" w:lineRule="exact"/>
              <w:rPr>
                <w:sz w:val="20"/>
                <w:szCs w:val="20"/>
                <w:color w:val="auto"/>
              </w:rPr>
            </w:pPr>
            <w:r>
              <w:rPr>
                <w:rFonts w:ascii="Times New Roman" w:cs="Times New Roman" w:eastAsia="Times New Roman" w:hAnsi="Times New Roman"/>
                <w:sz w:val="20"/>
                <w:szCs w:val="20"/>
                <w:color w:val="231F20"/>
              </w:rPr>
              <w:t>Deferred revenue and other</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 . .</w:t>
            </w:r>
          </w:p>
        </w:tc>
        <w:tc>
          <w:tcPr>
            <w:tcW w:w="140" w:type="dxa"/>
            <w:vAlign w:val="bottom"/>
            <w:tcBorders>
              <w:bottom w:val="single" w:sz="8" w:color="231F20"/>
            </w:tcBorders>
          </w:tcPr>
          <w:p>
            <w:pPr>
              <w:spacing w:after="0"/>
              <w:rPr>
                <w:sz w:val="22"/>
                <w:szCs w:val="22"/>
                <w:color w:val="auto"/>
              </w:rPr>
            </w:pPr>
          </w:p>
        </w:tc>
        <w:tc>
          <w:tcPr>
            <w:tcW w:w="1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371</w:t>
            </w:r>
          </w:p>
        </w:tc>
        <w:tc>
          <w:tcPr>
            <w:tcW w:w="6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1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354</w:t>
            </w:r>
          </w:p>
        </w:tc>
        <w:tc>
          <w:tcPr>
            <w:tcW w:w="0" w:type="dxa"/>
            <w:vAlign w:val="bottom"/>
          </w:tcPr>
          <w:p>
            <w:pPr>
              <w:spacing w:after="0"/>
              <w:rPr>
                <w:sz w:val="1"/>
                <w:szCs w:val="1"/>
                <w:color w:val="auto"/>
              </w:rPr>
            </w:pPr>
          </w:p>
        </w:tc>
      </w:tr>
      <w:tr>
        <w:trPr>
          <w:trHeight w:val="245"/>
        </w:trPr>
        <w:tc>
          <w:tcPr>
            <w:tcW w:w="56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8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8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360" w:right="180" w:hanging="360"/>
        <w:spacing w:after="0" w:line="226" w:lineRule="auto"/>
        <w:tabs>
          <w:tab w:leader="none" w:pos="360" w:val="left"/>
        </w:tabs>
        <w:numPr>
          <w:ilvl w:val="0"/>
          <w:numId w:val="37"/>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Includes $99 million and $105 million of other refundable deposits at December 31, 2025 and December 31, 2024, respectively.</w:t>
      </w:r>
    </w:p>
    <w:p>
      <w:pPr>
        <w:spacing w:after="0" w:line="162"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231F20"/>
        </w:rPr>
        <w:t>Revenue recognized during the year ended December 31, 2025 that was included in our contract liabilities balance at December 31, 2024 was $339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Remaining Performance Obligations</w:t>
      </w:r>
    </w:p>
    <w:p>
      <w:pPr>
        <w:spacing w:after="0" w:line="13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Our recorded contract liabilities (excluding other refundable deposits) represent the aggregate amount of the transaction price allocated to the performance obligations that are unsatisfied (or partially unsatisfied) as of December 31, 2025. At December 31, 2025, approximately 90% of the recorded contract liabilities are expected to be recognized as revenue over the next two years.</w:t>
      </w:r>
    </w:p>
    <w:p>
      <w:pPr>
        <w:sectPr>
          <w:pgSz w:w="11880" w:h="15480" w:orient="portrait"/>
          <w:cols w:equalWidth="0" w:num="1">
            <w:col w:w="9720"/>
          </w:cols>
          <w:pgMar w:left="1080" w:top="829" w:right="108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91</w:t>
      </w:r>
    </w:p>
    <w:p>
      <w:pPr>
        <w:sectPr>
          <w:pgSz w:w="11880" w:h="15480" w:orient="portrait"/>
          <w:cols w:equalWidth="0" w:num="1">
            <w:col w:w="9720"/>
          </w:cols>
          <w:pgMar w:left="1080" w:top="829" w:right="108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i w:val="1"/>
          <w:iCs w:val="1"/>
          <w:color w:val="231F20"/>
        </w:rPr>
        <w:t>Accounts and Contracts Receivable</w:t>
      </w:r>
    </w:p>
    <w:p>
      <w:pPr>
        <w:spacing w:after="0" w:line="13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231F20"/>
        </w:rPr>
        <w:t>Accounts and contracts receivable is comprised of amounts due from customers, primarily owners’ associations, resort developers, owners and members, credit card receivables, interest receivables, amounts due from taxing authorities, indemnification assets, and other miscellaneous receivables. The following table shows the composition of our accounts and contracts receivable balances:</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40" w:type="dxa"/>
            <w:vAlign w:val="bottom"/>
            <w:tcBorders>
              <w:bottom w:val="single" w:sz="8" w:color="231F20"/>
            </w:tcBorders>
          </w:tcPr>
          <w:p>
            <w:pPr>
              <w:spacing w:after="0"/>
              <w:rPr>
                <w:sz w:val="21"/>
                <w:szCs w:val="21"/>
                <w:color w:val="auto"/>
              </w:rPr>
            </w:pPr>
          </w:p>
        </w:tc>
        <w:tc>
          <w:tcPr>
            <w:tcW w:w="1840" w:type="dxa"/>
            <w:vAlign w:val="bottom"/>
            <w:tcBorders>
              <w:bottom w:val="single" w:sz="8" w:color="231F20"/>
            </w:tcBorders>
          </w:tcPr>
          <w:p>
            <w:pPr>
              <w:jc w:val="right"/>
              <w:ind w:right="41"/>
              <w:spacing w:after="0"/>
              <w:rPr>
                <w:sz w:val="20"/>
                <w:szCs w:val="20"/>
                <w:color w:val="auto"/>
              </w:rPr>
            </w:pPr>
            <w:r>
              <w:rPr>
                <w:rFonts w:ascii="Times New Roman" w:cs="Times New Roman" w:eastAsia="Times New Roman" w:hAnsi="Times New Roman"/>
                <w:sz w:val="18"/>
                <w:szCs w:val="18"/>
                <w:b w:val="1"/>
                <w:bCs w:val="1"/>
                <w:color w:val="231F20"/>
                <w:w w:val="99"/>
              </w:rPr>
              <w:t>At December 31, 2025</w:t>
            </w:r>
          </w:p>
        </w:tc>
        <w:tc>
          <w:tcPr>
            <w:tcW w:w="60" w:type="dxa"/>
            <w:vAlign w:val="bottom"/>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840" w:type="dxa"/>
            <w:vAlign w:val="bottom"/>
            <w:tcBorders>
              <w:bottom w:val="single" w:sz="8" w:color="231F20"/>
            </w:tcBorders>
          </w:tcPr>
          <w:p>
            <w:pPr>
              <w:jc w:val="right"/>
              <w:ind w:right="61"/>
              <w:spacing w:after="0"/>
              <w:rPr>
                <w:sz w:val="20"/>
                <w:szCs w:val="20"/>
                <w:color w:val="auto"/>
              </w:rPr>
            </w:pPr>
            <w:r>
              <w:rPr>
                <w:rFonts w:ascii="Times New Roman" w:cs="Times New Roman" w:eastAsia="Times New Roman" w:hAnsi="Times New Roman"/>
                <w:sz w:val="18"/>
                <w:szCs w:val="18"/>
                <w:b w:val="1"/>
                <w:bCs w:val="1"/>
                <w:color w:val="231F20"/>
                <w:w w:val="98"/>
              </w:rPr>
              <w:t>At December 31, 2024</w:t>
            </w:r>
          </w:p>
        </w:tc>
      </w:tr>
      <w:tr>
        <w:trPr>
          <w:trHeight w:val="262"/>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Receivables from contracts with customers, net </w:t>
            </w:r>
            <w:r>
              <w:rPr>
                <w:rFonts w:ascii="Times New Roman" w:cs="Times New Roman" w:eastAsia="Times New Roman" w:hAnsi="Times New Roman"/>
                <w:sz w:val="20"/>
                <w:szCs w:val="20"/>
                <w:color w:val="B8BABC"/>
              </w:rPr>
              <w:t>. . . . .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w:t>
            </w:r>
          </w:p>
        </w:tc>
      </w:tr>
      <w:tr>
        <w:trPr>
          <w:trHeight w:val="285"/>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Interest receivable  </w:t>
            </w:r>
            <w:r>
              <w:rPr>
                <w:rFonts w:ascii="Times New Roman" w:cs="Times New Roman" w:eastAsia="Times New Roman" w:hAnsi="Times New Roman"/>
                <w:sz w:val="20"/>
                <w:szCs w:val="20"/>
                <w:color w:val="B8BABC"/>
              </w:rPr>
              <w:t>. . . . . . . . . . . . . . . . . . . . . . . . . . . . . . . . . . . . . . . .</w:t>
            </w:r>
          </w:p>
        </w:tc>
        <w:tc>
          <w:tcPr>
            <w:tcW w:w="1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w:t>
            </w:r>
          </w:p>
        </w:tc>
      </w:tr>
      <w:tr>
        <w:trPr>
          <w:trHeight w:val="285"/>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Tax receivable </w:t>
            </w:r>
            <w:r>
              <w:rPr>
                <w:rFonts w:ascii="Times New Roman" w:cs="Times New Roman" w:eastAsia="Times New Roman" w:hAnsi="Times New Roman"/>
                <w:sz w:val="20"/>
                <w:szCs w:val="20"/>
                <w:color w:val="B8BABC"/>
              </w:rPr>
              <w:t>. . . . . . . . . . . . . . . . . . . . . . . . . . . . . . . . . . . . . . . . . . .</w:t>
            </w:r>
          </w:p>
        </w:tc>
        <w:tc>
          <w:tcPr>
            <w:tcW w:w="1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w:t>
            </w:r>
          </w:p>
        </w:tc>
      </w:tr>
      <w:tr>
        <w:trPr>
          <w:trHeight w:val="285"/>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Indemnification assets </w:t>
            </w:r>
            <w:r>
              <w:rPr>
                <w:rFonts w:ascii="Times New Roman" w:cs="Times New Roman" w:eastAsia="Times New Roman" w:hAnsi="Times New Roman"/>
                <w:sz w:val="20"/>
                <w:szCs w:val="20"/>
                <w:color w:val="B8BABC"/>
              </w:rPr>
              <w:t>. . . . . . . . . . . . . . . . . . . . . . . . . . . . . . . . . . . . .</w:t>
            </w:r>
          </w:p>
        </w:tc>
        <w:tc>
          <w:tcPr>
            <w:tcW w:w="1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w:t>
            </w:r>
          </w:p>
        </w:tc>
      </w:tr>
      <w:tr>
        <w:trPr>
          <w:trHeight w:val="285"/>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Employee tax credit receivable </w:t>
            </w:r>
            <w:r>
              <w:rPr>
                <w:rFonts w:ascii="Times New Roman" w:cs="Times New Roman" w:eastAsia="Times New Roman" w:hAnsi="Times New Roman"/>
                <w:sz w:val="20"/>
                <w:szCs w:val="20"/>
                <w:color w:val="B8BABC"/>
              </w:rPr>
              <w:t>. . . . . . . . . . . . . . . . . . . . . . . . . . . . . .</w:t>
            </w:r>
          </w:p>
        </w:tc>
        <w:tc>
          <w:tcPr>
            <w:tcW w:w="1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r>
      <w:tr>
        <w:trPr>
          <w:trHeight w:val="288"/>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 . . . . . . . . . .</w:t>
            </w:r>
          </w:p>
        </w:tc>
        <w:tc>
          <w:tcPr>
            <w:tcW w:w="140" w:type="dxa"/>
            <w:vAlign w:val="bottom"/>
            <w:tcBorders>
              <w:bottom w:val="single" w:sz="8" w:color="231F20"/>
            </w:tcBorders>
          </w:tcPr>
          <w:p>
            <w:pPr>
              <w:spacing w:after="0"/>
              <w:rPr>
                <w:sz w:val="24"/>
                <w:szCs w:val="24"/>
                <w:color w:val="auto"/>
              </w:rPr>
            </w:pPr>
          </w:p>
        </w:tc>
        <w:tc>
          <w:tcPr>
            <w:tcW w:w="1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w:t>
            </w:r>
          </w:p>
        </w:tc>
      </w:tr>
      <w:tr>
        <w:trPr>
          <w:trHeight w:val="245"/>
        </w:trPr>
        <w:tc>
          <w:tcPr>
            <w:tcW w:w="56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387</w:t>
            </w:r>
          </w:p>
        </w:tc>
      </w:tr>
      <w:tr>
        <w:trPr>
          <w:trHeight w:val="20"/>
        </w:trPr>
        <w:tc>
          <w:tcPr>
            <w:tcW w:w="562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8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840" w:type="dxa"/>
            <w:vAlign w:val="bottom"/>
            <w:tcBorders>
              <w:top w:val="single" w:sz="8" w:color="231F20"/>
              <w:bottom w:val="single" w:sz="8" w:color="231F20"/>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4. INCOME TAXES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 Provision</w:t>
      </w:r>
    </w:p>
    <w:p>
      <w:pPr>
        <w:spacing w:after="0" w:line="13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0"/>
          <w:szCs w:val="20"/>
          <w:color w:val="231F20"/>
        </w:rPr>
        <w:t>The following table presents the components of our (losses) or income before income taxes and noncontrolling interests for the last three fiscal years: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30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0" w:type="dxa"/>
            <w:vAlign w:val="bottom"/>
          </w:tcPr>
          <w:p>
            <w:pPr>
              <w:spacing w:after="0"/>
              <w:rPr>
                <w:sz w:val="1"/>
                <w:szCs w:val="1"/>
                <w:color w:val="auto"/>
              </w:rPr>
            </w:pPr>
          </w:p>
        </w:tc>
      </w:tr>
      <w:tr>
        <w:trPr>
          <w:trHeight w:val="262"/>
        </w:trPr>
        <w:tc>
          <w:tcPr>
            <w:tcW w:w="56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B8BABC"/>
              </w:rPr>
              <w:t>. . . . . . . . . . . . . . . . . . . . . . . . . . . . . . . . . . . . . . . . . . . .</w:t>
            </w:r>
            <w:r>
              <w:rPr>
                <w:rFonts w:ascii="Times New Roman" w:cs="Times New Roman" w:eastAsia="Times New Roman" w:hAnsi="Times New Roman"/>
                <w:sz w:val="20"/>
                <w:szCs w:val="20"/>
                <w:color w:val="231F20"/>
              </w:rPr>
              <w:t>UnitedStates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419</w:t>
            </w:r>
          </w:p>
        </w:tc>
        <w:tc>
          <w:tcPr>
            <w:tcW w:w="0" w:type="dxa"/>
            <w:vAlign w:val="bottom"/>
          </w:tcPr>
          <w:p>
            <w:pPr>
              <w:spacing w:after="0"/>
              <w:rPr>
                <w:sz w:val="1"/>
                <w:szCs w:val="1"/>
                <w:color w:val="auto"/>
              </w:rPr>
            </w:pPr>
          </w:p>
        </w:tc>
      </w:tr>
      <w:tr>
        <w:trPr>
          <w:trHeight w:val="288"/>
        </w:trPr>
        <w:tc>
          <w:tcPr>
            <w:tcW w:w="56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231F20"/>
              </w:rPr>
              <w:t xml:space="preserve">Non-U.S. jurisdictions </w:t>
            </w:r>
            <w:r>
              <w:rPr>
                <w:rFonts w:ascii="Times New Roman" w:cs="Times New Roman" w:eastAsia="Times New Roman" w:hAnsi="Times New Roman"/>
                <w:sz w:val="20"/>
                <w:szCs w:val="20"/>
                <w:color w:val="B8BABC"/>
              </w:rPr>
              <w:t>. . . . . . . . . . . . . . . . . . . . . . . . . . . . . . . . . . . . .</w:t>
            </w: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(55)</w:t>
            </w:r>
          </w:p>
        </w:tc>
        <w:tc>
          <w:tcPr>
            <w:tcW w:w="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398</w:t>
            </w: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231F20"/>
              </w:rPr>
              <w:t>Our (provision for) or benefit from income taxes consisted of:</w:t>
            </w: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56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6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2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Current</w:t>
            </w:r>
          </w:p>
        </w:tc>
        <w:tc>
          <w:tcPr>
            <w:tcW w:w="480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 . . . . . . . .</w:t>
            </w:r>
            <w:r>
              <w:rPr>
                <w:rFonts w:ascii="Times New Roman" w:cs="Times New Roman" w:eastAsia="Times New Roman" w:hAnsi="Times New Roman"/>
                <w:sz w:val="20"/>
                <w:szCs w:val="20"/>
                <w:color w:val="231F20"/>
              </w:rPr>
              <w:t>–U.S.Federal</w:t>
            </w:r>
          </w:p>
        </w:tc>
        <w:tc>
          <w:tcPr>
            <w:tcW w:w="20" w:type="dxa"/>
            <w:vAlign w:val="bottom"/>
          </w:tcPr>
          <w:p>
            <w:pPr>
              <w:spacing w:after="0"/>
              <w:rPr>
                <w:sz w:val="22"/>
                <w:szCs w:val="22"/>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(123)</w:t>
            </w:r>
          </w:p>
        </w:tc>
        <w:tc>
          <w:tcPr>
            <w:tcW w:w="0" w:type="dxa"/>
            <w:vAlign w:val="bottom"/>
          </w:tcPr>
          <w:p>
            <w:pPr>
              <w:spacing w:after="0"/>
              <w:rPr>
                <w:sz w:val="1"/>
                <w:szCs w:val="1"/>
                <w:color w:val="auto"/>
              </w:rPr>
            </w:pPr>
          </w:p>
        </w:tc>
      </w:tr>
      <w:tr>
        <w:trPr>
          <w:trHeight w:val="285"/>
        </w:trPr>
        <w:tc>
          <w:tcPr>
            <w:tcW w:w="840" w:type="dxa"/>
            <w:vAlign w:val="bottom"/>
          </w:tcPr>
          <w:p>
            <w:pPr>
              <w:spacing w:after="0"/>
              <w:rPr>
                <w:sz w:val="24"/>
                <w:szCs w:val="24"/>
                <w:color w:val="auto"/>
              </w:rPr>
            </w:pPr>
          </w:p>
        </w:tc>
        <w:tc>
          <w:tcPr>
            <w:tcW w:w="4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 xml:space="preserve">– U.S. State </w:t>
            </w:r>
            <w:r>
              <w:rPr>
                <w:rFonts w:ascii="Times New Roman" w:cs="Times New Roman" w:eastAsia="Times New Roman" w:hAnsi="Times New Roman"/>
                <w:sz w:val="20"/>
                <w:szCs w:val="20"/>
                <w:color w:val="B8BABC"/>
              </w:rPr>
              <w:t>. . . . . . . . . . . . . . . . . . . . . . . . . . . . . . . . . . . . .</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0" w:type="dxa"/>
            <w:vAlign w:val="bottom"/>
          </w:tcPr>
          <w:p>
            <w:pPr>
              <w:spacing w:after="0"/>
              <w:rPr>
                <w:sz w:val="1"/>
                <w:szCs w:val="1"/>
                <w:color w:val="auto"/>
              </w:rPr>
            </w:pPr>
          </w:p>
        </w:tc>
      </w:tr>
      <w:tr>
        <w:trPr>
          <w:trHeight w:val="288"/>
        </w:trPr>
        <w:tc>
          <w:tcPr>
            <w:tcW w:w="840" w:type="dxa"/>
            <w:vAlign w:val="bottom"/>
          </w:tcPr>
          <w:p>
            <w:pPr>
              <w:spacing w:after="0"/>
              <w:rPr>
                <w:sz w:val="24"/>
                <w:szCs w:val="24"/>
                <w:color w:val="auto"/>
              </w:rPr>
            </w:pPr>
          </w:p>
        </w:tc>
        <w:tc>
          <w:tcPr>
            <w:tcW w:w="4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 xml:space="preserve">– Non-U.S. </w:t>
            </w:r>
            <w:r>
              <w:rPr>
                <w:rFonts w:ascii="Times New Roman" w:cs="Times New Roman" w:eastAsia="Times New Roman" w:hAnsi="Times New Roman"/>
                <w:sz w:val="20"/>
                <w:szCs w:val="20"/>
                <w:color w:val="B8BABC"/>
              </w:rPr>
              <w:t>. . . . . . . . . . . . . . . . . . . . . . . . . . . . . . . . . . . . .</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w:t>
            </w:r>
          </w:p>
        </w:tc>
        <w:tc>
          <w:tcPr>
            <w:tcW w:w="0" w:type="dxa"/>
            <w:vAlign w:val="bottom"/>
          </w:tcPr>
          <w:p>
            <w:pPr>
              <w:spacing w:after="0"/>
              <w:rPr>
                <w:sz w:val="1"/>
                <w:szCs w:val="1"/>
                <w:color w:val="auto"/>
              </w:rPr>
            </w:pPr>
          </w:p>
        </w:tc>
      </w:tr>
      <w:tr>
        <w:trPr>
          <w:trHeight w:val="262"/>
        </w:trPr>
        <w:tc>
          <w:tcPr>
            <w:tcW w:w="84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20" w:type="dxa"/>
            <w:vAlign w:val="bottom"/>
            <w:tcBorders>
              <w:top w:val="single" w:sz="8" w:color="231F20"/>
            </w:tcBorders>
          </w:tcPr>
          <w:p>
            <w:pPr>
              <w:spacing w:after="0"/>
              <w:rPr>
                <w:sz w:val="22"/>
                <w:szCs w:val="22"/>
                <w:color w:val="auto"/>
              </w:rPr>
            </w:pPr>
          </w:p>
        </w:tc>
        <w:tc>
          <w:tcPr>
            <w:tcW w:w="300" w:type="dxa"/>
            <w:vAlign w:val="bottom"/>
            <w:tcBorders>
              <w:top w:val="single" w:sz="8" w:color="231F20"/>
            </w:tcBorders>
          </w:tcPr>
          <w:p>
            <w:pPr>
              <w:spacing w:after="0"/>
              <w:rPr>
                <w:sz w:val="22"/>
                <w:szCs w:val="22"/>
                <w:color w:val="auto"/>
              </w:rPr>
            </w:pP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(111)</w:t>
            </w:r>
          </w:p>
        </w:tc>
        <w:tc>
          <w:tcPr>
            <w:tcW w:w="60" w:type="dxa"/>
            <w:vAlign w:val="bottom"/>
          </w:tcPr>
          <w:p>
            <w:pPr>
              <w:spacing w:after="0"/>
              <w:rPr>
                <w:sz w:val="22"/>
                <w:szCs w:val="22"/>
                <w:color w:val="auto"/>
              </w:rPr>
            </w:pPr>
          </w:p>
        </w:tc>
        <w:tc>
          <w:tcPr>
            <w:tcW w:w="320" w:type="dxa"/>
            <w:vAlign w:val="bottom"/>
            <w:tcBorders>
              <w:top w:val="single" w:sz="8" w:color="231F20"/>
            </w:tcBorders>
          </w:tcPr>
          <w:p>
            <w:pPr>
              <w:spacing w:after="0"/>
              <w:rPr>
                <w:sz w:val="22"/>
                <w:szCs w:val="22"/>
                <w:color w:val="auto"/>
              </w:rPr>
            </w:pP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(55)</w:t>
            </w:r>
          </w:p>
        </w:tc>
        <w:tc>
          <w:tcPr>
            <w:tcW w:w="60" w:type="dxa"/>
            <w:vAlign w:val="bottom"/>
          </w:tcPr>
          <w:p>
            <w:pPr>
              <w:spacing w:after="0"/>
              <w:rPr>
                <w:sz w:val="22"/>
                <w:szCs w:val="22"/>
                <w:color w:val="auto"/>
              </w:rPr>
            </w:pPr>
          </w:p>
        </w:tc>
        <w:tc>
          <w:tcPr>
            <w:tcW w:w="320" w:type="dxa"/>
            <w:vAlign w:val="bottom"/>
            <w:tcBorders>
              <w:top w:val="single" w:sz="8" w:color="231F20"/>
            </w:tcBorders>
          </w:tcPr>
          <w:p>
            <w:pPr>
              <w:spacing w:after="0"/>
              <w:rPr>
                <w:sz w:val="22"/>
                <w:szCs w:val="22"/>
                <w:color w:val="auto"/>
              </w:rPr>
            </w:pPr>
          </w:p>
        </w:tc>
        <w:tc>
          <w:tcPr>
            <w:tcW w:w="10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(206)</w:t>
            </w:r>
          </w:p>
        </w:tc>
        <w:tc>
          <w:tcPr>
            <w:tcW w:w="0" w:type="dxa"/>
            <w:vAlign w:val="bottom"/>
          </w:tcPr>
          <w:p>
            <w:pPr>
              <w:spacing w:after="0"/>
              <w:rPr>
                <w:sz w:val="1"/>
                <w:szCs w:val="1"/>
                <w:color w:val="auto"/>
              </w:rPr>
            </w:pPr>
          </w:p>
        </w:tc>
      </w:tr>
      <w:tr>
        <w:trPr>
          <w:trHeight w:val="570"/>
        </w:trPr>
        <w:tc>
          <w:tcPr>
            <w:tcW w:w="8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Deferred</w:t>
            </w:r>
          </w:p>
        </w:tc>
        <w:tc>
          <w:tcPr>
            <w:tcW w:w="4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 xml:space="preserve">– U.S. Federal </w:t>
            </w:r>
            <w:r>
              <w:rPr>
                <w:rFonts w:ascii="Times New Roman" w:cs="Times New Roman" w:eastAsia="Times New Roman" w:hAnsi="Times New Roman"/>
                <w:sz w:val="20"/>
                <w:szCs w:val="20"/>
                <w:color w:val="B8BABC"/>
              </w:rPr>
              <w:t>. . . . . . . . . . . . . . . . . . . . . . . . . . . . . . . . . . .</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0" w:type="dxa"/>
            <w:vAlign w:val="bottom"/>
          </w:tcPr>
          <w:p>
            <w:pPr>
              <w:spacing w:after="0"/>
              <w:rPr>
                <w:sz w:val="1"/>
                <w:szCs w:val="1"/>
                <w:color w:val="auto"/>
              </w:rPr>
            </w:pPr>
          </w:p>
        </w:tc>
      </w:tr>
      <w:tr>
        <w:trPr>
          <w:trHeight w:val="285"/>
        </w:trPr>
        <w:tc>
          <w:tcPr>
            <w:tcW w:w="840" w:type="dxa"/>
            <w:vAlign w:val="bottom"/>
          </w:tcPr>
          <w:p>
            <w:pPr>
              <w:spacing w:after="0"/>
              <w:rPr>
                <w:sz w:val="24"/>
                <w:szCs w:val="24"/>
                <w:color w:val="auto"/>
              </w:rPr>
            </w:pPr>
          </w:p>
        </w:tc>
        <w:tc>
          <w:tcPr>
            <w:tcW w:w="4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 xml:space="preserve">– U.S. State </w:t>
            </w:r>
            <w:r>
              <w:rPr>
                <w:rFonts w:ascii="Times New Roman" w:cs="Times New Roman" w:eastAsia="Times New Roman" w:hAnsi="Times New Roman"/>
                <w:sz w:val="20"/>
                <w:szCs w:val="20"/>
                <w:color w:val="B8BABC"/>
              </w:rPr>
              <w:t>. . . . . . . . . . . . . . . . . . . . . . . . . . . . . . . . . . . . .</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88"/>
        </w:trPr>
        <w:tc>
          <w:tcPr>
            <w:tcW w:w="840" w:type="dxa"/>
            <w:vAlign w:val="bottom"/>
          </w:tcPr>
          <w:p>
            <w:pPr>
              <w:spacing w:after="0"/>
              <w:rPr>
                <w:sz w:val="24"/>
                <w:szCs w:val="24"/>
                <w:color w:val="auto"/>
              </w:rPr>
            </w:pPr>
          </w:p>
        </w:tc>
        <w:tc>
          <w:tcPr>
            <w:tcW w:w="4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 xml:space="preserve">– Non-U.S. </w:t>
            </w:r>
            <w:r>
              <w:rPr>
                <w:rFonts w:ascii="Times New Roman" w:cs="Times New Roman" w:eastAsia="Times New Roman" w:hAnsi="Times New Roman"/>
                <w:sz w:val="20"/>
                <w:szCs w:val="20"/>
                <w:color w:val="B8BABC"/>
              </w:rPr>
              <w:t>. . . . . . . . . . . . . . . . . . . . . . . . . . . . . . . . . . . . .</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0" w:type="dxa"/>
            <w:vAlign w:val="bottom"/>
          </w:tcPr>
          <w:p>
            <w:pPr>
              <w:spacing w:after="0"/>
              <w:rPr>
                <w:sz w:val="1"/>
                <w:szCs w:val="1"/>
                <w:color w:val="auto"/>
              </w:rPr>
            </w:pPr>
          </w:p>
        </w:tc>
      </w:tr>
      <w:tr>
        <w:trPr>
          <w:trHeight w:val="265"/>
        </w:trPr>
        <w:tc>
          <w:tcPr>
            <w:tcW w:w="84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20" w:type="dxa"/>
            <w:vAlign w:val="bottom"/>
            <w:tcBorders>
              <w:top w:val="single" w:sz="8" w:color="231F20"/>
              <w:bottom w:val="single" w:sz="8" w:color="231F20"/>
            </w:tcBorders>
          </w:tcPr>
          <w:p>
            <w:pPr>
              <w:spacing w:after="0"/>
              <w:rPr>
                <w:sz w:val="23"/>
                <w:szCs w:val="23"/>
                <w:color w:val="auto"/>
              </w:rPr>
            </w:pPr>
          </w:p>
        </w:tc>
        <w:tc>
          <w:tcPr>
            <w:tcW w:w="300" w:type="dxa"/>
            <w:vAlign w:val="bottom"/>
            <w:tcBorders>
              <w:top w:val="single" w:sz="8" w:color="231F20"/>
              <w:bottom w:val="single" w:sz="8" w:color="231F20"/>
            </w:tcBorders>
          </w:tcPr>
          <w:p>
            <w:pPr>
              <w:spacing w:after="0"/>
              <w:rPr>
                <w:sz w:val="23"/>
                <w:szCs w:val="23"/>
                <w:color w:val="auto"/>
              </w:rPr>
            </w:pPr>
          </w:p>
        </w:tc>
        <w:tc>
          <w:tcPr>
            <w:tcW w:w="10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103</w:t>
            </w:r>
          </w:p>
        </w:tc>
        <w:tc>
          <w:tcPr>
            <w:tcW w:w="60" w:type="dxa"/>
            <w:vAlign w:val="bottom"/>
          </w:tcPr>
          <w:p>
            <w:pPr>
              <w:spacing w:after="0"/>
              <w:rPr>
                <w:sz w:val="23"/>
                <w:szCs w:val="23"/>
                <w:color w:val="auto"/>
              </w:rPr>
            </w:pPr>
          </w:p>
        </w:tc>
        <w:tc>
          <w:tcPr>
            <w:tcW w:w="320" w:type="dxa"/>
            <w:vAlign w:val="bottom"/>
            <w:tcBorders>
              <w:top w:val="single" w:sz="8" w:color="231F20"/>
              <w:bottom w:val="single" w:sz="8" w:color="231F20"/>
            </w:tcBorders>
          </w:tcPr>
          <w:p>
            <w:pPr>
              <w:spacing w:after="0"/>
              <w:rPr>
                <w:sz w:val="23"/>
                <w:szCs w:val="23"/>
                <w:color w:val="auto"/>
              </w:rPr>
            </w:pPr>
          </w:p>
        </w:tc>
        <w:tc>
          <w:tcPr>
            <w:tcW w:w="10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60" w:type="dxa"/>
            <w:vAlign w:val="bottom"/>
          </w:tcPr>
          <w:p>
            <w:pPr>
              <w:spacing w:after="0"/>
              <w:rPr>
                <w:sz w:val="23"/>
                <w:szCs w:val="23"/>
                <w:color w:val="auto"/>
              </w:rPr>
            </w:pPr>
          </w:p>
        </w:tc>
        <w:tc>
          <w:tcPr>
            <w:tcW w:w="320" w:type="dxa"/>
            <w:vAlign w:val="bottom"/>
            <w:tcBorders>
              <w:top w:val="single" w:sz="8" w:color="231F20"/>
              <w:bottom w:val="single" w:sz="8" w:color="231F20"/>
            </w:tcBorders>
          </w:tcPr>
          <w:p>
            <w:pPr>
              <w:spacing w:after="0"/>
              <w:rPr>
                <w:sz w:val="23"/>
                <w:szCs w:val="23"/>
                <w:color w:val="auto"/>
              </w:rPr>
            </w:pPr>
          </w:p>
        </w:tc>
        <w:tc>
          <w:tcPr>
            <w:tcW w:w="10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60</w:t>
            </w:r>
          </w:p>
        </w:tc>
        <w:tc>
          <w:tcPr>
            <w:tcW w:w="0" w:type="dxa"/>
            <w:vAlign w:val="bottom"/>
          </w:tcPr>
          <w:p>
            <w:pPr>
              <w:spacing w:after="0"/>
              <w:rPr>
                <w:sz w:val="1"/>
                <w:szCs w:val="1"/>
                <w:color w:val="auto"/>
              </w:rPr>
            </w:pPr>
          </w:p>
        </w:tc>
      </w:tr>
      <w:tr>
        <w:trPr>
          <w:trHeight w:val="245"/>
        </w:trPr>
        <w:tc>
          <w:tcPr>
            <w:tcW w:w="84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82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92</w:t>
      </w:r>
    </w:p>
    <w:p>
      <w:pPr>
        <w:sectPr>
          <w:pgSz w:w="11880" w:h="15480" w:orient="portrait"/>
          <w:cols w:equalWidth="0" w:num="1">
            <w:col w:w="9720"/>
          </w:cols>
          <w:pgMar w:left="1080" w:top="829" w:right="108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i w:val="1"/>
          <w:iCs w:val="1"/>
          <w:color w:val="231F20"/>
        </w:rPr>
        <w:t>Deferred Income Taxes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presents the significant components of our deferred tax assets and liabilities: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8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w w:val="99"/>
              </w:rPr>
              <w:t>At Year-End 2025</w:t>
            </w: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w w:val="99"/>
              </w:rPr>
              <w:t>At Year-End 2024</w:t>
            </w:r>
          </w:p>
        </w:tc>
        <w:tc>
          <w:tcPr>
            <w:tcW w:w="0" w:type="dxa"/>
            <w:vAlign w:val="bottom"/>
          </w:tcPr>
          <w:p>
            <w:pPr>
              <w:spacing w:after="0"/>
              <w:rPr>
                <w:sz w:val="1"/>
                <w:szCs w:val="1"/>
                <w:color w:val="auto"/>
              </w:rPr>
            </w:pPr>
          </w:p>
        </w:tc>
      </w:tr>
      <w:tr>
        <w:trPr>
          <w:trHeight w:val="262"/>
        </w:trPr>
        <w:tc>
          <w:tcPr>
            <w:tcW w:w="60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Deferred Tax Assets</w:t>
            </w: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Inventory </w:t>
            </w:r>
            <w:r>
              <w:rPr>
                <w:rFonts w:ascii="Times New Roman" w:cs="Times New Roman" w:eastAsia="Times New Roman" w:hAnsi="Times New Roman"/>
                <w:sz w:val="20"/>
                <w:szCs w:val="20"/>
                <w:color w:val="B8BABC"/>
              </w:rPr>
              <w:t>. . . . . . . . . . . . . . . . . . . . .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0" w:type="dxa"/>
            <w:vAlign w:val="bottom"/>
          </w:tcPr>
          <w:p>
            <w:pPr>
              <w:spacing w:after="0"/>
              <w:rPr>
                <w:sz w:val="1"/>
                <w:szCs w:val="1"/>
                <w:color w:val="auto"/>
              </w:rPr>
            </w:pPr>
          </w:p>
        </w:tc>
      </w:tr>
      <w:tr>
        <w:trPr>
          <w:trHeight w:val="285"/>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Provision for doubtful accounts and sales reserve </w:t>
            </w:r>
            <w:r>
              <w:rPr>
                <w:rFonts w:ascii="Times New Roman" w:cs="Times New Roman" w:eastAsia="Times New Roman" w:hAnsi="Times New Roman"/>
                <w:sz w:val="20"/>
                <w:szCs w:val="20"/>
                <w:color w:val="B8BABC"/>
              </w:rPr>
              <w:t>. . . . . . . . . . . . . . . . . .</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166</w:t>
            </w:r>
          </w:p>
        </w:tc>
        <w:tc>
          <w:tcPr>
            <w:tcW w:w="0" w:type="dxa"/>
            <w:vAlign w:val="bottom"/>
          </w:tcPr>
          <w:p>
            <w:pPr>
              <w:spacing w:after="0"/>
              <w:rPr>
                <w:sz w:val="1"/>
                <w:szCs w:val="1"/>
                <w:color w:val="auto"/>
              </w:rPr>
            </w:pPr>
          </w:p>
        </w:tc>
      </w:tr>
      <w:tr>
        <w:trPr>
          <w:trHeight w:val="285"/>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Convertible debt  </w:t>
            </w:r>
            <w:r>
              <w:rPr>
                <w:rFonts w:ascii="Times New Roman" w:cs="Times New Roman" w:eastAsia="Times New Roman" w:hAnsi="Times New Roman"/>
                <w:sz w:val="20"/>
                <w:szCs w:val="20"/>
                <w:color w:val="B8BABC"/>
              </w:rPr>
              <w:t>. . . . . . . . . . . . . . . . . . . . . . . . . . . . . . . . . . . . . . . . . . .</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0" w:type="dxa"/>
            <w:vAlign w:val="bottom"/>
          </w:tcPr>
          <w:p>
            <w:pPr>
              <w:spacing w:after="0"/>
              <w:rPr>
                <w:sz w:val="1"/>
                <w:szCs w:val="1"/>
                <w:color w:val="auto"/>
              </w:rPr>
            </w:pPr>
          </w:p>
        </w:tc>
      </w:tr>
      <w:tr>
        <w:trPr>
          <w:trHeight w:val="285"/>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Deferred compensation </w:t>
            </w:r>
            <w:r>
              <w:rPr>
                <w:rFonts w:ascii="Times New Roman" w:cs="Times New Roman" w:eastAsia="Times New Roman" w:hAnsi="Times New Roman"/>
                <w:sz w:val="20"/>
                <w:szCs w:val="20"/>
                <w:color w:val="B8BABC"/>
              </w:rPr>
              <w:t>. . . . . . . . . . . . . . . . . . . . . . . . . . . . . . . . . . . . . .</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0" w:type="dxa"/>
            <w:vAlign w:val="bottom"/>
          </w:tcPr>
          <w:p>
            <w:pPr>
              <w:spacing w:after="0"/>
              <w:rPr>
                <w:sz w:val="1"/>
                <w:szCs w:val="1"/>
                <w:color w:val="auto"/>
              </w:rPr>
            </w:pPr>
          </w:p>
        </w:tc>
      </w:tr>
      <w:tr>
        <w:trPr>
          <w:trHeight w:val="285"/>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Property and equipment </w:t>
            </w:r>
            <w:r>
              <w:rPr>
                <w:rFonts w:ascii="Times New Roman" w:cs="Times New Roman" w:eastAsia="Times New Roman" w:hAnsi="Times New Roman"/>
                <w:sz w:val="20"/>
                <w:szCs w:val="20"/>
                <w:color w:val="B8BABC"/>
              </w:rPr>
              <w:t>. . . . . . . . . . . . . . . . . . . . . . . . . . . . . . . . . . . . . .</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w:t>
            </w:r>
          </w:p>
        </w:tc>
        <w:tc>
          <w:tcPr>
            <w:tcW w:w="0" w:type="dxa"/>
            <w:vAlign w:val="bottom"/>
          </w:tcPr>
          <w:p>
            <w:pPr>
              <w:spacing w:after="0"/>
              <w:rPr>
                <w:sz w:val="1"/>
                <w:szCs w:val="1"/>
                <w:color w:val="auto"/>
              </w:rPr>
            </w:pPr>
          </w:p>
        </w:tc>
      </w:tr>
      <w:tr>
        <w:trPr>
          <w:trHeight w:val="285"/>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Non-cash compensation </w:t>
            </w:r>
            <w:r>
              <w:rPr>
                <w:rFonts w:ascii="Times New Roman" w:cs="Times New Roman" w:eastAsia="Times New Roman" w:hAnsi="Times New Roman"/>
                <w:sz w:val="20"/>
                <w:szCs w:val="20"/>
                <w:color w:val="B8BABC"/>
              </w:rPr>
              <w:t>. . . . . . . . . . . . . . . . . . . . . . . . . . . . . . . . . . . . . .</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0" w:type="dxa"/>
            <w:vAlign w:val="bottom"/>
          </w:tcPr>
          <w:p>
            <w:pPr>
              <w:spacing w:after="0"/>
              <w:rPr>
                <w:sz w:val="1"/>
                <w:szCs w:val="1"/>
                <w:color w:val="auto"/>
              </w:rPr>
            </w:pPr>
          </w:p>
        </w:tc>
      </w:tr>
      <w:tr>
        <w:trPr>
          <w:trHeight w:val="285"/>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Net operating loss and capital loss carryforwards </w:t>
            </w:r>
            <w:r>
              <w:rPr>
                <w:rFonts w:ascii="Times New Roman" w:cs="Times New Roman" w:eastAsia="Times New Roman" w:hAnsi="Times New Roman"/>
                <w:sz w:val="20"/>
                <w:szCs w:val="20"/>
                <w:color w:val="B8BABC"/>
              </w:rPr>
              <w:t>. . . . . . . . . . . . . . . . . .</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w:t>
            </w:r>
          </w:p>
        </w:tc>
        <w:tc>
          <w:tcPr>
            <w:tcW w:w="0" w:type="dxa"/>
            <w:vAlign w:val="bottom"/>
          </w:tcPr>
          <w:p>
            <w:pPr>
              <w:spacing w:after="0"/>
              <w:rPr>
                <w:sz w:val="1"/>
                <w:szCs w:val="1"/>
                <w:color w:val="auto"/>
              </w:rPr>
            </w:pPr>
          </w:p>
        </w:tc>
      </w:tr>
      <w:tr>
        <w:trPr>
          <w:trHeight w:val="285"/>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Accrued expenses </w:t>
            </w:r>
            <w:r>
              <w:rPr>
                <w:rFonts w:ascii="Times New Roman" w:cs="Times New Roman" w:eastAsia="Times New Roman" w:hAnsi="Times New Roman"/>
                <w:sz w:val="20"/>
                <w:szCs w:val="20"/>
                <w:color w:val="B8BABC"/>
              </w:rPr>
              <w:t>. . . . . . . . . . . . . . . . . . . . . . . . . . . . . . . . . . . . . . . . . .</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0" w:type="dxa"/>
            <w:vAlign w:val="bottom"/>
          </w:tcPr>
          <w:p>
            <w:pPr>
              <w:spacing w:after="0"/>
              <w:rPr>
                <w:sz w:val="1"/>
                <w:szCs w:val="1"/>
                <w:color w:val="auto"/>
              </w:rPr>
            </w:pPr>
          </w:p>
        </w:tc>
      </w:tr>
      <w:tr>
        <w:trPr>
          <w:trHeight w:val="285"/>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Tax credits </w:t>
            </w:r>
            <w:r>
              <w:rPr>
                <w:rFonts w:ascii="Times New Roman" w:cs="Times New Roman" w:eastAsia="Times New Roman" w:hAnsi="Times New Roman"/>
                <w:sz w:val="20"/>
                <w:szCs w:val="20"/>
                <w:color w:val="B8BABC"/>
              </w:rPr>
              <w:t>. . . . . . . . . . . . . . . . . . . . . . . . . . . . . . . . . . . . . . . . . . . . . . . .</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0" w:type="dxa"/>
            <w:vAlign w:val="bottom"/>
          </w:tcPr>
          <w:p>
            <w:pPr>
              <w:spacing w:after="0"/>
              <w:rPr>
                <w:sz w:val="1"/>
                <w:szCs w:val="1"/>
                <w:color w:val="auto"/>
              </w:rPr>
            </w:pPr>
          </w:p>
        </w:tc>
      </w:tr>
      <w:tr>
        <w:trPr>
          <w:trHeight w:val="285"/>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Finance lease assets </w:t>
            </w:r>
            <w:r>
              <w:rPr>
                <w:rFonts w:ascii="Times New Roman" w:cs="Times New Roman" w:eastAsia="Times New Roman" w:hAnsi="Times New Roman"/>
                <w:sz w:val="20"/>
                <w:szCs w:val="20"/>
                <w:color w:val="B8BABC"/>
              </w:rPr>
              <w:t>. . . . . . . . . . . . . . . . . . . . . . . . . . . . . . . . . . . . . . . . .</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0" w:type="dxa"/>
            <w:vAlign w:val="bottom"/>
          </w:tcPr>
          <w:p>
            <w:pPr>
              <w:spacing w:after="0"/>
              <w:rPr>
                <w:sz w:val="1"/>
                <w:szCs w:val="1"/>
                <w:color w:val="auto"/>
              </w:rPr>
            </w:pPr>
          </w:p>
        </w:tc>
      </w:tr>
      <w:tr>
        <w:trPr>
          <w:trHeight w:val="288"/>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net </w:t>
            </w:r>
            <w:r>
              <w:rPr>
                <w:rFonts w:ascii="Times New Roman" w:cs="Times New Roman" w:eastAsia="Times New Roman" w:hAnsi="Times New Roman"/>
                <w:sz w:val="20"/>
                <w:szCs w:val="20"/>
                <w:color w:val="B8BABC"/>
              </w:rPr>
              <w:t>. . . . . . . . . . . . . . . . . . . . . . . . . . . . . . . . . . . . . . . . . . . . . . . . .</w:t>
            </w: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81</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0" w:type="dxa"/>
            <w:vAlign w:val="bottom"/>
          </w:tcPr>
          <w:p>
            <w:pPr>
              <w:spacing w:after="0"/>
              <w:rPr>
                <w:sz w:val="1"/>
                <w:szCs w:val="1"/>
                <w:color w:val="auto"/>
              </w:rPr>
            </w:pPr>
          </w:p>
        </w:tc>
      </w:tr>
      <w:tr>
        <w:trPr>
          <w:trHeight w:val="262"/>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Deferred tax assets </w:t>
            </w:r>
            <w:r>
              <w:rPr>
                <w:rFonts w:ascii="Times New Roman" w:cs="Times New Roman" w:eastAsia="Times New Roman" w:hAnsi="Times New Roman"/>
                <w:sz w:val="20"/>
                <w:szCs w:val="20"/>
                <w:color w:val="B8BABC"/>
              </w:rPr>
              <w:t>. . . . . . . . . . . . . . . . . . . . . . . . . . . . . . . . . . . . . . .</w:t>
            </w:r>
          </w:p>
        </w:tc>
        <w:tc>
          <w:tcPr>
            <w:tcW w:w="1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678</w:t>
            </w:r>
          </w:p>
        </w:tc>
        <w:tc>
          <w:tcPr>
            <w:tcW w:w="0" w:type="dxa"/>
            <w:vAlign w:val="bottom"/>
          </w:tcPr>
          <w:p>
            <w:pPr>
              <w:spacing w:after="0"/>
              <w:rPr>
                <w:sz w:val="1"/>
                <w:szCs w:val="1"/>
                <w:color w:val="auto"/>
              </w:rPr>
            </w:pPr>
          </w:p>
        </w:tc>
      </w:tr>
      <w:tr>
        <w:trPr>
          <w:trHeight w:val="288"/>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Less valuation allowance </w:t>
            </w:r>
            <w:r>
              <w:rPr>
                <w:rFonts w:ascii="Times New Roman" w:cs="Times New Roman" w:eastAsia="Times New Roman" w:hAnsi="Times New Roman"/>
                <w:sz w:val="20"/>
                <w:szCs w:val="20"/>
                <w:color w:val="B8BABC"/>
              </w:rPr>
              <w:t>. . . . . . . . . . . . . . . . . . . . . . . . . . . . . . . . . . . . .</w:t>
            </w: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(270)</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(163)</w:t>
            </w:r>
          </w:p>
        </w:tc>
        <w:tc>
          <w:tcPr>
            <w:tcW w:w="0" w:type="dxa"/>
            <w:vAlign w:val="bottom"/>
          </w:tcPr>
          <w:p>
            <w:pPr>
              <w:spacing w:after="0"/>
              <w:rPr>
                <w:sz w:val="1"/>
                <w:szCs w:val="1"/>
                <w:color w:val="auto"/>
              </w:rPr>
            </w:pPr>
          </w:p>
        </w:tc>
      </w:tr>
      <w:tr>
        <w:trPr>
          <w:trHeight w:val="262"/>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Net deferred tax assets </w:t>
            </w:r>
            <w:r>
              <w:rPr>
                <w:rFonts w:ascii="Times New Roman" w:cs="Times New Roman" w:eastAsia="Times New Roman" w:hAnsi="Times New Roman"/>
                <w:sz w:val="20"/>
                <w:szCs w:val="20"/>
                <w:color w:val="B8BABC"/>
              </w:rPr>
              <w:t>. . . . . . . . . . . . . . . . . . . . . . . . . . . . . . . . . . . .</w:t>
            </w:r>
          </w:p>
        </w:tc>
        <w:tc>
          <w:tcPr>
            <w:tcW w:w="1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515</w:t>
            </w:r>
          </w:p>
        </w:tc>
        <w:tc>
          <w:tcPr>
            <w:tcW w:w="0" w:type="dxa"/>
            <w:vAlign w:val="bottom"/>
          </w:tcPr>
          <w:p>
            <w:pPr>
              <w:spacing w:after="0"/>
              <w:rPr>
                <w:sz w:val="1"/>
                <w:szCs w:val="1"/>
                <w:color w:val="auto"/>
              </w:rPr>
            </w:pPr>
          </w:p>
        </w:tc>
      </w:tr>
      <w:tr>
        <w:trPr>
          <w:trHeight w:val="570"/>
        </w:trPr>
        <w:tc>
          <w:tcPr>
            <w:tcW w:w="60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Deferred Tax Liabilities</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Long lived intangible assets  </w:t>
            </w:r>
            <w:r>
              <w:rPr>
                <w:rFonts w:ascii="Times New Roman" w:cs="Times New Roman" w:eastAsia="Times New Roman" w:hAnsi="Times New Roman"/>
                <w:sz w:val="20"/>
                <w:szCs w:val="20"/>
                <w:color w:val="B8BABC"/>
              </w:rPr>
              <w:t>. . . . . . . . . . . . . . . . . . . . . . . . . . . . . . . . . .</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(189)</w:t>
            </w:r>
          </w:p>
        </w:tc>
        <w:tc>
          <w:tcPr>
            <w:tcW w:w="0" w:type="dxa"/>
            <w:vAlign w:val="bottom"/>
          </w:tcPr>
          <w:p>
            <w:pPr>
              <w:spacing w:after="0"/>
              <w:rPr>
                <w:sz w:val="1"/>
                <w:szCs w:val="1"/>
                <w:color w:val="auto"/>
              </w:rPr>
            </w:pPr>
          </w:p>
        </w:tc>
      </w:tr>
      <w:tr>
        <w:trPr>
          <w:trHeight w:val="285"/>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Deferred sales of VOIs </w:t>
            </w:r>
            <w:r>
              <w:rPr>
                <w:rFonts w:ascii="Times New Roman" w:cs="Times New Roman" w:eastAsia="Times New Roman" w:hAnsi="Times New Roman"/>
                <w:sz w:val="20"/>
                <w:szCs w:val="20"/>
                <w:color w:val="B8BABC"/>
              </w:rPr>
              <w:t>. . . . . . . . . . . . . . . . . . . . . . . . . . . . . . . . . . . . . .</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(549)</w:t>
            </w:r>
          </w:p>
        </w:tc>
        <w:tc>
          <w:tcPr>
            <w:tcW w:w="0" w:type="dxa"/>
            <w:vAlign w:val="bottom"/>
          </w:tcPr>
          <w:p>
            <w:pPr>
              <w:spacing w:after="0"/>
              <w:rPr>
                <w:sz w:val="1"/>
                <w:szCs w:val="1"/>
                <w:color w:val="auto"/>
              </w:rPr>
            </w:pPr>
          </w:p>
        </w:tc>
      </w:tr>
      <w:tr>
        <w:trPr>
          <w:trHeight w:val="285"/>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Finance lease liabilities </w:t>
            </w:r>
            <w:r>
              <w:rPr>
                <w:rFonts w:ascii="Times New Roman" w:cs="Times New Roman" w:eastAsia="Times New Roman" w:hAnsi="Times New Roman"/>
                <w:sz w:val="20"/>
                <w:szCs w:val="20"/>
                <w:color w:val="B8BABC"/>
              </w:rPr>
              <w:t>. . . . . . . . . . . . . . . . . . . . . . . . . . . . . . . . . . . . . .</w:t>
            </w: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0" w:type="dxa"/>
            <w:vAlign w:val="bottom"/>
          </w:tcPr>
          <w:p>
            <w:pPr>
              <w:spacing w:after="0"/>
              <w:rPr>
                <w:sz w:val="1"/>
                <w:szCs w:val="1"/>
                <w:color w:val="auto"/>
              </w:rPr>
            </w:pPr>
          </w:p>
        </w:tc>
      </w:tr>
      <w:tr>
        <w:trPr>
          <w:trHeight w:val="288"/>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net </w:t>
            </w:r>
            <w:r>
              <w:rPr>
                <w:rFonts w:ascii="Times New Roman" w:cs="Times New Roman" w:eastAsia="Times New Roman" w:hAnsi="Times New Roman"/>
                <w:sz w:val="20"/>
                <w:szCs w:val="20"/>
                <w:color w:val="B8BABC"/>
              </w:rPr>
              <w:t>. . . . . . . . . . . . . . . . . . . . . . . . . . . . . . . . . . . . . . . . . . . . . . . . .</w:t>
            </w: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262"/>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Deferred tax liabilities </w:t>
            </w:r>
            <w:r>
              <w:rPr>
                <w:rFonts w:ascii="Times New Roman" w:cs="Times New Roman" w:eastAsia="Times New Roman" w:hAnsi="Times New Roman"/>
                <w:sz w:val="20"/>
                <w:szCs w:val="20"/>
                <w:color w:val="B8BABC"/>
              </w:rPr>
              <w:t>. . . . . . . . . . . . . . . . . . . . . . . . . . . . . . . . . . . .</w:t>
            </w:r>
          </w:p>
        </w:tc>
        <w:tc>
          <w:tcPr>
            <w:tcW w:w="1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(822)</w:t>
            </w:r>
          </w:p>
        </w:tc>
        <w:tc>
          <w:tcPr>
            <w:tcW w:w="0" w:type="dxa"/>
            <w:vAlign w:val="bottom"/>
          </w:tcPr>
          <w:p>
            <w:pPr>
              <w:spacing w:after="0"/>
              <w:rPr>
                <w:sz w:val="1"/>
                <w:szCs w:val="1"/>
                <w:color w:val="auto"/>
              </w:rPr>
            </w:pPr>
          </w:p>
        </w:tc>
      </w:tr>
      <w:tr>
        <w:trPr>
          <w:trHeight w:val="288"/>
        </w:trPr>
        <w:tc>
          <w:tcPr>
            <w:tcW w:w="6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 xml:space="preserve">Total net deferred tax liabilities </w:t>
            </w:r>
            <w:r>
              <w:rPr>
                <w:rFonts w:ascii="Times New Roman" w:cs="Times New Roman" w:eastAsia="Times New Roman" w:hAnsi="Times New Roman"/>
                <w:sz w:val="20"/>
                <w:szCs w:val="20"/>
                <w:color w:val="B8BABC"/>
              </w:rPr>
              <w:t>. . . . . . . . . . . . . . . . . . . . . . . . . . . . .</w:t>
            </w: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0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231F20"/>
        </w:rPr>
        <w:t>In 2025, the change in valuation allowance is primarily attributable to changes in our assessment of the realizability of net deferred tax assets related to certain entities in Mexico.</w:t>
      </w:r>
    </w:p>
    <w:p>
      <w:pPr>
        <w:spacing w:after="0" w:line="61" w:lineRule="exact"/>
        <w:rPr>
          <w:sz w:val="20"/>
          <w:szCs w:val="20"/>
          <w:color w:val="auto"/>
        </w:rPr>
      </w:pPr>
    </w:p>
    <w:p>
      <w:pPr>
        <w:jc w:val="both"/>
        <w:ind w:right="140"/>
        <w:spacing w:after="0" w:line="275" w:lineRule="auto"/>
        <w:rPr>
          <w:sz w:val="20"/>
          <w:szCs w:val="20"/>
          <w:color w:val="auto"/>
        </w:rPr>
      </w:pPr>
      <w:r>
        <w:rPr>
          <w:rFonts w:ascii="Times New Roman" w:cs="Times New Roman" w:eastAsia="Times New Roman" w:hAnsi="Times New Roman"/>
          <w:sz w:val="19"/>
          <w:szCs w:val="19"/>
          <w:color w:val="231F20"/>
        </w:rPr>
        <w:t>We have $7 million in foreign capital loss carryforwards, $20 million in foreign tax credits, and $159 million of foreign net operating loss carryforwards, some of which will expire in 2026; however, a significant portion of the net operating loss carryforwards have indefinite carryforward periods. We have $11 million of state net operating loss carryforwards, the majority of which will not expire within the next five years, $4 million of business interest deduction carryforwards and $6 million of state tax credit carryforwards, both of which have an indefinite carryforward period.</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231F20"/>
        </w:rPr>
        <w:t>We continue to assert indefinite reinvestment in the basis of certain foreign subsidiaries. Accordingly, no deferred taxes have been accrued with respect to these outside basis differences. An estimate of the applicable tax impact is not practicable to determine.</w:t>
      </w:r>
    </w:p>
    <w:p>
      <w:pPr>
        <w:sectPr>
          <w:pgSz w:w="11880" w:h="15480" w:orient="portrait"/>
          <w:cols w:equalWidth="0" w:num="1">
            <w:col w:w="9720"/>
          </w:cols>
          <w:pgMar w:left="1080" w:top="82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93</w:t>
      </w:r>
    </w:p>
    <w:p>
      <w:pPr>
        <w:sectPr>
          <w:pgSz w:w="11880" w:h="15480" w:orient="portrait"/>
          <w:cols w:equalWidth="0" w:num="1">
            <w:col w:w="9720"/>
          </w:cols>
          <w:pgMar w:left="1080" w:top="829" w:right="108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i w:val="1"/>
          <w:iCs w:val="1"/>
          <w:color w:val="231F20"/>
        </w:rPr>
        <w:t>Reconciliation of U.S. Federal Statutory Income Tax Rate to Actual Income Tax Rate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reconciles the U.S. statutory income tax rate to our effective income tax rate for 2025:</w:t>
      </w:r>
    </w:p>
    <w:p>
      <w:pPr>
        <w:spacing w:after="0" w:line="58"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82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1460" w:type="dxa"/>
            <w:vAlign w:val="bottom"/>
            <w:tcBorders>
              <w:bottom w:val="single" w:sz="8" w:color="231F20"/>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1120" w:type="dxa"/>
            <w:vAlign w:val="bottom"/>
            <w:tcBorders>
              <w:bottom w:val="single" w:sz="8" w:color="231F20"/>
            </w:tcBorders>
          </w:tcPr>
          <w:p>
            <w:pPr>
              <w:spacing w:after="0"/>
              <w:rPr>
                <w:sz w:val="21"/>
                <w:szCs w:val="21"/>
                <w:color w:val="auto"/>
              </w:rPr>
            </w:pPr>
          </w:p>
        </w:tc>
      </w:tr>
      <w:tr>
        <w:trPr>
          <w:trHeight w:val="220"/>
        </w:trPr>
        <w:tc>
          <w:tcPr>
            <w:tcW w:w="68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260" w:type="dxa"/>
            <w:vAlign w:val="bottom"/>
          </w:tcPr>
          <w:p>
            <w:pPr>
              <w:spacing w:after="0"/>
              <w:rPr>
                <w:sz w:val="19"/>
                <w:szCs w:val="19"/>
                <w:color w:val="auto"/>
              </w:rPr>
            </w:pPr>
          </w:p>
        </w:tc>
        <w:tc>
          <w:tcPr>
            <w:tcW w:w="14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231F20"/>
              </w:rPr>
              <w:t>Amount</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231F20"/>
              </w:rPr>
              <w:t>Percent</w:t>
            </w:r>
          </w:p>
        </w:tc>
      </w:tr>
      <w:tr>
        <w:trPr>
          <w:trHeight w:val="262"/>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 . . . . . . . . .</w:t>
            </w:r>
            <w:r>
              <w:rPr>
                <w:rFonts w:ascii="Times New Roman" w:cs="Times New Roman" w:eastAsia="Times New Roman" w:hAnsi="Times New Roman"/>
                <w:sz w:val="20"/>
                <w:szCs w:val="20"/>
                <w:color w:val="231F20"/>
              </w:rPr>
              <w:t>TaxatU.S.FederalStatutoryTaxRate</w:t>
            </w:r>
          </w:p>
        </w:tc>
        <w:tc>
          <w:tcPr>
            <w:tcW w:w="260" w:type="dxa"/>
            <w:vAlign w:val="bottom"/>
            <w:tcBorders>
              <w:top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(63)</w:t>
            </w:r>
          </w:p>
        </w:tc>
        <w:tc>
          <w:tcPr>
            <w:tcW w:w="60" w:type="dxa"/>
            <w:vAlign w:val="bottom"/>
          </w:tcPr>
          <w:p>
            <w:pPr>
              <w:spacing w:after="0"/>
              <w:rPr>
                <w:sz w:val="22"/>
                <w:szCs w:val="22"/>
                <w:color w:val="auto"/>
              </w:rPr>
            </w:pPr>
          </w:p>
        </w:tc>
        <w:tc>
          <w:tcPr>
            <w:tcW w:w="280" w:type="dxa"/>
            <w:vAlign w:val="bottom"/>
            <w:tcBorders>
              <w:top w:val="single" w:sz="8" w:color="231F20"/>
            </w:tcBorders>
          </w:tcPr>
          <w:p>
            <w:pPr>
              <w:spacing w:after="0"/>
              <w:rPr>
                <w:sz w:val="22"/>
                <w:szCs w:val="22"/>
                <w:color w:val="auto"/>
              </w:rPr>
            </w:pPr>
          </w:p>
        </w:tc>
        <w:tc>
          <w:tcPr>
            <w:tcW w:w="1120" w:type="dxa"/>
            <w:vAlign w:val="bottom"/>
            <w:tcBorders>
              <w:top w:val="single" w:sz="8" w:color="231F20"/>
            </w:tcBorders>
          </w:tcPr>
          <w:p>
            <w:pPr>
              <w:jc w:val="center"/>
              <w:ind w:right="140"/>
              <w:spacing w:after="0"/>
              <w:rPr>
                <w:sz w:val="20"/>
                <w:szCs w:val="20"/>
                <w:color w:val="auto"/>
              </w:rPr>
            </w:pPr>
            <w:r>
              <w:rPr>
                <w:rFonts w:ascii="Times New Roman" w:cs="Times New Roman" w:eastAsia="Times New Roman" w:hAnsi="Times New Roman"/>
                <w:sz w:val="20"/>
                <w:szCs w:val="20"/>
                <w:color w:val="231F20"/>
              </w:rPr>
              <w:t>21.0%</w:t>
            </w:r>
          </w:p>
        </w:tc>
      </w:tr>
      <w:tr>
        <w:trPr>
          <w:trHeight w:val="289"/>
        </w:trPr>
        <w:tc>
          <w:tcPr>
            <w:tcW w:w="6820" w:type="dxa"/>
            <w:vAlign w:val="bottom"/>
          </w:tcPr>
          <w:p>
            <w:pPr>
              <w:spacing w:after="0" w:line="288" w:lineRule="exact"/>
              <w:rPr>
                <w:sz w:val="20"/>
                <w:szCs w:val="20"/>
                <w:color w:val="auto"/>
              </w:rPr>
            </w:pPr>
            <w:r>
              <w:rPr>
                <w:rFonts w:ascii="Times New Roman" w:cs="Times New Roman" w:eastAsia="Times New Roman" w:hAnsi="Times New Roman"/>
                <w:sz w:val="20"/>
                <w:szCs w:val="20"/>
                <w:color w:val="231F20"/>
              </w:rPr>
              <w:t>State and Local Income Tax, Net of Federal Effect</w:t>
            </w:r>
            <w:r>
              <w:rPr>
                <w:rFonts w:ascii="Times New Roman" w:cs="Times New Roman" w:eastAsia="Times New Roman" w:hAnsi="Times New Roman"/>
                <w:sz w:val="26"/>
                <w:szCs w:val="26"/>
                <w:color w:val="231F20"/>
                <w:vertAlign w:val="superscript"/>
              </w:rPr>
              <w:t>(1)</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5"/>
              </w:rPr>
              <w:t>1.2%</w:t>
            </w:r>
          </w:p>
        </w:tc>
      </w:tr>
      <w:tr>
        <w:trPr>
          <w:trHeight w:val="260"/>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231F20"/>
              </w:rPr>
              <w:t>Foreign Tax Effects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5"/>
        </w:trPr>
        <w:tc>
          <w:tcPr>
            <w:tcW w:w="6820" w:type="dxa"/>
            <w:vAlign w:val="bottom"/>
          </w:tcPr>
          <w:p>
            <w:pPr>
              <w:ind w:left="240"/>
              <w:spacing w:after="0"/>
              <w:rPr>
                <w:sz w:val="20"/>
                <w:szCs w:val="20"/>
                <w:color w:val="auto"/>
              </w:rPr>
            </w:pPr>
            <w:r>
              <w:rPr>
                <w:rFonts w:ascii="Times New Roman" w:cs="Times New Roman" w:eastAsia="Times New Roman" w:hAnsi="Times New Roman"/>
                <w:sz w:val="20"/>
                <w:szCs w:val="20"/>
                <w:i w:val="1"/>
                <w:iCs w:val="1"/>
                <w:color w:val="231F20"/>
              </w:rPr>
              <w:t>Mexico</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6"/>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Investment basis difference </w:t>
            </w:r>
            <w:r>
              <w:rPr>
                <w:rFonts w:ascii="Times New Roman" w:cs="Times New Roman" w:eastAsia="Times New Roman" w:hAnsi="Times New Roman"/>
                <w:sz w:val="20"/>
                <w:szCs w:val="20"/>
                <w:color w:val="B8BABC"/>
              </w:rPr>
              <w:t>. . . . . . . . . . . . . . . . . . . . . . . . . . . . . . . . . . . .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rPr>
              <w:t>12.0%</w:t>
            </w:r>
          </w:p>
        </w:tc>
      </w:tr>
      <w:tr>
        <w:trPr>
          <w:trHeight w:val="285"/>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Valuation allowance established on investment basis difference </w:t>
            </w:r>
            <w:r>
              <w:rPr>
                <w:rFonts w:ascii="Times New Roman" w:cs="Times New Roman" w:eastAsia="Times New Roman" w:hAnsi="Times New Roman"/>
                <w:sz w:val="20"/>
                <w:szCs w:val="20"/>
                <w:color w:val="B8BABC"/>
              </w:rPr>
              <w:t>. . . . . . . .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8"/>
              </w:rPr>
              <w:t>(12.0%)</w:t>
            </w:r>
          </w:p>
        </w:tc>
      </w:tr>
      <w:tr>
        <w:trPr>
          <w:trHeight w:val="285"/>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Valuation allowance established due to updated realizability assessment </w:t>
            </w:r>
            <w:r>
              <w:rPr>
                <w:rFonts w:ascii="Times New Roman" w:cs="Times New Roman" w:eastAsia="Times New Roman" w:hAnsi="Times New Roman"/>
                <w:sz w:val="20"/>
                <w:szCs w:val="20"/>
                <w:color w:val="B8BABC"/>
              </w:rPr>
              <w:t>.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8"/>
              </w:rPr>
              <w:t>(12.4%)</w:t>
            </w:r>
          </w:p>
        </w:tc>
      </w:tr>
      <w:tr>
        <w:trPr>
          <w:trHeight w:val="285"/>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Change in position regarding interest expense deductibility </w:t>
            </w:r>
            <w:r>
              <w:rPr>
                <w:rFonts w:ascii="Times New Roman" w:cs="Times New Roman" w:eastAsia="Times New Roman" w:hAnsi="Times New Roman"/>
                <w:sz w:val="20"/>
                <w:szCs w:val="20"/>
                <w:color w:val="B8BABC"/>
              </w:rPr>
              <w:t>. . . . . . . . . . .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5"/>
              </w:rPr>
              <w:t>4.4%</w:t>
            </w:r>
          </w:p>
        </w:tc>
      </w:tr>
      <w:tr>
        <w:trPr>
          <w:trHeight w:val="285"/>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 . . . . . . . . . . . . .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rPr>
              <w:t>(1.0%)</w:t>
            </w:r>
          </w:p>
        </w:tc>
      </w:tr>
      <w:tr>
        <w:trPr>
          <w:trHeight w:val="264"/>
        </w:trPr>
        <w:tc>
          <w:tcPr>
            <w:tcW w:w="6820" w:type="dxa"/>
            <w:vAlign w:val="bottom"/>
          </w:tcPr>
          <w:p>
            <w:pPr>
              <w:ind w:left="240"/>
              <w:spacing w:after="0"/>
              <w:rPr>
                <w:sz w:val="20"/>
                <w:szCs w:val="20"/>
                <w:color w:val="auto"/>
              </w:rPr>
            </w:pPr>
            <w:r>
              <w:rPr>
                <w:rFonts w:ascii="Times New Roman" w:cs="Times New Roman" w:eastAsia="Times New Roman" w:hAnsi="Times New Roman"/>
                <w:sz w:val="20"/>
                <w:szCs w:val="20"/>
                <w:i w:val="1"/>
                <w:iCs w:val="1"/>
                <w:color w:val="231F20"/>
              </w:rPr>
              <w:t>Australia</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06"/>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Released valuation allowance due to updated realizability assessment </w:t>
            </w:r>
            <w:r>
              <w:rPr>
                <w:rFonts w:ascii="Times New Roman" w:cs="Times New Roman" w:eastAsia="Times New Roman" w:hAnsi="Times New Roman"/>
                <w:sz w:val="20"/>
                <w:szCs w:val="20"/>
                <w:color w:val="B8BABC"/>
              </w:rPr>
              <w:t>. . .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5"/>
              </w:rPr>
              <w:t>2.2%</w:t>
            </w:r>
          </w:p>
        </w:tc>
      </w:tr>
      <w:tr>
        <w:trPr>
          <w:trHeight w:val="285"/>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 . . . . . . . . . . . . .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rPr>
              <w:t>(0.3%)</w:t>
            </w:r>
          </w:p>
        </w:tc>
      </w:tr>
      <w:tr>
        <w:trPr>
          <w:trHeight w:val="288"/>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i w:val="1"/>
                <w:iCs w:val="1"/>
                <w:color w:val="231F20"/>
              </w:rPr>
              <w:t xml:space="preserve">Other foreign jurisdictions </w:t>
            </w:r>
            <w:r>
              <w:rPr>
                <w:rFonts w:ascii="Times New Roman" w:cs="Times New Roman" w:eastAsia="Times New Roman" w:hAnsi="Times New Roman"/>
                <w:sz w:val="20"/>
                <w:szCs w:val="20"/>
                <w:color w:val="B8BABC"/>
              </w:rPr>
              <w:t>. . . . . . . . . . . . . . . . . . . . . . . . . . . . . . . . . . . . . . . . . . .</w:t>
            </w:r>
          </w:p>
        </w:tc>
        <w:tc>
          <w:tcPr>
            <w:tcW w:w="2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center"/>
              <w:ind w:right="140"/>
              <w:spacing w:after="0"/>
              <w:rPr>
                <w:sz w:val="20"/>
                <w:szCs w:val="20"/>
                <w:color w:val="auto"/>
              </w:rPr>
            </w:pPr>
            <w:r>
              <w:rPr>
                <w:rFonts w:ascii="Times New Roman" w:cs="Times New Roman" w:eastAsia="Times New Roman" w:hAnsi="Times New Roman"/>
                <w:sz w:val="20"/>
                <w:szCs w:val="20"/>
                <w:color w:val="231F20"/>
              </w:rPr>
              <w:t>(6.6%)</w:t>
            </w:r>
          </w:p>
        </w:tc>
      </w:tr>
      <w:tr>
        <w:trPr>
          <w:trHeight w:val="262"/>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 . . . . . . . . . . . . . . . . . . .</w:t>
            </w:r>
            <w:r>
              <w:rPr>
                <w:rFonts w:ascii="Times New Roman" w:cs="Times New Roman" w:eastAsia="Times New Roman" w:hAnsi="Times New Roman"/>
                <w:sz w:val="20"/>
                <w:szCs w:val="20"/>
                <w:color w:val="231F20"/>
              </w:rPr>
              <w:t>TotalForeignTaxEffects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8"/>
              </w:rPr>
              <w:t>(13.7%)</w:t>
            </w:r>
          </w:p>
        </w:tc>
      </w:tr>
      <w:tr>
        <w:trPr>
          <w:trHeight w:val="489"/>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231F20"/>
              </w:rPr>
              <w:t>Effect of Cross-Border Tax Laws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6"/>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Deferred withholding taxes </w:t>
            </w:r>
            <w:r>
              <w:rPr>
                <w:rFonts w:ascii="Times New Roman" w:cs="Times New Roman" w:eastAsia="Times New Roman" w:hAnsi="Times New Roman"/>
                <w:sz w:val="20"/>
                <w:szCs w:val="20"/>
                <w:color w:val="B8BABC"/>
              </w:rPr>
              <w:t>. . . . . . . . . . . . . . . . . . . . . . . . . . . . . . . . . . . . . . .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rPr>
              <w:t>(1.6%)</w:t>
            </w:r>
          </w:p>
        </w:tc>
      </w:tr>
      <w:tr>
        <w:trPr>
          <w:trHeight w:val="288"/>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 . . . . . . . . . . . . . . . . . . .</w:t>
            </w:r>
          </w:p>
        </w:tc>
        <w:tc>
          <w:tcPr>
            <w:tcW w:w="260" w:type="dxa"/>
            <w:vAlign w:val="bottom"/>
          </w:tcPr>
          <w:p>
            <w:pPr>
              <w:spacing w:after="0"/>
              <w:rPr>
                <w:sz w:val="24"/>
                <w:szCs w:val="24"/>
                <w:color w:val="auto"/>
              </w:rPr>
            </w:pPr>
          </w:p>
        </w:tc>
        <w:tc>
          <w:tcPr>
            <w:tcW w:w="1460" w:type="dxa"/>
            <w:vAlign w:val="bottom"/>
            <w:gridSpan w:val="3"/>
          </w:tcPr>
          <w:p>
            <w:pPr>
              <w:jc w:val="right"/>
              <w:ind w:right="42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rPr>
              <w:t>(0.1%)</w:t>
            </w:r>
          </w:p>
        </w:tc>
      </w:tr>
      <w:tr>
        <w:trPr>
          <w:trHeight w:val="262"/>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 . . . . . . . . .</w:t>
            </w:r>
            <w:r>
              <w:rPr>
                <w:rFonts w:ascii="Times New Roman" w:cs="Times New Roman" w:eastAsia="Times New Roman" w:hAnsi="Times New Roman"/>
                <w:sz w:val="20"/>
                <w:szCs w:val="20"/>
                <w:color w:val="231F20"/>
              </w:rPr>
              <w:t>TotalEffectofCross-BorderTaxLaws</w:t>
            </w:r>
          </w:p>
        </w:tc>
        <w:tc>
          <w:tcPr>
            <w:tcW w:w="260" w:type="dxa"/>
            <w:vAlign w:val="bottom"/>
            <w:tcBorders>
              <w:top w:val="single" w:sz="8" w:color="231F20"/>
            </w:tcBorders>
          </w:tcPr>
          <w:p>
            <w:pPr>
              <w:spacing w:after="0"/>
              <w:rPr>
                <w:sz w:val="22"/>
                <w:szCs w:val="22"/>
                <w:color w:val="auto"/>
              </w:rPr>
            </w:pPr>
          </w:p>
        </w:tc>
        <w:tc>
          <w:tcPr>
            <w:tcW w:w="1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2"/>
                <w:szCs w:val="22"/>
                <w:color w:val="auto"/>
              </w:rPr>
            </w:pPr>
          </w:p>
        </w:tc>
        <w:tc>
          <w:tcPr>
            <w:tcW w:w="280" w:type="dxa"/>
            <w:vAlign w:val="bottom"/>
            <w:tcBorders>
              <w:top w:val="single" w:sz="8" w:color="231F20"/>
            </w:tcBorders>
          </w:tcPr>
          <w:p>
            <w:pPr>
              <w:spacing w:after="0"/>
              <w:rPr>
                <w:sz w:val="22"/>
                <w:szCs w:val="22"/>
                <w:color w:val="auto"/>
              </w:rPr>
            </w:pPr>
          </w:p>
        </w:tc>
        <w:tc>
          <w:tcPr>
            <w:tcW w:w="1120" w:type="dxa"/>
            <w:vAlign w:val="bottom"/>
            <w:tcBorders>
              <w:top w:val="single" w:sz="8" w:color="231F20"/>
            </w:tcBorders>
          </w:tcPr>
          <w:p>
            <w:pPr>
              <w:jc w:val="center"/>
              <w:ind w:right="140"/>
              <w:spacing w:after="0"/>
              <w:rPr>
                <w:sz w:val="20"/>
                <w:szCs w:val="20"/>
                <w:color w:val="auto"/>
              </w:rPr>
            </w:pPr>
            <w:r>
              <w:rPr>
                <w:rFonts w:ascii="Times New Roman" w:cs="Times New Roman" w:eastAsia="Times New Roman" w:hAnsi="Times New Roman"/>
                <w:sz w:val="20"/>
                <w:szCs w:val="20"/>
                <w:color w:val="231F20"/>
              </w:rPr>
              <w:t>(1.8%)</w:t>
            </w:r>
          </w:p>
        </w:tc>
      </w:tr>
      <w:tr>
        <w:trPr>
          <w:trHeight w:val="489"/>
        </w:trPr>
        <w:tc>
          <w:tcPr>
            <w:tcW w:w="6820" w:type="dxa"/>
            <w:vAlign w:val="bottom"/>
          </w:tcPr>
          <w:p>
            <w:pPr>
              <w:spacing w:after="0"/>
              <w:rPr>
                <w:sz w:val="20"/>
                <w:szCs w:val="20"/>
                <w:color w:val="auto"/>
              </w:rPr>
            </w:pPr>
            <w:r>
              <w:rPr>
                <w:rFonts w:ascii="Times New Roman" w:cs="Times New Roman" w:eastAsia="Times New Roman" w:hAnsi="Times New Roman"/>
                <w:sz w:val="20"/>
                <w:szCs w:val="20"/>
                <w:color w:val="231F20"/>
              </w:rPr>
              <w:t>Nontaxable or Nondeductible Items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6"/>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Investment basis difference </w:t>
            </w:r>
            <w:r>
              <w:rPr>
                <w:rFonts w:ascii="Times New Roman" w:cs="Times New Roman" w:eastAsia="Times New Roman" w:hAnsi="Times New Roman"/>
                <w:sz w:val="20"/>
                <w:szCs w:val="20"/>
                <w:color w:val="B8BABC"/>
              </w:rPr>
              <w:t>. . . . . . . . . . . . . . . . . . . . . . . . . . . . . . . . . . . . . . .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5"/>
              </w:rPr>
              <w:t>3.4%</w:t>
            </w:r>
          </w:p>
        </w:tc>
      </w:tr>
      <w:tr>
        <w:trPr>
          <w:trHeight w:val="285"/>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Goodwill impairment  </w:t>
            </w:r>
            <w:r>
              <w:rPr>
                <w:rFonts w:ascii="Times New Roman" w:cs="Times New Roman" w:eastAsia="Times New Roman" w:hAnsi="Times New Roman"/>
                <w:sz w:val="20"/>
                <w:szCs w:val="20"/>
                <w:color w:val="B8BABC"/>
              </w:rPr>
              <w:t>. . . . . . . . . . . . . . . . . . . . . . . . . . . . . . . . . . . . . . . . . . . . . . .</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w w:val="98"/>
              </w:rPr>
              <w:t>(11.2%)</w:t>
            </w:r>
          </w:p>
        </w:tc>
      </w:tr>
      <w:tr>
        <w:trPr>
          <w:trHeight w:val="288"/>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 . . . . . . . . . . . . . . . . . . .</w:t>
            </w:r>
          </w:p>
        </w:tc>
        <w:tc>
          <w:tcPr>
            <w:tcW w:w="2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center"/>
              <w:ind w:right="140"/>
              <w:spacing w:after="0"/>
              <w:rPr>
                <w:sz w:val="20"/>
                <w:szCs w:val="20"/>
                <w:color w:val="auto"/>
              </w:rPr>
            </w:pPr>
            <w:r>
              <w:rPr>
                <w:rFonts w:ascii="Times New Roman" w:cs="Times New Roman" w:eastAsia="Times New Roman" w:hAnsi="Times New Roman"/>
                <w:sz w:val="20"/>
                <w:szCs w:val="20"/>
                <w:color w:val="231F20"/>
              </w:rPr>
              <w:t>(1.2%)</w:t>
            </w:r>
          </w:p>
        </w:tc>
      </w:tr>
      <w:tr>
        <w:trPr>
          <w:trHeight w:val="262"/>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Total Nontaxable or Nondeductible Items </w:t>
            </w:r>
            <w:r>
              <w:rPr>
                <w:rFonts w:ascii="Times New Roman" w:cs="Times New Roman" w:eastAsia="Times New Roman" w:hAnsi="Times New Roman"/>
                <w:sz w:val="20"/>
                <w:szCs w:val="20"/>
                <w:color w:val="B8BABC"/>
              </w:rPr>
              <w:t>. . . . . . . . . . . . . . . . . . . . . . . . . . . . . . . . . .</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231F20"/>
              </w:rPr>
              <w:t>(9.0%)</w:t>
            </w:r>
          </w:p>
        </w:tc>
      </w:tr>
      <w:tr>
        <w:trPr>
          <w:trHeight w:val="513"/>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Other adjustments </w:t>
            </w:r>
            <w:r>
              <w:rPr>
                <w:rFonts w:ascii="Times New Roman" w:cs="Times New Roman" w:eastAsia="Times New Roman" w:hAnsi="Times New Roman"/>
                <w:sz w:val="20"/>
                <w:szCs w:val="20"/>
                <w:color w:val="B8BABC"/>
                <w:w w:val="99"/>
              </w:rPr>
              <w:t>. . . . . . . . . . . . . . . . . . . . . . . . . . . . . . . . . . . . . . . . . . . . . . . . . . . . .</w:t>
            </w:r>
          </w:p>
        </w:tc>
        <w:tc>
          <w:tcPr>
            <w:tcW w:w="26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center"/>
              <w:ind w:right="140"/>
              <w:spacing w:after="0"/>
              <w:rPr>
                <w:sz w:val="20"/>
                <w:szCs w:val="20"/>
                <w:color w:val="auto"/>
              </w:rPr>
            </w:pPr>
            <w:r>
              <w:rPr>
                <w:rFonts w:ascii="Times New Roman" w:cs="Times New Roman" w:eastAsia="Times New Roman" w:hAnsi="Times New Roman"/>
                <w:sz w:val="20"/>
                <w:szCs w:val="20"/>
                <w:color w:val="231F20"/>
              </w:rPr>
              <w:t>(0.6%)</w:t>
            </w:r>
          </w:p>
        </w:tc>
      </w:tr>
      <w:tr>
        <w:trPr>
          <w:trHeight w:val="245"/>
        </w:trPr>
        <w:tc>
          <w:tcPr>
            <w:tcW w:w="6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Total Tax Provision </w:t>
            </w:r>
            <w:r>
              <w:rPr>
                <w:rFonts w:ascii="Times New Roman" w:cs="Times New Roman" w:eastAsia="Times New Roman" w:hAnsi="Times New Roman"/>
                <w:sz w:val="20"/>
                <w:szCs w:val="20"/>
                <w:color w:val="B8BABC"/>
              </w:rPr>
              <w:t>. . . . . . . . . . . . . . . . . . . . . . . . . . . . . . . . . . . . . . . . . . . . . . . . . . .</w:t>
            </w:r>
          </w:p>
        </w:tc>
        <w:tc>
          <w:tcPr>
            <w:tcW w:w="26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center"/>
              <w:ind w:right="140"/>
              <w:spacing w:after="0"/>
              <w:rPr>
                <w:sz w:val="20"/>
                <w:szCs w:val="20"/>
                <w:color w:val="auto"/>
              </w:rPr>
            </w:pPr>
            <w:r>
              <w:rPr>
                <w:rFonts w:ascii="Times New Roman" w:cs="Times New Roman" w:eastAsia="Times New Roman" w:hAnsi="Times New Roman"/>
                <w:sz w:val="20"/>
                <w:szCs w:val="20"/>
                <w:color w:val="231F20"/>
              </w:rPr>
              <w:t>(2.8%)</w:t>
            </w:r>
          </w:p>
        </w:tc>
      </w:tr>
      <w:tr>
        <w:trPr>
          <w:trHeight w:val="20"/>
        </w:trPr>
        <w:tc>
          <w:tcPr>
            <w:tcW w:w="68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r>
    </w:tbl>
    <w:p>
      <w:pPr>
        <w:spacing w:after="0" w:line="30" w:lineRule="exact"/>
        <w:rPr>
          <w:sz w:val="20"/>
          <w:szCs w:val="20"/>
          <w:color w:val="auto"/>
        </w:rPr>
      </w:pPr>
    </w:p>
    <w:p>
      <w:pPr>
        <w:ind w:left="360" w:hanging="360"/>
        <w:spacing w:after="0"/>
        <w:tabs>
          <w:tab w:leader="none" w:pos="360" w:val="left"/>
        </w:tabs>
        <w:numPr>
          <w:ilvl w:val="0"/>
          <w:numId w:val="38"/>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State taxes in Hawaii and California made up the majority of the tax effect in this category.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reconciles the U.S. statutory income tax rate to our effective income tax rate for 2024 and 2023:</w:t>
      </w:r>
    </w:p>
    <w:p>
      <w:pPr>
        <w:spacing w:after="0" w:line="7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980" w:type="dxa"/>
            <w:vAlign w:val="bottom"/>
          </w:tcPr>
          <w:p>
            <w:pPr>
              <w:spacing w:after="0"/>
              <w:rPr>
                <w:sz w:val="21"/>
                <w:szCs w:val="21"/>
                <w:color w:val="auto"/>
              </w:rPr>
            </w:pPr>
          </w:p>
        </w:tc>
        <w:tc>
          <w:tcPr>
            <w:tcW w:w="1300" w:type="dxa"/>
            <w:vAlign w:val="bottom"/>
            <w:tcBorders>
              <w:bottom w:val="single" w:sz="8" w:color="231F20"/>
            </w:tcBorders>
          </w:tcPr>
          <w:p>
            <w:pPr>
              <w:jc w:val="right"/>
              <w:ind w:right="38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1"/>
                <w:szCs w:val="21"/>
                <w:color w:val="auto"/>
              </w:rPr>
            </w:pPr>
          </w:p>
        </w:tc>
        <w:tc>
          <w:tcPr>
            <w:tcW w:w="1320" w:type="dxa"/>
            <w:vAlign w:val="bottom"/>
            <w:tcBorders>
              <w:bottom w:val="single" w:sz="8" w:color="231F20"/>
            </w:tcBorders>
          </w:tcPr>
          <w:p>
            <w:pPr>
              <w:jc w:val="right"/>
              <w:ind w:right="385"/>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62"/>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U.S. statutory income tax rate </w:t>
            </w:r>
            <w:r>
              <w:rPr>
                <w:rFonts w:ascii="Times New Roman" w:cs="Times New Roman" w:eastAsia="Times New Roman" w:hAnsi="Times New Roman"/>
                <w:sz w:val="20"/>
                <w:szCs w:val="20"/>
                <w:color w:val="B8BABC"/>
              </w:rPr>
              <w:t>. . . . . . . . . . . . . . . . . . . . . . . . . . . . . . . . . . . . . . . . . . . . .</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21.0%</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21.0%</w:t>
            </w:r>
          </w:p>
        </w:tc>
      </w:tr>
      <w:tr>
        <w:trPr>
          <w:trHeight w:val="285"/>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U.S. state income taxes, net of U.S. federal tax benefit </w:t>
            </w:r>
            <w:r>
              <w:rPr>
                <w:rFonts w:ascii="Times New Roman" w:cs="Times New Roman" w:eastAsia="Times New Roman" w:hAnsi="Times New Roman"/>
                <w:sz w:val="20"/>
                <w:szCs w:val="20"/>
                <w:color w:val="B8BABC"/>
              </w:rPr>
              <w:t>. . . . . . . . . . . . . . . . . . . . . . . . .</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4.6</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5"/>
              </w:rPr>
              <w:t>4.5</w:t>
            </w:r>
          </w:p>
        </w:tc>
      </w:tr>
      <w:tr>
        <w:trPr>
          <w:trHeight w:val="285"/>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Share-based compensation, net of Section 162(m) limitation </w:t>
            </w:r>
            <w:r>
              <w:rPr>
                <w:rFonts w:ascii="Times New Roman" w:cs="Times New Roman" w:eastAsia="Times New Roman" w:hAnsi="Times New Roman"/>
                <w:sz w:val="20"/>
                <w:szCs w:val="20"/>
                <w:color w:val="B8BABC"/>
                <w:w w:val="99"/>
              </w:rPr>
              <w:t>. . . . . . . . . . . . . . . . . . . . .</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0.8</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5"/>
              </w:rPr>
              <w:t>0.3</w:t>
            </w:r>
          </w:p>
        </w:tc>
      </w:tr>
      <w:tr>
        <w:trPr>
          <w:trHeight w:val="310"/>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Other permanent differences</w:t>
            </w:r>
            <w:r>
              <w:rPr>
                <w:rFonts w:ascii="Times New Roman" w:cs="Times New Roman" w:eastAsia="Times New Roman" w:hAnsi="Times New Roman"/>
                <w:sz w:val="26"/>
                <w:szCs w:val="26"/>
                <w:color w:val="231F20"/>
                <w:w w:val="99"/>
                <w:vertAlign w:val="superscript"/>
              </w:rPr>
              <w:t>(1)</w:t>
            </w:r>
            <w:r>
              <w:rPr>
                <w:rFonts w:ascii="Times New Roman" w:cs="Times New Roman" w:eastAsia="Times New Roman" w:hAnsi="Times New Roman"/>
                <w:sz w:val="20"/>
                <w:szCs w:val="20"/>
                <w:color w:val="231F20"/>
                <w:w w:val="99"/>
              </w:rPr>
              <w:t xml:space="preserve">  </w:t>
            </w:r>
            <w:r>
              <w:rPr>
                <w:rFonts w:ascii="Times New Roman" w:cs="Times New Roman" w:eastAsia="Times New Roman" w:hAnsi="Times New Roman"/>
                <w:sz w:val="20"/>
                <w:szCs w:val="20"/>
                <w:color w:val="B8BABC"/>
                <w:w w:val="99"/>
              </w:rPr>
              <w:t>. . . . . . . . . . . . . . . . . . . . . . . . . . . . . . . . . . . . . . . . . . . .</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(3.0)</w:t>
            </w:r>
          </w:p>
        </w:tc>
      </w:tr>
      <w:tr>
        <w:trPr>
          <w:trHeight w:val="260"/>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Tax rate changes </w:t>
            </w:r>
            <w:r>
              <w:rPr>
                <w:rFonts w:ascii="Times New Roman" w:cs="Times New Roman" w:eastAsia="Times New Roman" w:hAnsi="Times New Roman"/>
                <w:sz w:val="20"/>
                <w:szCs w:val="20"/>
                <w:color w:val="B8BABC"/>
              </w:rPr>
              <w:t>. . . . . . . . . . . . . . . . . . . . . . . . . . . . . . . . . . . . . . . . . . . . . . . . . . . . . . .</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0.3</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(0.8)</w:t>
            </w:r>
          </w:p>
        </w:tc>
      </w:tr>
      <w:tr>
        <w:trPr>
          <w:trHeight w:val="285"/>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Non-U.S. income </w:t>
            </w:r>
            <w:r>
              <w:rPr>
                <w:rFonts w:ascii="Times New Roman" w:cs="Times New Roman" w:eastAsia="Times New Roman" w:hAnsi="Times New Roman"/>
                <w:sz w:val="20"/>
                <w:szCs w:val="20"/>
                <w:color w:val="B8BABC"/>
                <w:w w:val="99"/>
              </w:rPr>
              <w:t>. . . . . . . . . . . . . . . . . . . . . . . . . . . . . . . . . . . . . . . . . . . . . . . . . . . . . . .</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9.4</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5"/>
              </w:rPr>
              <w:t>2.7</w:t>
            </w:r>
          </w:p>
        </w:tc>
      </w:tr>
      <w:tr>
        <w:trPr>
          <w:trHeight w:val="285"/>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Tax credits </w:t>
            </w:r>
            <w:r>
              <w:rPr>
                <w:rFonts w:ascii="Times New Roman" w:cs="Times New Roman" w:eastAsia="Times New Roman" w:hAnsi="Times New Roman"/>
                <w:sz w:val="20"/>
                <w:szCs w:val="20"/>
                <w:color w:val="B8BABC"/>
              </w:rPr>
              <w:t>. . . . . . . . . . . . . . . . . . . . . . . . . . . . . . . . . . . . . . . . . . . . . . . . . . . . . . . . . . . .</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(0.8)</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(0.6)</w:t>
            </w:r>
          </w:p>
        </w:tc>
      </w:tr>
      <w:tr>
        <w:trPr>
          <w:trHeight w:val="285"/>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Unrecognized tax benefits </w:t>
            </w:r>
            <w:r>
              <w:rPr>
                <w:rFonts w:ascii="Times New Roman" w:cs="Times New Roman" w:eastAsia="Times New Roman" w:hAnsi="Times New Roman"/>
                <w:sz w:val="20"/>
                <w:szCs w:val="20"/>
                <w:color w:val="B8BABC"/>
              </w:rPr>
              <w:t>. . . . . . . . . . . . . . . . . . . . . . . . . . . . . . . . . . . . . . . . . . . . . . . .</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(6.3)</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5"/>
              </w:rPr>
              <w:t>5.5</w:t>
            </w:r>
          </w:p>
        </w:tc>
      </w:tr>
      <w:tr>
        <w:trPr>
          <w:trHeight w:val="285"/>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Change in valuation allowance </w:t>
            </w:r>
            <w:r>
              <w:rPr>
                <w:rFonts w:ascii="Times New Roman" w:cs="Times New Roman" w:eastAsia="Times New Roman" w:hAnsi="Times New Roman"/>
                <w:sz w:val="20"/>
                <w:szCs w:val="20"/>
                <w:color w:val="B8BABC"/>
              </w:rPr>
              <w:t>. . . . . . . . . . . . . . . . . . . . . . . . . . . . . . . . . . . . . . . . . . . .</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(2.6)</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5"/>
              </w:rPr>
              <w:t>7.1</w:t>
            </w:r>
          </w:p>
        </w:tc>
      </w:tr>
      <w:tr>
        <w:trPr>
          <w:trHeight w:val="288"/>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Other items  </w:t>
            </w:r>
            <w:r>
              <w:rPr>
                <w:rFonts w:ascii="Times New Roman" w:cs="Times New Roman" w:eastAsia="Times New Roman" w:hAnsi="Times New Roman"/>
                <w:sz w:val="20"/>
                <w:szCs w:val="20"/>
                <w:color w:val="B8BABC"/>
              </w:rPr>
              <w:t>. . . . . . . . . . . . . . . . . . . . . . . . . . . . . . . . . . . . . . . . . . . . . . . . . . . . . . . . . . .</w:t>
            </w:r>
          </w:p>
        </w:tc>
        <w:tc>
          <w:tcPr>
            <w:tcW w:w="13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24"/>
                <w:szCs w:val="24"/>
                <w:color w:val="auto"/>
              </w:rPr>
            </w:pPr>
          </w:p>
        </w:tc>
        <w:tc>
          <w:tcPr>
            <w:tcW w:w="13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(0.2)</w:t>
            </w:r>
          </w:p>
        </w:tc>
      </w:tr>
      <w:tr>
        <w:trPr>
          <w:trHeight w:val="245"/>
        </w:trPr>
        <w:tc>
          <w:tcPr>
            <w:tcW w:w="6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Effective rate </w:t>
            </w:r>
            <w:r>
              <w:rPr>
                <w:rFonts w:ascii="Times New Roman" w:cs="Times New Roman" w:eastAsia="Times New Roman" w:hAnsi="Times New Roman"/>
                <w:sz w:val="20"/>
                <w:szCs w:val="20"/>
                <w:color w:val="B8BABC"/>
              </w:rPr>
              <w:t>. . . . . . . . . . . . . . . . . . . . . . . . . . . . . . . . . . . . . . . . . . . . . . . . . . . . . . . .</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29.0%</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36.5%</w:t>
            </w:r>
          </w:p>
        </w:tc>
      </w:tr>
      <w:tr>
        <w:trPr>
          <w:trHeight w:val="20"/>
        </w:trPr>
        <w:tc>
          <w:tcPr>
            <w:tcW w:w="6980" w:type="dxa"/>
            <w:vAlign w:val="bottom"/>
          </w:tcPr>
          <w:p>
            <w:pPr>
              <w:spacing w:after="0" w:line="20" w:lineRule="exact"/>
              <w:rPr>
                <w:sz w:val="1"/>
                <w:szCs w:val="1"/>
                <w:color w:val="auto"/>
              </w:rPr>
            </w:pPr>
          </w:p>
        </w:tc>
        <w:tc>
          <w:tcPr>
            <w:tcW w:w="13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r>
    </w:tbl>
    <w:p>
      <w:pPr>
        <w:spacing w:after="0" w:line="30" w:lineRule="exact"/>
        <w:rPr>
          <w:sz w:val="20"/>
          <w:szCs w:val="20"/>
          <w:color w:val="auto"/>
        </w:rPr>
      </w:pPr>
    </w:p>
    <w:p>
      <w:pPr>
        <w:ind w:left="360" w:hanging="360"/>
        <w:spacing w:after="0"/>
        <w:tabs>
          <w:tab w:leader="none" w:pos="360" w:val="left"/>
        </w:tabs>
        <w:numPr>
          <w:ilvl w:val="0"/>
          <w:numId w:val="39"/>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The 2024 permanent differences are primarily related to non-deductible interest, other expenses and foreign taxes</w:t>
      </w:r>
    </w:p>
    <w:p>
      <w:pPr>
        <w:sectPr>
          <w:pgSz w:w="11880" w:h="15480" w:orient="portrait"/>
          <w:cols w:equalWidth="0" w:num="1">
            <w:col w:w="9720"/>
          </w:cols>
          <w:pgMar w:left="1080" w:top="82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94</w:t>
      </w:r>
    </w:p>
    <w:p>
      <w:pPr>
        <w:sectPr>
          <w:pgSz w:w="11880" w:h="15480" w:orient="portrait"/>
          <w:cols w:equalWidth="0" w:num="1">
            <w:col w:w="9720"/>
          </w:cols>
          <w:pgMar w:left="1080" w:top="829" w:right="1080" w:bottom="0" w:gutter="0" w:footer="0" w:header="0"/>
          <w:type w:val="continuous"/>
        </w:sectPr>
      </w:pPr>
    </w:p>
    <w:bookmarkStart w:id="98" w:name="page99"/>
    <w:bookmarkEnd w:id="98"/>
    <w:p>
      <w:pPr>
        <w:ind w:left="360" w:right="100"/>
        <w:spacing w:after="0" w:line="281" w:lineRule="auto"/>
        <w:rPr>
          <w:sz w:val="20"/>
          <w:szCs w:val="20"/>
          <w:color w:val="auto"/>
        </w:rPr>
      </w:pPr>
      <w:r>
        <w:rPr>
          <w:rFonts w:ascii="Times New Roman" w:cs="Times New Roman" w:eastAsia="Times New Roman" w:hAnsi="Times New Roman"/>
          <w:sz w:val="20"/>
          <w:szCs w:val="20"/>
          <w:color w:val="231F20"/>
        </w:rPr>
        <w:t>partially offset by non-taxable income. The 2023 permanent differences are primarily related to non-taxable income and foreign taxes deducted in the U.S.</w:t>
      </w:r>
    </w:p>
    <w:p>
      <w:pPr>
        <w:spacing w:after="0" w:line="6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231F20"/>
        </w:rPr>
        <w:t>We conduct business in countries that grant “holidays” from income taxes for ten to thirty-year periods. These holidays expire through 2034 and may be impacted by the global minimum tax rules (Pillar 2) set forth for large multinational corporations.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Taxes Paid, net of Refunds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presents the components of our income taxes paid, net of refunds by jurisdiction for 2025:</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4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4838700</wp:posOffset>
            </wp:positionH>
            <wp:positionV relativeFrom="paragraph">
              <wp:posOffset>3175</wp:posOffset>
            </wp:positionV>
            <wp:extent cx="1333500"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0">
                      <a:extLst>
                        <a:ext uri="{28A0092B-C50C-407E-A947-70E740481C1C}"/>
                      </a:extLst>
                    </a:blip>
                    <a:srcRect/>
                    <a:stretch>
                      <a:fillRect/>
                    </a:stretch>
                  </pic:blipFill>
                  <pic:spPr bwMode="auto">
                    <a:xfrm>
                      <a:off x="0" y="0"/>
                      <a:ext cx="1333500" cy="12700"/>
                    </a:xfrm>
                    <a:prstGeom prst="rect">
                      <a:avLst/>
                    </a:prstGeom>
                    <a:noFill/>
                  </pic:spPr>
                </pic:pic>
              </a:graphicData>
            </a:graphic>
          </wp:anchor>
        </w:drawing>
      </w:r>
    </w:p>
    <w:p>
      <w:pPr>
        <w:sectPr>
          <w:pgSz w:w="11880" w:h="15480" w:orient="portrait"/>
          <w:cols w:equalWidth="0" w:num="1">
            <w:col w:w="9720"/>
          </w:cols>
          <w:pgMar w:left="1080" w:top="838" w:right="1080" w:bottom="0" w:gutter="0" w:footer="0" w:header="0"/>
        </w:sectPr>
      </w:pPr>
    </w:p>
    <w:p>
      <w:pPr>
        <w:spacing w:after="0" w:line="6" w:lineRule="exact"/>
        <w:rPr>
          <w:sz w:val="20"/>
          <w:szCs w:val="20"/>
          <w:color w:val="auto"/>
        </w:rPr>
      </w:pPr>
    </w:p>
    <w:p>
      <w:pPr>
        <w:ind w:left="60" w:right="840"/>
        <w:spacing w:after="0" w:line="297" w:lineRule="auto"/>
        <w:rPr>
          <w:sz w:val="20"/>
          <w:szCs w:val="20"/>
          <w:color w:val="auto"/>
        </w:rPr>
      </w:pPr>
      <w:r>
        <w:rPr>
          <w:rFonts w:ascii="Times New Roman" w:cs="Times New Roman" w:eastAsia="Times New Roman" w:hAnsi="Times New Roman"/>
          <w:sz w:val="20"/>
          <w:szCs w:val="20"/>
          <w:color w:val="231F20"/>
        </w:rPr>
        <w:t xml:space="preserve">Federal </w:t>
      </w:r>
      <w:r>
        <w:rPr>
          <w:rFonts w:ascii="Times New Roman" w:cs="Times New Roman" w:eastAsia="Times New Roman" w:hAnsi="Times New Roman"/>
          <w:sz w:val="20"/>
          <w:szCs w:val="20"/>
          <w:color w:val="B8BABC"/>
        </w:rPr>
        <w:t>. . . . . . . . . . . . . . . . . . . . . . . . . . . . . . . . . . . . . . . . . . . . . . . . . . . . . . . . . . . . . . . . . . . . .</w:t>
      </w:r>
      <w:r>
        <w:rPr>
          <w:rFonts w:ascii="Times New Roman" w:cs="Times New Roman" w:eastAsia="Times New Roman" w:hAnsi="Times New Roman"/>
          <w:sz w:val="20"/>
          <w:szCs w:val="20"/>
          <w:color w:val="231F20"/>
        </w:rPr>
        <w:t xml:space="preserve"> $ California </w:t>
      </w:r>
      <w:r>
        <w:rPr>
          <w:rFonts w:ascii="Times New Roman" w:cs="Times New Roman" w:eastAsia="Times New Roman" w:hAnsi="Times New Roman"/>
          <w:sz w:val="20"/>
          <w:szCs w:val="20"/>
          <w:color w:val="B8BABC"/>
        </w:rPr>
        <w:t>. . . . . . . . . . . . . . . . . . . . . . . . . . . . . . . . . . . . . . . . . . . . . . . . . . . . . . . . . . . . . . . . . . .</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 xml:space="preserve">Other U.S. states </w:t>
      </w:r>
      <w:r>
        <w:rPr>
          <w:rFonts w:ascii="Times New Roman" w:cs="Times New Roman" w:eastAsia="Times New Roman" w:hAnsi="Times New Roman"/>
          <w:sz w:val="20"/>
          <w:szCs w:val="20"/>
          <w:color w:val="B8BABC"/>
        </w:rPr>
        <w:t>. . . . . . . . . . . . . . . . . . . . . . . . . . . . . . . . . . . . . . . . . . . . . . . . . . . . . . . . . . . . .</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 xml:space="preserve">Mexico </w:t>
      </w:r>
      <w:r>
        <w:rPr>
          <w:rFonts w:ascii="Times New Roman" w:cs="Times New Roman" w:eastAsia="Times New Roman" w:hAnsi="Times New Roman"/>
          <w:sz w:val="20"/>
          <w:szCs w:val="20"/>
          <w:color w:val="B8BABC"/>
        </w:rPr>
        <w:t>. . . . . . . . . . . . . . . . . . . . . . . . . . . . . . . . . . . . . . . . . . . . . . . . . . . . . . . . . . . . . . . . . . . . .</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 xml:space="preserve">Aruba </w:t>
      </w:r>
      <w:r>
        <w:rPr>
          <w:rFonts w:ascii="Times New Roman" w:cs="Times New Roman" w:eastAsia="Times New Roman" w:hAnsi="Times New Roman"/>
          <w:sz w:val="20"/>
          <w:szCs w:val="20"/>
          <w:color w:val="B8BABC"/>
        </w:rPr>
        <w:t>. . . . . . . . . . . . . . . . . . . . . . . . . . . . . . . . . . . . . . . . . . . . . . . . . . . . . . . . . . . . . . . . . . . . . .</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 xml:space="preserve">Other foreign countries </w:t>
      </w:r>
      <w:r>
        <w:rPr>
          <w:rFonts w:ascii="Times New Roman" w:cs="Times New Roman" w:eastAsia="Times New Roman" w:hAnsi="Times New Roman"/>
          <w:sz w:val="20"/>
          <w:szCs w:val="20"/>
          <w:color w:val="B8BABC"/>
        </w:rPr>
        <w:t>. . . . . . . . . . . . . . . . . . . . . . . . . . . . . . . . . . . . . . . . . . . . . . . . . . . . . . . .</w:t>
      </w:r>
    </w:p>
    <w:p>
      <w:pPr>
        <w:spacing w:after="0" w:line="76" w:lineRule="exact"/>
        <w:rPr>
          <w:sz w:val="20"/>
          <w:szCs w:val="20"/>
          <w:color w:val="auto"/>
        </w:rPr>
      </w:pPr>
    </w:p>
    <w:p>
      <w:pPr>
        <w:jc w:val="right"/>
        <w:ind w:right="840"/>
        <w:spacing w:after="0"/>
        <w:rPr>
          <w:sz w:val="20"/>
          <w:szCs w:val="20"/>
          <w:color w:val="auto"/>
        </w:rPr>
      </w:pPr>
      <w:r>
        <w:rPr>
          <w:rFonts w:ascii="Times New Roman" w:cs="Times New Roman" w:eastAsia="Times New Roman" w:hAnsi="Times New Roman"/>
          <w:sz w:val="20"/>
          <w:szCs w:val="20"/>
          <w:color w:val="231F20"/>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Timing of Estimated Tax Payments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106</w:t>
      </w:r>
    </w:p>
    <w:p>
      <w:pPr>
        <w:spacing w:after="0" w:line="5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7</w:t>
      </w:r>
    </w:p>
    <w:p>
      <w:pPr>
        <w:spacing w:after="0" w:line="5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12</w:t>
      </w:r>
    </w:p>
    <w:p>
      <w:pPr>
        <w:spacing w:after="0" w:line="5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7</w:t>
      </w:r>
    </w:p>
    <w:p>
      <w:pPr>
        <w:spacing w:after="0" w:line="5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7</w:t>
      </w:r>
    </w:p>
    <w:p>
      <w:pPr>
        <w:spacing w:after="0" w:line="5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20955</wp:posOffset>
            </wp:positionV>
            <wp:extent cx="1333500"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1">
                      <a:extLst>
                        <a:ext uri="{28A0092B-C50C-407E-A947-70E740481C1C}"/>
                      </a:extLst>
                    </a:blip>
                    <a:srcRect/>
                    <a:stretch>
                      <a:fillRect/>
                    </a:stretch>
                  </pic:blipFill>
                  <pic:spPr bwMode="auto">
                    <a:xfrm>
                      <a:off x="0" y="0"/>
                      <a:ext cx="1333500" cy="12700"/>
                    </a:xfrm>
                    <a:prstGeom prst="rect">
                      <a:avLst/>
                    </a:prstGeom>
                    <a:noFill/>
                  </pic:spPr>
                </pic:pic>
              </a:graphicData>
            </a:graphic>
          </wp:anchor>
        </w:drawing>
      </w:r>
    </w:p>
    <w:p>
      <w:pPr>
        <w:spacing w:after="0" w:line="3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0"/>
          <w:szCs w:val="20"/>
          <w:color w:val="231F20"/>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8255</wp:posOffset>
            </wp:positionV>
            <wp:extent cx="1333500"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2">
                      <a:extLst>
                        <a:ext uri="{28A0092B-C50C-407E-A947-70E740481C1C}"/>
                      </a:extLst>
                    </a:blip>
                    <a:srcRect/>
                    <a:stretch>
                      <a:fillRect/>
                    </a:stretch>
                  </pic:blipFill>
                  <pic:spPr bwMode="auto">
                    <a:xfrm>
                      <a:off x="0" y="0"/>
                      <a:ext cx="1333500" cy="1270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33655</wp:posOffset>
            </wp:positionV>
            <wp:extent cx="1333500" cy="1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3">
                      <a:extLst>
                        <a:ext uri="{28A0092B-C50C-407E-A947-70E740481C1C}"/>
                      </a:extLst>
                    </a:blip>
                    <a:srcRect/>
                    <a:stretch>
                      <a:fillRect/>
                    </a:stretch>
                  </pic:blipFill>
                  <pic:spPr bwMode="auto">
                    <a:xfrm>
                      <a:off x="0" y="0"/>
                      <a:ext cx="1333500" cy="12700"/>
                    </a:xfrm>
                    <a:prstGeom prst="rect">
                      <a:avLst/>
                    </a:prstGeom>
                    <a:noFill/>
                  </pic:spPr>
                </pic:pic>
              </a:graphicData>
            </a:graphic>
          </wp:anchor>
        </w:drawing>
      </w:r>
    </w:p>
    <w:p>
      <w:pPr>
        <w:spacing w:after="0" w:line="561" w:lineRule="exact"/>
        <w:rPr>
          <w:sz w:val="20"/>
          <w:szCs w:val="20"/>
          <w:color w:val="auto"/>
        </w:rPr>
      </w:pPr>
    </w:p>
    <w:p>
      <w:pPr>
        <w:sectPr>
          <w:pgSz w:w="11880" w:h="15480" w:orient="portrait"/>
          <w:cols w:equalWidth="0" w:num="2">
            <w:col w:w="8620" w:space="720"/>
            <w:col w:w="380"/>
          </w:cols>
          <w:pgMar w:left="1080" w:top="838" w:right="1080" w:bottom="0" w:gutter="0" w:footer="0" w:header="0"/>
          <w:type w:val="continuous"/>
        </w:sect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As part of the federal tax relief provided by the Internal Revenue Service for businesses in areas of Florida affected by hurricanes during 2024, we were permitted to defer certain federal income tax payments without incurring interest or penalties. As a result, we deferred $38 million of estimated tax payments from 2024 to 2025. Similarly, in 2024, under comparable relief measures related to hurricanes in 2023, we deferred $32 million of estimated tax payments from 2023 to 2024. In addition, in 2023, under similar circumstances, we deferred $45 million of estimated tax payments from 2022 to 2023. None of our 2025 estimated tax payments were deferred into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Unrecognized Tax Benefits</w:t>
      </w:r>
    </w:p>
    <w:p>
      <w:pPr>
        <w:spacing w:after="0" w:line="13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231F20"/>
        </w:rPr>
        <w:t>A reconciliation of the beginning and ending amount of unrecognized tax benefits (excluding interest and penalties) is as follows:</w:t>
      </w:r>
    </w:p>
    <w:p>
      <w:pPr>
        <w:spacing w:after="0" w:line="110"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940" w:type="dxa"/>
            <w:vAlign w:val="bottom"/>
          </w:tcPr>
          <w:p>
            <w:pPr>
              <w:jc w:val="right"/>
              <w:ind w:right="4923"/>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2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77"/>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Unrecognized tax benefits at beginning of year </w:t>
            </w:r>
            <w:r>
              <w:rPr>
                <w:rFonts w:ascii="Times New Roman" w:cs="Times New Roman" w:eastAsia="Times New Roman" w:hAnsi="Times New Roman"/>
                <w:sz w:val="20"/>
                <w:szCs w:val="20"/>
                <w:color w:val="B8BABC"/>
              </w:rPr>
              <w:t>. . . . . . . . . . . . . . . . . . . . .</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w:t>
            </w:r>
          </w:p>
        </w:tc>
      </w:tr>
      <w:tr>
        <w:trPr>
          <w:trHeight w:val="3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Increases related to tax positions taken during a prior period </w:t>
            </w:r>
            <w:r>
              <w:rPr>
                <w:rFonts w:ascii="Times New Roman" w:cs="Times New Roman" w:eastAsia="Times New Roman" w:hAnsi="Times New Roman"/>
                <w:sz w:val="20"/>
                <w:szCs w:val="20"/>
                <w:color w:val="B8BABC"/>
              </w:rPr>
              <w:t>.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r>
      <w:tr>
        <w:trPr>
          <w:trHeight w:val="3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Increases related to tax positions taken during the current period </w:t>
            </w:r>
            <w:r>
              <w:rPr>
                <w:rFonts w:ascii="Times New Roman" w:cs="Times New Roman" w:eastAsia="Times New Roman" w:hAnsi="Times New Roman"/>
                <w:sz w:val="20"/>
                <w:szCs w:val="20"/>
                <w:color w:val="B8BABC"/>
              </w:rPr>
              <w:t>.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0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Decreases related to tax positions taken during a prior period </w:t>
            </w:r>
            <w:r>
              <w:rPr>
                <w:rFonts w:ascii="Times New Roman" w:cs="Times New Roman" w:eastAsia="Times New Roman" w:hAnsi="Times New Roman"/>
                <w:sz w:val="20"/>
                <w:szCs w:val="20"/>
                <w:color w:val="B8BABC"/>
              </w:rPr>
              <w:t>.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r>
      <w:tr>
        <w:trPr>
          <w:trHeight w:val="303"/>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Decreases as a result of a lapse of the applicable statute of limitations </w:t>
            </w:r>
            <w:r>
              <w:rPr>
                <w:rFonts w:ascii="Times New Roman" w:cs="Times New Roman" w:eastAsia="Times New Roman" w:hAnsi="Times New Roman"/>
                <w:sz w:val="20"/>
                <w:szCs w:val="20"/>
                <w:color w:val="B8BABC"/>
              </w:rPr>
              <w:t>.</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60"/>
        </w:trPr>
        <w:tc>
          <w:tcPr>
            <w:tcW w:w="5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Unrecognized tax benefits at end of year </w:t>
            </w:r>
            <w:r>
              <w:rPr>
                <w:rFonts w:ascii="Times New Roman" w:cs="Times New Roman" w:eastAsia="Times New Roman" w:hAnsi="Times New Roman"/>
                <w:sz w:val="20"/>
                <w:szCs w:val="20"/>
                <w:color w:val="B8BABC"/>
              </w:rPr>
              <w:t>. . . . . . . . . . . . . . . . . . . . . . . . . .</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w:t>
            </w:r>
          </w:p>
        </w:tc>
      </w:tr>
      <w:tr>
        <w:trPr>
          <w:trHeight w:val="20"/>
        </w:trPr>
        <w:tc>
          <w:tcPr>
            <w:tcW w:w="594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r>
    </w:tbl>
    <w:p>
      <w:pPr>
        <w:spacing w:after="0" w:line="12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231F20"/>
        </w:rPr>
        <w:t>The increase in 2025 is attributable to reserves established for interest relief provided under government relief programs, including amounts reported on the 2024 U.S. corporate income tax return and estimated amounts expected to be claimed on the 2025 return. The increase in the unrecognized tax benefits during 2023 and subsequent decrease during 2024 is primarily related to an $80 million proposed tax method change in 2023, which was filed with the IRS in 2024.</w:t>
      </w:r>
    </w:p>
    <w:p>
      <w:pPr>
        <w:spacing w:after="0" w:line="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The total amount of gross interest and penalties accrued relating to unrecognized tax benefits was $41 million at December 31, 2025 and $37 million at December 31, 2024, which is predominantly attributable to non-U.S. jurisdictions. We recognized an income tax expense of $4 million in 2025, an income tax benefit of $11 million in 2024, and an income tax expense of $20 million in 2023 related to accrued interest and penalties. Unrecognized tax benefits (including interest and penalties) of $32 million and $29 million, net of indemnification, would have impacted the effective tax rate for the years ended December 31, 2025 and December 31, 2024, respectively, if recognized.</w:t>
      </w:r>
    </w:p>
    <w:p>
      <w:pPr>
        <w:sectPr>
          <w:pgSz w:w="11880" w:h="15480" w:orient="portrait"/>
          <w:cols w:equalWidth="0" w:num="1">
            <w:col w:w="9720"/>
          </w:cols>
          <w:pgMar w:left="1080" w:top="838"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95</w:t>
      </w:r>
    </w:p>
    <w:p>
      <w:pPr>
        <w:sectPr>
          <w:pgSz w:w="11880" w:h="15480" w:orient="portrait"/>
          <w:cols w:equalWidth="0" w:num="1">
            <w:col w:w="9720"/>
          </w:cols>
          <w:pgMar w:left="1080" w:top="838" w:right="1080" w:bottom="0" w:gutter="0" w:footer="0" w:header="0"/>
          <w:type w:val="continuous"/>
        </w:sectPr>
      </w:pPr>
    </w:p>
    <w:bookmarkStart w:id="99" w:name="page100"/>
    <w:bookmarkEnd w:id="99"/>
    <w:p>
      <w:pPr>
        <w:ind w:right="100"/>
        <w:spacing w:after="0" w:line="258" w:lineRule="auto"/>
        <w:rPr>
          <w:sz w:val="20"/>
          <w:szCs w:val="20"/>
          <w:color w:val="auto"/>
        </w:rPr>
      </w:pPr>
      <w:r>
        <w:rPr>
          <w:rFonts w:ascii="Times New Roman" w:cs="Times New Roman" w:eastAsia="Times New Roman" w:hAnsi="Times New Roman"/>
          <w:sz w:val="20"/>
          <w:szCs w:val="20"/>
          <w:color w:val="231F20"/>
        </w:rPr>
        <w:t>We anticipate $36 million of unrecognized tax benefits, including interest and penalties, to be indemnified pursuant to a Tax Matters Agreement dated May 11, 2016 by and among Starwood Hotels &amp; Resorts Worldwide, Inc., Vistana Signature Experiences, Inc., and Interval Leisure Group, Inc., (the “Tax Matters Agreement”) and consequently have recorded a corresponding indemnification asset. The unrecognized tax benefits, including accrued interest and penalties, are included in Other liabilities on our Balance Sheets.</w:t>
      </w:r>
    </w:p>
    <w:p>
      <w:pPr>
        <w:spacing w:after="0" w:line="8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231F20"/>
        </w:rPr>
        <w:t>Our income tax returns remain subject to examination by the relevant tax authorities. Certain returns are currently under audit in various jurisdictions for tax years 2007 through 2020. The amount of the unrecognized tax benefits may change within the next twelve months as a result of audits or resolution of audit-related matters.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w:t>
      </w:r>
    </w:p>
    <w:p>
      <w:pPr>
        <w:spacing w:after="0" w:line="13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231F20"/>
        </w:rPr>
        <w:t>As of December 31, 2025, the $14 million tax reserve for non-income tax issues is predominantly related to the ILG Acquisition. We expect that we will be indemnified for liabilities of $4 million in connection with the Legacy-ILG non-income tax matters pursuant to the Tax Matters Agreement and consequently have recorded a corresponding indemnification asset.</w:t>
      </w:r>
    </w:p>
    <w:p>
      <w:pPr>
        <w:spacing w:after="0" w:line="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During the third quarter of 2025, the One Big Beautiful Bill Act (“OBBBA”) was signed into law, making several provisions of the Tax Cuts and Jobs Act permanent. Under ASC 740, “Income Taxes,” the effects of changes in tax laws must be recognized in the period of enactment. We have evaluated the impact of OBBBA and have incorporated the effect of these changes into our financial statements. For the provisions effective in 2025, there was no material impact to our effective tax rate for the year ended December 31, 2025, but we continue to assess the potential impact of these law changes, including provisions becoming effective in 2026, on our business and financial results.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5. VACATION OWNERSHIP NOTES RECEIVABLE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shows the composition of our vacation ownership notes receivable balances, net of reserves.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3060" w:type="dxa"/>
            <w:vAlign w:val="bottom"/>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2120" w:type="dxa"/>
            <w:vAlign w:val="bottom"/>
            <w:tcBorders>
              <w:bottom w:val="single" w:sz="8" w:color="231F20"/>
            </w:tcBorders>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December 31, 2025</w:t>
            </w:r>
          </w:p>
        </w:tc>
        <w:tc>
          <w:tcPr>
            <w:tcW w:w="820" w:type="dxa"/>
            <w:vAlign w:val="bottom"/>
            <w:tcBorders>
              <w:bottom w:val="single" w:sz="8" w:color="231F20"/>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2120" w:type="dxa"/>
            <w:vAlign w:val="bottom"/>
            <w:tcBorders>
              <w:bottom w:val="single" w:sz="8" w:color="231F20"/>
            </w:tcBorders>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rPr>
              <w:t>December 31, 2024</w:t>
            </w:r>
          </w:p>
        </w:tc>
        <w:tc>
          <w:tcPr>
            <w:tcW w:w="820" w:type="dxa"/>
            <w:vAlign w:val="bottom"/>
            <w:tcBorders>
              <w:bottom w:val="single" w:sz="8" w:color="231F20"/>
            </w:tcBorders>
          </w:tcPr>
          <w:p>
            <w:pPr>
              <w:spacing w:after="0"/>
              <w:rPr>
                <w:sz w:val="21"/>
                <w:szCs w:val="21"/>
                <w:color w:val="auto"/>
              </w:rPr>
            </w:pPr>
          </w:p>
        </w:tc>
      </w:tr>
      <w:tr>
        <w:trPr>
          <w:trHeight w:val="235"/>
        </w:trPr>
        <w:tc>
          <w:tcPr>
            <w:tcW w:w="3060" w:type="dxa"/>
            <w:vAlign w:val="bottom"/>
          </w:tcPr>
          <w:p>
            <w:pPr>
              <w:jc w:val="right"/>
              <w:ind w:right="2043"/>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1060" w:type="dxa"/>
            <w:vAlign w:val="bottom"/>
            <w:tcBorders>
              <w:bottom w:val="single" w:sz="8" w:color="231F20"/>
            </w:tcBorders>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231F20"/>
              </w:rPr>
              <w:t>Originated</w:t>
            </w:r>
          </w:p>
        </w:tc>
        <w:tc>
          <w:tcPr>
            <w:tcW w:w="60" w:type="dxa"/>
            <w:vAlign w:val="bottom"/>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ind w:right="62"/>
              <w:spacing w:after="0"/>
              <w:rPr>
                <w:sz w:val="20"/>
                <w:szCs w:val="20"/>
                <w:color w:val="auto"/>
              </w:rPr>
            </w:pPr>
            <w:r>
              <w:rPr>
                <w:rFonts w:ascii="Times New Roman" w:cs="Times New Roman" w:eastAsia="Times New Roman" w:hAnsi="Times New Roman"/>
                <w:sz w:val="18"/>
                <w:szCs w:val="18"/>
                <w:b w:val="1"/>
                <w:bCs w:val="1"/>
                <w:color w:val="231F20"/>
                <w:w w:val="99"/>
              </w:rPr>
              <w:t>Acquired</w:t>
            </w:r>
          </w:p>
        </w:tc>
        <w:tc>
          <w:tcPr>
            <w:tcW w:w="6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jc w:val="right"/>
              <w:ind w:right="222"/>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20" w:type="dxa"/>
            <w:vAlign w:val="bottom"/>
            <w:tcBorders>
              <w:bottom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Borders>
              <w:bottom w:val="single" w:sz="8" w:color="231F20"/>
            </w:tcBorders>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231F20"/>
              </w:rPr>
              <w:t>Originated</w:t>
            </w:r>
          </w:p>
        </w:tc>
        <w:tc>
          <w:tcPr>
            <w:tcW w:w="6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900" w:type="dxa"/>
            <w:vAlign w:val="bottom"/>
            <w:tcBorders>
              <w:bottom w:val="single" w:sz="8" w:color="231F20"/>
            </w:tcBorders>
          </w:tcPr>
          <w:p>
            <w:pPr>
              <w:jc w:val="right"/>
              <w:ind w:right="82"/>
              <w:spacing w:after="0"/>
              <w:rPr>
                <w:sz w:val="20"/>
                <w:szCs w:val="20"/>
                <w:color w:val="auto"/>
              </w:rPr>
            </w:pPr>
            <w:r>
              <w:rPr>
                <w:rFonts w:ascii="Times New Roman" w:cs="Times New Roman" w:eastAsia="Times New Roman" w:hAnsi="Times New Roman"/>
                <w:sz w:val="18"/>
                <w:szCs w:val="18"/>
                <w:b w:val="1"/>
                <w:bCs w:val="1"/>
                <w:color w:val="231F20"/>
                <w:w w:val="97"/>
              </w:rPr>
              <w:t>Acquired</w:t>
            </w: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jc w:val="right"/>
              <w:ind w:right="222"/>
              <w:spacing w:after="0"/>
              <w:rPr>
                <w:sz w:val="20"/>
                <w:szCs w:val="20"/>
                <w:color w:val="auto"/>
              </w:rPr>
            </w:pPr>
            <w:r>
              <w:rPr>
                <w:rFonts w:ascii="Times New Roman" w:cs="Times New Roman" w:eastAsia="Times New Roman" w:hAnsi="Times New Roman"/>
                <w:sz w:val="18"/>
                <w:szCs w:val="18"/>
                <w:b w:val="1"/>
                <w:bCs w:val="1"/>
                <w:color w:val="231F20"/>
              </w:rPr>
              <w:t>Total</w:t>
            </w:r>
          </w:p>
        </w:tc>
      </w:tr>
      <w:tr>
        <w:trPr>
          <w:trHeight w:val="262"/>
        </w:trPr>
        <w:tc>
          <w:tcPr>
            <w:tcW w:w="306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w:t>
            </w:r>
            <w:r>
              <w:rPr>
                <w:rFonts w:ascii="Times New Roman" w:cs="Times New Roman" w:eastAsia="Times New Roman" w:hAnsi="Times New Roman"/>
                <w:sz w:val="20"/>
                <w:szCs w:val="20"/>
                <w:color w:val="231F20"/>
              </w:rPr>
              <w:t>Securitized</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1,843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1,900</w:t>
            </w: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93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1,917</w:t>
            </w:r>
          </w:p>
        </w:tc>
      </w:tr>
      <w:tr>
        <w:trPr>
          <w:trHeight w:val="600"/>
        </w:trPr>
        <w:tc>
          <w:tcPr>
            <w:tcW w:w="3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Eligible for securitization</w:t>
            </w:r>
            <w:r>
              <w:rPr>
                <w:rFonts w:ascii="Times New Roman" w:cs="Times New Roman" w:eastAsia="Times New Roman" w:hAnsi="Times New Roman"/>
                <w:sz w:val="10"/>
                <w:szCs w:val="10"/>
                <w:color w:val="231F20"/>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w:t>
            </w:r>
          </w:p>
        </w:tc>
        <w:tc>
          <w:tcPr>
            <w:tcW w:w="340" w:type="dxa"/>
            <w:vAlign w:val="bottom"/>
          </w:tcPr>
          <w:p>
            <w:pPr>
              <w:spacing w:after="0"/>
              <w:rPr>
                <w:sz w:val="24"/>
                <w:szCs w:val="24"/>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152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152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w:t>
            </w:r>
          </w:p>
        </w:tc>
      </w:tr>
      <w:tr>
        <w:trPr>
          <w:trHeight w:val="288"/>
        </w:trPr>
        <w:tc>
          <w:tcPr>
            <w:tcW w:w="3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Not eligible for securitization</w:t>
            </w:r>
            <w:r>
              <w:rPr>
                <w:rFonts w:ascii="Times New Roman" w:cs="Times New Roman" w:eastAsia="Times New Roman" w:hAnsi="Times New Roman"/>
                <w:sz w:val="10"/>
                <w:szCs w:val="10"/>
                <w:color w:val="231F20"/>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w:t>
            </w:r>
          </w:p>
        </w:tc>
        <w:tc>
          <w:tcPr>
            <w:tcW w:w="34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508</w:t>
            </w:r>
          </w:p>
        </w:tc>
        <w:tc>
          <w:tcPr>
            <w:tcW w:w="6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513</w:t>
            </w:r>
          </w:p>
        </w:tc>
        <w:tc>
          <w:tcPr>
            <w:tcW w:w="20" w:type="dxa"/>
            <w:vAlign w:val="bottom"/>
            <w:tcBorders>
              <w:bottom w:val="single" w:sz="8" w:color="231F20"/>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417</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12</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429</w:t>
            </w:r>
          </w:p>
        </w:tc>
      </w:tr>
      <w:tr>
        <w:trPr>
          <w:trHeight w:val="265"/>
        </w:trPr>
        <w:tc>
          <w:tcPr>
            <w:tcW w:w="306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w:t>
            </w:r>
            <w:r>
              <w:rPr>
                <w:rFonts w:ascii="Times New Roman" w:cs="Times New Roman" w:eastAsia="Times New Roman" w:hAnsi="Times New Roman"/>
                <w:sz w:val="20"/>
                <w:szCs w:val="20"/>
                <w:color w:val="231F20"/>
              </w:rPr>
              <w:t>Non-securitized</w:t>
            </w:r>
          </w:p>
        </w:tc>
        <w:tc>
          <w:tcPr>
            <w:tcW w:w="340" w:type="dxa"/>
            <w:vAlign w:val="bottom"/>
            <w:tcBorders>
              <w:bottom w:val="single" w:sz="8" w:color="231F20"/>
            </w:tcBorders>
          </w:tcPr>
          <w:p>
            <w:pPr>
              <w:spacing w:after="0"/>
              <w:rPr>
                <w:sz w:val="23"/>
                <w:szCs w:val="23"/>
                <w:color w:val="auto"/>
              </w:rPr>
            </w:pPr>
          </w:p>
        </w:tc>
        <w:tc>
          <w:tcPr>
            <w:tcW w:w="72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660</w:t>
            </w:r>
          </w:p>
        </w:tc>
        <w:tc>
          <w:tcPr>
            <w:tcW w:w="60" w:type="dxa"/>
            <w:vAlign w:val="bottom"/>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82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665</w:t>
            </w:r>
          </w:p>
        </w:tc>
        <w:tc>
          <w:tcPr>
            <w:tcW w:w="20" w:type="dxa"/>
            <w:vAlign w:val="bottom"/>
            <w:tcBorders>
              <w:bottom w:val="single" w:sz="8" w:color="231F20"/>
            </w:tcBorders>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509</w:t>
            </w:r>
          </w:p>
        </w:tc>
        <w:tc>
          <w:tcPr>
            <w:tcW w:w="60" w:type="dxa"/>
            <w:vAlign w:val="bottom"/>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14</w:t>
            </w:r>
          </w:p>
        </w:tc>
        <w:tc>
          <w:tcPr>
            <w:tcW w:w="60" w:type="dxa"/>
            <w:vAlign w:val="bottom"/>
          </w:tcPr>
          <w:p>
            <w:pPr>
              <w:spacing w:after="0"/>
              <w:rPr>
                <w:sz w:val="23"/>
                <w:szCs w:val="23"/>
                <w:color w:val="auto"/>
              </w:rPr>
            </w:pPr>
          </w:p>
        </w:tc>
        <w:tc>
          <w:tcPr>
            <w:tcW w:w="220" w:type="dxa"/>
            <w:vAlign w:val="bottom"/>
            <w:tcBorders>
              <w:bottom w:val="single" w:sz="8" w:color="231F20"/>
            </w:tcBorders>
          </w:tcPr>
          <w:p>
            <w:pPr>
              <w:spacing w:after="0"/>
              <w:rPr>
                <w:sz w:val="23"/>
                <w:szCs w:val="23"/>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523</w:t>
            </w:r>
          </w:p>
        </w:tc>
      </w:tr>
      <w:tr>
        <w:trPr>
          <w:trHeight w:val="560"/>
        </w:trPr>
        <w:tc>
          <w:tcPr>
            <w:tcW w:w="3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Total  </w:t>
            </w:r>
            <w:r>
              <w:rPr>
                <w:rFonts w:ascii="Times New Roman" w:cs="Times New Roman" w:eastAsia="Times New Roman" w:hAnsi="Times New Roman"/>
                <w:sz w:val="20"/>
                <w:szCs w:val="20"/>
                <w:color w:val="B8BABC"/>
              </w:rPr>
              <w:t>. . . . . . . . . . . . . . . . . . . . . . . . .</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2,503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2,565</w:t>
            </w: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107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2,440</w:t>
            </w:r>
          </w:p>
        </w:tc>
      </w:tr>
      <w:tr>
        <w:trPr>
          <w:trHeight w:val="20"/>
        </w:trPr>
        <w:tc>
          <w:tcPr>
            <w:tcW w:w="30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r>
    </w:tbl>
    <w:p>
      <w:pPr>
        <w:spacing w:after="0" w:line="128" w:lineRule="exact"/>
        <w:rPr>
          <w:sz w:val="20"/>
          <w:szCs w:val="20"/>
          <w:color w:val="auto"/>
        </w:rPr>
      </w:pPr>
    </w:p>
    <w:p>
      <w:pPr>
        <w:ind w:left="360" w:right="140" w:hanging="360"/>
        <w:spacing w:after="0" w:line="226" w:lineRule="auto"/>
        <w:tabs>
          <w:tab w:leader="none" w:pos="360" w:val="left"/>
        </w:tabs>
        <w:numPr>
          <w:ilvl w:val="0"/>
          <w:numId w:val="40"/>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Refer to Footnote 6 “Financial Instruments” for discussion of eligibility of our vacation ownership notes receivable for securitization.</w:t>
      </w:r>
    </w:p>
    <w:p>
      <w:pPr>
        <w:spacing w:after="0" w:line="2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231F20"/>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4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24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jc w:val="right"/>
              <w:ind w:right="24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20" w:type="dxa"/>
            <w:vAlign w:val="bottom"/>
            <w:tcBorders>
              <w:bottom w:val="single" w:sz="8" w:color="231F20"/>
            </w:tcBorders>
          </w:tcPr>
          <w:p>
            <w:pPr>
              <w:jc w:val="right"/>
              <w:ind w:right="263"/>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jc w:val="right"/>
              <w:ind w:right="243"/>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0" w:type="dxa"/>
            <w:vAlign w:val="bottom"/>
          </w:tcPr>
          <w:p>
            <w:pPr>
              <w:spacing w:after="0"/>
              <w:rPr>
                <w:sz w:val="1"/>
                <w:szCs w:val="1"/>
                <w:color w:val="auto"/>
              </w:rPr>
            </w:pPr>
          </w:p>
        </w:tc>
      </w:tr>
      <w:tr>
        <w:trPr>
          <w:trHeight w:val="181"/>
        </w:trPr>
        <w:tc>
          <w:tcPr>
            <w:tcW w:w="6400" w:type="dxa"/>
            <w:vAlign w:val="bottom"/>
          </w:tcPr>
          <w:p>
            <w:pPr>
              <w:spacing w:after="0" w:line="182" w:lineRule="exact"/>
              <w:rPr>
                <w:sz w:val="20"/>
                <w:szCs w:val="20"/>
                <w:color w:val="auto"/>
              </w:rPr>
            </w:pPr>
            <w:r>
              <w:rPr>
                <w:rFonts w:ascii="Times New Roman" w:cs="Times New Roman" w:eastAsia="Times New Roman" w:hAnsi="Times New Roman"/>
                <w:sz w:val="20"/>
                <w:szCs w:val="20"/>
                <w:color w:val="231F20"/>
              </w:rPr>
              <w:t>Interest income associated with vacation ownership notes receivable —</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293</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231F20"/>
              </w:rPr>
              <w:t>288</w:t>
            </w: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276</w:t>
            </w:r>
          </w:p>
        </w:tc>
        <w:tc>
          <w:tcPr>
            <w:tcW w:w="0" w:type="dxa"/>
            <w:vAlign w:val="bottom"/>
          </w:tcPr>
          <w:p>
            <w:pPr>
              <w:spacing w:after="0"/>
              <w:rPr>
                <w:sz w:val="1"/>
                <w:szCs w:val="1"/>
                <w:color w:val="auto"/>
              </w:rPr>
            </w:pPr>
          </w:p>
        </w:tc>
      </w:tr>
      <w:tr>
        <w:trPr>
          <w:trHeight w:val="261"/>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securitized </w:t>
            </w:r>
            <w:r>
              <w:rPr>
                <w:rFonts w:ascii="Times New Roman" w:cs="Times New Roman" w:eastAsia="Times New Roman" w:hAnsi="Times New Roman"/>
                <w:sz w:val="20"/>
                <w:szCs w:val="20"/>
                <w:color w:val="B8BABC"/>
              </w:rPr>
              <w:t>. . . . . . . . . . . . . . . . . . . . . . . . . . . . . . . . . . . . . . . . . . . . . . . . . . . . . .</w:t>
            </w:r>
          </w:p>
        </w:tc>
        <w:tc>
          <w:tcPr>
            <w:tcW w:w="24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6400" w:type="dxa"/>
            <w:vAlign w:val="bottom"/>
          </w:tcPr>
          <w:p>
            <w:pPr>
              <w:spacing w:after="0" w:line="205" w:lineRule="exact"/>
              <w:rPr>
                <w:sz w:val="20"/>
                <w:szCs w:val="20"/>
                <w:color w:val="auto"/>
              </w:rPr>
            </w:pPr>
            <w:r>
              <w:rPr>
                <w:rFonts w:ascii="Times New Roman" w:cs="Times New Roman" w:eastAsia="Times New Roman" w:hAnsi="Times New Roman"/>
                <w:sz w:val="20"/>
                <w:szCs w:val="20"/>
                <w:color w:val="231F20"/>
              </w:rPr>
              <w:t>Interest income associated with vacation ownership notes receivable —</w:t>
            </w: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231F20"/>
              </w:rPr>
              <w:t>43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non-securitized </w:t>
            </w:r>
            <w:r>
              <w:rPr>
                <w:rFonts w:ascii="Times New Roman" w:cs="Times New Roman" w:eastAsia="Times New Roman" w:hAnsi="Times New Roman"/>
                <w:sz w:val="20"/>
                <w:szCs w:val="20"/>
                <w:color w:val="B8BABC"/>
              </w:rPr>
              <w:t>. . . . . . . . . . . . . . . . . . . . . . . . . . . . . . . . . . . . . . . . . . . . . . . . . . .</w:t>
            </w:r>
          </w:p>
        </w:tc>
        <w:tc>
          <w:tcPr>
            <w:tcW w:w="24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82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B8BABC"/>
              </w:rPr>
              <w:t>. . . .</w:t>
            </w:r>
            <w:r>
              <w:rPr>
                <w:rFonts w:ascii="Times New Roman" w:cs="Times New Roman" w:eastAsia="Times New Roman" w:hAnsi="Times New Roman"/>
                <w:sz w:val="20"/>
                <w:szCs w:val="20"/>
                <w:color w:val="231F20"/>
              </w:rPr>
              <w:t>Totalinterestincomeassociatedwithvacationownershipnotesreceivable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331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96</w:t>
      </w:r>
    </w:p>
    <w:p>
      <w:pPr>
        <w:sectPr>
          <w:pgSz w:w="11880" w:h="15480" w:orient="portrait"/>
          <w:cols w:equalWidth="0" w:num="1">
            <w:col w:w="9720"/>
          </w:cols>
          <w:pgMar w:left="1080" w:top="838" w:right="108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i w:val="1"/>
          <w:iCs w:val="1"/>
          <w:color w:val="231F20"/>
        </w:rPr>
        <w:t>Vacation Ownership Notes Receivable Reserve</w:t>
      </w:r>
    </w:p>
    <w:p>
      <w:pPr>
        <w:spacing w:after="0" w:line="13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231F20"/>
        </w:rPr>
        <w:t>The estimates of the variable consideration for originated vacation ownership notes receivable and the reserve for credit losses on the acquired vacation ownership notes receivable are based on default rates that are an output of our static pool analyses and estimates regarding future defaults.</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In the third quarter of 2023, we increased our vacation ownership notes receivable reserve to reflect then-current trends in delinquencies and default rates. As a result, we increased our originated vacation ownership notes receivable reserve by $59 million. We estimated the amount of the increase in our sales reserve primarily using information from a historical period of increased defaults. The additional reserve recorded in 2023 was the result of an adjustment to our future default rate estimate to reflect then-current macroeconomic conditions, including inflation outpacing wage growth, continuing high interest rates, mixed economic indicators and increased global insecurity.</w:t>
      </w:r>
    </w:p>
    <w:p>
      <w:pPr>
        <w:spacing w:after="0" w:line="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231F20"/>
        </w:rPr>
        <w:t>In the second quarter of 2024, we increased our sales reserve by $70 million to reflect the then-current macroeconomic conditions, including the cumulative impact of inflation on consumers and the related impact on year-over-year increases in maintenance fees for 2023 and 2024, which we believed were driving continued elevated delinquencies and default rates, higher consumer debt levels, continued high interest rates, uncertainty around timing and frequency of interest rate adjustments, and continued mixed economic indicators.</w:t>
      </w:r>
    </w:p>
    <w:p>
      <w:pPr>
        <w:spacing w:after="0" w:line="8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231F20"/>
        </w:rPr>
        <w:t>Beginning in the third quarter of 2024, we also increased our sales reserve rate to reflect higher expected cumulative losses on new originations, consistent with more recent trends. While our delinquency rates for 2025 have declined from those experienced in 2024 and 2023, we do not expect to lower the sales reserve for new originations until we have sufficient, sustained evidence of continued improvement in delinquency and default rates.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Credit Quality Indicators - Vacation Ownership Notes Receivable</w:t>
      </w:r>
    </w:p>
    <w:p>
      <w:pPr>
        <w:spacing w:after="0" w:line="13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20"/>
          <w:szCs w:val="20"/>
          <w:color w:val="231F20"/>
        </w:rPr>
        <w:t>We use the origination of vacation ownership notes receivable and the FICO scores of the customer by brand as the primary credit quality indicators, as historical performance indicates that there is a relationship between the default behavior of borrowers by FICO score and the brand associated with the VOI they have acquired.</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231F20"/>
        </w:rPr>
        <w:t>The weighted average FICO score within our consolidated vacation ownership notes receivable pool was 729 and 725 at December 31, 2025 and December 31, 2024, respectively, based upon the FICO score of the borrower at the time of origination.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Originated Vacation Ownership Notes Receivable</w:t>
      </w:r>
    </w:p>
    <w:p>
      <w:pPr>
        <w:spacing w:after="0" w:line="13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231F20"/>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December 31, 2025</w:t>
      </w:r>
      <w:r>
        <w:rPr>
          <w:rFonts w:ascii="Times New Roman" w:cs="Times New Roman" w:eastAsia="Times New Roman" w:hAnsi="Times New Roman"/>
          <w:sz w:val="20"/>
          <w:szCs w:val="20"/>
          <w:color w:val="7A7B7E"/>
        </w:rPr>
        <w:t>.</w:t>
      </w:r>
    </w:p>
    <w:p>
      <w:pPr>
        <w:spacing w:after="0" w:line="147"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720" w:type="dxa"/>
            <w:vAlign w:val="bottom"/>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4780" w:type="dxa"/>
            <w:vAlign w:val="bottom"/>
            <w:tcBorders>
              <w:bottom w:val="single" w:sz="8" w:color="231F20"/>
            </w:tcBorders>
            <w:gridSpan w:val="7"/>
          </w:tcPr>
          <w:p>
            <w:pPr>
              <w:jc w:val="center"/>
              <w:ind w:right="61"/>
              <w:spacing w:after="0"/>
              <w:rPr>
                <w:sz w:val="20"/>
                <w:szCs w:val="20"/>
                <w:color w:val="auto"/>
              </w:rPr>
            </w:pPr>
            <w:r>
              <w:rPr>
                <w:rFonts w:ascii="Times New Roman" w:cs="Times New Roman" w:eastAsia="Times New Roman" w:hAnsi="Times New Roman"/>
                <w:sz w:val="18"/>
                <w:szCs w:val="18"/>
                <w:b w:val="1"/>
                <w:bCs w:val="1"/>
                <w:color w:val="231F20"/>
                <w:w w:val="99"/>
              </w:rPr>
              <w:t>Originated Vacation Ownership Notes Receivable</w:t>
            </w:r>
          </w:p>
        </w:tc>
        <w:tc>
          <w:tcPr>
            <w:tcW w:w="0" w:type="dxa"/>
            <w:vAlign w:val="bottom"/>
          </w:tcPr>
          <w:p>
            <w:pPr>
              <w:spacing w:after="0"/>
              <w:rPr>
                <w:sz w:val="1"/>
                <w:szCs w:val="1"/>
                <w:color w:val="auto"/>
              </w:rPr>
            </w:pPr>
          </w:p>
        </w:tc>
      </w:tr>
      <w:tr>
        <w:trPr>
          <w:trHeight w:val="235"/>
        </w:trPr>
        <w:tc>
          <w:tcPr>
            <w:tcW w:w="4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6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tcPr>
          <w:p>
            <w:pPr>
              <w:jc w:val="center"/>
              <w:ind w:right="62"/>
              <w:spacing w:after="0"/>
              <w:rPr>
                <w:sz w:val="20"/>
                <w:szCs w:val="20"/>
                <w:color w:val="auto"/>
              </w:rPr>
            </w:pPr>
            <w:r>
              <w:rPr>
                <w:rFonts w:ascii="Times New Roman" w:cs="Times New Roman" w:eastAsia="Times New Roman" w:hAnsi="Times New Roman"/>
                <w:sz w:val="18"/>
                <w:szCs w:val="18"/>
                <w:b w:val="1"/>
                <w:bCs w:val="1"/>
                <w:color w:val="231F20"/>
                <w:w w:val="99"/>
              </w:rPr>
              <w:t>Non-Securitized</w:t>
            </w:r>
          </w:p>
        </w:tc>
        <w:tc>
          <w:tcPr>
            <w:tcW w:w="8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420" w:type="dxa"/>
            <w:vAlign w:val="bottom"/>
            <w:tcBorders>
              <w:bottom w:val="single" w:sz="8" w:color="231F20"/>
            </w:tcBorders>
          </w:tcPr>
          <w:p>
            <w:pPr>
              <w:jc w:val="center"/>
              <w:ind w:right="101"/>
              <w:spacing w:after="0"/>
              <w:rPr>
                <w:sz w:val="20"/>
                <w:szCs w:val="20"/>
                <w:color w:val="auto"/>
              </w:rPr>
            </w:pPr>
            <w:r>
              <w:rPr>
                <w:rFonts w:ascii="Times New Roman" w:cs="Times New Roman" w:eastAsia="Times New Roman" w:hAnsi="Times New Roman"/>
                <w:sz w:val="18"/>
                <w:szCs w:val="18"/>
                <w:b w:val="1"/>
                <w:bCs w:val="1"/>
                <w:color w:val="231F20"/>
                <w:w w:val="99"/>
              </w:rPr>
              <w:t>Securitized</w:t>
            </w: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420" w:type="dxa"/>
            <w:vAlign w:val="bottom"/>
            <w:tcBorders>
              <w:bottom w:val="single" w:sz="8" w:color="231F20"/>
            </w:tcBorders>
          </w:tcPr>
          <w:p>
            <w:pPr>
              <w:jc w:val="center"/>
              <w:ind w:right="81"/>
              <w:spacing w:after="0"/>
              <w:rPr>
                <w:sz w:val="20"/>
                <w:szCs w:val="20"/>
                <w:color w:val="auto"/>
              </w:rPr>
            </w:pPr>
            <w:r>
              <w:rPr>
                <w:rFonts w:ascii="Times New Roman" w:cs="Times New Roman" w:eastAsia="Times New Roman" w:hAnsi="Times New Roman"/>
                <w:sz w:val="18"/>
                <w:szCs w:val="18"/>
                <w:b w:val="1"/>
                <w:bCs w:val="1"/>
                <w:color w:val="231F20"/>
                <w:w w:val="97"/>
              </w:rPr>
              <w:t>Total</w:t>
            </w:r>
          </w:p>
        </w:tc>
        <w:tc>
          <w:tcPr>
            <w:tcW w:w="0" w:type="dxa"/>
            <w:vAlign w:val="bottom"/>
          </w:tcPr>
          <w:p>
            <w:pPr>
              <w:spacing w:after="0"/>
              <w:rPr>
                <w:sz w:val="1"/>
                <w:szCs w:val="1"/>
                <w:color w:val="auto"/>
              </w:rPr>
            </w:pPr>
          </w:p>
        </w:tc>
      </w:tr>
      <w:tr>
        <w:trPr>
          <w:trHeight w:val="262"/>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 . . . . . . . . . . . . . . .</w:t>
            </w:r>
            <w:r>
              <w:rPr>
                <w:rFonts w:ascii="Times New Roman" w:cs="Times New Roman" w:eastAsia="Times New Roman" w:hAnsi="Times New Roman"/>
                <w:sz w:val="20"/>
                <w:szCs w:val="20"/>
                <w:color w:val="231F20"/>
              </w:rPr>
              <w:t>2026</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2027 </w:t>
            </w:r>
            <w:r>
              <w:rPr>
                <w:rFonts w:ascii="Times New Roman" w:cs="Times New Roman" w:eastAsia="Times New Roman" w:hAnsi="Times New Roman"/>
                <w:sz w:val="20"/>
                <w:szCs w:val="20"/>
                <w:color w:val="B8BABC"/>
              </w:rPr>
              <w:t>. . . . . . . . . . . . . . . . . . . . . . . . . . . . . . . . . . . . . . . . . .</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233</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2028 </w:t>
            </w:r>
            <w:r>
              <w:rPr>
                <w:rFonts w:ascii="Times New Roman" w:cs="Times New Roman" w:eastAsia="Times New Roman" w:hAnsi="Times New Roman"/>
                <w:sz w:val="20"/>
                <w:szCs w:val="20"/>
                <w:color w:val="B8BABC"/>
              </w:rPr>
              <w:t>. . . . . . . . . . . . . . . . . . . . . . . . . . . . . . . . . . . . . . . . . .</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232</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2029 </w:t>
            </w:r>
            <w:r>
              <w:rPr>
                <w:rFonts w:ascii="Times New Roman" w:cs="Times New Roman" w:eastAsia="Times New Roman" w:hAnsi="Times New Roman"/>
                <w:sz w:val="20"/>
                <w:szCs w:val="20"/>
                <w:color w:val="B8BABC"/>
              </w:rPr>
              <w:t>. . . . . . . . . . . . . . . . . . . . . . . . . . . . . . . . . . . . . . . . . .</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224</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2030 </w:t>
            </w:r>
            <w:r>
              <w:rPr>
                <w:rFonts w:ascii="Times New Roman" w:cs="Times New Roman" w:eastAsia="Times New Roman" w:hAnsi="Times New Roman"/>
                <w:sz w:val="20"/>
                <w:szCs w:val="20"/>
                <w:color w:val="B8BABC"/>
              </w:rPr>
              <w:t>. . . . . . . . . . . . . . . . . . . . . . . . . . . . . . . . . . . . . . . . . .</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215</w:t>
            </w:r>
          </w:p>
        </w:tc>
        <w:tc>
          <w:tcPr>
            <w:tcW w:w="0" w:type="dxa"/>
            <w:vAlign w:val="bottom"/>
          </w:tcPr>
          <w:p>
            <w:pPr>
              <w:spacing w:after="0"/>
              <w:rPr>
                <w:sz w:val="1"/>
                <w:szCs w:val="1"/>
                <w:color w:val="auto"/>
              </w:rPr>
            </w:pPr>
          </w:p>
        </w:tc>
      </w:tr>
      <w:tr>
        <w:trPr>
          <w:trHeight w:val="288"/>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Thereafter </w:t>
            </w:r>
            <w:r>
              <w:rPr>
                <w:rFonts w:ascii="Times New Roman" w:cs="Times New Roman" w:eastAsia="Times New Roman" w:hAnsi="Times New Roman"/>
                <w:sz w:val="20"/>
                <w:szCs w:val="20"/>
                <w:color w:val="B8BABC"/>
              </w:rPr>
              <w:t>. . . . . . . . . . . . . . . . . . . . . . . . . . . . . . . . . . . . . .</w:t>
            </w:r>
          </w:p>
        </w:tc>
        <w:tc>
          <w:tcPr>
            <w:tcW w:w="160" w:type="dxa"/>
            <w:vAlign w:val="bottom"/>
            <w:tcBorders>
              <w:bottom w:val="single" w:sz="8" w:color="231F20"/>
            </w:tcBorders>
          </w:tcPr>
          <w:p>
            <w:pPr>
              <w:spacing w:after="0"/>
              <w:rPr>
                <w:sz w:val="24"/>
                <w:szCs w:val="24"/>
                <w:color w:val="auto"/>
              </w:rPr>
            </w:pPr>
          </w:p>
        </w:tc>
        <w:tc>
          <w:tcPr>
            <w:tcW w:w="14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297</w:t>
            </w:r>
          </w:p>
        </w:tc>
        <w:tc>
          <w:tcPr>
            <w:tcW w:w="8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1,052</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1,349</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Balance at December 31, 2025 </w:t>
            </w:r>
            <w:r>
              <w:rPr>
                <w:rFonts w:ascii="Times New Roman" w:cs="Times New Roman" w:eastAsia="Times New Roman" w:hAnsi="Times New Roman"/>
                <w:sz w:val="20"/>
                <w:szCs w:val="20"/>
                <w:color w:val="B8BABC"/>
              </w:rPr>
              <w:t>.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1,843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2,503</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Weighted average stated interest rate</w:t>
            </w: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4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720" w:type="dxa"/>
            <w:vAlign w:val="bottom"/>
            <w:vMerge w:val="continue"/>
          </w:tcPr>
          <w:p>
            <w:pPr>
              <w:jc w:val="right"/>
              <w:spacing w:after="0" w:line="182" w:lineRule="exact"/>
              <w:rPr>
                <w:sz w:val="20"/>
                <w:szCs w:val="20"/>
                <w:color w:val="auto"/>
              </w:rPr>
            </w:pPr>
            <w:r>
              <w:rPr>
                <w:rFonts w:ascii="Times New Roman" w:cs="Times New Roman" w:eastAsia="Times New Roman" w:hAnsi="Times New Roman"/>
                <w:sz w:val="20"/>
                <w:szCs w:val="20"/>
                <w:color w:val="B8BABC"/>
              </w:rPr>
              <w:t>. . . . . . . . . . . . . . . . .</w:t>
            </w:r>
          </w:p>
        </w:tc>
        <w:tc>
          <w:tcPr>
            <w:tcW w:w="160" w:type="dxa"/>
            <w:vAlign w:val="bottom"/>
          </w:tcPr>
          <w:p>
            <w:pPr>
              <w:spacing w:after="0"/>
              <w:rPr>
                <w:sz w:val="22"/>
                <w:szCs w:val="22"/>
                <w:color w:val="auto"/>
              </w:rPr>
            </w:pPr>
          </w:p>
        </w:tc>
        <w:tc>
          <w:tcPr>
            <w:tcW w:w="1440" w:type="dxa"/>
            <w:vAlign w:val="bottom"/>
          </w:tcPr>
          <w:p>
            <w:pPr>
              <w:jc w:val="center"/>
              <w:ind w:right="42"/>
              <w:spacing w:after="0"/>
              <w:rPr>
                <w:sz w:val="20"/>
                <w:szCs w:val="20"/>
                <w:color w:val="auto"/>
              </w:rPr>
            </w:pPr>
            <w:r>
              <w:rPr>
                <w:rFonts w:ascii="Times New Roman" w:cs="Times New Roman" w:eastAsia="Times New Roman" w:hAnsi="Times New Roman"/>
                <w:sz w:val="20"/>
                <w:szCs w:val="20"/>
                <w:color w:val="231F20"/>
                <w:w w:val="96"/>
              </w:rPr>
              <w:t>11.9%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231F20"/>
                <w:w w:val="96"/>
              </w:rPr>
              <w:t>13.3%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231F20"/>
              </w:rPr>
              <w:t>12.9%</w:t>
            </w:r>
          </w:p>
        </w:tc>
        <w:tc>
          <w:tcPr>
            <w:tcW w:w="0" w:type="dxa"/>
            <w:vAlign w:val="bottom"/>
          </w:tcPr>
          <w:p>
            <w:pPr>
              <w:spacing w:after="0"/>
              <w:rPr>
                <w:sz w:val="1"/>
                <w:szCs w:val="1"/>
                <w:color w:val="auto"/>
              </w:rPr>
            </w:pPr>
          </w:p>
        </w:tc>
      </w:tr>
      <w:tr>
        <w:trPr>
          <w:trHeight w:val="267"/>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Range of stated interest rates </w:t>
            </w:r>
            <w:r>
              <w:rPr>
                <w:rFonts w:ascii="Times New Roman" w:cs="Times New Roman" w:eastAsia="Times New Roman" w:hAnsi="Times New Roman"/>
                <w:sz w:val="20"/>
                <w:szCs w:val="20"/>
                <w:color w:val="B8BABC"/>
              </w:rPr>
              <w:t>. . . . . . . . . . . . . . . . . . . . . . .</w:t>
            </w:r>
          </w:p>
        </w:tc>
        <w:tc>
          <w:tcPr>
            <w:tcW w:w="160" w:type="dxa"/>
            <w:vAlign w:val="bottom"/>
          </w:tcPr>
          <w:p>
            <w:pPr>
              <w:spacing w:after="0"/>
              <w:rPr>
                <w:sz w:val="23"/>
                <w:szCs w:val="23"/>
                <w:color w:val="auto"/>
              </w:rPr>
            </w:pPr>
          </w:p>
        </w:tc>
        <w:tc>
          <w:tcPr>
            <w:tcW w:w="144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231F20"/>
                <w:w w:val="99"/>
              </w:rPr>
              <w:t>0.0% to 20.9%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231F20"/>
                <w:w w:val="99"/>
              </w:rPr>
              <w:t>0.0% to 20.9%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center"/>
              <w:ind w:right="81"/>
              <w:spacing w:after="0"/>
              <w:rPr>
                <w:sz w:val="20"/>
                <w:szCs w:val="20"/>
                <w:color w:val="auto"/>
              </w:rPr>
            </w:pPr>
            <w:r>
              <w:rPr>
                <w:rFonts w:ascii="Times New Roman" w:cs="Times New Roman" w:eastAsia="Times New Roman" w:hAnsi="Times New Roman"/>
                <w:sz w:val="20"/>
                <w:szCs w:val="20"/>
                <w:color w:val="231F20"/>
              </w:rPr>
              <w:t>0.0% to 20.9%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82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97</w:t>
      </w:r>
    </w:p>
    <w:p>
      <w:pPr>
        <w:sectPr>
          <w:pgSz w:w="11880" w:h="15480" w:orient="portrait"/>
          <w:cols w:equalWidth="0" w:num="1">
            <w:col w:w="9720"/>
          </w:cols>
          <w:pgMar w:left="1080" w:top="829" w:right="1080" w:bottom="0" w:gutter="0" w:footer="0" w:header="0"/>
          <w:type w:val="continuous"/>
        </w:sectPr>
      </w:pPr>
    </w:p>
    <w:bookmarkStart w:id="101" w:name="page102"/>
    <w:bookmarkEnd w:id="101"/>
    <w:p>
      <w:pPr>
        <w:ind w:right="180"/>
        <w:spacing w:after="0" w:line="260" w:lineRule="auto"/>
        <w:rPr>
          <w:sz w:val="20"/>
          <w:szCs w:val="20"/>
          <w:color w:val="auto"/>
        </w:rPr>
      </w:pPr>
      <w:r>
        <w:rPr>
          <w:rFonts w:ascii="Times New Roman" w:cs="Times New Roman" w:eastAsia="Times New Roman" w:hAnsi="Times New Roman"/>
          <w:sz w:val="20"/>
          <w:szCs w:val="20"/>
          <w:color w:val="231F20"/>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72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4760" w:type="dxa"/>
            <w:vAlign w:val="bottom"/>
            <w:tcBorders>
              <w:bottom w:val="single" w:sz="8" w:color="231F20"/>
            </w:tcBorders>
            <w:gridSpan w:val="7"/>
          </w:tcPr>
          <w:p>
            <w:pPr>
              <w:jc w:val="right"/>
              <w:ind w:right="121"/>
              <w:spacing w:after="0"/>
              <w:rPr>
                <w:sz w:val="20"/>
                <w:szCs w:val="20"/>
                <w:color w:val="auto"/>
              </w:rPr>
            </w:pPr>
            <w:r>
              <w:rPr>
                <w:rFonts w:ascii="Times New Roman" w:cs="Times New Roman" w:eastAsia="Times New Roman" w:hAnsi="Times New Roman"/>
                <w:sz w:val="18"/>
                <w:szCs w:val="18"/>
                <w:b w:val="1"/>
                <w:bCs w:val="1"/>
                <w:color w:val="231F20"/>
              </w:rPr>
              <w:t>Originated Vacation Ownership Notes Receivable Reserve</w:t>
            </w:r>
          </w:p>
        </w:tc>
        <w:tc>
          <w:tcPr>
            <w:tcW w:w="0" w:type="dxa"/>
            <w:vAlign w:val="bottom"/>
          </w:tcPr>
          <w:p>
            <w:pPr>
              <w:spacing w:after="0"/>
              <w:rPr>
                <w:sz w:val="1"/>
                <w:szCs w:val="1"/>
                <w:color w:val="auto"/>
              </w:rPr>
            </w:pPr>
          </w:p>
        </w:tc>
      </w:tr>
      <w:tr>
        <w:trPr>
          <w:trHeight w:val="238"/>
        </w:trPr>
        <w:tc>
          <w:tcPr>
            <w:tcW w:w="4720" w:type="dxa"/>
            <w:vAlign w:val="bottom"/>
          </w:tcPr>
          <w:p>
            <w:pPr>
              <w:jc w:val="right"/>
              <w:ind w:right="3701"/>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180" w:type="dxa"/>
            <w:vAlign w:val="bottom"/>
          </w:tcPr>
          <w:p>
            <w:pPr>
              <w:spacing w:after="0"/>
              <w:rPr>
                <w:sz w:val="20"/>
                <w:szCs w:val="20"/>
                <w:color w:val="auto"/>
              </w:rPr>
            </w:pPr>
          </w:p>
        </w:tc>
        <w:tc>
          <w:tcPr>
            <w:tcW w:w="1440" w:type="dxa"/>
            <w:vAlign w:val="bottom"/>
          </w:tcPr>
          <w:p>
            <w:pPr>
              <w:jc w:val="right"/>
              <w:ind w:right="101"/>
              <w:spacing w:after="0"/>
              <w:rPr>
                <w:sz w:val="20"/>
                <w:szCs w:val="20"/>
                <w:color w:val="auto"/>
              </w:rPr>
            </w:pPr>
            <w:r>
              <w:rPr>
                <w:rFonts w:ascii="Times New Roman" w:cs="Times New Roman" w:eastAsia="Times New Roman" w:hAnsi="Times New Roman"/>
                <w:sz w:val="18"/>
                <w:szCs w:val="18"/>
                <w:b w:val="1"/>
                <w:bCs w:val="1"/>
                <w:color w:val="231F20"/>
                <w:w w:val="98"/>
              </w:rPr>
              <w:t>Non-Securitized</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281"/>
              <w:spacing w:after="0"/>
              <w:rPr>
                <w:sz w:val="20"/>
                <w:szCs w:val="20"/>
                <w:color w:val="auto"/>
              </w:rPr>
            </w:pPr>
            <w:r>
              <w:rPr>
                <w:rFonts w:ascii="Times New Roman" w:cs="Times New Roman" w:eastAsia="Times New Roman" w:hAnsi="Times New Roman"/>
                <w:sz w:val="18"/>
                <w:szCs w:val="18"/>
                <w:b w:val="1"/>
                <w:bCs w:val="1"/>
                <w:color w:val="231F20"/>
              </w:rPr>
              <w:t>Securitized</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01"/>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279"/>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Balance at December 31, 2022 </w:t>
            </w:r>
            <w:r>
              <w:rPr>
                <w:rFonts w:ascii="Times New Roman" w:cs="Times New Roman" w:eastAsia="Times New Roman" w:hAnsi="Times New Roman"/>
                <w:sz w:val="20"/>
                <w:szCs w:val="20"/>
                <w:color w:val="B8BABC"/>
                <w:w w:val="99"/>
              </w:rPr>
              <w:t>.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149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362</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Increase in vacation ownership notes receivable reserve </w:t>
            </w:r>
            <w:r>
              <w:rPr>
                <w:rFonts w:ascii="Times New Roman" w:cs="Times New Roman" w:eastAsia="Times New Roman" w:hAnsi="Times New Roman"/>
                <w:sz w:val="20"/>
                <w:szCs w:val="20"/>
                <w:color w:val="B8BABC"/>
              </w:rPr>
              <w:t>.</w:t>
            </w:r>
          </w:p>
        </w:tc>
        <w:tc>
          <w:tcPr>
            <w:tcW w:w="18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188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228</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Securitizations </w:t>
            </w:r>
            <w:r>
              <w:rPr>
                <w:rFonts w:ascii="Times New Roman" w:cs="Times New Roman" w:eastAsia="Times New Roman" w:hAnsi="Times New Roman"/>
                <w:sz w:val="20"/>
                <w:szCs w:val="20"/>
                <w:color w:val="B8BABC"/>
              </w:rPr>
              <w:t>. . . . . . . . . . . . . . . . . . . . . . . . . . . . . . . . .</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Clean-up call </w:t>
            </w:r>
            <w:r>
              <w:rPr>
                <w:rFonts w:ascii="Times New Roman" w:cs="Times New Roman" w:eastAsia="Times New Roman" w:hAnsi="Times New Roman"/>
                <w:sz w:val="20"/>
                <w:szCs w:val="20"/>
                <w:color w:val="B8BABC"/>
              </w:rPr>
              <w:t>. . . . . . . . . . . . . . . . . . . . . . . . . . . . . . . . . . .</w:t>
            </w:r>
          </w:p>
        </w:tc>
        <w:tc>
          <w:tcPr>
            <w:tcW w:w="18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99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Write-offs </w:t>
            </w:r>
            <w:r>
              <w:rPr>
                <w:rFonts w:ascii="Times New Roman" w:cs="Times New Roman" w:eastAsia="Times New Roman" w:hAnsi="Times New Roman"/>
                <w:sz w:val="20"/>
                <w:szCs w:val="20"/>
                <w:color w:val="B8BABC"/>
              </w:rPr>
              <w:t>. . . . . . . . . . . . . . . . . . . . . . . . . . . . . . . . . . . . .</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0" w:type="dxa"/>
            <w:vAlign w:val="bottom"/>
          </w:tcPr>
          <w:p>
            <w:pPr>
              <w:spacing w:after="0"/>
              <w:rPr>
                <w:sz w:val="1"/>
                <w:szCs w:val="1"/>
                <w:color w:val="auto"/>
              </w:rPr>
            </w:pPr>
          </w:p>
        </w:tc>
      </w:tr>
      <w:tr>
        <w:trPr>
          <w:trHeight w:val="205"/>
        </w:trPr>
        <w:tc>
          <w:tcPr>
            <w:tcW w:w="4720" w:type="dxa"/>
            <w:vAlign w:val="bottom"/>
          </w:tcPr>
          <w:p>
            <w:pPr>
              <w:jc w:val="right"/>
              <w:ind w:right="781"/>
              <w:spacing w:after="0" w:line="205" w:lineRule="exact"/>
              <w:rPr>
                <w:sz w:val="20"/>
                <w:szCs w:val="20"/>
                <w:color w:val="auto"/>
              </w:rPr>
            </w:pPr>
            <w:r>
              <w:rPr>
                <w:rFonts w:ascii="Times New Roman" w:cs="Times New Roman" w:eastAsia="Times New Roman" w:hAnsi="Times New Roman"/>
                <w:sz w:val="20"/>
                <w:szCs w:val="20"/>
                <w:color w:val="231F20"/>
              </w:rPr>
              <w:t>Defaulted vacation ownership notes receivable</w:t>
            </w:r>
          </w:p>
        </w:tc>
        <w:tc>
          <w:tcPr>
            <w:tcW w:w="180" w:type="dxa"/>
            <w:vAlign w:val="bottom"/>
          </w:tcPr>
          <w:p>
            <w:pPr>
              <w:spacing w:after="0"/>
              <w:rPr>
                <w:sz w:val="17"/>
                <w:szCs w:val="17"/>
                <w:color w:val="auto"/>
              </w:rPr>
            </w:pPr>
          </w:p>
        </w:tc>
        <w:tc>
          <w:tcPr>
            <w:tcW w:w="14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231F20"/>
              </w:rPr>
              <w:t>105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3"/>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repurchase activity</w:t>
            </w:r>
            <w:r>
              <w:rPr>
                <w:rFonts w:ascii="Times New Roman" w:cs="Times New Roman" w:eastAsia="Times New Roman" w:hAnsi="Times New Roman"/>
                <w:sz w:val="10"/>
                <w:szCs w:val="10"/>
                <w:color w:val="231F20"/>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 . .</w:t>
            </w:r>
          </w:p>
        </w:tc>
        <w:tc>
          <w:tcPr>
            <w:tcW w:w="180" w:type="dxa"/>
            <w:vAlign w:val="bottom"/>
            <w:tcBorders>
              <w:bottom w:val="single" w:sz="8" w:color="231F20"/>
            </w:tcBorders>
          </w:tcPr>
          <w:p>
            <w:pPr>
              <w:spacing w:after="0"/>
              <w:rPr>
                <w:sz w:val="22"/>
                <w:szCs w:val="22"/>
                <w:color w:val="auto"/>
              </w:rPr>
            </w:pPr>
          </w:p>
        </w:tc>
        <w:tc>
          <w:tcPr>
            <w:tcW w:w="144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134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231F20"/>
            </w:tcBorders>
          </w:tcPr>
          <w:p>
            <w:pPr>
              <w:spacing w:after="0"/>
              <w:rPr>
                <w:sz w:val="22"/>
                <w:szCs w:val="22"/>
                <w:color w:val="auto"/>
              </w:rPr>
            </w:pPr>
          </w:p>
        </w:tc>
        <w:tc>
          <w:tcPr>
            <w:tcW w:w="122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w:t>
            </w:r>
            <w:r>
              <w:rPr>
                <w:rFonts w:ascii="Times New Roman" w:cs="Times New Roman" w:eastAsia="Times New Roman" w:hAnsi="Times New Roman"/>
                <w:sz w:val="20"/>
                <w:szCs w:val="20"/>
                <w:color w:val="231F20"/>
              </w:rPr>
              <w:t>BalanceatDecember31,2023</w:t>
            </w:r>
          </w:p>
        </w:tc>
        <w:tc>
          <w:tcPr>
            <w:tcW w:w="180" w:type="dxa"/>
            <w:vAlign w:val="bottom"/>
          </w:tcPr>
          <w:p>
            <w:pPr>
              <w:spacing w:after="0"/>
              <w:rPr>
                <w:sz w:val="22"/>
                <w:szCs w:val="22"/>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195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455</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Increase in vacation ownership notes receivable reserve </w:t>
            </w:r>
            <w:r>
              <w:rPr>
                <w:rFonts w:ascii="Times New Roman" w:cs="Times New Roman" w:eastAsia="Times New Roman" w:hAnsi="Times New Roman"/>
                <w:sz w:val="20"/>
                <w:szCs w:val="20"/>
                <w:color w:val="B8BABC"/>
              </w:rPr>
              <w:t>.</w:t>
            </w:r>
          </w:p>
        </w:tc>
        <w:tc>
          <w:tcPr>
            <w:tcW w:w="18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218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271</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Securitizations </w:t>
            </w:r>
            <w:r>
              <w:rPr>
                <w:rFonts w:ascii="Times New Roman" w:cs="Times New Roman" w:eastAsia="Times New Roman" w:hAnsi="Times New Roman"/>
                <w:sz w:val="20"/>
                <w:szCs w:val="20"/>
                <w:color w:val="B8BABC"/>
              </w:rPr>
              <w:t>. . . . . . . . . . . . . . . . . . . . . . . . . . . . . . . . .</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Clean-up call </w:t>
            </w:r>
            <w:r>
              <w:rPr>
                <w:rFonts w:ascii="Times New Roman" w:cs="Times New Roman" w:eastAsia="Times New Roman" w:hAnsi="Times New Roman"/>
                <w:sz w:val="20"/>
                <w:szCs w:val="20"/>
                <w:color w:val="B8BABC"/>
              </w:rPr>
              <w:t>. . . . . . . . . . . . . . . . . . . . . . . . . . . . . . . . . . .</w:t>
            </w:r>
          </w:p>
        </w:tc>
        <w:tc>
          <w:tcPr>
            <w:tcW w:w="18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80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Write-offs </w:t>
            </w:r>
            <w:r>
              <w:rPr>
                <w:rFonts w:ascii="Times New Roman" w:cs="Times New Roman" w:eastAsia="Times New Roman" w:hAnsi="Times New Roman"/>
                <w:sz w:val="20"/>
                <w:szCs w:val="20"/>
                <w:color w:val="B8BABC"/>
              </w:rPr>
              <w:t>. . . . . . . . . . . . . . . . . . . . . . . . . . . . . . . . . . . . .</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(199)</w:t>
            </w:r>
          </w:p>
        </w:tc>
        <w:tc>
          <w:tcPr>
            <w:tcW w:w="0" w:type="dxa"/>
            <w:vAlign w:val="bottom"/>
          </w:tcPr>
          <w:p>
            <w:pPr>
              <w:spacing w:after="0"/>
              <w:rPr>
                <w:sz w:val="1"/>
                <w:szCs w:val="1"/>
                <w:color w:val="auto"/>
              </w:rPr>
            </w:pPr>
          </w:p>
        </w:tc>
      </w:tr>
      <w:tr>
        <w:trPr>
          <w:trHeight w:val="205"/>
        </w:trPr>
        <w:tc>
          <w:tcPr>
            <w:tcW w:w="4720" w:type="dxa"/>
            <w:vAlign w:val="bottom"/>
          </w:tcPr>
          <w:p>
            <w:pPr>
              <w:jc w:val="right"/>
              <w:ind w:right="781"/>
              <w:spacing w:after="0" w:line="205" w:lineRule="exact"/>
              <w:rPr>
                <w:sz w:val="20"/>
                <w:szCs w:val="20"/>
                <w:color w:val="auto"/>
              </w:rPr>
            </w:pPr>
            <w:r>
              <w:rPr>
                <w:rFonts w:ascii="Times New Roman" w:cs="Times New Roman" w:eastAsia="Times New Roman" w:hAnsi="Times New Roman"/>
                <w:sz w:val="20"/>
                <w:szCs w:val="20"/>
                <w:color w:val="231F20"/>
              </w:rPr>
              <w:t>Defaulted vacation ownership notes receivable</w:t>
            </w:r>
          </w:p>
        </w:tc>
        <w:tc>
          <w:tcPr>
            <w:tcW w:w="180" w:type="dxa"/>
            <w:vAlign w:val="bottom"/>
          </w:tcPr>
          <w:p>
            <w:pPr>
              <w:spacing w:after="0"/>
              <w:rPr>
                <w:sz w:val="17"/>
                <w:szCs w:val="17"/>
                <w:color w:val="auto"/>
              </w:rPr>
            </w:pPr>
          </w:p>
        </w:tc>
        <w:tc>
          <w:tcPr>
            <w:tcW w:w="14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231F20"/>
              </w:rPr>
              <w:t>151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(151)</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3"/>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repurchase activity</w:t>
            </w:r>
            <w:r>
              <w:rPr>
                <w:rFonts w:ascii="Times New Roman" w:cs="Times New Roman" w:eastAsia="Times New Roman" w:hAnsi="Times New Roman"/>
                <w:sz w:val="10"/>
                <w:szCs w:val="10"/>
                <w:color w:val="231F20"/>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 . .</w:t>
            </w:r>
          </w:p>
        </w:tc>
        <w:tc>
          <w:tcPr>
            <w:tcW w:w="180" w:type="dxa"/>
            <w:vAlign w:val="bottom"/>
            <w:tcBorders>
              <w:bottom w:val="single" w:sz="8" w:color="231F20"/>
            </w:tcBorders>
          </w:tcPr>
          <w:p>
            <w:pPr>
              <w:spacing w:after="0"/>
              <w:rPr>
                <w:sz w:val="22"/>
                <w:szCs w:val="22"/>
                <w:color w:val="auto"/>
              </w:rPr>
            </w:pPr>
          </w:p>
        </w:tc>
        <w:tc>
          <w:tcPr>
            <w:tcW w:w="144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134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231F20"/>
            </w:tcBorders>
          </w:tcPr>
          <w:p>
            <w:pPr>
              <w:spacing w:after="0"/>
              <w:rPr>
                <w:sz w:val="22"/>
                <w:szCs w:val="22"/>
                <w:color w:val="auto"/>
              </w:rPr>
            </w:pPr>
          </w:p>
        </w:tc>
        <w:tc>
          <w:tcPr>
            <w:tcW w:w="122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Balance at December 31, 2024 </w:t>
            </w:r>
            <w:r>
              <w:rPr>
                <w:rFonts w:ascii="Times New Roman" w:cs="Times New Roman" w:eastAsia="Times New Roman" w:hAnsi="Times New Roman"/>
                <w:sz w:val="20"/>
                <w:szCs w:val="20"/>
                <w:color w:val="B8BABC"/>
                <w:w w:val="99"/>
              </w:rPr>
              <w:t>. . . . . . . . . . . . . . . . . . . . . .</w:t>
            </w:r>
          </w:p>
        </w:tc>
        <w:tc>
          <w:tcPr>
            <w:tcW w:w="180" w:type="dxa"/>
            <w:vAlign w:val="bottom"/>
          </w:tcPr>
          <w:p>
            <w:pPr>
              <w:spacing w:after="0"/>
              <w:rPr>
                <w:sz w:val="22"/>
                <w:szCs w:val="22"/>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252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527</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Increase in vacation ownership notes receivable reserve </w:t>
            </w:r>
            <w:r>
              <w:rPr>
                <w:rFonts w:ascii="Times New Roman" w:cs="Times New Roman" w:eastAsia="Times New Roman" w:hAnsi="Times New Roman"/>
                <w:sz w:val="20"/>
                <w:szCs w:val="20"/>
                <w:color w:val="B8BABC"/>
              </w:rPr>
              <w:t>.</w:t>
            </w:r>
          </w:p>
        </w:tc>
        <w:tc>
          <w:tcPr>
            <w:tcW w:w="18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168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219</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Securitizations </w:t>
            </w:r>
            <w:r>
              <w:rPr>
                <w:rFonts w:ascii="Times New Roman" w:cs="Times New Roman" w:eastAsia="Times New Roman" w:hAnsi="Times New Roman"/>
                <w:sz w:val="20"/>
                <w:szCs w:val="20"/>
                <w:color w:val="B8BABC"/>
              </w:rPr>
              <w:t>. . . . . . . . . . . . . . . . . . . . . . . . . . . . . . . . .</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Clean-up call </w:t>
            </w:r>
            <w:r>
              <w:rPr>
                <w:rFonts w:ascii="Times New Roman" w:cs="Times New Roman" w:eastAsia="Times New Roman" w:hAnsi="Times New Roman"/>
                <w:sz w:val="20"/>
                <w:szCs w:val="20"/>
                <w:color w:val="B8BABC"/>
              </w:rPr>
              <w:t>. . . . . . . . . . . . . . . . . . . . . . . . . . . . . . . . . . .</w:t>
            </w:r>
          </w:p>
        </w:tc>
        <w:tc>
          <w:tcPr>
            <w:tcW w:w="180" w:type="dxa"/>
            <w:vAlign w:val="bottom"/>
          </w:tcPr>
          <w:p>
            <w:pPr>
              <w:spacing w:after="0"/>
              <w:rPr>
                <w:sz w:val="24"/>
                <w:szCs w:val="24"/>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99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Write-offs </w:t>
            </w:r>
            <w:r>
              <w:rPr>
                <w:rFonts w:ascii="Times New Roman" w:cs="Times New Roman" w:eastAsia="Times New Roman" w:hAnsi="Times New Roman"/>
                <w:sz w:val="20"/>
                <w:szCs w:val="20"/>
                <w:color w:val="B8BABC"/>
              </w:rPr>
              <w:t>. . . . . . . . . . . . . . . . . . . . . . . . . . . . . . . . . . . . .</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(219)</w:t>
            </w:r>
          </w:p>
        </w:tc>
        <w:tc>
          <w:tcPr>
            <w:tcW w:w="0" w:type="dxa"/>
            <w:vAlign w:val="bottom"/>
          </w:tcPr>
          <w:p>
            <w:pPr>
              <w:spacing w:after="0"/>
              <w:rPr>
                <w:sz w:val="1"/>
                <w:szCs w:val="1"/>
                <w:color w:val="auto"/>
              </w:rPr>
            </w:pPr>
          </w:p>
        </w:tc>
      </w:tr>
      <w:tr>
        <w:trPr>
          <w:trHeight w:val="205"/>
        </w:trPr>
        <w:tc>
          <w:tcPr>
            <w:tcW w:w="4720" w:type="dxa"/>
            <w:vAlign w:val="bottom"/>
          </w:tcPr>
          <w:p>
            <w:pPr>
              <w:jc w:val="right"/>
              <w:ind w:right="781"/>
              <w:spacing w:after="0" w:line="205" w:lineRule="exact"/>
              <w:rPr>
                <w:sz w:val="20"/>
                <w:szCs w:val="20"/>
                <w:color w:val="auto"/>
              </w:rPr>
            </w:pPr>
            <w:r>
              <w:rPr>
                <w:rFonts w:ascii="Times New Roman" w:cs="Times New Roman" w:eastAsia="Times New Roman" w:hAnsi="Times New Roman"/>
                <w:sz w:val="20"/>
                <w:szCs w:val="20"/>
                <w:color w:val="231F20"/>
              </w:rPr>
              <w:t>Defaulted vacation ownership notes receivable</w:t>
            </w:r>
          </w:p>
        </w:tc>
        <w:tc>
          <w:tcPr>
            <w:tcW w:w="180" w:type="dxa"/>
            <w:vAlign w:val="bottom"/>
          </w:tcPr>
          <w:p>
            <w:pPr>
              <w:spacing w:after="0"/>
              <w:rPr>
                <w:sz w:val="17"/>
                <w:szCs w:val="17"/>
                <w:color w:val="auto"/>
              </w:rPr>
            </w:pPr>
          </w:p>
        </w:tc>
        <w:tc>
          <w:tcPr>
            <w:tcW w:w="14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231F20"/>
              </w:rPr>
              <w:t>150</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(150)</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3"/>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repurchase activity</w:t>
            </w:r>
            <w:r>
              <w:rPr>
                <w:rFonts w:ascii="Times New Roman" w:cs="Times New Roman" w:eastAsia="Times New Roman" w:hAnsi="Times New Roman"/>
                <w:sz w:val="10"/>
                <w:szCs w:val="10"/>
                <w:color w:val="231F20"/>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 . .</w:t>
            </w:r>
          </w:p>
        </w:tc>
        <w:tc>
          <w:tcPr>
            <w:tcW w:w="180" w:type="dxa"/>
            <w:vAlign w:val="bottom"/>
            <w:tcBorders>
              <w:bottom w:val="single" w:sz="8" w:color="231F20"/>
            </w:tcBorders>
          </w:tcPr>
          <w:p>
            <w:pPr>
              <w:spacing w:after="0"/>
              <w:rPr>
                <w:sz w:val="22"/>
                <w:szCs w:val="22"/>
                <w:color w:val="auto"/>
              </w:rPr>
            </w:pPr>
          </w:p>
        </w:tc>
        <w:tc>
          <w:tcPr>
            <w:tcW w:w="144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1340" w:type="dxa"/>
            <w:vAlign w:val="bottom"/>
            <w:tcBorders>
              <w:bottom w:val="single" w:sz="8" w:color="231F20"/>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231F20"/>
            </w:tcBorders>
          </w:tcPr>
          <w:p>
            <w:pPr>
              <w:spacing w:after="0"/>
              <w:rPr>
                <w:sz w:val="22"/>
                <w:szCs w:val="22"/>
                <w:color w:val="auto"/>
              </w:rPr>
            </w:pPr>
          </w:p>
        </w:tc>
        <w:tc>
          <w:tcPr>
            <w:tcW w:w="1220" w:type="dxa"/>
            <w:vAlign w:val="bottom"/>
            <w:tcBorders>
              <w:bottom w:val="single" w:sz="8" w:color="231F20"/>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Balance at December 31, 2025 </w:t>
            </w:r>
            <w:r>
              <w:rPr>
                <w:rFonts w:ascii="Times New Roman" w:cs="Times New Roman" w:eastAsia="Times New Roman" w:hAnsi="Times New Roman"/>
                <w:sz w:val="20"/>
                <w:szCs w:val="20"/>
                <w:color w:val="B8BABC"/>
                <w:w w:val="99"/>
              </w:rPr>
              <w:t>.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242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285</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4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3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12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both"/>
        <w:ind w:left="360" w:right="800" w:hanging="360"/>
        <w:spacing w:after="0" w:line="234" w:lineRule="auto"/>
        <w:tabs>
          <w:tab w:leader="none" w:pos="360" w:val="left"/>
        </w:tabs>
        <w:numPr>
          <w:ilvl w:val="0"/>
          <w:numId w:val="41"/>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p>
      <w:pPr>
        <w:spacing w:after="0" w:line="22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231F20"/>
        </w:rPr>
        <w:t>The following tables show originated vacation ownership notes receivable, before reserves, by brand and borrower FICO score at origination.</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342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6040" w:type="dxa"/>
            <w:vAlign w:val="bottom"/>
            <w:tcBorders>
              <w:bottom w:val="single" w:sz="8" w:color="231F20"/>
            </w:tcBorders>
            <w:gridSpan w:val="13"/>
          </w:tcPr>
          <w:p>
            <w:pPr>
              <w:jc w:val="center"/>
              <w:ind w:right="103"/>
              <w:spacing w:after="0"/>
              <w:rPr>
                <w:sz w:val="20"/>
                <w:szCs w:val="20"/>
                <w:color w:val="auto"/>
              </w:rPr>
            </w:pPr>
            <w:r>
              <w:rPr>
                <w:rFonts w:ascii="Times New Roman" w:cs="Times New Roman" w:eastAsia="Times New Roman" w:hAnsi="Times New Roman"/>
                <w:sz w:val="18"/>
                <w:szCs w:val="18"/>
                <w:b w:val="1"/>
                <w:bCs w:val="1"/>
                <w:color w:val="231F20"/>
              </w:rPr>
              <w:t>Originated Vacation Ownership Notes Receivable as of December 31, 2025</w:t>
            </w:r>
          </w:p>
        </w:tc>
      </w:tr>
      <w:tr>
        <w:trPr>
          <w:trHeight w:val="235"/>
        </w:trPr>
        <w:tc>
          <w:tcPr>
            <w:tcW w:w="3420" w:type="dxa"/>
            <w:vAlign w:val="bottom"/>
          </w:tcPr>
          <w:p>
            <w:pPr>
              <w:jc w:val="right"/>
              <w:ind w:right="2407"/>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2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8"/>
                <w:szCs w:val="18"/>
                <w:b w:val="1"/>
                <w:bCs w:val="1"/>
                <w:color w:val="231F20"/>
              </w:rPr>
              <w:t>700 +</w:t>
            </w:r>
          </w:p>
        </w:tc>
        <w:tc>
          <w:tcPr>
            <w:tcW w:w="6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231F20"/>
              </w:rPr>
              <w:t>600 - 699</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center"/>
              <w:ind w:right="183"/>
              <w:spacing w:after="0"/>
              <w:rPr>
                <w:sz w:val="20"/>
                <w:szCs w:val="20"/>
                <w:color w:val="auto"/>
              </w:rPr>
            </w:pPr>
            <w:r>
              <w:rPr>
                <w:rFonts w:ascii="Times New Roman" w:cs="Times New Roman" w:eastAsia="Times New Roman" w:hAnsi="Times New Roman"/>
                <w:sz w:val="18"/>
                <w:szCs w:val="18"/>
                <w:b w:val="1"/>
                <w:bCs w:val="1"/>
                <w:color w:val="231F20"/>
                <w:w w:val="95"/>
              </w:rPr>
              <w:t>&lt; 600</w:t>
            </w:r>
          </w:p>
        </w:tc>
        <w:tc>
          <w:tcPr>
            <w:tcW w:w="6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231F20"/>
              </w:rPr>
              <w:t>No Score</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8"/>
                <w:szCs w:val="18"/>
                <w:b w:val="1"/>
                <w:bCs w:val="1"/>
                <w:color w:val="231F20"/>
              </w:rPr>
              <w:t>Total</w:t>
            </w:r>
          </w:p>
        </w:tc>
      </w:tr>
      <w:tr>
        <w:trPr>
          <w:trHeight w:val="262"/>
        </w:trPr>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w:t>
            </w:r>
            <w:r>
              <w:rPr>
                <w:rFonts w:ascii="Times New Roman" w:cs="Times New Roman" w:eastAsia="Times New Roman" w:hAnsi="Times New Roman"/>
                <w:sz w:val="20"/>
                <w:szCs w:val="20"/>
                <w:color w:val="231F20"/>
              </w:rPr>
              <w:t>MarriottVacationOwnership</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2,737</w:t>
            </w:r>
          </w:p>
        </w:tc>
      </w:tr>
      <w:tr>
        <w:trPr>
          <w:trHeight w:val="288"/>
        </w:trPr>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Hyatt Vacation Ownership </w:t>
            </w:r>
            <w:r>
              <w:rPr>
                <w:rFonts w:ascii="Times New Roman" w:cs="Times New Roman" w:eastAsia="Times New Roman" w:hAnsi="Times New Roman"/>
                <w:sz w:val="20"/>
                <w:szCs w:val="20"/>
                <w:color w:val="B8BABC"/>
                <w:w w:val="99"/>
              </w:rPr>
              <w:t>. . . . . . . . . . . .</w:t>
            </w: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211</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76</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293</w:t>
            </w:r>
          </w:p>
        </w:tc>
      </w:tr>
      <w:tr>
        <w:trPr>
          <w:trHeight w:val="245"/>
        </w:trPr>
        <w:tc>
          <w:tcPr>
            <w:tcW w:w="3420" w:type="dxa"/>
            <w:vAlign w:val="bottom"/>
          </w:tcPr>
          <w:p>
            <w:pPr>
              <w:spacing w:after="0"/>
              <w:rPr>
                <w:sz w:val="21"/>
                <w:szCs w:val="21"/>
                <w:color w:val="auto"/>
              </w:rPr>
            </w:pP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1,838</w:t>
            </w:r>
          </w:p>
        </w:tc>
        <w:tc>
          <w:tcPr>
            <w:tcW w:w="60" w:type="dxa"/>
            <w:vAlign w:val="bottom"/>
          </w:tcPr>
          <w:p>
            <w:pPr>
              <w:spacing w:after="0"/>
              <w:rPr>
                <w:sz w:val="21"/>
                <w:szCs w:val="21"/>
                <w:color w:val="auto"/>
              </w:rPr>
            </w:pP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715</w:t>
            </w:r>
          </w:p>
        </w:tc>
        <w:tc>
          <w:tcPr>
            <w:tcW w:w="60" w:type="dxa"/>
            <w:vAlign w:val="bottom"/>
          </w:tcPr>
          <w:p>
            <w:pPr>
              <w:spacing w:after="0"/>
              <w:rPr>
                <w:sz w:val="21"/>
                <w:szCs w:val="21"/>
                <w:color w:val="auto"/>
              </w:rPr>
            </w:pP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62</w:t>
            </w:r>
          </w:p>
        </w:tc>
        <w:tc>
          <w:tcPr>
            <w:tcW w:w="60" w:type="dxa"/>
            <w:vAlign w:val="bottom"/>
          </w:tcPr>
          <w:p>
            <w:pPr>
              <w:spacing w:after="0"/>
              <w:rPr>
                <w:sz w:val="21"/>
                <w:szCs w:val="21"/>
                <w:color w:val="auto"/>
              </w:rPr>
            </w:pP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415</w:t>
            </w:r>
          </w:p>
        </w:tc>
        <w:tc>
          <w:tcPr>
            <w:tcW w:w="60" w:type="dxa"/>
            <w:vAlign w:val="bottom"/>
          </w:tcPr>
          <w:p>
            <w:pPr>
              <w:spacing w:after="0"/>
              <w:rPr>
                <w:sz w:val="21"/>
                <w:szCs w:val="21"/>
                <w:color w:val="auto"/>
              </w:rPr>
            </w:pP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3,030</w:t>
            </w:r>
          </w:p>
        </w:tc>
      </w:tr>
      <w:tr>
        <w:trPr>
          <w:trHeight w:val="20"/>
        </w:trPr>
        <w:tc>
          <w:tcPr>
            <w:tcW w:w="34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231F20"/>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231F20"/>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231F20"/>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231F20"/>
            </w:tcBorders>
            <w:gridSpan w:val="2"/>
          </w:tcPr>
          <w:p>
            <w:pPr>
              <w:spacing w:after="0" w:line="20" w:lineRule="exact"/>
              <w:rPr>
                <w:sz w:val="1"/>
                <w:szCs w:val="1"/>
                <w:color w:val="auto"/>
              </w:rPr>
            </w:pPr>
          </w:p>
        </w:tc>
      </w:tr>
      <w:tr>
        <w:trPr>
          <w:trHeight w:val="555"/>
        </w:trPr>
        <w:tc>
          <w:tcPr>
            <w:tcW w:w="342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6040" w:type="dxa"/>
            <w:vAlign w:val="bottom"/>
            <w:tcBorders>
              <w:bottom w:val="single" w:sz="8" w:color="231F20"/>
            </w:tcBorders>
            <w:gridSpan w:val="13"/>
          </w:tcPr>
          <w:p>
            <w:pPr>
              <w:jc w:val="center"/>
              <w:ind w:right="103"/>
              <w:spacing w:after="0"/>
              <w:rPr>
                <w:sz w:val="20"/>
                <w:szCs w:val="20"/>
                <w:color w:val="auto"/>
              </w:rPr>
            </w:pPr>
            <w:r>
              <w:rPr>
                <w:rFonts w:ascii="Times New Roman" w:cs="Times New Roman" w:eastAsia="Times New Roman" w:hAnsi="Times New Roman"/>
                <w:sz w:val="18"/>
                <w:szCs w:val="18"/>
                <w:b w:val="1"/>
                <w:bCs w:val="1"/>
                <w:color w:val="231F20"/>
              </w:rPr>
              <w:t>Originated Vacation Ownership Notes Receivable as of December 31, 2024</w:t>
            </w:r>
          </w:p>
        </w:tc>
      </w:tr>
      <w:tr>
        <w:trPr>
          <w:trHeight w:val="235"/>
        </w:trPr>
        <w:tc>
          <w:tcPr>
            <w:tcW w:w="3420" w:type="dxa"/>
            <w:vAlign w:val="bottom"/>
          </w:tcPr>
          <w:p>
            <w:pPr>
              <w:jc w:val="right"/>
              <w:ind w:right="2407"/>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2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8"/>
                <w:szCs w:val="18"/>
                <w:b w:val="1"/>
                <w:bCs w:val="1"/>
                <w:color w:val="231F20"/>
              </w:rPr>
              <w:t>700 +</w:t>
            </w:r>
          </w:p>
        </w:tc>
        <w:tc>
          <w:tcPr>
            <w:tcW w:w="6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231F20"/>
              </w:rPr>
              <w:t>600 - 699</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center"/>
              <w:ind w:right="183"/>
              <w:spacing w:after="0"/>
              <w:rPr>
                <w:sz w:val="20"/>
                <w:szCs w:val="20"/>
                <w:color w:val="auto"/>
              </w:rPr>
            </w:pPr>
            <w:r>
              <w:rPr>
                <w:rFonts w:ascii="Times New Roman" w:cs="Times New Roman" w:eastAsia="Times New Roman" w:hAnsi="Times New Roman"/>
                <w:sz w:val="18"/>
                <w:szCs w:val="18"/>
                <w:b w:val="1"/>
                <w:bCs w:val="1"/>
                <w:color w:val="231F20"/>
                <w:w w:val="95"/>
              </w:rPr>
              <w:t>&lt; 600</w:t>
            </w:r>
          </w:p>
        </w:tc>
        <w:tc>
          <w:tcPr>
            <w:tcW w:w="6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231F20"/>
              </w:rPr>
              <w:t>No Score</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8"/>
                <w:szCs w:val="18"/>
                <w:b w:val="1"/>
                <w:bCs w:val="1"/>
                <w:color w:val="231F20"/>
              </w:rPr>
              <w:t>Total</w:t>
            </w:r>
          </w:p>
        </w:tc>
      </w:tr>
      <w:tr>
        <w:trPr>
          <w:trHeight w:val="262"/>
        </w:trPr>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w:t>
            </w:r>
            <w:r>
              <w:rPr>
                <w:rFonts w:ascii="Times New Roman" w:cs="Times New Roman" w:eastAsia="Times New Roman" w:hAnsi="Times New Roman"/>
                <w:sz w:val="20"/>
                <w:szCs w:val="20"/>
                <w:color w:val="231F20"/>
              </w:rPr>
              <w:t>MarriottVacationOwnership</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2,570</w:t>
            </w:r>
          </w:p>
        </w:tc>
      </w:tr>
      <w:tr>
        <w:trPr>
          <w:trHeight w:val="288"/>
        </w:trPr>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Hyatt Vacation Ownership </w:t>
            </w:r>
            <w:r>
              <w:rPr>
                <w:rFonts w:ascii="Times New Roman" w:cs="Times New Roman" w:eastAsia="Times New Roman" w:hAnsi="Times New Roman"/>
                <w:sz w:val="20"/>
                <w:szCs w:val="20"/>
                <w:color w:val="B8BABC"/>
                <w:w w:val="99"/>
              </w:rPr>
              <w:t>. . . . . . . . . . . .</w:t>
            </w: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210</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75</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290</w:t>
            </w:r>
          </w:p>
        </w:tc>
      </w:tr>
      <w:tr>
        <w:trPr>
          <w:trHeight w:val="245"/>
        </w:trPr>
        <w:tc>
          <w:tcPr>
            <w:tcW w:w="34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2,860</w:t>
            </w:r>
          </w:p>
        </w:tc>
      </w:tr>
      <w:tr>
        <w:trPr>
          <w:trHeight w:val="20"/>
        </w:trPr>
        <w:tc>
          <w:tcPr>
            <w:tcW w:w="342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98</w:t>
      </w:r>
    </w:p>
    <w:p>
      <w:pPr>
        <w:sectPr>
          <w:pgSz w:w="11880" w:h="15480" w:orient="portrait"/>
          <w:cols w:equalWidth="0" w:num="1">
            <w:col w:w="9720"/>
          </w:cols>
          <w:pgMar w:left="1080" w:top="838" w:right="1080" w:bottom="0" w:gutter="0" w:footer="0" w:header="0"/>
          <w:type w:val="continuous"/>
        </w:sectPr>
      </w:pPr>
    </w:p>
    <w:bookmarkStart w:id="102" w:name="page103"/>
    <w:bookmarkEnd w:id="102"/>
    <w:p>
      <w:pPr>
        <w:jc w:val="both"/>
        <w:ind w:right="240"/>
        <w:spacing w:after="0" w:line="266" w:lineRule="auto"/>
        <w:rPr>
          <w:sz w:val="20"/>
          <w:szCs w:val="20"/>
          <w:color w:val="auto"/>
        </w:rPr>
      </w:pPr>
      <w:r>
        <w:rPr>
          <w:rFonts w:ascii="Times New Roman" w:cs="Times New Roman" w:eastAsia="Times New Roman" w:hAnsi="Times New Roman"/>
          <w:sz w:val="20"/>
          <w:szCs w:val="20"/>
          <w:color w:val="231F20"/>
        </w:rPr>
        <w:t>The following tables detail the origination year of our originated vacation ownership notes receivable, before reserves, by brand and borrower FICO score at origination as of December 31, 2025, and gross write-offs by brand for the year ended December 31, 2025.</w:t>
      </w:r>
    </w:p>
    <w:p>
      <w:pPr>
        <w:spacing w:after="0" w:line="19"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7220" w:type="dxa"/>
            <w:vAlign w:val="bottom"/>
            <w:tcBorders>
              <w:bottom w:val="single" w:sz="8" w:color="231F20"/>
            </w:tcBorders>
            <w:gridSpan w:val="16"/>
          </w:tcPr>
          <w:p>
            <w:pPr>
              <w:jc w:val="right"/>
              <w:ind w:right="501"/>
              <w:spacing w:after="0"/>
              <w:rPr>
                <w:sz w:val="20"/>
                <w:szCs w:val="20"/>
                <w:color w:val="auto"/>
              </w:rPr>
            </w:pPr>
            <w:r>
              <w:rPr>
                <w:rFonts w:ascii="Times New Roman" w:cs="Times New Roman" w:eastAsia="Times New Roman" w:hAnsi="Times New Roman"/>
                <w:sz w:val="18"/>
                <w:szCs w:val="18"/>
                <w:b w:val="1"/>
                <w:bCs w:val="1"/>
                <w:color w:val="231F20"/>
              </w:rPr>
              <w:t>Originated Vacation Ownership Notes Receivable - Marriott Vacation Ownership</w:t>
            </w:r>
          </w:p>
        </w:tc>
        <w:tc>
          <w:tcPr>
            <w:tcW w:w="0" w:type="dxa"/>
            <w:vAlign w:val="bottom"/>
          </w:tcPr>
          <w:p>
            <w:pPr>
              <w:spacing w:after="0"/>
              <w:rPr>
                <w:sz w:val="1"/>
                <w:szCs w:val="1"/>
                <w:color w:val="auto"/>
              </w:rPr>
            </w:pPr>
          </w:p>
        </w:tc>
      </w:tr>
      <w:tr>
        <w:trPr>
          <w:trHeight w:val="23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2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231F20"/>
              </w:rPr>
              <w:t>2022</w:t>
            </w:r>
          </w:p>
        </w:tc>
        <w:tc>
          <w:tcPr>
            <w:tcW w:w="60" w:type="dxa"/>
            <w:vAlign w:val="bottom"/>
          </w:tcPr>
          <w:p>
            <w:pPr>
              <w:spacing w:after="0"/>
              <w:rPr>
                <w:sz w:val="20"/>
                <w:szCs w:val="20"/>
                <w:color w:val="auto"/>
              </w:rPr>
            </w:pPr>
          </w:p>
        </w:tc>
        <w:tc>
          <w:tcPr>
            <w:tcW w:w="12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2021 &amp; Prior</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01"/>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262"/>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231F20"/>
                <w:w w:val="99"/>
              </w:rPr>
              <w:t>700</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180</w:t>
            </w:r>
          </w:p>
        </w:tc>
        <w:tc>
          <w:tcPr>
            <w:tcW w:w="540" w:type="dxa"/>
            <w:vAlign w:val="bottom"/>
            <w:gridSpan w:val="2"/>
          </w:tcPr>
          <w:p>
            <w:pPr>
              <w:jc w:val="right"/>
              <w:ind w:right="225"/>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1,627</w:t>
            </w:r>
          </w:p>
        </w:tc>
        <w:tc>
          <w:tcPr>
            <w:tcW w:w="0" w:type="dxa"/>
            <w:vAlign w:val="bottom"/>
          </w:tcPr>
          <w:p>
            <w:pPr>
              <w:spacing w:after="0"/>
              <w:rPr>
                <w:sz w:val="1"/>
                <w:szCs w:val="1"/>
                <w:color w:val="auto"/>
              </w:rPr>
            </w:pPr>
          </w:p>
        </w:tc>
      </w:tr>
      <w:tr>
        <w:trPr>
          <w:trHeight w:val="285"/>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231F20"/>
                <w:w w:val="99"/>
              </w:rPr>
              <w:t>600</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- 699 </w:t>
            </w:r>
            <w:r>
              <w:rPr>
                <w:rFonts w:ascii="Times New Roman" w:cs="Times New Roman" w:eastAsia="Times New Roman" w:hAnsi="Times New Roman"/>
                <w:sz w:val="20"/>
                <w:szCs w:val="20"/>
                <w:color w:val="B8BABC"/>
              </w:rPr>
              <w:t>.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639</w:t>
            </w:r>
          </w:p>
        </w:tc>
        <w:tc>
          <w:tcPr>
            <w:tcW w:w="0" w:type="dxa"/>
            <w:vAlign w:val="bottom"/>
          </w:tcPr>
          <w:p>
            <w:pPr>
              <w:spacing w:after="0"/>
              <w:rPr>
                <w:sz w:val="1"/>
                <w:szCs w:val="1"/>
                <w:color w:val="auto"/>
              </w:rPr>
            </w:pPr>
          </w:p>
        </w:tc>
      </w:tr>
      <w:tr>
        <w:trPr>
          <w:trHeight w:val="285"/>
        </w:trPr>
        <w:tc>
          <w:tcPr>
            <w:tcW w:w="2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&lt; 600 </w:t>
            </w:r>
            <w:r>
              <w:rPr>
                <w:rFonts w:ascii="Times New Roman" w:cs="Times New Roman" w:eastAsia="Times New Roman" w:hAnsi="Times New Roman"/>
                <w:sz w:val="20"/>
                <w:szCs w:val="20"/>
                <w:color w:val="B8BABC"/>
              </w:rPr>
              <w:t>.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w:t>
            </w:r>
          </w:p>
        </w:tc>
        <w:tc>
          <w:tcPr>
            <w:tcW w:w="0" w:type="dxa"/>
            <w:vAlign w:val="bottom"/>
          </w:tcPr>
          <w:p>
            <w:pPr>
              <w:spacing w:after="0"/>
              <w:rPr>
                <w:sz w:val="1"/>
                <w:szCs w:val="1"/>
                <w:color w:val="auto"/>
              </w:rPr>
            </w:pPr>
          </w:p>
        </w:tc>
      </w:tr>
      <w:tr>
        <w:trPr>
          <w:trHeight w:val="288"/>
        </w:trPr>
        <w:tc>
          <w:tcPr>
            <w:tcW w:w="21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 xml:space="preserve">No Score </w:t>
            </w:r>
            <w:r>
              <w:rPr>
                <w:rFonts w:ascii="Times New Roman" w:cs="Times New Roman" w:eastAsia="Times New Roman" w:hAnsi="Times New Roman"/>
                <w:sz w:val="20"/>
                <w:szCs w:val="20"/>
                <w:color w:val="B8BABC"/>
              </w:rPr>
              <w:t>. . . . . . . . . . . . .</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191</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102</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60" w:type="dxa"/>
            <w:vAlign w:val="bottom"/>
          </w:tcPr>
          <w:p>
            <w:pPr>
              <w:spacing w:after="0"/>
              <w:rPr>
                <w:sz w:val="24"/>
                <w:szCs w:val="24"/>
                <w:color w:val="auto"/>
              </w:rPr>
            </w:pPr>
          </w:p>
        </w:tc>
        <w:tc>
          <w:tcPr>
            <w:tcW w:w="48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412</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930</w:t>
            </w:r>
          </w:p>
        </w:tc>
        <w:tc>
          <w:tcPr>
            <w:tcW w:w="60" w:type="dxa"/>
            <w:vAlign w:val="bottom"/>
          </w:tcPr>
          <w:p>
            <w:pPr>
              <w:spacing w:after="0"/>
              <w:rPr>
                <w:sz w:val="21"/>
                <w:szCs w:val="21"/>
                <w:color w:val="auto"/>
              </w:rPr>
            </w:pP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672</w:t>
            </w:r>
          </w:p>
        </w:tc>
        <w:tc>
          <w:tcPr>
            <w:tcW w:w="60" w:type="dxa"/>
            <w:vAlign w:val="bottom"/>
          </w:tcPr>
          <w:p>
            <w:pPr>
              <w:spacing w:after="0"/>
              <w:rPr>
                <w:sz w:val="21"/>
                <w:szCs w:val="21"/>
                <w:color w:val="auto"/>
              </w:rPr>
            </w:pP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422</w:t>
            </w:r>
          </w:p>
        </w:tc>
        <w:tc>
          <w:tcPr>
            <w:tcW w:w="60" w:type="dxa"/>
            <w:vAlign w:val="bottom"/>
          </w:tcPr>
          <w:p>
            <w:pPr>
              <w:spacing w:after="0"/>
              <w:rPr>
                <w:sz w:val="21"/>
                <w:szCs w:val="21"/>
                <w:color w:val="auto"/>
              </w:rPr>
            </w:pP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300</w:t>
            </w:r>
          </w:p>
        </w:tc>
        <w:tc>
          <w:tcPr>
            <w:tcW w:w="60" w:type="dxa"/>
            <w:vAlign w:val="bottom"/>
          </w:tcPr>
          <w:p>
            <w:pPr>
              <w:spacing w:after="0"/>
              <w:rPr>
                <w:sz w:val="21"/>
                <w:szCs w:val="21"/>
                <w:color w:val="auto"/>
              </w:rPr>
            </w:pPr>
          </w:p>
        </w:tc>
        <w:tc>
          <w:tcPr>
            <w:tcW w:w="480" w:type="dxa"/>
            <w:vAlign w:val="bottom"/>
            <w:tcBorders>
              <w:bottom w:val="single" w:sz="8" w:color="231F20"/>
            </w:tcBorders>
          </w:tcPr>
          <w:p>
            <w:pPr>
              <w:jc w:val="right"/>
              <w:ind w:right="225"/>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413</w:t>
            </w:r>
          </w:p>
        </w:tc>
        <w:tc>
          <w:tcPr>
            <w:tcW w:w="60" w:type="dxa"/>
            <w:vAlign w:val="bottom"/>
          </w:tcPr>
          <w:p>
            <w:pPr>
              <w:spacing w:after="0"/>
              <w:rPr>
                <w:sz w:val="21"/>
                <w:szCs w:val="21"/>
                <w:color w:val="auto"/>
              </w:rPr>
            </w:pP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2,737</w:t>
            </w: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Gross write-offs</w:t>
            </w: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2160" w:type="dxa"/>
            <w:vAlign w:val="bottom"/>
            <w:gridSpan w:val="2"/>
            <w:vMerge w:val="continue"/>
          </w:tcPr>
          <w:p>
            <w:pPr>
              <w:jc w:val="right"/>
              <w:spacing w:after="0"/>
              <w:rPr>
                <w:sz w:val="20"/>
                <w:szCs w:val="20"/>
                <w:color w:val="auto"/>
              </w:rPr>
            </w:pPr>
            <w:r>
              <w:rPr>
                <w:rFonts w:ascii="Times New Roman" w:cs="Times New Roman" w:eastAsia="Times New Roman" w:hAnsi="Times New Roman"/>
                <w:sz w:val="20"/>
                <w:szCs w:val="20"/>
                <w:color w:val="B8BABC"/>
              </w:rPr>
              <w:t>. . . . . . . .</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540" w:type="dxa"/>
            <w:vAlign w:val="bottom"/>
            <w:gridSpan w:val="2"/>
          </w:tcPr>
          <w:p>
            <w:pPr>
              <w:jc w:val="right"/>
              <w:ind w:right="225"/>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183</w:t>
            </w:r>
          </w:p>
        </w:tc>
        <w:tc>
          <w:tcPr>
            <w:tcW w:w="0" w:type="dxa"/>
            <w:vAlign w:val="bottom"/>
          </w:tcPr>
          <w:p>
            <w:pPr>
              <w:spacing w:after="0"/>
              <w:rPr>
                <w:sz w:val="1"/>
                <w:szCs w:val="1"/>
                <w:color w:val="auto"/>
              </w:rPr>
            </w:pPr>
          </w:p>
        </w:tc>
      </w:tr>
      <w:tr>
        <w:trPr>
          <w:trHeight w:val="598"/>
        </w:trPr>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7220" w:type="dxa"/>
            <w:vAlign w:val="bottom"/>
            <w:tcBorders>
              <w:bottom w:val="single" w:sz="8" w:color="231F20"/>
            </w:tcBorders>
            <w:gridSpan w:val="16"/>
          </w:tcPr>
          <w:p>
            <w:pPr>
              <w:jc w:val="right"/>
              <w:ind w:right="621"/>
              <w:spacing w:after="0"/>
              <w:rPr>
                <w:sz w:val="20"/>
                <w:szCs w:val="20"/>
                <w:color w:val="auto"/>
              </w:rPr>
            </w:pPr>
            <w:r>
              <w:rPr>
                <w:rFonts w:ascii="Times New Roman" w:cs="Times New Roman" w:eastAsia="Times New Roman" w:hAnsi="Times New Roman"/>
                <w:sz w:val="18"/>
                <w:szCs w:val="18"/>
                <w:b w:val="1"/>
                <w:bCs w:val="1"/>
                <w:color w:val="231F20"/>
              </w:rPr>
              <w:t>Originated Vacation Ownership Notes Receivable - Hyatt Vacation Ownership</w:t>
            </w:r>
          </w:p>
        </w:tc>
        <w:tc>
          <w:tcPr>
            <w:tcW w:w="0" w:type="dxa"/>
            <w:vAlign w:val="bottom"/>
          </w:tcPr>
          <w:p>
            <w:pPr>
              <w:spacing w:after="0"/>
              <w:rPr>
                <w:sz w:val="1"/>
                <w:szCs w:val="1"/>
                <w:color w:val="auto"/>
              </w:rPr>
            </w:pPr>
          </w:p>
        </w:tc>
      </w:tr>
      <w:tr>
        <w:trPr>
          <w:trHeight w:val="235"/>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2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231F20"/>
              </w:rPr>
              <w:t>2022</w:t>
            </w:r>
          </w:p>
        </w:tc>
        <w:tc>
          <w:tcPr>
            <w:tcW w:w="60" w:type="dxa"/>
            <w:vAlign w:val="bottom"/>
          </w:tcPr>
          <w:p>
            <w:pPr>
              <w:spacing w:after="0"/>
              <w:rPr>
                <w:sz w:val="20"/>
                <w:szCs w:val="20"/>
                <w:color w:val="auto"/>
              </w:rPr>
            </w:pPr>
          </w:p>
        </w:tc>
        <w:tc>
          <w:tcPr>
            <w:tcW w:w="120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2021 &amp; Prior</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01"/>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262"/>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231F20"/>
                <w:w w:val="99"/>
              </w:rPr>
              <w:t>700</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540" w:type="dxa"/>
            <w:vAlign w:val="bottom"/>
            <w:gridSpan w:val="2"/>
          </w:tcPr>
          <w:p>
            <w:pPr>
              <w:jc w:val="right"/>
              <w:ind w:right="225"/>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211</w:t>
            </w:r>
          </w:p>
        </w:tc>
        <w:tc>
          <w:tcPr>
            <w:tcW w:w="0" w:type="dxa"/>
            <w:vAlign w:val="bottom"/>
          </w:tcPr>
          <w:p>
            <w:pPr>
              <w:spacing w:after="0"/>
              <w:rPr>
                <w:sz w:val="1"/>
                <w:szCs w:val="1"/>
                <w:color w:val="auto"/>
              </w:rPr>
            </w:pPr>
          </w:p>
        </w:tc>
      </w:tr>
      <w:tr>
        <w:trPr>
          <w:trHeight w:val="285"/>
        </w:trPr>
        <w:tc>
          <w:tcPr>
            <w:tcW w:w="320" w:type="dxa"/>
            <w:vAlign w:val="bottom"/>
          </w:tcPr>
          <w:p>
            <w:pPr>
              <w:spacing w:after="0"/>
              <w:rPr>
                <w:sz w:val="20"/>
                <w:szCs w:val="20"/>
                <w:color w:val="auto"/>
              </w:rPr>
            </w:pPr>
            <w:r>
              <w:rPr>
                <w:rFonts w:ascii="Times New Roman" w:cs="Times New Roman" w:eastAsia="Times New Roman" w:hAnsi="Times New Roman"/>
                <w:sz w:val="20"/>
                <w:szCs w:val="20"/>
                <w:color w:val="231F20"/>
                <w:w w:val="99"/>
              </w:rPr>
              <w:t>600</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- 699 </w:t>
            </w:r>
            <w:r>
              <w:rPr>
                <w:rFonts w:ascii="Times New Roman" w:cs="Times New Roman" w:eastAsia="Times New Roman" w:hAnsi="Times New Roman"/>
                <w:sz w:val="20"/>
                <w:szCs w:val="20"/>
                <w:color w:val="B8BABC"/>
              </w:rPr>
              <w:t>.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w:t>
            </w:r>
          </w:p>
        </w:tc>
        <w:tc>
          <w:tcPr>
            <w:tcW w:w="0" w:type="dxa"/>
            <w:vAlign w:val="bottom"/>
          </w:tcPr>
          <w:p>
            <w:pPr>
              <w:spacing w:after="0"/>
              <w:rPr>
                <w:sz w:val="1"/>
                <w:szCs w:val="1"/>
                <w:color w:val="auto"/>
              </w:rPr>
            </w:pPr>
          </w:p>
        </w:tc>
      </w:tr>
      <w:tr>
        <w:trPr>
          <w:trHeight w:val="285"/>
        </w:trPr>
        <w:tc>
          <w:tcPr>
            <w:tcW w:w="2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&lt; 600 </w:t>
            </w:r>
            <w:r>
              <w:rPr>
                <w:rFonts w:ascii="Times New Roman" w:cs="Times New Roman" w:eastAsia="Times New Roman" w:hAnsi="Times New Roman"/>
                <w:sz w:val="20"/>
                <w:szCs w:val="20"/>
                <w:color w:val="B8BABC"/>
              </w:rPr>
              <w:t>.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88"/>
        </w:trPr>
        <w:tc>
          <w:tcPr>
            <w:tcW w:w="21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 xml:space="preserve">No Score </w:t>
            </w:r>
            <w:r>
              <w:rPr>
                <w:rFonts w:ascii="Times New Roman" w:cs="Times New Roman" w:eastAsia="Times New Roman" w:hAnsi="Times New Roman"/>
                <w:sz w:val="20"/>
                <w:szCs w:val="20"/>
                <w:color w:val="B8BABC"/>
              </w:rPr>
              <w:t>. . . . . . . . . . . . .</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48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119</w:t>
            </w:r>
          </w:p>
        </w:tc>
        <w:tc>
          <w:tcPr>
            <w:tcW w:w="60" w:type="dxa"/>
            <w:vAlign w:val="bottom"/>
          </w:tcPr>
          <w:p>
            <w:pPr>
              <w:spacing w:after="0"/>
              <w:rPr>
                <w:sz w:val="21"/>
                <w:szCs w:val="21"/>
                <w:color w:val="auto"/>
              </w:rPr>
            </w:pP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67</w:t>
            </w:r>
          </w:p>
        </w:tc>
        <w:tc>
          <w:tcPr>
            <w:tcW w:w="60" w:type="dxa"/>
            <w:vAlign w:val="bottom"/>
          </w:tcPr>
          <w:p>
            <w:pPr>
              <w:spacing w:after="0"/>
              <w:rPr>
                <w:sz w:val="21"/>
                <w:szCs w:val="21"/>
                <w:color w:val="auto"/>
              </w:rPr>
            </w:pP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48</w:t>
            </w:r>
          </w:p>
        </w:tc>
        <w:tc>
          <w:tcPr>
            <w:tcW w:w="60" w:type="dxa"/>
            <w:vAlign w:val="bottom"/>
          </w:tcPr>
          <w:p>
            <w:pPr>
              <w:spacing w:after="0"/>
              <w:rPr>
                <w:sz w:val="21"/>
                <w:szCs w:val="21"/>
                <w:color w:val="auto"/>
              </w:rPr>
            </w:pP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60" w:type="dxa"/>
            <w:vAlign w:val="bottom"/>
          </w:tcPr>
          <w:p>
            <w:pPr>
              <w:spacing w:after="0"/>
              <w:rPr>
                <w:sz w:val="21"/>
                <w:szCs w:val="21"/>
                <w:color w:val="auto"/>
              </w:rPr>
            </w:pPr>
          </w:p>
        </w:tc>
        <w:tc>
          <w:tcPr>
            <w:tcW w:w="480" w:type="dxa"/>
            <w:vAlign w:val="bottom"/>
            <w:tcBorders>
              <w:bottom w:val="single" w:sz="8" w:color="231F20"/>
            </w:tcBorders>
          </w:tcPr>
          <w:p>
            <w:pPr>
              <w:jc w:val="right"/>
              <w:ind w:right="225"/>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60" w:type="dxa"/>
            <w:vAlign w:val="bottom"/>
          </w:tcPr>
          <w:p>
            <w:pPr>
              <w:spacing w:after="0"/>
              <w:rPr>
                <w:sz w:val="21"/>
                <w:szCs w:val="21"/>
                <w:color w:val="auto"/>
              </w:rPr>
            </w:pP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293</w:t>
            </w: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Gross write-offs</w:t>
            </w: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2160" w:type="dxa"/>
            <w:vAlign w:val="bottom"/>
            <w:gridSpan w:val="2"/>
            <w:vMerge w:val="continue"/>
          </w:tcPr>
          <w:p>
            <w:pPr>
              <w:jc w:val="right"/>
              <w:spacing w:after="0"/>
              <w:rPr>
                <w:sz w:val="20"/>
                <w:szCs w:val="20"/>
                <w:color w:val="auto"/>
              </w:rPr>
            </w:pPr>
            <w:r>
              <w:rPr>
                <w:rFonts w:ascii="Times New Roman" w:cs="Times New Roman" w:eastAsia="Times New Roman" w:hAnsi="Times New Roman"/>
                <w:sz w:val="20"/>
                <w:szCs w:val="20"/>
                <w:color w:val="B8BABC"/>
              </w:rPr>
              <w:t>. . . . . . . .</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540" w:type="dxa"/>
            <w:vAlign w:val="bottom"/>
            <w:gridSpan w:val="2"/>
          </w:tcPr>
          <w:p>
            <w:pPr>
              <w:jc w:val="right"/>
              <w:ind w:right="225"/>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Acquired Vacation Ownership Notes Receivable</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231F20"/>
        </w:rPr>
        <w:t>Acquired vacation ownership notes receivable represent vacation ownership notes receivable acquired as part of the ILG Acquisition and the Welk Acquisition. The following table shows future contractual principal payments, net of an $8 million reserve, and interest rates for our acquired vacation ownership notes receivable at December 31, 2025.</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49"/>
        </w:trPr>
        <w:tc>
          <w:tcPr>
            <w:tcW w:w="472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4760" w:type="dxa"/>
            <w:vAlign w:val="bottom"/>
            <w:tcBorders>
              <w:bottom w:val="single" w:sz="8" w:color="231F20"/>
            </w:tcBorders>
            <w:gridSpan w:val="7"/>
          </w:tcPr>
          <w:p>
            <w:pPr>
              <w:jc w:val="center"/>
              <w:ind w:right="41"/>
              <w:spacing w:after="0"/>
              <w:rPr>
                <w:sz w:val="20"/>
                <w:szCs w:val="20"/>
                <w:color w:val="auto"/>
              </w:rPr>
            </w:pPr>
            <w:r>
              <w:rPr>
                <w:rFonts w:ascii="Times New Roman" w:cs="Times New Roman" w:eastAsia="Times New Roman" w:hAnsi="Times New Roman"/>
                <w:sz w:val="18"/>
                <w:szCs w:val="18"/>
                <w:b w:val="1"/>
                <w:bCs w:val="1"/>
                <w:color w:val="231F20"/>
                <w:w w:val="99"/>
              </w:rPr>
              <w:t>Acquired Vacation Ownership Notes Receivable</w:t>
            </w:r>
          </w:p>
        </w:tc>
        <w:tc>
          <w:tcPr>
            <w:tcW w:w="0" w:type="dxa"/>
            <w:vAlign w:val="bottom"/>
          </w:tcPr>
          <w:p>
            <w:pPr>
              <w:spacing w:after="0"/>
              <w:rPr>
                <w:sz w:val="1"/>
                <w:szCs w:val="1"/>
                <w:color w:val="auto"/>
              </w:rPr>
            </w:pPr>
          </w:p>
        </w:tc>
      </w:tr>
      <w:tr>
        <w:trPr>
          <w:trHeight w:val="235"/>
        </w:trPr>
        <w:tc>
          <w:tcPr>
            <w:tcW w:w="4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80" w:type="dxa"/>
            <w:vAlign w:val="bottom"/>
            <w:tcBorders>
              <w:bottom w:val="single" w:sz="8" w:color="231F20"/>
            </w:tcBorders>
          </w:tcPr>
          <w:p>
            <w:pPr>
              <w:spacing w:after="0"/>
              <w:rPr>
                <w:sz w:val="20"/>
                <w:szCs w:val="20"/>
                <w:color w:val="auto"/>
              </w:rPr>
            </w:pPr>
          </w:p>
        </w:tc>
        <w:tc>
          <w:tcPr>
            <w:tcW w:w="1440" w:type="dxa"/>
            <w:vAlign w:val="bottom"/>
            <w:tcBorders>
              <w:bottom w:val="single" w:sz="8" w:color="231F20"/>
            </w:tcBorders>
          </w:tcPr>
          <w:p>
            <w:pPr>
              <w:jc w:val="center"/>
              <w:ind w:right="102"/>
              <w:spacing w:after="0"/>
              <w:rPr>
                <w:sz w:val="20"/>
                <w:szCs w:val="20"/>
                <w:color w:val="auto"/>
              </w:rPr>
            </w:pPr>
            <w:r>
              <w:rPr>
                <w:rFonts w:ascii="Times New Roman" w:cs="Times New Roman" w:eastAsia="Times New Roman" w:hAnsi="Times New Roman"/>
                <w:sz w:val="18"/>
                <w:szCs w:val="18"/>
                <w:b w:val="1"/>
                <w:bCs w:val="1"/>
                <w:color w:val="231F20"/>
                <w:w w:val="99"/>
              </w:rPr>
              <w:t>Non-Securitized</w:t>
            </w: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420" w:type="dxa"/>
            <w:vAlign w:val="bottom"/>
            <w:tcBorders>
              <w:bottom w:val="single" w:sz="8" w:color="231F20"/>
            </w:tcBorders>
          </w:tcPr>
          <w:p>
            <w:pPr>
              <w:jc w:val="center"/>
              <w:ind w:right="101"/>
              <w:spacing w:after="0"/>
              <w:rPr>
                <w:sz w:val="20"/>
                <w:szCs w:val="20"/>
                <w:color w:val="auto"/>
              </w:rPr>
            </w:pPr>
            <w:r>
              <w:rPr>
                <w:rFonts w:ascii="Times New Roman" w:cs="Times New Roman" w:eastAsia="Times New Roman" w:hAnsi="Times New Roman"/>
                <w:sz w:val="18"/>
                <w:szCs w:val="18"/>
                <w:b w:val="1"/>
                <w:bCs w:val="1"/>
                <w:color w:val="231F20"/>
                <w:w w:val="99"/>
              </w:rPr>
              <w:t>Securitized</w:t>
            </w: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420" w:type="dxa"/>
            <w:vAlign w:val="bottom"/>
            <w:tcBorders>
              <w:bottom w:val="single" w:sz="8" w:color="231F20"/>
            </w:tcBorders>
          </w:tcPr>
          <w:p>
            <w:pPr>
              <w:jc w:val="center"/>
              <w:ind w:right="81"/>
              <w:spacing w:after="0"/>
              <w:rPr>
                <w:sz w:val="20"/>
                <w:szCs w:val="20"/>
                <w:color w:val="auto"/>
              </w:rPr>
            </w:pPr>
            <w:r>
              <w:rPr>
                <w:rFonts w:ascii="Times New Roman" w:cs="Times New Roman" w:eastAsia="Times New Roman" w:hAnsi="Times New Roman"/>
                <w:sz w:val="18"/>
                <w:szCs w:val="18"/>
                <w:b w:val="1"/>
                <w:bCs w:val="1"/>
                <w:color w:val="231F20"/>
                <w:w w:val="97"/>
              </w:rPr>
              <w:t>Total</w:t>
            </w:r>
          </w:p>
        </w:tc>
        <w:tc>
          <w:tcPr>
            <w:tcW w:w="0" w:type="dxa"/>
            <w:vAlign w:val="bottom"/>
          </w:tcPr>
          <w:p>
            <w:pPr>
              <w:spacing w:after="0"/>
              <w:rPr>
                <w:sz w:val="1"/>
                <w:szCs w:val="1"/>
                <w:color w:val="auto"/>
              </w:rPr>
            </w:pPr>
          </w:p>
        </w:tc>
      </w:tr>
      <w:tr>
        <w:trPr>
          <w:trHeight w:val="262"/>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2026 </w:t>
            </w:r>
            <w:r>
              <w:rPr>
                <w:rFonts w:ascii="Times New Roman" w:cs="Times New Roman" w:eastAsia="Times New Roman" w:hAnsi="Times New Roman"/>
                <w:sz w:val="20"/>
                <w:szCs w:val="20"/>
                <w:color w:val="B8BABC"/>
              </w:rPr>
              <w:t>. . . . . . . . . . . . . .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2027 </w:t>
            </w:r>
            <w:r>
              <w:rPr>
                <w:rFonts w:ascii="Times New Roman" w:cs="Times New Roman" w:eastAsia="Times New Roman" w:hAnsi="Times New Roman"/>
                <w:sz w:val="20"/>
                <w:szCs w:val="20"/>
                <w:color w:val="B8BABC"/>
              </w:rPr>
              <w:t>. . . . . . . . . . . . . . . . . . . . . . . . . . . . . . . . . . . . . . . . . .</w:t>
            </w:r>
          </w:p>
        </w:tc>
        <w:tc>
          <w:tcPr>
            <w:tcW w:w="180" w:type="dxa"/>
            <w:vAlign w:val="bottom"/>
          </w:tcPr>
          <w:p>
            <w:pPr>
              <w:spacing w:after="0"/>
              <w:rPr>
                <w:sz w:val="24"/>
                <w:szCs w:val="24"/>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2028 </w:t>
            </w:r>
            <w:r>
              <w:rPr>
                <w:rFonts w:ascii="Times New Roman" w:cs="Times New Roman" w:eastAsia="Times New Roman" w:hAnsi="Times New Roman"/>
                <w:sz w:val="20"/>
                <w:szCs w:val="20"/>
                <w:color w:val="B8BABC"/>
              </w:rPr>
              <w:t>. . . . . . . . . . . . . . . . . . . . . . . . . . . . . . . . . . . . . . . . . .</w:t>
            </w:r>
          </w:p>
        </w:tc>
        <w:tc>
          <w:tcPr>
            <w:tcW w:w="180" w:type="dxa"/>
            <w:vAlign w:val="bottom"/>
          </w:tcPr>
          <w:p>
            <w:pPr>
              <w:spacing w:after="0"/>
              <w:rPr>
                <w:sz w:val="24"/>
                <w:szCs w:val="24"/>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2029 </w:t>
            </w:r>
            <w:r>
              <w:rPr>
                <w:rFonts w:ascii="Times New Roman" w:cs="Times New Roman" w:eastAsia="Times New Roman" w:hAnsi="Times New Roman"/>
                <w:sz w:val="20"/>
                <w:szCs w:val="20"/>
                <w:color w:val="B8BABC"/>
              </w:rPr>
              <w:t>. . . . . . . . . . . . . . . . . . . . . . . . . . . . . . . . . . . . . . . . . .</w:t>
            </w:r>
          </w:p>
        </w:tc>
        <w:tc>
          <w:tcPr>
            <w:tcW w:w="180" w:type="dxa"/>
            <w:vAlign w:val="bottom"/>
          </w:tcPr>
          <w:p>
            <w:pPr>
              <w:spacing w:after="0"/>
              <w:rPr>
                <w:sz w:val="24"/>
                <w:szCs w:val="24"/>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0" w:type="dxa"/>
            <w:vAlign w:val="bottom"/>
          </w:tcPr>
          <w:p>
            <w:pPr>
              <w:spacing w:after="0"/>
              <w:rPr>
                <w:sz w:val="1"/>
                <w:szCs w:val="1"/>
                <w:color w:val="auto"/>
              </w:rPr>
            </w:pPr>
          </w:p>
        </w:tc>
      </w:tr>
      <w:tr>
        <w:trPr>
          <w:trHeight w:val="285"/>
        </w:trPr>
        <w:tc>
          <w:tcPr>
            <w:tcW w:w="4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2030 </w:t>
            </w:r>
            <w:r>
              <w:rPr>
                <w:rFonts w:ascii="Times New Roman" w:cs="Times New Roman" w:eastAsia="Times New Roman" w:hAnsi="Times New Roman"/>
                <w:sz w:val="20"/>
                <w:szCs w:val="20"/>
                <w:color w:val="B8BABC"/>
              </w:rPr>
              <w:t>. . . . . . . . . . . . . . . . . . . . . . . . . . . . . . . . . . . . . . . . . .</w:t>
            </w:r>
          </w:p>
        </w:tc>
        <w:tc>
          <w:tcPr>
            <w:tcW w:w="180" w:type="dxa"/>
            <w:vAlign w:val="bottom"/>
          </w:tcPr>
          <w:p>
            <w:pPr>
              <w:spacing w:after="0"/>
              <w:rPr>
                <w:sz w:val="24"/>
                <w:szCs w:val="24"/>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0" w:type="dxa"/>
            <w:vAlign w:val="bottom"/>
          </w:tcPr>
          <w:p>
            <w:pPr>
              <w:spacing w:after="0"/>
              <w:rPr>
                <w:sz w:val="1"/>
                <w:szCs w:val="1"/>
                <w:color w:val="auto"/>
              </w:rPr>
            </w:pPr>
          </w:p>
        </w:tc>
      </w:tr>
      <w:tr>
        <w:trPr>
          <w:trHeight w:val="288"/>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Thereafter </w:t>
            </w:r>
            <w:r>
              <w:rPr>
                <w:rFonts w:ascii="Times New Roman" w:cs="Times New Roman" w:eastAsia="Times New Roman" w:hAnsi="Times New Roman"/>
                <w:sz w:val="20"/>
                <w:szCs w:val="20"/>
                <w:color w:val="B8BABC"/>
              </w:rPr>
              <w:t>. . . . . . . . . . . . . . . . . . . . . . . . . . . . . . . . . . . . . .</w:t>
            </w:r>
          </w:p>
        </w:tc>
        <w:tc>
          <w:tcPr>
            <w:tcW w:w="180" w:type="dxa"/>
            <w:vAlign w:val="bottom"/>
            <w:tcBorders>
              <w:bottom w:val="single" w:sz="8" w:color="231F20"/>
            </w:tcBorders>
          </w:tcPr>
          <w:p>
            <w:pPr>
              <w:spacing w:after="0"/>
              <w:rPr>
                <w:sz w:val="24"/>
                <w:szCs w:val="24"/>
                <w:color w:val="auto"/>
              </w:rPr>
            </w:pPr>
          </w:p>
        </w:tc>
        <w:tc>
          <w:tcPr>
            <w:tcW w:w="144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Balance at December 31, 2025 </w:t>
            </w:r>
            <w:r>
              <w:rPr>
                <w:rFonts w:ascii="Times New Roman" w:cs="Times New Roman" w:eastAsia="Times New Roman" w:hAnsi="Times New Roman"/>
                <w:sz w:val="20"/>
                <w:szCs w:val="20"/>
                <w:color w:val="B8BABC"/>
              </w:rPr>
              <w:t>.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Weighted average stated interest rate</w:t>
            </w: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4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720" w:type="dxa"/>
            <w:vAlign w:val="bottom"/>
            <w:vMerge w:val="continue"/>
          </w:tcPr>
          <w:p>
            <w:pPr>
              <w:jc w:val="right"/>
              <w:spacing w:after="0" w:line="182" w:lineRule="exact"/>
              <w:rPr>
                <w:sz w:val="20"/>
                <w:szCs w:val="20"/>
                <w:color w:val="auto"/>
              </w:rPr>
            </w:pPr>
            <w:r>
              <w:rPr>
                <w:rFonts w:ascii="Times New Roman" w:cs="Times New Roman" w:eastAsia="Times New Roman" w:hAnsi="Times New Roman"/>
                <w:sz w:val="20"/>
                <w:szCs w:val="20"/>
                <w:color w:val="B8BABC"/>
              </w:rPr>
              <w:t>. . . . . . . . . . . . . . . . .</w:t>
            </w:r>
          </w:p>
        </w:tc>
        <w:tc>
          <w:tcPr>
            <w:tcW w:w="180" w:type="dxa"/>
            <w:vAlign w:val="bottom"/>
          </w:tcPr>
          <w:p>
            <w:pPr>
              <w:spacing w:after="0"/>
              <w:rPr>
                <w:sz w:val="22"/>
                <w:szCs w:val="22"/>
                <w:color w:val="auto"/>
              </w:rPr>
            </w:pPr>
          </w:p>
        </w:tc>
        <w:tc>
          <w:tcPr>
            <w:tcW w:w="144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231F20"/>
              </w:rPr>
              <w:t>13.8%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231F20"/>
                <w:w w:val="96"/>
              </w:rPr>
              <w:t>14.2%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231F20"/>
              </w:rPr>
              <w:t>14.1%</w:t>
            </w:r>
          </w:p>
        </w:tc>
        <w:tc>
          <w:tcPr>
            <w:tcW w:w="0" w:type="dxa"/>
            <w:vAlign w:val="bottom"/>
          </w:tcPr>
          <w:p>
            <w:pPr>
              <w:spacing w:after="0"/>
              <w:rPr>
                <w:sz w:val="1"/>
                <w:szCs w:val="1"/>
                <w:color w:val="auto"/>
              </w:rPr>
            </w:pPr>
          </w:p>
        </w:tc>
      </w:tr>
      <w:tr>
        <w:trPr>
          <w:trHeight w:val="267"/>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Range of stated interest rates </w:t>
            </w:r>
            <w:r>
              <w:rPr>
                <w:rFonts w:ascii="Times New Roman" w:cs="Times New Roman" w:eastAsia="Times New Roman" w:hAnsi="Times New Roman"/>
                <w:sz w:val="20"/>
                <w:szCs w:val="20"/>
                <w:color w:val="B8BABC"/>
              </w:rPr>
              <w:t>. . . . . . . . . . . . . . . . . . . . . . .</w:t>
            </w:r>
          </w:p>
        </w:tc>
        <w:tc>
          <w:tcPr>
            <w:tcW w:w="180" w:type="dxa"/>
            <w:vAlign w:val="bottom"/>
          </w:tcPr>
          <w:p>
            <w:pPr>
              <w:spacing w:after="0"/>
              <w:rPr>
                <w:sz w:val="23"/>
                <w:szCs w:val="23"/>
                <w:color w:val="auto"/>
              </w:rPr>
            </w:pPr>
          </w:p>
        </w:tc>
        <w:tc>
          <w:tcPr>
            <w:tcW w:w="144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231F20"/>
                <w:w w:val="99"/>
              </w:rPr>
              <w:t>0.0% to 21.9%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231F20"/>
                <w:w w:val="99"/>
              </w:rPr>
              <w:t>0.0% to 21.9%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center"/>
              <w:ind w:right="81"/>
              <w:spacing w:after="0"/>
              <w:rPr>
                <w:sz w:val="20"/>
                <w:szCs w:val="20"/>
                <w:color w:val="auto"/>
              </w:rPr>
            </w:pPr>
            <w:r>
              <w:rPr>
                <w:rFonts w:ascii="Times New Roman" w:cs="Times New Roman" w:eastAsia="Times New Roman" w:hAnsi="Times New Roman"/>
                <w:sz w:val="20"/>
                <w:szCs w:val="20"/>
                <w:color w:val="231F20"/>
              </w:rPr>
              <w:t>0.0% to 21.9%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99</w:t>
      </w:r>
    </w:p>
    <w:p>
      <w:pPr>
        <w:sectPr>
          <w:pgSz w:w="11880" w:h="15480" w:orient="portrait"/>
          <w:cols w:equalWidth="0" w:num="1">
            <w:col w:w="9720"/>
          </w:cols>
          <w:pgMar w:left="1080" w:top="838" w:right="1080" w:bottom="0" w:gutter="0" w:footer="0" w:header="0"/>
          <w:type w:val="continuous"/>
        </w:sectPr>
      </w:pPr>
    </w:p>
    <w:bookmarkStart w:id="103" w:name="page104"/>
    <w:bookmarkEnd w:id="103"/>
    <w:p>
      <w:pPr>
        <w:ind w:right="160"/>
        <w:spacing w:after="0" w:line="281" w:lineRule="auto"/>
        <w:rPr>
          <w:sz w:val="20"/>
          <w:szCs w:val="20"/>
          <w:color w:val="auto"/>
        </w:rPr>
      </w:pPr>
      <w:r>
        <w:rPr>
          <w:rFonts w:ascii="Times New Roman" w:cs="Times New Roman" w:eastAsia="Times New Roman" w:hAnsi="Times New Roman"/>
          <w:sz w:val="20"/>
          <w:szCs w:val="20"/>
          <w:color w:val="231F20"/>
        </w:rPr>
        <w:t>The following tables show acquired vacation ownership notes receivable, before reserves, by brand and borrower FICO score at origination.</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342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6000" w:type="dxa"/>
            <w:vAlign w:val="bottom"/>
            <w:tcBorders>
              <w:bottom w:val="single" w:sz="8" w:color="231F20"/>
            </w:tcBorders>
            <w:gridSpan w:val="13"/>
          </w:tcPr>
          <w:p>
            <w:pPr>
              <w:jc w:val="center"/>
              <w:ind w:right="143"/>
              <w:spacing w:after="0"/>
              <w:rPr>
                <w:sz w:val="20"/>
                <w:szCs w:val="20"/>
                <w:color w:val="auto"/>
              </w:rPr>
            </w:pPr>
            <w:r>
              <w:rPr>
                <w:rFonts w:ascii="Times New Roman" w:cs="Times New Roman" w:eastAsia="Times New Roman" w:hAnsi="Times New Roman"/>
                <w:sz w:val="18"/>
                <w:szCs w:val="18"/>
                <w:b w:val="1"/>
                <w:bCs w:val="1"/>
                <w:color w:val="231F20"/>
              </w:rPr>
              <w:t>Acquired Vacation Ownership Notes Receivable as of December 31, 2025</w:t>
            </w:r>
          </w:p>
        </w:tc>
      </w:tr>
      <w:tr>
        <w:trPr>
          <w:trHeight w:val="235"/>
        </w:trPr>
        <w:tc>
          <w:tcPr>
            <w:tcW w:w="3420" w:type="dxa"/>
            <w:vAlign w:val="bottom"/>
          </w:tcPr>
          <w:p>
            <w:pPr>
              <w:jc w:val="right"/>
              <w:ind w:right="2407"/>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24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8"/>
                <w:szCs w:val="18"/>
                <w:b w:val="1"/>
                <w:bCs w:val="1"/>
                <w:color w:val="231F20"/>
              </w:rPr>
              <w:t>700 +</w:t>
            </w:r>
          </w:p>
        </w:tc>
        <w:tc>
          <w:tcPr>
            <w:tcW w:w="6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231F20"/>
              </w:rPr>
              <w:t>600 - 699</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center"/>
              <w:ind w:right="183"/>
              <w:spacing w:after="0"/>
              <w:rPr>
                <w:sz w:val="20"/>
                <w:szCs w:val="20"/>
                <w:color w:val="auto"/>
              </w:rPr>
            </w:pPr>
            <w:r>
              <w:rPr>
                <w:rFonts w:ascii="Times New Roman" w:cs="Times New Roman" w:eastAsia="Times New Roman" w:hAnsi="Times New Roman"/>
                <w:sz w:val="18"/>
                <w:szCs w:val="18"/>
                <w:b w:val="1"/>
                <w:bCs w:val="1"/>
                <w:color w:val="231F20"/>
                <w:w w:val="95"/>
              </w:rPr>
              <w:t>&lt; 600</w:t>
            </w:r>
          </w:p>
        </w:tc>
        <w:tc>
          <w:tcPr>
            <w:tcW w:w="6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231F20"/>
              </w:rPr>
              <w:t>No Score</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8"/>
                <w:szCs w:val="18"/>
                <w:b w:val="1"/>
                <w:bCs w:val="1"/>
                <w:color w:val="231F20"/>
              </w:rPr>
              <w:t>Total</w:t>
            </w:r>
          </w:p>
        </w:tc>
      </w:tr>
      <w:tr>
        <w:trPr>
          <w:trHeight w:val="262"/>
        </w:trPr>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w:t>
            </w:r>
            <w:r>
              <w:rPr>
                <w:rFonts w:ascii="Times New Roman" w:cs="Times New Roman" w:eastAsia="Times New Roman" w:hAnsi="Times New Roman"/>
                <w:sz w:val="20"/>
                <w:szCs w:val="20"/>
                <w:color w:val="231F20"/>
              </w:rPr>
              <w:t>MarriottVacationOwnership</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w:t>
            </w:r>
          </w:p>
        </w:tc>
      </w:tr>
      <w:tr>
        <w:trPr>
          <w:trHeight w:val="288"/>
        </w:trPr>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Hyatt Vacation Ownership </w:t>
            </w:r>
            <w:r>
              <w:rPr>
                <w:rFonts w:ascii="Times New Roman" w:cs="Times New Roman" w:eastAsia="Times New Roman" w:hAnsi="Times New Roman"/>
                <w:sz w:val="20"/>
                <w:szCs w:val="20"/>
                <w:color w:val="B8BABC"/>
                <w:w w:val="99"/>
              </w:rPr>
              <w:t>. . . . . . . . . . . .</w:t>
            </w: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w:t>
            </w:r>
          </w:p>
        </w:tc>
      </w:tr>
      <w:tr>
        <w:trPr>
          <w:trHeight w:val="245"/>
        </w:trPr>
        <w:tc>
          <w:tcPr>
            <w:tcW w:w="3420" w:type="dxa"/>
            <w:vAlign w:val="bottom"/>
          </w:tcPr>
          <w:p>
            <w:pPr>
              <w:spacing w:after="0"/>
              <w:rPr>
                <w:sz w:val="21"/>
                <w:szCs w:val="21"/>
                <w:color w:val="auto"/>
              </w:rPr>
            </w:pPr>
          </w:p>
        </w:tc>
        <w:tc>
          <w:tcPr>
            <w:tcW w:w="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w:t>
            </w:r>
          </w:p>
        </w:tc>
        <w:tc>
          <w:tcPr>
            <w:tcW w:w="60" w:type="dxa"/>
            <w:vAlign w:val="bottom"/>
          </w:tcPr>
          <w:p>
            <w:pPr>
              <w:spacing w:after="0"/>
              <w:rPr>
                <w:sz w:val="21"/>
                <w:szCs w:val="21"/>
                <w:color w:val="auto"/>
              </w:rPr>
            </w:pP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60" w:type="dxa"/>
            <w:vAlign w:val="bottom"/>
          </w:tcPr>
          <w:p>
            <w:pPr>
              <w:spacing w:after="0"/>
              <w:rPr>
                <w:sz w:val="21"/>
                <w:szCs w:val="21"/>
                <w:color w:val="auto"/>
              </w:rPr>
            </w:pP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1"/>
                <w:szCs w:val="21"/>
                <w:color w:val="auto"/>
              </w:rPr>
            </w:pP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1"/>
                <w:szCs w:val="21"/>
                <w:color w:val="auto"/>
              </w:rPr>
            </w:pP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70</w:t>
            </w:r>
          </w:p>
        </w:tc>
      </w:tr>
      <w:tr>
        <w:trPr>
          <w:trHeight w:val="20"/>
        </w:trPr>
        <w:tc>
          <w:tcPr>
            <w:tcW w:w="34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231F20"/>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231F20"/>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231F20"/>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231F20"/>
            </w:tcBorders>
            <w:gridSpan w:val="2"/>
          </w:tcPr>
          <w:p>
            <w:pPr>
              <w:spacing w:after="0" w:line="20" w:lineRule="exact"/>
              <w:rPr>
                <w:sz w:val="1"/>
                <w:szCs w:val="1"/>
                <w:color w:val="auto"/>
              </w:rPr>
            </w:pPr>
          </w:p>
        </w:tc>
      </w:tr>
      <w:tr>
        <w:trPr>
          <w:trHeight w:val="435"/>
        </w:trPr>
        <w:tc>
          <w:tcPr>
            <w:tcW w:w="342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6000" w:type="dxa"/>
            <w:vAlign w:val="bottom"/>
            <w:tcBorders>
              <w:bottom w:val="single" w:sz="8" w:color="231F20"/>
            </w:tcBorders>
            <w:gridSpan w:val="13"/>
          </w:tcPr>
          <w:p>
            <w:pPr>
              <w:jc w:val="center"/>
              <w:ind w:right="143"/>
              <w:spacing w:after="0"/>
              <w:rPr>
                <w:sz w:val="20"/>
                <w:szCs w:val="20"/>
                <w:color w:val="auto"/>
              </w:rPr>
            </w:pPr>
            <w:r>
              <w:rPr>
                <w:rFonts w:ascii="Times New Roman" w:cs="Times New Roman" w:eastAsia="Times New Roman" w:hAnsi="Times New Roman"/>
                <w:sz w:val="18"/>
                <w:szCs w:val="18"/>
                <w:b w:val="1"/>
                <w:bCs w:val="1"/>
                <w:color w:val="231F20"/>
              </w:rPr>
              <w:t>Acquired Vacation Ownership Notes Receivable as of December 31, 2024</w:t>
            </w:r>
          </w:p>
        </w:tc>
      </w:tr>
      <w:tr>
        <w:trPr>
          <w:trHeight w:val="235"/>
        </w:trPr>
        <w:tc>
          <w:tcPr>
            <w:tcW w:w="3420" w:type="dxa"/>
            <w:vAlign w:val="bottom"/>
          </w:tcPr>
          <w:p>
            <w:pPr>
              <w:jc w:val="right"/>
              <w:ind w:right="2407"/>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240" w:type="dxa"/>
            <w:vAlign w:val="bottom"/>
            <w:tcBorders>
              <w:bottom w:val="single" w:sz="8" w:color="231F20"/>
            </w:tcBorders>
          </w:tcPr>
          <w:p>
            <w:pPr>
              <w:spacing w:after="0"/>
              <w:rPr>
                <w:sz w:val="20"/>
                <w:szCs w:val="20"/>
                <w:color w:val="auto"/>
              </w:rPr>
            </w:pPr>
          </w:p>
        </w:tc>
        <w:tc>
          <w:tcPr>
            <w:tcW w:w="96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8"/>
                <w:szCs w:val="18"/>
                <w:b w:val="1"/>
                <w:bCs w:val="1"/>
                <w:color w:val="231F20"/>
              </w:rPr>
              <w:t>700 +</w:t>
            </w:r>
          </w:p>
        </w:tc>
        <w:tc>
          <w:tcPr>
            <w:tcW w:w="6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231F20"/>
              </w:rPr>
              <w:t>600 - 699</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center"/>
              <w:ind w:right="183"/>
              <w:spacing w:after="0"/>
              <w:rPr>
                <w:sz w:val="20"/>
                <w:szCs w:val="20"/>
                <w:color w:val="auto"/>
              </w:rPr>
            </w:pPr>
            <w:r>
              <w:rPr>
                <w:rFonts w:ascii="Times New Roman" w:cs="Times New Roman" w:eastAsia="Times New Roman" w:hAnsi="Times New Roman"/>
                <w:sz w:val="18"/>
                <w:szCs w:val="18"/>
                <w:b w:val="1"/>
                <w:bCs w:val="1"/>
                <w:color w:val="231F20"/>
                <w:w w:val="95"/>
              </w:rPr>
              <w:t>&lt; 600</w:t>
            </w:r>
          </w:p>
        </w:tc>
        <w:tc>
          <w:tcPr>
            <w:tcW w:w="6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231F20"/>
              </w:rPr>
              <w:t>No Score</w:t>
            </w:r>
          </w:p>
        </w:tc>
        <w:tc>
          <w:tcPr>
            <w:tcW w:w="60" w:type="dxa"/>
            <w:vAlign w:val="bottom"/>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303"/>
              <w:spacing w:after="0"/>
              <w:rPr>
                <w:sz w:val="20"/>
                <w:szCs w:val="20"/>
                <w:color w:val="auto"/>
              </w:rPr>
            </w:pPr>
            <w:r>
              <w:rPr>
                <w:rFonts w:ascii="Times New Roman" w:cs="Times New Roman" w:eastAsia="Times New Roman" w:hAnsi="Times New Roman"/>
                <w:sz w:val="18"/>
                <w:szCs w:val="18"/>
                <w:b w:val="1"/>
                <w:bCs w:val="1"/>
                <w:color w:val="231F20"/>
              </w:rPr>
              <w:t>Total</w:t>
            </w:r>
          </w:p>
        </w:tc>
      </w:tr>
      <w:tr>
        <w:trPr>
          <w:trHeight w:val="262"/>
        </w:trPr>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w:t>
            </w:r>
            <w:r>
              <w:rPr>
                <w:rFonts w:ascii="Times New Roman" w:cs="Times New Roman" w:eastAsia="Times New Roman" w:hAnsi="Times New Roman"/>
                <w:sz w:val="20"/>
                <w:szCs w:val="20"/>
                <w:color w:val="231F20"/>
              </w:rPr>
              <w:t>MarriottVacationOwnership</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w:t>
            </w:r>
          </w:p>
        </w:tc>
      </w:tr>
      <w:tr>
        <w:trPr>
          <w:trHeight w:val="288"/>
        </w:trPr>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Hyatt Vacation Ownership </w:t>
            </w:r>
            <w:r>
              <w:rPr>
                <w:rFonts w:ascii="Times New Roman" w:cs="Times New Roman" w:eastAsia="Times New Roman" w:hAnsi="Times New Roman"/>
                <w:sz w:val="20"/>
                <w:szCs w:val="20"/>
                <w:color w:val="B8BABC"/>
                <w:w w:val="99"/>
              </w:rPr>
              <w:t>. . . . . . . . . . . .</w:t>
            </w:r>
          </w:p>
        </w:tc>
        <w:tc>
          <w:tcPr>
            <w:tcW w:w="2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w:t>
            </w:r>
          </w:p>
        </w:tc>
      </w:tr>
      <w:tr>
        <w:trPr>
          <w:trHeight w:val="245"/>
        </w:trPr>
        <w:tc>
          <w:tcPr>
            <w:tcW w:w="34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w:t>
            </w:r>
          </w:p>
        </w:tc>
      </w:tr>
      <w:tr>
        <w:trPr>
          <w:trHeight w:val="20"/>
        </w:trPr>
        <w:tc>
          <w:tcPr>
            <w:tcW w:w="342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Vacation Ownership Notes Receivable on Non-Accrual Status</w:t>
      </w:r>
    </w:p>
    <w:p>
      <w:pPr>
        <w:spacing w:after="0" w:line="13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231F20"/>
        </w:rPr>
        <w:t>For both non-securitized and securitized vacation ownership notes receivable, we estimated the average remaining default rate of 13.51% as of December 31, 2025 and 13.96% as of December 31, 2024. A 0.5 percentage point increase in the estimated default rate would have resulted in an increase in the related vacation ownership notes receivable reserve of $15 million as of December 31, 2025 and $14 million as of December 31, 2024.</w:t>
      </w:r>
    </w:p>
    <w:p>
      <w:pPr>
        <w:spacing w:after="0" w:line="83"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20"/>
          <w:szCs w:val="20"/>
          <w:color w:val="231F20"/>
        </w:rPr>
        <w:t>The following table shows our recorded investment in non-accrual vacation ownership notes receivable, which are vacation ownership notes receivable that are 90 days or more past due.</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p>
      <w:pPr>
        <w:spacing w:after="0" w:line="36" w:lineRule="exact"/>
        <w:rPr>
          <w:sz w:val="20"/>
          <w:szCs w:val="20"/>
          <w:color w:val="auto"/>
        </w:rPr>
      </w:pPr>
    </w:p>
    <w:p>
      <w:pPr>
        <w:jc w:val="both"/>
        <w:ind w:left="60"/>
        <w:spacing w:after="0"/>
        <w:rPr>
          <w:sz w:val="20"/>
          <w:szCs w:val="20"/>
          <w:color w:val="auto"/>
        </w:rPr>
      </w:pPr>
      <w:r>
        <w:rPr>
          <w:rFonts w:ascii="Times New Roman" w:cs="Times New Roman" w:eastAsia="Times New Roman" w:hAnsi="Times New Roman"/>
          <w:sz w:val="20"/>
          <w:szCs w:val="20"/>
          <w:color w:val="231F20"/>
        </w:rPr>
        <w:t xml:space="preserve">Investment in vacation ownership notes receivable on non-accrual status at December 31, 2025 </w:t>
      </w:r>
      <w:r>
        <w:rPr>
          <w:rFonts w:ascii="Times New Roman" w:cs="Times New Roman" w:eastAsia="Times New Roman" w:hAnsi="Times New Roman"/>
          <w:sz w:val="20"/>
          <w:szCs w:val="20"/>
          <w:color w:val="B8BABC"/>
        </w:rPr>
        <w:t>. . . . . . . . . . . . . . . . . . . . . . . . . . . . . .</w:t>
      </w:r>
    </w:p>
    <w:p>
      <w:pPr>
        <w:spacing w:after="0" w:line="5" w:lineRule="exact"/>
        <w:rPr>
          <w:sz w:val="20"/>
          <w:szCs w:val="20"/>
          <w:color w:val="auto"/>
        </w:rPr>
      </w:pPr>
    </w:p>
    <w:p>
      <w:pPr>
        <w:jc w:val="both"/>
        <w:ind w:left="60"/>
        <w:spacing w:after="0"/>
        <w:rPr>
          <w:sz w:val="20"/>
          <w:szCs w:val="20"/>
          <w:color w:val="auto"/>
        </w:rPr>
      </w:pPr>
      <w:r>
        <w:rPr>
          <w:rFonts w:ascii="Times New Roman" w:cs="Times New Roman" w:eastAsia="Times New Roman" w:hAnsi="Times New Roman"/>
          <w:sz w:val="20"/>
          <w:szCs w:val="20"/>
          <w:color w:val="231F20"/>
        </w:rPr>
        <w:t xml:space="preserve">Investment in vacation ownership notes receivable on non-accrual status at December 31, 2024 </w:t>
      </w:r>
      <w:r>
        <w:rPr>
          <w:rFonts w:ascii="Times New Roman" w:cs="Times New Roman" w:eastAsia="Times New Roman" w:hAnsi="Times New Roman"/>
          <w:sz w:val="20"/>
          <w:szCs w:val="20"/>
          <w:color w:val="B8BABC"/>
        </w:rPr>
        <w:t>. . . . . . . . . . . . . . . . . . . . . . . . . . . . .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Vacation Ownership Notes Receivable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400" w:type="dxa"/>
            <w:vAlign w:val="bottom"/>
            <w:tcBorders>
              <w:top w:val="single" w:sz="8" w:color="231F20"/>
              <w:bottom w:val="single" w:sz="8" w:color="231F20"/>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Non-Securitized</w:t>
            </w:r>
          </w:p>
        </w:tc>
        <w:tc>
          <w:tcPr>
            <w:tcW w:w="60" w:type="dxa"/>
            <w:vAlign w:val="bottom"/>
            <w:tcBorders>
              <w:top w:val="single" w:sz="8" w:color="231F20"/>
            </w:tcBorders>
          </w:tcPr>
          <w:p>
            <w:pPr>
              <w:spacing w:after="0"/>
              <w:rPr>
                <w:sz w:val="20"/>
                <w:szCs w:val="20"/>
                <w:color w:val="auto"/>
              </w:rPr>
            </w:pPr>
          </w:p>
        </w:tc>
        <w:tc>
          <w:tcPr>
            <w:tcW w:w="200" w:type="dxa"/>
            <w:vAlign w:val="bottom"/>
            <w:tcBorders>
              <w:top w:val="single" w:sz="8" w:color="231F20"/>
              <w:bottom w:val="single" w:sz="8" w:color="231F20"/>
            </w:tcBorders>
          </w:tcPr>
          <w:p>
            <w:pPr>
              <w:spacing w:after="0"/>
              <w:rPr>
                <w:sz w:val="20"/>
                <w:szCs w:val="20"/>
                <w:color w:val="auto"/>
              </w:rPr>
            </w:pPr>
          </w:p>
        </w:tc>
        <w:tc>
          <w:tcPr>
            <w:tcW w:w="1180" w:type="dxa"/>
            <w:vAlign w:val="bottom"/>
            <w:tcBorders>
              <w:top w:val="single" w:sz="8" w:color="231F20"/>
              <w:bottom w:val="single" w:sz="8" w:color="231F20"/>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231F20"/>
              </w:rPr>
              <w:t>Securitized</w:t>
            </w:r>
          </w:p>
        </w:tc>
        <w:tc>
          <w:tcPr>
            <w:tcW w:w="60" w:type="dxa"/>
            <w:vAlign w:val="bottom"/>
            <w:tcBorders>
              <w:top w:val="single" w:sz="8" w:color="231F20"/>
            </w:tcBorders>
          </w:tcPr>
          <w:p>
            <w:pPr>
              <w:spacing w:after="0"/>
              <w:rPr>
                <w:sz w:val="20"/>
                <w:szCs w:val="20"/>
                <w:color w:val="auto"/>
              </w:rPr>
            </w:pPr>
          </w:p>
        </w:tc>
        <w:tc>
          <w:tcPr>
            <w:tcW w:w="320" w:type="dxa"/>
            <w:vAlign w:val="bottom"/>
            <w:tcBorders>
              <w:top w:val="single" w:sz="8" w:color="231F20"/>
              <w:bottom w:val="single" w:sz="8" w:color="231F20"/>
            </w:tcBorders>
          </w:tcPr>
          <w:p>
            <w:pPr>
              <w:spacing w:after="0"/>
              <w:rPr>
                <w:sz w:val="20"/>
                <w:szCs w:val="20"/>
                <w:color w:val="auto"/>
              </w:rPr>
            </w:pPr>
          </w:p>
        </w:tc>
        <w:tc>
          <w:tcPr>
            <w:tcW w:w="1080" w:type="dxa"/>
            <w:vAlign w:val="bottom"/>
            <w:tcBorders>
              <w:top w:val="single" w:sz="8" w:color="231F20"/>
              <w:bottom w:val="single" w:sz="8" w:color="231F20"/>
            </w:tcBorders>
          </w:tcPr>
          <w:p>
            <w:pPr>
              <w:jc w:val="right"/>
              <w:ind w:right="403"/>
              <w:spacing w:after="0"/>
              <w:rPr>
                <w:sz w:val="20"/>
                <w:szCs w:val="20"/>
                <w:color w:val="auto"/>
              </w:rPr>
            </w:pPr>
            <w:r>
              <w:rPr>
                <w:rFonts w:ascii="Times New Roman" w:cs="Times New Roman" w:eastAsia="Times New Roman" w:hAnsi="Times New Roman"/>
                <w:sz w:val="18"/>
                <w:szCs w:val="18"/>
                <w:b w:val="1"/>
                <w:bCs w:val="1"/>
                <w:color w:val="231F20"/>
              </w:rPr>
              <w:t>Total</w:t>
            </w:r>
          </w:p>
        </w:tc>
      </w:tr>
      <w:tr>
        <w:trPr>
          <w:trHeight w:val="342"/>
        </w:trPr>
        <w:tc>
          <w:tcPr>
            <w:tcW w:w="580" w:type="dxa"/>
            <w:vAlign w:val="bottom"/>
          </w:tcPr>
          <w:p>
            <w:pPr>
              <w:jc w:val="right"/>
              <w:ind w:right="343"/>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w:t>
            </w:r>
          </w:p>
        </w:tc>
      </w:tr>
      <w:tr>
        <w:trPr>
          <w:trHeight w:val="465"/>
        </w:trPr>
        <w:tc>
          <w:tcPr>
            <w:tcW w:w="580" w:type="dxa"/>
            <w:vAlign w:val="bottom"/>
          </w:tcPr>
          <w:p>
            <w:pPr>
              <w:jc w:val="right"/>
              <w:ind w:right="343"/>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195</w:t>
            </w:r>
          </w:p>
        </w:tc>
      </w:tr>
    </w:tbl>
    <w:p>
      <w:pPr>
        <w:spacing w:after="0" w:line="299" w:lineRule="exact"/>
        <w:rPr>
          <w:sz w:val="20"/>
          <w:szCs w:val="20"/>
          <w:color w:val="auto"/>
        </w:rPr>
      </w:pPr>
    </w:p>
    <w:p>
      <w:pPr>
        <w:sectPr>
          <w:pgSz w:w="11880" w:h="15480" w:orient="portrait"/>
          <w:cols w:equalWidth="0" w:num="2">
            <w:col w:w="5360" w:space="60"/>
            <w:col w:w="4300"/>
          </w:cols>
          <w:pgMar w:left="1080" w:top="838" w:right="1080" w:bottom="0" w:gutter="0" w:footer="0" w:header="0"/>
          <w:type w:val="continuous"/>
        </w:sectPr>
      </w:pPr>
    </w:p>
    <w:p>
      <w:pPr>
        <w:spacing w:after="0" w:line="9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231F20"/>
        </w:rPr>
        <w:t>The following table shows the aging of the recorded investment in principal, before reserves, in vacation ownership notes receivable as of December 31, 2025 and December 31, 2024.</w:t>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2800" w:type="dxa"/>
            <w:vAlign w:val="bottom"/>
          </w:tcPr>
          <w:p>
            <w:pPr>
              <w:spacing w:after="0"/>
              <w:rPr>
                <w:sz w:val="21"/>
                <w:szCs w:val="21"/>
                <w:color w:val="auto"/>
              </w:rPr>
            </w:pPr>
          </w:p>
        </w:tc>
        <w:tc>
          <w:tcPr>
            <w:tcW w:w="2540" w:type="dxa"/>
            <w:vAlign w:val="bottom"/>
            <w:tcBorders>
              <w:bottom w:val="single" w:sz="8" w:color="231F20"/>
            </w:tcBorders>
            <w:gridSpan w:val="2"/>
          </w:tcPr>
          <w:p>
            <w:pPr>
              <w:jc w:val="center"/>
              <w:ind w:left="750"/>
              <w:spacing w:after="0"/>
              <w:rPr>
                <w:sz w:val="20"/>
                <w:szCs w:val="20"/>
                <w:color w:val="auto"/>
              </w:rPr>
            </w:pPr>
            <w:r>
              <w:rPr>
                <w:rFonts w:ascii="Times New Roman" w:cs="Times New Roman" w:eastAsia="Times New Roman" w:hAnsi="Times New Roman"/>
                <w:sz w:val="18"/>
                <w:szCs w:val="18"/>
                <w:b w:val="1"/>
                <w:bCs w:val="1"/>
                <w:color w:val="231F20"/>
              </w:rPr>
              <w:t>December 31, 2025</w:t>
            </w:r>
          </w:p>
        </w:tc>
        <w:tc>
          <w:tcPr>
            <w:tcW w:w="86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2540" w:type="dxa"/>
            <w:vAlign w:val="bottom"/>
            <w:tcBorders>
              <w:bottom w:val="single" w:sz="8" w:color="231F20"/>
            </w:tcBorders>
            <w:gridSpan w:val="2"/>
          </w:tcPr>
          <w:p>
            <w:pPr>
              <w:jc w:val="center"/>
              <w:ind w:left="770"/>
              <w:spacing w:after="0"/>
              <w:rPr>
                <w:sz w:val="20"/>
                <w:szCs w:val="20"/>
                <w:color w:val="auto"/>
              </w:rPr>
            </w:pPr>
            <w:r>
              <w:rPr>
                <w:rFonts w:ascii="Times New Roman" w:cs="Times New Roman" w:eastAsia="Times New Roman" w:hAnsi="Times New Roman"/>
                <w:sz w:val="18"/>
                <w:szCs w:val="18"/>
                <w:b w:val="1"/>
                <w:bCs w:val="1"/>
                <w:color w:val="231F20"/>
                <w:w w:val="98"/>
              </w:rPr>
              <w:t>December 31, 2024</w:t>
            </w:r>
          </w:p>
        </w:tc>
        <w:tc>
          <w:tcPr>
            <w:tcW w:w="86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8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231F20"/>
                <w:w w:val="99"/>
              </w:rPr>
              <w:t>Non-</w:t>
            </w:r>
          </w:p>
        </w:tc>
        <w:tc>
          <w:tcPr>
            <w:tcW w:w="14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u w:val="single" w:color="auto"/>
                <w:color w:val="231F20"/>
                <w:w w:val="99"/>
              </w:rPr>
              <w:t>Securitized</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6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231F20"/>
                <w:w w:val="99"/>
              </w:rPr>
              <w:t>Non-</w:t>
            </w:r>
          </w:p>
        </w:tc>
        <w:tc>
          <w:tcPr>
            <w:tcW w:w="14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u w:val="single" w:color="auto"/>
                <w:color w:val="231F20"/>
                <w:w w:val="99"/>
              </w:rPr>
              <w:t>Securitized</w:t>
            </w: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w w:val="99"/>
              </w:rPr>
              <w:t>Securitized</w:t>
            </w:r>
          </w:p>
        </w:tc>
        <w:tc>
          <w:tcPr>
            <w:tcW w:w="14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w w:val="99"/>
              </w:rPr>
              <w:t>Securitized</w:t>
            </w:r>
          </w:p>
        </w:tc>
        <w:tc>
          <w:tcPr>
            <w:tcW w:w="14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3276600</wp:posOffset>
            </wp:positionH>
            <wp:positionV relativeFrom="paragraph">
              <wp:posOffset>0</wp:posOffset>
            </wp:positionV>
            <wp:extent cx="695325"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4">
                      <a:extLst>
                        <a:ext uri="{28A0092B-C50C-407E-A947-70E740481C1C}"/>
                      </a:extLst>
                    </a:blip>
                    <a:srcRect/>
                    <a:stretch>
                      <a:fillRect/>
                    </a:stretch>
                  </pic:blipFill>
                  <pic:spPr bwMode="auto">
                    <a:xfrm>
                      <a:off x="0" y="0"/>
                      <a:ext cx="695325" cy="12700"/>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0</wp:posOffset>
            </wp:positionV>
            <wp:extent cx="69532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5">
                      <a:extLst>
                        <a:ext uri="{28A0092B-C50C-407E-A947-70E740481C1C}"/>
                      </a:extLst>
                    </a:blip>
                    <a:srcRect/>
                    <a:stretch>
                      <a:fillRect/>
                    </a:stretch>
                  </pic:blipFill>
                  <pic:spPr bwMode="auto">
                    <a:xfrm>
                      <a:off x="0" y="0"/>
                      <a:ext cx="695325" cy="12700"/>
                    </a:xfrm>
                    <a:prstGeom prst="rect">
                      <a:avLst/>
                    </a:prstGeom>
                    <a:noFill/>
                  </pic:spPr>
                </pic:pic>
              </a:graphicData>
            </a:graphic>
          </wp:anchor>
        </w:drawing>
      </w:r>
    </w:p>
    <w:p>
      <w:pPr>
        <w:sectPr>
          <w:pgSz w:w="11880" w:h="15480" w:orient="portrait"/>
          <w:cols w:equalWidth="0" w:num="1">
            <w:col w:w="9720"/>
          </w:cols>
          <w:pgMar w:left="1080" w:top="838" w:right="1080" w:bottom="0" w:gutter="0" w:footer="0" w:header="0"/>
          <w:type w:val="continuous"/>
        </w:sectPr>
      </w:pP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 xml:space="preserve">31 – 90 days past due  </w:t>
      </w:r>
      <w:r>
        <w:rPr>
          <w:rFonts w:ascii="Times New Roman" w:cs="Times New Roman" w:eastAsia="Times New Roman" w:hAnsi="Times New Roman"/>
          <w:sz w:val="20"/>
          <w:szCs w:val="20"/>
          <w:color w:val="B8BABC"/>
        </w:rPr>
        <w:t>. . . . . . . .</w:t>
      </w:r>
      <w:r>
        <w:rPr>
          <w:rFonts w:ascii="Times New Roman" w:cs="Times New Roman" w:eastAsia="Times New Roman" w:hAnsi="Times New Roman"/>
          <w:sz w:val="20"/>
          <w:szCs w:val="20"/>
          <w:color w:val="231F20"/>
        </w:rPr>
        <w:t xml:space="preserve"> $</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 xml:space="preserve">91 – 120 days past due  </w:t>
      </w:r>
      <w:r>
        <w:rPr>
          <w:rFonts w:ascii="Times New Roman" w:cs="Times New Roman" w:eastAsia="Times New Roman" w:hAnsi="Times New Roman"/>
          <w:sz w:val="20"/>
          <w:szCs w:val="20"/>
          <w:color w:val="B8BABC"/>
        </w:rPr>
        <w:t>. . . . . . .</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 xml:space="preserve">Greater than 120 days past due </w:t>
      </w:r>
      <w:r>
        <w:rPr>
          <w:rFonts w:ascii="Times New Roman" w:cs="Times New Roman" w:eastAsia="Times New Roman" w:hAnsi="Times New Roman"/>
          <w:sz w:val="20"/>
          <w:szCs w:val="20"/>
          <w:color w:val="B8BABC"/>
        </w:rPr>
        <w:t>.</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 xml:space="preserve">Total past due </w:t>
      </w:r>
      <w:r>
        <w:rPr>
          <w:rFonts w:ascii="Times New Roman" w:cs="Times New Roman" w:eastAsia="Times New Roman" w:hAnsi="Times New Roman"/>
          <w:sz w:val="20"/>
          <w:szCs w:val="20"/>
          <w:color w:val="B8BABC"/>
        </w:rPr>
        <w:t>. . . . . . . . . . . . . . . .</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231F20"/>
        </w:rPr>
        <w:t xml:space="preserve">Current </w:t>
      </w:r>
      <w:r>
        <w:rPr>
          <w:rFonts w:ascii="Times New Roman" w:cs="Times New Roman" w:eastAsia="Times New Roman" w:hAnsi="Times New Roman"/>
          <w:sz w:val="20"/>
          <w:szCs w:val="20"/>
          <w:color w:val="B8BABC"/>
        </w:rPr>
        <w:t>. . . . . . . . . . . . . . . . . . . .</w:t>
      </w:r>
    </w:p>
    <w:p>
      <w:pPr>
        <w:spacing w:after="0" w:line="55" w:lineRule="exact"/>
        <w:rPr>
          <w:sz w:val="20"/>
          <w:szCs w:val="20"/>
          <w:color w:val="auto"/>
        </w:rPr>
      </w:pPr>
    </w:p>
    <w:p>
      <w:pPr>
        <w:ind w:left="60"/>
        <w:spacing w:after="0" w:line="241" w:lineRule="auto"/>
        <w:rPr>
          <w:sz w:val="20"/>
          <w:szCs w:val="20"/>
          <w:color w:val="auto"/>
        </w:rPr>
      </w:pPr>
      <w:r>
        <w:rPr>
          <w:rFonts w:ascii="Times New Roman" w:cs="Times New Roman" w:eastAsia="Times New Roman" w:hAnsi="Times New Roman"/>
          <w:sz w:val="20"/>
          <w:szCs w:val="20"/>
          <w:color w:val="231F20"/>
        </w:rPr>
        <w:t xml:space="preserve">Total vacation ownership notes receivable </w:t>
      </w:r>
      <w:r>
        <w:rPr>
          <w:rFonts w:ascii="Times New Roman" w:cs="Times New Roman" w:eastAsia="Times New Roman" w:hAnsi="Times New Roman"/>
          <w:sz w:val="20"/>
          <w:szCs w:val="20"/>
          <w:color w:val="B8BABC"/>
        </w:rPr>
        <w:t>. . . . . . . . . . . . . . . . . . .</w:t>
      </w:r>
      <w:r>
        <w:rPr>
          <w:rFonts w:ascii="Times New Roman" w:cs="Times New Roman" w:eastAsia="Times New Roman" w:hAnsi="Times New Roman"/>
          <w:sz w:val="20"/>
          <w:szCs w:val="20"/>
          <w:color w:val="231F20"/>
        </w:rPr>
        <w:t xml:space="preserve"> $</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4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27</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w:t>
            </w:r>
          </w:p>
        </w:tc>
      </w:tr>
      <w:tr>
        <w:trPr>
          <w:trHeight w:val="285"/>
        </w:trPr>
        <w:tc>
          <w:tcPr>
            <w:tcW w:w="4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12</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r>
      <w:tr>
        <w:trPr>
          <w:trHeight w:val="288"/>
        </w:trPr>
        <w:tc>
          <w:tcPr>
            <w:tcW w:w="4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93"/>
              </w:rPr>
              <w:t>153</w:t>
            </w:r>
          </w:p>
        </w:tc>
        <w:tc>
          <w:tcPr>
            <w:tcW w:w="3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156</w:t>
            </w: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160</w:t>
            </w:r>
          </w:p>
        </w:tc>
        <w:tc>
          <w:tcPr>
            <w:tcW w:w="6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165</w:t>
            </w:r>
          </w:p>
        </w:tc>
      </w:tr>
      <w:tr>
        <w:trPr>
          <w:trHeight w:val="262"/>
        </w:trPr>
        <w:tc>
          <w:tcPr>
            <w:tcW w:w="4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93"/>
              </w:rPr>
              <w:t>192</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279</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298</w:t>
            </w:r>
          </w:p>
        </w:tc>
      </w:tr>
      <w:tr>
        <w:trPr>
          <w:trHeight w:val="288"/>
        </w:trPr>
        <w:tc>
          <w:tcPr>
            <w:tcW w:w="4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93"/>
              </w:rPr>
              <w:t>720</w:t>
            </w:r>
          </w:p>
        </w:tc>
        <w:tc>
          <w:tcPr>
            <w:tcW w:w="3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2,101</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2,821</w:t>
            </w: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579</w:t>
            </w:r>
          </w:p>
        </w:tc>
        <w:tc>
          <w:tcPr>
            <w:tcW w:w="6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2,099</w:t>
            </w:r>
          </w:p>
        </w:tc>
        <w:tc>
          <w:tcPr>
            <w:tcW w:w="6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2,678</w:t>
            </w:r>
          </w:p>
        </w:tc>
      </w:tr>
      <w:tr>
        <w:trPr>
          <w:trHeight w:val="425"/>
        </w:trPr>
        <w:tc>
          <w:tcPr>
            <w:tcW w:w="4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93"/>
              </w:rPr>
              <w:t>912</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2,188</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3,100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779</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2,197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2,976</w:t>
            </w:r>
          </w:p>
        </w:tc>
      </w:tr>
      <w:tr>
        <w:trPr>
          <w:trHeight w:val="20"/>
        </w:trPr>
        <w:tc>
          <w:tcPr>
            <w:tcW w:w="44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-681990</wp:posOffset>
            </wp:positionV>
            <wp:extent cx="69532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6">
                      <a:extLst>
                        <a:ext uri="{28A0092B-C50C-407E-A947-70E740481C1C}"/>
                      </a:extLst>
                    </a:blip>
                    <a:srcRect/>
                    <a:stretch>
                      <a:fillRect/>
                    </a:stretch>
                  </pic:blipFill>
                  <pic:spPr bwMode="auto">
                    <a:xfrm>
                      <a:off x="0" y="0"/>
                      <a:ext cx="695325" cy="1270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-320040</wp:posOffset>
            </wp:positionV>
            <wp:extent cx="695325"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7">
                      <a:extLst>
                        <a:ext uri="{28A0092B-C50C-407E-A947-70E740481C1C}"/>
                      </a:extLst>
                    </a:blip>
                    <a:srcRect/>
                    <a:stretch>
                      <a:fillRect/>
                    </a:stretch>
                  </pic:blipFill>
                  <pic:spPr bwMode="auto">
                    <a:xfrm>
                      <a:off x="0" y="0"/>
                      <a:ext cx="695325" cy="1270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-37465</wp:posOffset>
            </wp:positionV>
            <wp:extent cx="695325"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8">
                      <a:extLst>
                        <a:ext uri="{28A0092B-C50C-407E-A947-70E740481C1C}"/>
                      </a:extLst>
                    </a:blip>
                    <a:srcRect/>
                    <a:stretch>
                      <a:fillRect/>
                    </a:stretch>
                  </pic:blipFill>
                  <pic:spPr bwMode="auto">
                    <a:xfrm>
                      <a:off x="0" y="0"/>
                      <a:ext cx="695325" cy="1270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-12065</wp:posOffset>
            </wp:positionV>
            <wp:extent cx="695325"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9">
                      <a:extLst>
                        <a:ext uri="{28A0092B-C50C-407E-A947-70E740481C1C}"/>
                      </a:extLst>
                    </a:blip>
                    <a:srcRect/>
                    <a:stretch>
                      <a:fillRect/>
                    </a:stretch>
                  </pic:blipFill>
                  <pic:spPr bwMode="auto">
                    <a:xfrm>
                      <a:off x="0" y="0"/>
                      <a:ext cx="695325" cy="127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3000" w:space="560"/>
            <w:col w:w="6160"/>
          </w:cols>
          <w:pgMar w:left="1080" w:top="838"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100</w:t>
      </w:r>
    </w:p>
    <w:p>
      <w:pPr>
        <w:sectPr>
          <w:pgSz w:w="11880" w:h="15480" w:orient="portrait"/>
          <w:cols w:equalWidth="0" w:num="1">
            <w:col w:w="9720"/>
          </w:cols>
          <w:pgMar w:left="1080" w:top="838" w:right="1080" w:bottom="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b w:val="1"/>
          <w:bCs w:val="1"/>
          <w:color w:val="231F20"/>
        </w:rPr>
        <w:t>6. FINANCIAL INSTRUMENTS</w:t>
      </w:r>
    </w:p>
    <w:p>
      <w:pPr>
        <w:spacing w:after="0" w:line="13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231F20"/>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(excluding contracts receivable for financed VOI sales, net), deposits included in Other assets, Accounts payable, Advance deposits, Accrued liabilities, and derivative instruments, all of which had fair values approximating their carrying amounts due to the short maturities and liquidity of these instruments.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20" w:type="dxa"/>
            <w:vAlign w:val="bottom"/>
            <w:gridSpan w:val="4"/>
          </w:tcPr>
          <w:p>
            <w:pPr>
              <w:jc w:val="right"/>
              <w:ind w:right="441"/>
              <w:spacing w:after="0"/>
              <w:rPr>
                <w:sz w:val="20"/>
                <w:szCs w:val="20"/>
                <w:color w:val="auto"/>
              </w:rPr>
            </w:pPr>
            <w:r>
              <w:rPr>
                <w:rFonts w:ascii="Times New Roman" w:cs="Times New Roman" w:eastAsia="Times New Roman" w:hAnsi="Times New Roman"/>
                <w:sz w:val="18"/>
                <w:szCs w:val="18"/>
                <w:b w:val="1"/>
                <w:bCs w:val="1"/>
                <w:color w:val="231F20"/>
              </w:rPr>
              <w:t>At December 31, 2025</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20" w:type="dxa"/>
            <w:vAlign w:val="bottom"/>
            <w:gridSpan w:val="4"/>
          </w:tcPr>
          <w:p>
            <w:pPr>
              <w:jc w:val="right"/>
              <w:ind w:right="441"/>
              <w:spacing w:after="0"/>
              <w:rPr>
                <w:sz w:val="20"/>
                <w:szCs w:val="20"/>
                <w:color w:val="auto"/>
              </w:rPr>
            </w:pPr>
            <w:r>
              <w:rPr>
                <w:rFonts w:ascii="Times New Roman" w:cs="Times New Roman" w:eastAsia="Times New Roman" w:hAnsi="Times New Roman"/>
                <w:sz w:val="18"/>
                <w:szCs w:val="18"/>
                <w:b w:val="1"/>
                <w:bCs w:val="1"/>
                <w:color w:val="231F20"/>
              </w:rPr>
              <w:t>At December 31, 2024</w:t>
            </w:r>
          </w:p>
        </w:tc>
        <w:tc>
          <w:tcPr>
            <w:tcW w:w="0" w:type="dxa"/>
            <w:vAlign w:val="bottom"/>
          </w:tcPr>
          <w:p>
            <w:pPr>
              <w:spacing w:after="0"/>
              <w:rPr>
                <w:sz w:val="1"/>
                <w:szCs w:val="1"/>
                <w:color w:val="auto"/>
              </w:rPr>
            </w:pPr>
          </w:p>
        </w:tc>
      </w:tr>
      <w:tr>
        <w:trPr>
          <w:trHeight w:val="235"/>
        </w:trPr>
        <w:tc>
          <w:tcPr>
            <w:tcW w:w="4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500" w:type="dxa"/>
            <w:vAlign w:val="bottom"/>
            <w:tcBorders>
              <w:top w:val="single" w:sz="8" w:color="231F20"/>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Carrying Amount</w:t>
            </w:r>
          </w:p>
        </w:tc>
        <w:tc>
          <w:tcPr>
            <w:tcW w:w="60" w:type="dxa"/>
            <w:vAlign w:val="bottom"/>
          </w:tcPr>
          <w:p>
            <w:pPr>
              <w:spacing w:after="0"/>
              <w:rPr>
                <w:sz w:val="20"/>
                <w:szCs w:val="20"/>
                <w:color w:val="auto"/>
              </w:rPr>
            </w:pPr>
          </w:p>
        </w:tc>
        <w:tc>
          <w:tcPr>
            <w:tcW w:w="180" w:type="dxa"/>
            <w:vAlign w:val="bottom"/>
            <w:tcBorders>
              <w:top w:val="single" w:sz="8" w:color="231F20"/>
              <w:bottom w:val="single" w:sz="8" w:color="231F20"/>
            </w:tcBorders>
          </w:tcPr>
          <w:p>
            <w:pPr>
              <w:spacing w:after="0"/>
              <w:rPr>
                <w:sz w:val="20"/>
                <w:szCs w:val="20"/>
                <w:color w:val="auto"/>
              </w:rPr>
            </w:pPr>
          </w:p>
        </w:tc>
        <w:tc>
          <w:tcPr>
            <w:tcW w:w="1020" w:type="dxa"/>
            <w:vAlign w:val="bottom"/>
            <w:tcBorders>
              <w:top w:val="single" w:sz="8" w:color="231F20"/>
              <w:bottom w:val="single" w:sz="8" w:color="231F20"/>
            </w:tcBorders>
          </w:tcPr>
          <w:p>
            <w:pPr>
              <w:jc w:val="right"/>
              <w:ind w:right="81"/>
              <w:spacing w:after="0"/>
              <w:rPr>
                <w:sz w:val="20"/>
                <w:szCs w:val="20"/>
                <w:color w:val="auto"/>
              </w:rPr>
            </w:pPr>
            <w:r>
              <w:rPr>
                <w:rFonts w:ascii="Times New Roman" w:cs="Times New Roman" w:eastAsia="Times New Roman" w:hAnsi="Times New Roman"/>
                <w:sz w:val="18"/>
                <w:szCs w:val="18"/>
                <w:b w:val="1"/>
                <w:bCs w:val="1"/>
                <w:color w:val="231F20"/>
                <w:w w:val="99"/>
              </w:rPr>
              <w:t>Fair Value</w:t>
            </w:r>
          </w:p>
        </w:tc>
        <w:tc>
          <w:tcPr>
            <w:tcW w:w="60" w:type="dxa"/>
            <w:vAlign w:val="bottom"/>
          </w:tcPr>
          <w:p>
            <w:pPr>
              <w:spacing w:after="0"/>
              <w:rPr>
                <w:sz w:val="20"/>
                <w:szCs w:val="20"/>
                <w:color w:val="auto"/>
              </w:rPr>
            </w:pPr>
          </w:p>
        </w:tc>
        <w:tc>
          <w:tcPr>
            <w:tcW w:w="1500" w:type="dxa"/>
            <w:vAlign w:val="bottom"/>
            <w:tcBorders>
              <w:top w:val="single" w:sz="8" w:color="231F20"/>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Carrying Amount</w:t>
            </w:r>
          </w:p>
        </w:tc>
        <w:tc>
          <w:tcPr>
            <w:tcW w:w="60" w:type="dxa"/>
            <w:vAlign w:val="bottom"/>
            <w:tcBorders>
              <w:top w:val="single" w:sz="8" w:color="231F20"/>
            </w:tcBorders>
          </w:tcPr>
          <w:p>
            <w:pPr>
              <w:spacing w:after="0"/>
              <w:rPr>
                <w:sz w:val="20"/>
                <w:szCs w:val="20"/>
                <w:color w:val="auto"/>
              </w:rPr>
            </w:pPr>
          </w:p>
        </w:tc>
        <w:tc>
          <w:tcPr>
            <w:tcW w:w="180" w:type="dxa"/>
            <w:vAlign w:val="bottom"/>
            <w:tcBorders>
              <w:top w:val="single" w:sz="8" w:color="231F20"/>
              <w:bottom w:val="single" w:sz="8" w:color="231F20"/>
            </w:tcBorders>
          </w:tcPr>
          <w:p>
            <w:pPr>
              <w:spacing w:after="0"/>
              <w:rPr>
                <w:sz w:val="20"/>
                <w:szCs w:val="20"/>
                <w:color w:val="auto"/>
              </w:rPr>
            </w:pPr>
          </w:p>
        </w:tc>
        <w:tc>
          <w:tcPr>
            <w:tcW w:w="1020" w:type="dxa"/>
            <w:vAlign w:val="bottom"/>
            <w:tcBorders>
              <w:top w:val="single" w:sz="8" w:color="231F20"/>
              <w:bottom w:val="single" w:sz="8" w:color="231F20"/>
            </w:tcBorders>
          </w:tcPr>
          <w:p>
            <w:pPr>
              <w:jc w:val="right"/>
              <w:ind w:right="81"/>
              <w:spacing w:after="0"/>
              <w:rPr>
                <w:sz w:val="20"/>
                <w:szCs w:val="20"/>
                <w:color w:val="auto"/>
              </w:rPr>
            </w:pPr>
            <w:r>
              <w:rPr>
                <w:rFonts w:ascii="Times New Roman" w:cs="Times New Roman" w:eastAsia="Times New Roman" w:hAnsi="Times New Roman"/>
                <w:sz w:val="18"/>
                <w:szCs w:val="18"/>
                <w:b w:val="1"/>
                <w:bCs w:val="1"/>
                <w:color w:val="231F20"/>
                <w:w w:val="99"/>
              </w:rPr>
              <w:t>Fair Value</w:t>
            </w:r>
          </w:p>
        </w:tc>
        <w:tc>
          <w:tcPr>
            <w:tcW w:w="0" w:type="dxa"/>
            <w:vAlign w:val="bottom"/>
          </w:tcPr>
          <w:p>
            <w:pPr>
              <w:spacing w:after="0"/>
              <w:rPr>
                <w:sz w:val="1"/>
                <w:szCs w:val="1"/>
                <w:color w:val="auto"/>
              </w:rPr>
            </w:pPr>
          </w:p>
        </w:tc>
      </w:tr>
      <w:tr>
        <w:trPr>
          <w:trHeight w:val="262"/>
        </w:trPr>
        <w:tc>
          <w:tcPr>
            <w:tcW w:w="4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B8BABC"/>
              </w:rPr>
              <w:t>. . . . . . .</w:t>
            </w:r>
            <w:r>
              <w:rPr>
                <w:rFonts w:ascii="Times New Roman" w:cs="Times New Roman" w:eastAsia="Times New Roman" w:hAnsi="Times New Roman"/>
                <w:sz w:val="20"/>
                <w:szCs w:val="20"/>
                <w:color w:val="231F20"/>
              </w:rPr>
              <w:t>Vacationownershipnotesreceivable,net</w:t>
            </w: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2,645</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2,508</w:t>
            </w:r>
          </w:p>
        </w:tc>
        <w:tc>
          <w:tcPr>
            <w:tcW w:w="0" w:type="dxa"/>
            <w:vAlign w:val="bottom"/>
          </w:tcPr>
          <w:p>
            <w:pPr>
              <w:spacing w:after="0"/>
              <w:rPr>
                <w:sz w:val="1"/>
                <w:szCs w:val="1"/>
                <w:color w:val="auto"/>
              </w:rPr>
            </w:pPr>
          </w:p>
        </w:tc>
      </w:tr>
      <w:tr>
        <w:trPr>
          <w:trHeight w:val="285"/>
        </w:trPr>
        <w:tc>
          <w:tcPr>
            <w:tcW w:w="4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Contracts receivable for financed VOI sales, net </w:t>
            </w:r>
            <w:r>
              <w:rPr>
                <w:rFonts w:ascii="Times New Roman" w:cs="Times New Roman" w:eastAsia="Times New Roman" w:hAnsi="Times New Roman"/>
                <w:sz w:val="20"/>
                <w:szCs w:val="20"/>
                <w:color w:val="B8BABC"/>
              </w:rPr>
              <w:t>.</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0" w:type="dxa"/>
            <w:vAlign w:val="bottom"/>
          </w:tcPr>
          <w:p>
            <w:pPr>
              <w:spacing w:after="0"/>
              <w:rPr>
                <w:sz w:val="1"/>
                <w:szCs w:val="1"/>
                <w:color w:val="auto"/>
              </w:rPr>
            </w:pPr>
          </w:p>
        </w:tc>
      </w:tr>
      <w:tr>
        <w:trPr>
          <w:trHeight w:val="288"/>
        </w:trPr>
        <w:tc>
          <w:tcPr>
            <w:tcW w:w="4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Other assets </w:t>
            </w:r>
            <w:r>
              <w:rPr>
                <w:rFonts w:ascii="Times New Roman" w:cs="Times New Roman" w:eastAsia="Times New Roman" w:hAnsi="Times New Roman"/>
                <w:sz w:val="20"/>
                <w:szCs w:val="20"/>
                <w:color w:val="B8BABC"/>
              </w:rPr>
              <w:t>. . . . . . . . . . . . . . . . . . . . . . . . . . . . . .</w:t>
            </w:r>
          </w:p>
        </w:tc>
        <w:tc>
          <w:tcPr>
            <w:tcW w:w="34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168</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168</w:t>
            </w:r>
          </w:p>
        </w:tc>
        <w:tc>
          <w:tcPr>
            <w:tcW w:w="6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131</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131</w:t>
            </w:r>
          </w:p>
        </w:tc>
        <w:tc>
          <w:tcPr>
            <w:tcW w:w="0" w:type="dxa"/>
            <w:vAlign w:val="bottom"/>
          </w:tcPr>
          <w:p>
            <w:pPr>
              <w:spacing w:after="0"/>
              <w:rPr>
                <w:sz w:val="1"/>
                <w:szCs w:val="1"/>
                <w:color w:val="auto"/>
              </w:rPr>
            </w:pPr>
          </w:p>
        </w:tc>
      </w:tr>
      <w:tr>
        <w:trPr>
          <w:trHeight w:val="245"/>
        </w:trPr>
        <w:tc>
          <w:tcPr>
            <w:tcW w:w="4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B8BABC"/>
              </w:rPr>
              <w:t>. . . . . . . . . . . . . . . . . . . . .</w:t>
            </w:r>
            <w:r>
              <w:rPr>
                <w:rFonts w:ascii="Times New Roman" w:cs="Times New Roman" w:eastAsia="Times New Roman" w:hAnsi="Times New Roman"/>
                <w:sz w:val="20"/>
                <w:szCs w:val="20"/>
                <w:color w:val="231F20"/>
              </w:rPr>
              <w:t>Totalfinancialassets</w:t>
            </w:r>
          </w:p>
        </w:tc>
        <w:tc>
          <w:tcPr>
            <w:tcW w:w="34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2,828</w:t>
            </w:r>
          </w:p>
        </w:tc>
        <w:tc>
          <w:tcPr>
            <w:tcW w:w="60" w:type="dxa"/>
            <w:vAlign w:val="bottom"/>
          </w:tcPr>
          <w:p>
            <w:pPr>
              <w:spacing w:after="0"/>
              <w:rPr>
                <w:sz w:val="21"/>
                <w:szCs w:val="21"/>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2,908</w:t>
            </w:r>
          </w:p>
        </w:tc>
        <w:tc>
          <w:tcPr>
            <w:tcW w:w="60" w:type="dxa"/>
            <w:vAlign w:val="bottom"/>
          </w:tcPr>
          <w:p>
            <w:pPr>
              <w:spacing w:after="0"/>
              <w:rPr>
                <w:sz w:val="21"/>
                <w:szCs w:val="21"/>
                <w:color w:val="auto"/>
              </w:rPr>
            </w:pPr>
          </w:p>
        </w:tc>
        <w:tc>
          <w:tcPr>
            <w:tcW w:w="34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2,660</w:t>
            </w:r>
          </w:p>
        </w:tc>
        <w:tc>
          <w:tcPr>
            <w:tcW w:w="60" w:type="dxa"/>
            <w:vAlign w:val="bottom"/>
          </w:tcPr>
          <w:p>
            <w:pPr>
              <w:spacing w:after="0"/>
              <w:rPr>
                <w:sz w:val="21"/>
                <w:szCs w:val="21"/>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2,728</w:t>
            </w:r>
          </w:p>
        </w:tc>
        <w:tc>
          <w:tcPr>
            <w:tcW w:w="0" w:type="dxa"/>
            <w:vAlign w:val="bottom"/>
          </w:tcPr>
          <w:p>
            <w:pPr>
              <w:spacing w:after="0"/>
              <w:rPr>
                <w:sz w:val="1"/>
                <w:szCs w:val="1"/>
                <w:color w:val="auto"/>
              </w:rPr>
            </w:pPr>
          </w:p>
        </w:tc>
      </w:tr>
      <w:tr>
        <w:trPr>
          <w:trHeight w:val="20"/>
        </w:trPr>
        <w:tc>
          <w:tcPr>
            <w:tcW w:w="4140" w:type="dxa"/>
            <w:vAlign w:val="bottom"/>
            <w:gridSpan w:val="2"/>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Securitized debt, net  </w:t>
            </w:r>
            <w:r>
              <w:rPr>
                <w:rFonts w:ascii="Times New Roman" w:cs="Times New Roman" w:eastAsia="Times New Roman" w:hAnsi="Times New Roman"/>
                <w:sz w:val="20"/>
                <w:szCs w:val="20"/>
                <w:color w:val="B8BABC"/>
              </w:rPr>
              <w:t>. . . . . . . . . . . . . . . . . . . . . . .</w:t>
            </w: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(2,196)</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(2,147)</w:t>
            </w:r>
          </w:p>
        </w:tc>
        <w:tc>
          <w:tcPr>
            <w:tcW w:w="0" w:type="dxa"/>
            <w:vAlign w:val="bottom"/>
          </w:tcPr>
          <w:p>
            <w:pPr>
              <w:spacing w:after="0"/>
              <w:rPr>
                <w:sz w:val="1"/>
                <w:szCs w:val="1"/>
                <w:color w:val="auto"/>
              </w:rPr>
            </w:pPr>
          </w:p>
        </w:tc>
      </w:tr>
      <w:tr>
        <w:trPr>
          <w:trHeight w:val="285"/>
        </w:trPr>
        <w:tc>
          <w:tcPr>
            <w:tcW w:w="4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Term Loan, net  </w:t>
            </w:r>
            <w:r>
              <w:rPr>
                <w:rFonts w:ascii="Times New Roman" w:cs="Times New Roman" w:eastAsia="Times New Roman" w:hAnsi="Times New Roman"/>
                <w:sz w:val="20"/>
                <w:szCs w:val="20"/>
                <w:color w:val="B8BABC"/>
              </w:rPr>
              <w:t>. . . . . . . . . . . . . . . . . . . . . . . . . . .</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(796)</w:t>
            </w:r>
          </w:p>
        </w:tc>
        <w:tc>
          <w:tcPr>
            <w:tcW w:w="0" w:type="dxa"/>
            <w:vAlign w:val="bottom"/>
          </w:tcPr>
          <w:p>
            <w:pPr>
              <w:spacing w:after="0"/>
              <w:rPr>
                <w:sz w:val="1"/>
                <w:szCs w:val="1"/>
                <w:color w:val="auto"/>
              </w:rPr>
            </w:pPr>
          </w:p>
        </w:tc>
      </w:tr>
      <w:tr>
        <w:trPr>
          <w:trHeight w:val="285"/>
        </w:trPr>
        <w:tc>
          <w:tcPr>
            <w:tcW w:w="4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Revolving Corporate Credit Facility, net </w:t>
            </w:r>
            <w:r>
              <w:rPr>
                <w:rFonts w:ascii="Times New Roman" w:cs="Times New Roman" w:eastAsia="Times New Roman" w:hAnsi="Times New Roman"/>
                <w:sz w:val="20"/>
                <w:szCs w:val="20"/>
                <w:color w:val="B8BABC"/>
              </w:rPr>
              <w:t>. . . . . . . .</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w:t>
            </w:r>
          </w:p>
        </w:tc>
        <w:tc>
          <w:tcPr>
            <w:tcW w:w="0" w:type="dxa"/>
            <w:vAlign w:val="bottom"/>
          </w:tcPr>
          <w:p>
            <w:pPr>
              <w:spacing w:after="0"/>
              <w:rPr>
                <w:sz w:val="1"/>
                <w:szCs w:val="1"/>
                <w:color w:val="auto"/>
              </w:rPr>
            </w:pPr>
          </w:p>
        </w:tc>
      </w:tr>
      <w:tr>
        <w:trPr>
          <w:trHeight w:val="285"/>
        </w:trPr>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231F20"/>
                <w:w w:val="99"/>
              </w:rPr>
              <w:t>2028</w:t>
            </w:r>
          </w:p>
        </w:tc>
        <w:tc>
          <w:tcPr>
            <w:tcW w:w="3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Notes, net </w:t>
            </w:r>
            <w:r>
              <w:rPr>
                <w:rFonts w:ascii="Times New Roman" w:cs="Times New Roman" w:eastAsia="Times New Roman" w:hAnsi="Times New Roman"/>
                <w:sz w:val="20"/>
                <w:szCs w:val="20"/>
                <w:color w:val="B8BABC"/>
              </w:rPr>
              <w:t>. . . . . . . . . . . . . . . . . . . . . . . . . . .</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(336)</w:t>
            </w:r>
          </w:p>
        </w:tc>
        <w:tc>
          <w:tcPr>
            <w:tcW w:w="0" w:type="dxa"/>
            <w:vAlign w:val="bottom"/>
          </w:tcPr>
          <w:p>
            <w:pPr>
              <w:spacing w:after="0"/>
              <w:rPr>
                <w:sz w:val="1"/>
                <w:szCs w:val="1"/>
                <w:color w:val="auto"/>
              </w:rPr>
            </w:pPr>
          </w:p>
        </w:tc>
      </w:tr>
      <w:tr>
        <w:trPr>
          <w:trHeight w:val="285"/>
        </w:trPr>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231F20"/>
                <w:w w:val="99"/>
              </w:rPr>
              <w:t>2029</w:t>
            </w:r>
          </w:p>
        </w:tc>
        <w:tc>
          <w:tcPr>
            <w:tcW w:w="3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Notes, net </w:t>
            </w:r>
            <w:r>
              <w:rPr>
                <w:rFonts w:ascii="Times New Roman" w:cs="Times New Roman" w:eastAsia="Times New Roman" w:hAnsi="Times New Roman"/>
                <w:sz w:val="20"/>
                <w:szCs w:val="20"/>
                <w:color w:val="B8BABC"/>
              </w:rPr>
              <w:t>. . . . . . . . . . . . . . . . . . . . . . . . . . .</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(467)</w:t>
            </w:r>
          </w:p>
        </w:tc>
        <w:tc>
          <w:tcPr>
            <w:tcW w:w="0" w:type="dxa"/>
            <w:vAlign w:val="bottom"/>
          </w:tcPr>
          <w:p>
            <w:pPr>
              <w:spacing w:after="0"/>
              <w:rPr>
                <w:sz w:val="1"/>
                <w:szCs w:val="1"/>
                <w:color w:val="auto"/>
              </w:rPr>
            </w:pPr>
          </w:p>
        </w:tc>
      </w:tr>
      <w:tr>
        <w:trPr>
          <w:trHeight w:val="285"/>
        </w:trPr>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231F20"/>
                <w:w w:val="99"/>
              </w:rPr>
              <w:t>2033</w:t>
            </w:r>
          </w:p>
        </w:tc>
        <w:tc>
          <w:tcPr>
            <w:tcW w:w="3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Notes, net </w:t>
            </w:r>
            <w:r>
              <w:rPr>
                <w:rFonts w:ascii="Times New Roman" w:cs="Times New Roman" w:eastAsia="Times New Roman" w:hAnsi="Times New Roman"/>
                <w:sz w:val="20"/>
                <w:szCs w:val="20"/>
                <w:color w:val="B8BABC"/>
              </w:rPr>
              <w:t>. . . . . . . . . . . . . . . . . . . . . . . . . . .</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85"/>
        </w:trPr>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231F20"/>
                <w:w w:val="99"/>
              </w:rPr>
              <w:t>2026</w:t>
            </w:r>
          </w:p>
        </w:tc>
        <w:tc>
          <w:tcPr>
            <w:tcW w:w="3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Convertible notes, net </w:t>
            </w:r>
            <w:r>
              <w:rPr>
                <w:rFonts w:ascii="Times New Roman" w:cs="Times New Roman" w:eastAsia="Times New Roman" w:hAnsi="Times New Roman"/>
                <w:sz w:val="20"/>
                <w:szCs w:val="20"/>
                <w:color w:val="B8BABC"/>
              </w:rPr>
              <w:t>. . . . . . . . . . . . . . . . . .</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(546)</w:t>
            </w:r>
          </w:p>
        </w:tc>
        <w:tc>
          <w:tcPr>
            <w:tcW w:w="0" w:type="dxa"/>
            <w:vAlign w:val="bottom"/>
          </w:tcPr>
          <w:p>
            <w:pPr>
              <w:spacing w:after="0"/>
              <w:rPr>
                <w:sz w:val="1"/>
                <w:szCs w:val="1"/>
                <w:color w:val="auto"/>
              </w:rPr>
            </w:pPr>
          </w:p>
        </w:tc>
      </w:tr>
      <w:tr>
        <w:trPr>
          <w:trHeight w:val="288"/>
        </w:trPr>
        <w:tc>
          <w:tcPr>
            <w:tcW w:w="480" w:type="dxa"/>
            <w:vAlign w:val="bottom"/>
          </w:tcPr>
          <w:p>
            <w:pPr>
              <w:ind w:left="60"/>
              <w:spacing w:after="0"/>
              <w:rPr>
                <w:sz w:val="20"/>
                <w:szCs w:val="20"/>
                <w:color w:val="auto"/>
              </w:rPr>
            </w:pPr>
            <w:r>
              <w:rPr>
                <w:rFonts w:ascii="Times New Roman" w:cs="Times New Roman" w:eastAsia="Times New Roman" w:hAnsi="Times New Roman"/>
                <w:sz w:val="20"/>
                <w:szCs w:val="20"/>
                <w:color w:val="231F20"/>
                <w:w w:val="99"/>
              </w:rPr>
              <w:t>2027</w:t>
            </w:r>
          </w:p>
        </w:tc>
        <w:tc>
          <w:tcPr>
            <w:tcW w:w="3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Convertible notes, net </w:t>
            </w:r>
            <w:r>
              <w:rPr>
                <w:rFonts w:ascii="Times New Roman" w:cs="Times New Roman" w:eastAsia="Times New Roman" w:hAnsi="Times New Roman"/>
                <w:sz w:val="20"/>
                <w:szCs w:val="20"/>
                <w:color w:val="B8BABC"/>
              </w:rPr>
              <w:t>. . . . . . . . . . . . . . . . . .</w:t>
            </w:r>
          </w:p>
        </w:tc>
        <w:tc>
          <w:tcPr>
            <w:tcW w:w="34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(569)</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(548)</w:t>
            </w:r>
          </w:p>
        </w:tc>
        <w:tc>
          <w:tcPr>
            <w:tcW w:w="6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(566)</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(541)</w:t>
            </w:r>
          </w:p>
        </w:tc>
        <w:tc>
          <w:tcPr>
            <w:tcW w:w="0" w:type="dxa"/>
            <w:vAlign w:val="bottom"/>
          </w:tcPr>
          <w:p>
            <w:pPr>
              <w:spacing w:after="0"/>
              <w:rPr>
                <w:sz w:val="1"/>
                <w:szCs w:val="1"/>
                <w:color w:val="auto"/>
              </w:rPr>
            </w:pPr>
          </w:p>
        </w:tc>
      </w:tr>
      <w:tr>
        <w:trPr>
          <w:trHeight w:val="245"/>
        </w:trPr>
        <w:tc>
          <w:tcPr>
            <w:tcW w:w="4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B8BABC"/>
              </w:rPr>
              <w:t>. . . . . . . . . . . . . . . . . .</w:t>
            </w:r>
            <w:r>
              <w:rPr>
                <w:rFonts w:ascii="Times New Roman" w:cs="Times New Roman" w:eastAsia="Times New Roman" w:hAnsi="Times New Roman"/>
                <w:sz w:val="20"/>
                <w:szCs w:val="20"/>
                <w:color w:val="231F20"/>
              </w:rPr>
              <w:t>Totalfinancialliabilities</w:t>
            </w: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(5,474)</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(4,958)</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20"/>
                <w:szCs w:val="20"/>
                <w:b w:val="1"/>
                <w:bCs w:val="1"/>
                <w:i w:val="1"/>
                <w:iCs w:val="1"/>
                <w:color w:val="231F20"/>
                <w:w w:val="99"/>
              </w:rPr>
              <w:t>Vacation Ownership Notes Receivable</w:t>
            </w: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1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20" w:type="dxa"/>
            <w:vAlign w:val="bottom"/>
            <w:gridSpan w:val="4"/>
          </w:tcPr>
          <w:p>
            <w:pPr>
              <w:jc w:val="right"/>
              <w:ind w:right="441"/>
              <w:spacing w:after="0"/>
              <w:rPr>
                <w:sz w:val="20"/>
                <w:szCs w:val="20"/>
                <w:color w:val="auto"/>
              </w:rPr>
            </w:pPr>
            <w:r>
              <w:rPr>
                <w:rFonts w:ascii="Times New Roman" w:cs="Times New Roman" w:eastAsia="Times New Roman" w:hAnsi="Times New Roman"/>
                <w:sz w:val="18"/>
                <w:szCs w:val="18"/>
                <w:b w:val="1"/>
                <w:bCs w:val="1"/>
                <w:color w:val="231F20"/>
              </w:rPr>
              <w:t>At December 31, 2025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20" w:type="dxa"/>
            <w:vAlign w:val="bottom"/>
            <w:gridSpan w:val="4"/>
          </w:tcPr>
          <w:p>
            <w:pPr>
              <w:jc w:val="right"/>
              <w:ind w:right="441"/>
              <w:spacing w:after="0"/>
              <w:rPr>
                <w:sz w:val="20"/>
                <w:szCs w:val="20"/>
                <w:color w:val="auto"/>
              </w:rPr>
            </w:pPr>
            <w:r>
              <w:rPr>
                <w:rFonts w:ascii="Times New Roman" w:cs="Times New Roman" w:eastAsia="Times New Roman" w:hAnsi="Times New Roman"/>
                <w:sz w:val="18"/>
                <w:szCs w:val="18"/>
                <w:b w:val="1"/>
                <w:bCs w:val="1"/>
                <w:color w:val="231F20"/>
              </w:rPr>
              <w:t>At December 31, 2024</w:t>
            </w:r>
          </w:p>
        </w:tc>
        <w:tc>
          <w:tcPr>
            <w:tcW w:w="0" w:type="dxa"/>
            <w:vAlign w:val="bottom"/>
          </w:tcPr>
          <w:p>
            <w:pPr>
              <w:spacing w:after="0"/>
              <w:rPr>
                <w:sz w:val="1"/>
                <w:szCs w:val="1"/>
                <w:color w:val="auto"/>
              </w:rPr>
            </w:pPr>
          </w:p>
        </w:tc>
      </w:tr>
      <w:tr>
        <w:trPr>
          <w:trHeight w:val="235"/>
        </w:trPr>
        <w:tc>
          <w:tcPr>
            <w:tcW w:w="4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500" w:type="dxa"/>
            <w:vAlign w:val="bottom"/>
            <w:tcBorders>
              <w:top w:val="single" w:sz="8" w:color="231F20"/>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Carrying Amount</w:t>
            </w:r>
          </w:p>
        </w:tc>
        <w:tc>
          <w:tcPr>
            <w:tcW w:w="60" w:type="dxa"/>
            <w:vAlign w:val="bottom"/>
          </w:tcPr>
          <w:p>
            <w:pPr>
              <w:spacing w:after="0"/>
              <w:rPr>
                <w:sz w:val="20"/>
                <w:szCs w:val="20"/>
                <w:color w:val="auto"/>
              </w:rPr>
            </w:pPr>
          </w:p>
        </w:tc>
        <w:tc>
          <w:tcPr>
            <w:tcW w:w="180" w:type="dxa"/>
            <w:vAlign w:val="bottom"/>
            <w:tcBorders>
              <w:top w:val="single" w:sz="8" w:color="231F20"/>
              <w:bottom w:val="single" w:sz="8" w:color="231F20"/>
            </w:tcBorders>
          </w:tcPr>
          <w:p>
            <w:pPr>
              <w:spacing w:after="0"/>
              <w:rPr>
                <w:sz w:val="20"/>
                <w:szCs w:val="20"/>
                <w:color w:val="auto"/>
              </w:rPr>
            </w:pPr>
          </w:p>
        </w:tc>
        <w:tc>
          <w:tcPr>
            <w:tcW w:w="1020" w:type="dxa"/>
            <w:vAlign w:val="bottom"/>
            <w:tcBorders>
              <w:top w:val="single" w:sz="8" w:color="231F20"/>
              <w:bottom w:val="single" w:sz="8" w:color="231F20"/>
            </w:tcBorders>
          </w:tcPr>
          <w:p>
            <w:pPr>
              <w:jc w:val="right"/>
              <w:ind w:right="81"/>
              <w:spacing w:after="0"/>
              <w:rPr>
                <w:sz w:val="20"/>
                <w:szCs w:val="20"/>
                <w:color w:val="auto"/>
              </w:rPr>
            </w:pPr>
            <w:r>
              <w:rPr>
                <w:rFonts w:ascii="Times New Roman" w:cs="Times New Roman" w:eastAsia="Times New Roman" w:hAnsi="Times New Roman"/>
                <w:sz w:val="18"/>
                <w:szCs w:val="18"/>
                <w:b w:val="1"/>
                <w:bCs w:val="1"/>
                <w:color w:val="231F20"/>
                <w:w w:val="99"/>
              </w:rPr>
              <w:t>Fair Value</w:t>
            </w:r>
          </w:p>
        </w:tc>
        <w:tc>
          <w:tcPr>
            <w:tcW w:w="60" w:type="dxa"/>
            <w:vAlign w:val="bottom"/>
          </w:tcPr>
          <w:p>
            <w:pPr>
              <w:spacing w:after="0"/>
              <w:rPr>
                <w:sz w:val="20"/>
                <w:szCs w:val="20"/>
                <w:color w:val="auto"/>
              </w:rPr>
            </w:pPr>
          </w:p>
        </w:tc>
        <w:tc>
          <w:tcPr>
            <w:tcW w:w="1500" w:type="dxa"/>
            <w:vAlign w:val="bottom"/>
            <w:tcBorders>
              <w:top w:val="single" w:sz="8" w:color="231F20"/>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Carrying Amount</w:t>
            </w:r>
          </w:p>
        </w:tc>
        <w:tc>
          <w:tcPr>
            <w:tcW w:w="60" w:type="dxa"/>
            <w:vAlign w:val="bottom"/>
            <w:tcBorders>
              <w:top w:val="single" w:sz="8" w:color="231F20"/>
            </w:tcBorders>
          </w:tcPr>
          <w:p>
            <w:pPr>
              <w:spacing w:after="0"/>
              <w:rPr>
                <w:sz w:val="20"/>
                <w:szCs w:val="20"/>
                <w:color w:val="auto"/>
              </w:rPr>
            </w:pPr>
          </w:p>
        </w:tc>
        <w:tc>
          <w:tcPr>
            <w:tcW w:w="180" w:type="dxa"/>
            <w:vAlign w:val="bottom"/>
            <w:tcBorders>
              <w:top w:val="single" w:sz="8" w:color="231F20"/>
              <w:bottom w:val="single" w:sz="8" w:color="231F20"/>
            </w:tcBorders>
          </w:tcPr>
          <w:p>
            <w:pPr>
              <w:spacing w:after="0"/>
              <w:rPr>
                <w:sz w:val="20"/>
                <w:szCs w:val="20"/>
                <w:color w:val="auto"/>
              </w:rPr>
            </w:pPr>
          </w:p>
        </w:tc>
        <w:tc>
          <w:tcPr>
            <w:tcW w:w="1020" w:type="dxa"/>
            <w:vAlign w:val="bottom"/>
            <w:tcBorders>
              <w:top w:val="single" w:sz="8" w:color="231F20"/>
              <w:bottom w:val="single" w:sz="8" w:color="231F20"/>
            </w:tcBorders>
          </w:tcPr>
          <w:p>
            <w:pPr>
              <w:jc w:val="right"/>
              <w:ind w:right="81"/>
              <w:spacing w:after="0"/>
              <w:rPr>
                <w:sz w:val="20"/>
                <w:szCs w:val="20"/>
                <w:color w:val="auto"/>
              </w:rPr>
            </w:pPr>
            <w:r>
              <w:rPr>
                <w:rFonts w:ascii="Times New Roman" w:cs="Times New Roman" w:eastAsia="Times New Roman" w:hAnsi="Times New Roman"/>
                <w:sz w:val="18"/>
                <w:szCs w:val="18"/>
                <w:b w:val="1"/>
                <w:bCs w:val="1"/>
                <w:color w:val="231F20"/>
                <w:w w:val="99"/>
              </w:rPr>
              <w:t>Fair Value</w:t>
            </w:r>
          </w:p>
        </w:tc>
        <w:tc>
          <w:tcPr>
            <w:tcW w:w="0" w:type="dxa"/>
            <w:vAlign w:val="bottom"/>
          </w:tcPr>
          <w:p>
            <w:pPr>
              <w:spacing w:after="0"/>
              <w:rPr>
                <w:sz w:val="1"/>
                <w:szCs w:val="1"/>
                <w:color w:val="auto"/>
              </w:rPr>
            </w:pPr>
          </w:p>
        </w:tc>
      </w:tr>
      <w:tr>
        <w:trPr>
          <w:trHeight w:val="262"/>
        </w:trPr>
        <w:tc>
          <w:tcPr>
            <w:tcW w:w="4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 . . . .</w:t>
            </w:r>
            <w:r>
              <w:rPr>
                <w:rFonts w:ascii="Times New Roman" w:cs="Times New Roman" w:eastAsia="Times New Roman" w:hAnsi="Times New Roman"/>
                <w:sz w:val="20"/>
                <w:szCs w:val="20"/>
                <w:color w:val="231F20"/>
              </w:rPr>
              <w:t>Securitized</w:t>
            </w: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1,975</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1,981</w:t>
            </w:r>
          </w:p>
        </w:tc>
        <w:tc>
          <w:tcPr>
            <w:tcW w:w="0" w:type="dxa"/>
            <w:vAlign w:val="bottom"/>
          </w:tcPr>
          <w:p>
            <w:pPr>
              <w:spacing w:after="0"/>
              <w:rPr>
                <w:sz w:val="1"/>
                <w:szCs w:val="1"/>
                <w:color w:val="auto"/>
              </w:rPr>
            </w:pPr>
          </w:p>
        </w:tc>
      </w:tr>
      <w:tr>
        <w:trPr>
          <w:trHeight w:val="600"/>
        </w:trPr>
        <w:tc>
          <w:tcPr>
            <w:tcW w:w="4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Eligible for securitization </w:t>
            </w:r>
            <w:r>
              <w:rPr>
                <w:rFonts w:ascii="Times New Roman" w:cs="Times New Roman" w:eastAsia="Times New Roman" w:hAnsi="Times New Roman"/>
                <w:sz w:val="20"/>
                <w:szCs w:val="20"/>
                <w:color w:val="B8BABC"/>
              </w:rPr>
              <w:t>. . . . . . . . . . . . . . . . . .</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w:t>
            </w:r>
          </w:p>
        </w:tc>
        <w:tc>
          <w:tcPr>
            <w:tcW w:w="0" w:type="dxa"/>
            <w:vAlign w:val="bottom"/>
          </w:tcPr>
          <w:p>
            <w:pPr>
              <w:spacing w:after="0"/>
              <w:rPr>
                <w:sz w:val="1"/>
                <w:szCs w:val="1"/>
                <w:color w:val="auto"/>
              </w:rPr>
            </w:pPr>
          </w:p>
        </w:tc>
      </w:tr>
      <w:tr>
        <w:trPr>
          <w:trHeight w:val="288"/>
        </w:trPr>
        <w:tc>
          <w:tcPr>
            <w:tcW w:w="4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xml:space="preserve">Not eligible for securitization </w:t>
            </w:r>
            <w:r>
              <w:rPr>
                <w:rFonts w:ascii="Times New Roman" w:cs="Times New Roman" w:eastAsia="Times New Roman" w:hAnsi="Times New Roman"/>
                <w:sz w:val="20"/>
                <w:szCs w:val="20"/>
                <w:color w:val="B8BABC"/>
              </w:rPr>
              <w:t>. . . . . . . . . . . . . . .</w:t>
            </w:r>
          </w:p>
        </w:tc>
        <w:tc>
          <w:tcPr>
            <w:tcW w:w="34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513</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513</w:t>
            </w:r>
          </w:p>
        </w:tc>
        <w:tc>
          <w:tcPr>
            <w:tcW w:w="6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429</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429</w:t>
            </w:r>
          </w:p>
        </w:tc>
        <w:tc>
          <w:tcPr>
            <w:tcW w:w="0" w:type="dxa"/>
            <w:vAlign w:val="bottom"/>
          </w:tcPr>
          <w:p>
            <w:pPr>
              <w:spacing w:after="0"/>
              <w:rPr>
                <w:sz w:val="1"/>
                <w:szCs w:val="1"/>
                <w:color w:val="auto"/>
              </w:rPr>
            </w:pPr>
          </w:p>
        </w:tc>
      </w:tr>
      <w:tr>
        <w:trPr>
          <w:trHeight w:val="262"/>
        </w:trPr>
        <w:tc>
          <w:tcPr>
            <w:tcW w:w="4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w:t>
            </w:r>
            <w:r>
              <w:rPr>
                <w:rFonts w:ascii="Times New Roman" w:cs="Times New Roman" w:eastAsia="Times New Roman" w:hAnsi="Times New Roman"/>
                <w:sz w:val="20"/>
                <w:szCs w:val="20"/>
                <w:color w:val="231F20"/>
              </w:rPr>
              <w:t>Non-securitized</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527</w:t>
            </w:r>
          </w:p>
        </w:tc>
        <w:tc>
          <w:tcPr>
            <w:tcW w:w="0" w:type="dxa"/>
            <w:vAlign w:val="bottom"/>
          </w:tcPr>
          <w:p>
            <w:pPr>
              <w:spacing w:after="0"/>
              <w:rPr>
                <w:sz w:val="1"/>
                <w:szCs w:val="1"/>
                <w:color w:val="auto"/>
              </w:rPr>
            </w:pPr>
          </w:p>
        </w:tc>
      </w:tr>
      <w:tr>
        <w:trPr>
          <w:trHeight w:val="318"/>
        </w:trPr>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231F20"/>
                <w:w w:val="94"/>
              </w:rPr>
              <w:t>Total</w:t>
            </w:r>
          </w:p>
        </w:tc>
        <w:tc>
          <w:tcPr>
            <w:tcW w:w="366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80" w:type="dxa"/>
            <w:vAlign w:val="bottom"/>
            <w:vMerge w:val="continue"/>
          </w:tcPr>
          <w:p>
            <w:pPr>
              <w:spacing w:after="0"/>
              <w:rPr>
                <w:sz w:val="21"/>
                <w:szCs w:val="21"/>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 . . . . . . . . .</w:t>
            </w: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2,645</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2,508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9"/>
          <w:szCs w:val="19"/>
          <w:color w:val="231F20"/>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6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9"/>
          <w:szCs w:val="19"/>
          <w:color w:val="231F20"/>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w:t>
      </w:r>
    </w:p>
    <w:p>
      <w:pPr>
        <w:sectPr>
          <w:pgSz w:w="11880" w:h="15480" w:orient="portrait"/>
          <w:cols w:equalWidth="0" w:num="1">
            <w:col w:w="9720"/>
          </w:cols>
          <w:pgMar w:left="1080" w:top="83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101</w:t>
      </w:r>
    </w:p>
    <w:p>
      <w:pPr>
        <w:sectPr>
          <w:pgSz w:w="11880" w:h="15480" w:orient="portrait"/>
          <w:cols w:equalWidth="0" w:num="1">
            <w:col w:w="9720"/>
          </w:cols>
          <w:pgMar w:left="1080" w:top="831" w:right="1080" w:bottom="0" w:gutter="0" w:footer="0" w:header="0"/>
          <w:type w:val="continuous"/>
        </w:sectPr>
      </w:pPr>
    </w:p>
    <w:bookmarkStart w:id="105" w:name="page106"/>
    <w:bookmarkEnd w:id="105"/>
    <w:p>
      <w:pPr>
        <w:ind w:right="220"/>
        <w:spacing w:after="0" w:line="281" w:lineRule="auto"/>
        <w:rPr>
          <w:sz w:val="20"/>
          <w:szCs w:val="20"/>
          <w:color w:val="auto"/>
        </w:rPr>
      </w:pPr>
      <w:r>
        <w:rPr>
          <w:rFonts w:ascii="Times New Roman" w:cs="Times New Roman" w:eastAsia="Times New Roman" w:hAnsi="Times New Roman"/>
          <w:sz w:val="20"/>
          <w:szCs w:val="20"/>
          <w:color w:val="231F20"/>
        </w:rPr>
        <w:t>other similar factors that may reflect investor demand in a securitization transaction or the cost to effectively securitize the vacation ownership notes receivable.</w:t>
      </w:r>
    </w:p>
    <w:p>
      <w:pPr>
        <w:spacing w:after="0" w:line="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231F20"/>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generally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Contracts Receivable for Financed VOI Sales</w:t>
      </w:r>
    </w:p>
    <w:p>
      <w:pPr>
        <w:spacing w:after="0" w:line="13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231F20"/>
        </w:rPr>
        <w:t>At the time at which we recognize revenue for our VOI sales, we temporarily record a contract receivable for financed VOI sales, until the time at which we originate a vacation ownership note receivable, which occurs at closing. We believe that the carrying value of the contracts receivable for financed VOI sales approximates fair value because the stated, or otherwise imputed, interest rates of these receivables are generally consistent with current market rates and the reserve for these contracts receivable for financed VOI sales appropriately accounts for risks in default rates. We concluded that this fair value measurement should be categorized within Level 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Assets</w:t>
      </w:r>
    </w:p>
    <w:p>
      <w:pPr>
        <w:spacing w:after="0" w:line="13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231F20"/>
        </w:rPr>
        <w:t>Other assets include $168 million and $131 million of COLI policies acquired on the lives of certain participants in the Marriott Vacations Worldwide Deferred Compensation Plan at December 31, 2025 and December 31, 2024, respectively, that are held in a rabbi trust. The carrying value of the COLI policies is equal to their cash surrender value (Level 2 inputs).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Securitized Debt</w:t>
      </w:r>
    </w:p>
    <w:p>
      <w:pPr>
        <w:spacing w:after="0" w:line="13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31F20"/>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Term Loan</w:t>
      </w:r>
    </w:p>
    <w:p>
      <w:pPr>
        <w:spacing w:after="0" w:line="139"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20"/>
          <w:szCs w:val="20"/>
          <w:color w:val="231F20"/>
        </w:rPr>
        <w:t>We estimate the fair value of our Term Loan (as defined in Footnote 15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Revolving Corporate Credit Facility</w:t>
      </w:r>
    </w:p>
    <w:p>
      <w:pPr>
        <w:spacing w:after="0" w:line="13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20"/>
          <w:szCs w:val="20"/>
          <w:color w:val="231F20"/>
        </w:rPr>
        <w:t>We estimate that the gross carrying value of our Revolving Corporate Credit Facility (as defined in Footnote 15 “Debt”) approximates fair value as the contractual interest rate is variable plus an applicable margin. We concluded that this fair value measurement should be categorized within Level 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Senior Notes</w:t>
      </w:r>
    </w:p>
    <w:p>
      <w:pPr>
        <w:spacing w:after="0" w:line="13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231F20"/>
        </w:rPr>
        <w:t>We estimate the fair value of our 2028 Notes, 2029 Notes, and 2033 Notes (each as defined in Footnote 15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102</w:t>
      </w:r>
    </w:p>
    <w:p>
      <w:pPr>
        <w:sectPr>
          <w:pgSz w:w="11880" w:h="15480" w:orient="portrait"/>
          <w:cols w:equalWidth="0" w:num="1">
            <w:col w:w="9720"/>
          </w:cols>
          <w:pgMar w:left="1080" w:top="838" w:right="108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i w:val="1"/>
          <w:iCs w:val="1"/>
          <w:color w:val="231F20"/>
        </w:rPr>
        <w:t>Convertible Notes</w:t>
      </w:r>
    </w:p>
    <w:p>
      <w:pPr>
        <w:spacing w:after="0" w:line="13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231F20"/>
        </w:rPr>
        <w:t>We estimate the fair value of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7. EARNINGS PER SHARE</w:t>
      </w:r>
    </w:p>
    <w:p>
      <w:pPr>
        <w:spacing w:after="0" w:line="13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231F20"/>
        </w:rPr>
        <w:t>Basic earnings or loss per share attributable to common stockholders is calculated by dividing net income or loss attributable to common stockholders by the weighted average number of shares of common stock outstanding during the reporting period. Diluted earnings or loss per share attributable to common stockholders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or loss per share applicable to common stockholders by application of the treasury stock method.</w:t>
      </w:r>
    </w:p>
    <w:p>
      <w:pPr>
        <w:spacing w:after="0" w:line="9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231F20"/>
        </w:rPr>
        <w:t>The shares issuable on exercise of the warrants sold in connection with the issuance of our convertible notes will not impact the total dilutive weighted average shares outstanding unless and until the price of our common stock exceeds the respective strike price. If the price of our common stock exceeds the respective strike price of any of the warrants, we will include the dilutive effect of the additional shares that may be issued upon exercise of the warrants in total dilutive weighted average shares outstanding, which we calculate using the treasury stock method, to the extent that the additional shares are dilutive. The convertible note hedges purchased in connection with each issuance of the convertible notes are considered to be anti-dilutive and do not impact our calculation of diluted earnings per share attributable to common stockholders for any periods presented herein.</w:t>
      </w:r>
    </w:p>
    <w:p>
      <w:pPr>
        <w:spacing w:after="0" w:line="9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231F20"/>
        </w:rPr>
        <w:t>The tables below illustrate the reconciliation of the earnings or loss and number of shares used in our calculation of basic and diluted earnings or loss per share attributable to common stockholders.</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(in millions, except per share amounts)</w:t>
            </w:r>
          </w:p>
        </w:tc>
        <w:tc>
          <w:tcPr>
            <w:tcW w:w="2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62"/>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Net (loss) income attributable to common stockholders  </w:t>
            </w:r>
            <w:r>
              <w:rPr>
                <w:rFonts w:ascii="Times New Roman" w:cs="Times New Roman" w:eastAsia="Times New Roman" w:hAnsi="Times New Roman"/>
                <w:sz w:val="20"/>
                <w:szCs w:val="20"/>
                <w:color w:val="B8BABC"/>
              </w:rPr>
              <w:t>. . . . . . . . . . . . . .</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254</w:t>
            </w:r>
          </w:p>
        </w:tc>
      </w:tr>
      <w:tr>
        <w:trPr>
          <w:trHeight w:val="288"/>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Shares for basic (loss) earnings per share </w:t>
            </w:r>
            <w:r>
              <w:rPr>
                <w:rFonts w:ascii="Times New Roman" w:cs="Times New Roman" w:eastAsia="Times New Roman" w:hAnsi="Times New Roman"/>
                <w:sz w:val="20"/>
                <w:szCs w:val="20"/>
                <w:color w:val="B8BABC"/>
              </w:rPr>
              <w:t>. . . . . . . . . . . . . . . . . . . . . . . . . .</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34.9</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35.4</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36.5</w:t>
            </w:r>
          </w:p>
        </w:tc>
      </w:tr>
      <w:tr>
        <w:trPr>
          <w:trHeight w:val="245"/>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Basic (loss) earnings per share </w:t>
            </w:r>
            <w:r>
              <w:rPr>
                <w:rFonts w:ascii="Times New Roman" w:cs="Times New Roman" w:eastAsia="Times New Roman" w:hAnsi="Times New Roman"/>
                <w:sz w:val="20"/>
                <w:szCs w:val="20"/>
                <w:color w:val="B8BABC"/>
              </w:rPr>
              <w:t>. . . . . . . . . . . . . . . . . . . . . . . . . . . . . . . . . .</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6.96</w:t>
            </w:r>
          </w:p>
        </w:tc>
      </w:tr>
      <w:tr>
        <w:trPr>
          <w:trHeight w:val="20"/>
        </w:trPr>
        <w:tc>
          <w:tcPr>
            <w:tcW w:w="594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r>
      <w:tr>
        <w:trPr>
          <w:trHeight w:val="435"/>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(in millions, except per share amounts)</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ind w:right="32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center"/>
              <w:ind w:right="241"/>
              <w:spacing w:after="0"/>
              <w:rPr>
                <w:sz w:val="20"/>
                <w:szCs w:val="20"/>
                <w:color w:val="auto"/>
              </w:rPr>
            </w:pPr>
            <w:r>
              <w:rPr>
                <w:rFonts w:ascii="Times New Roman" w:cs="Times New Roman" w:eastAsia="Times New Roman" w:hAnsi="Times New Roman"/>
                <w:sz w:val="18"/>
                <w:szCs w:val="18"/>
                <w:b w:val="1"/>
                <w:bCs w:val="1"/>
                <w:color w:val="231F20"/>
              </w:rPr>
              <w:t>2024</w:t>
            </w:r>
            <w:r>
              <w:rPr>
                <w:rFonts w:ascii="Times New Roman" w:cs="Times New Roman" w:eastAsia="Times New Roman" w:hAnsi="Times New Roman"/>
                <w:sz w:val="23"/>
                <w:szCs w:val="23"/>
                <w:b w:val="1"/>
                <w:bCs w:val="1"/>
                <w:color w:val="231F20"/>
                <w:vertAlign w:val="superscript"/>
              </w:rPr>
              <w:t>(1)</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center"/>
              <w:ind w:right="241"/>
              <w:spacing w:after="0"/>
              <w:rPr>
                <w:sz w:val="20"/>
                <w:szCs w:val="20"/>
                <w:color w:val="auto"/>
              </w:rPr>
            </w:pPr>
            <w:r>
              <w:rPr>
                <w:rFonts w:ascii="Times New Roman" w:cs="Times New Roman" w:eastAsia="Times New Roman" w:hAnsi="Times New Roman"/>
                <w:sz w:val="18"/>
                <w:szCs w:val="18"/>
                <w:b w:val="1"/>
                <w:bCs w:val="1"/>
                <w:color w:val="231F20"/>
              </w:rPr>
              <w:t>2023</w:t>
            </w:r>
            <w:r>
              <w:rPr>
                <w:rFonts w:ascii="Times New Roman" w:cs="Times New Roman" w:eastAsia="Times New Roman" w:hAnsi="Times New Roman"/>
                <w:sz w:val="23"/>
                <w:szCs w:val="23"/>
                <w:b w:val="1"/>
                <w:bCs w:val="1"/>
                <w:color w:val="231F20"/>
                <w:vertAlign w:val="superscript"/>
              </w:rPr>
              <w:t>(1)</w:t>
            </w:r>
          </w:p>
        </w:tc>
      </w:tr>
      <w:tr>
        <w:trPr>
          <w:trHeight w:val="262"/>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Net (loss) income attributable to common stockholders  </w:t>
            </w:r>
            <w:r>
              <w:rPr>
                <w:rFonts w:ascii="Times New Roman" w:cs="Times New Roman" w:eastAsia="Times New Roman" w:hAnsi="Times New Roman"/>
                <w:sz w:val="20"/>
                <w:szCs w:val="20"/>
                <w:color w:val="B8BABC"/>
              </w:rPr>
              <w:t>. . . . . . . . . . . . . .</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254</w:t>
            </w:r>
          </w:p>
        </w:tc>
      </w:tr>
      <w:tr>
        <w:trPr>
          <w:trHeight w:val="288"/>
        </w:trPr>
        <w:tc>
          <w:tcPr>
            <w:tcW w:w="5940" w:type="dxa"/>
            <w:vAlign w:val="bottom"/>
          </w:tcPr>
          <w:p>
            <w:pPr>
              <w:spacing w:after="0" w:line="288" w:lineRule="exact"/>
              <w:rPr>
                <w:sz w:val="20"/>
                <w:szCs w:val="20"/>
                <w:color w:val="auto"/>
              </w:rPr>
            </w:pPr>
            <w:r>
              <w:rPr>
                <w:rFonts w:ascii="Times New Roman" w:cs="Times New Roman" w:eastAsia="Times New Roman" w:hAnsi="Times New Roman"/>
                <w:sz w:val="20"/>
                <w:szCs w:val="20"/>
                <w:color w:val="231F20"/>
                <w:w w:val="99"/>
              </w:rPr>
              <w:t>Add back of interest expense related to convertible notes, net of tax</w:t>
            </w:r>
            <w:r>
              <w:rPr>
                <w:rFonts w:ascii="Times New Roman" w:cs="Times New Roman" w:eastAsia="Times New Roman" w:hAnsi="Times New Roman"/>
                <w:sz w:val="26"/>
                <w:szCs w:val="26"/>
                <w:color w:val="231F20"/>
                <w:w w:val="99"/>
                <w:vertAlign w:val="superscript"/>
              </w:rPr>
              <w:t>(2)</w:t>
            </w:r>
            <w:r>
              <w:rPr>
                <w:rFonts w:ascii="Times New Roman" w:cs="Times New Roman" w:eastAsia="Times New Roman" w:hAnsi="Times New Roman"/>
                <w:sz w:val="20"/>
                <w:szCs w:val="20"/>
                <w:color w:val="231F20"/>
                <w:w w:val="99"/>
              </w:rPr>
              <w:t xml:space="preserve">  </w:t>
            </w:r>
            <w:r>
              <w:rPr>
                <w:rFonts w:ascii="Times New Roman" w:cs="Times New Roman" w:eastAsia="Times New Roman" w:hAnsi="Times New Roman"/>
                <w:sz w:val="20"/>
                <w:szCs w:val="20"/>
                <w:color w:val="B8BABC"/>
                <w:w w:val="99"/>
              </w:rPr>
              <w:t>. . .</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w:t>
            </w:r>
          </w:p>
        </w:tc>
      </w:tr>
      <w:tr>
        <w:trPr>
          <w:trHeight w:val="262"/>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Numerator used to calculate diluted (loss) earnings per share </w:t>
            </w:r>
            <w:r>
              <w:rPr>
                <w:rFonts w:ascii="Times New Roman" w:cs="Times New Roman" w:eastAsia="Times New Roman" w:hAnsi="Times New Roman"/>
                <w:sz w:val="20"/>
                <w:szCs w:val="20"/>
                <w:color w:val="B8BABC"/>
              </w:rPr>
              <w:t>. . . . . . . . . .</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273</w:t>
            </w:r>
          </w:p>
        </w:tc>
      </w:tr>
      <w:tr>
        <w:trPr>
          <w:trHeight w:val="570"/>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Shares for basic (loss) earnings per share </w:t>
            </w:r>
            <w:r>
              <w:rPr>
                <w:rFonts w:ascii="Times New Roman" w:cs="Times New Roman" w:eastAsia="Times New Roman" w:hAnsi="Times New Roman"/>
                <w:sz w:val="20"/>
                <w:szCs w:val="20"/>
                <w:color w:val="B8BABC"/>
              </w:rPr>
              <w:t>.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36.5</w:t>
            </w:r>
          </w:p>
        </w:tc>
      </w:tr>
      <w:tr>
        <w:trPr>
          <w:trHeight w:val="310"/>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Effect of dilutive shares outstanding</w:t>
            </w:r>
            <w:r>
              <w:rPr>
                <w:rFonts w:ascii="Times New Roman" w:cs="Times New Roman" w:eastAsia="Times New Roman" w:hAnsi="Times New Roman"/>
                <w:sz w:val="26"/>
                <w:szCs w:val="26"/>
                <w:color w:val="231F20"/>
                <w:vertAlign w:val="superscript"/>
              </w:rPr>
              <w:t>(3)</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0"/>
        </w:trPr>
        <w:tc>
          <w:tcPr>
            <w:tcW w:w="594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 xml:space="preserve">Employee SARs </w:t>
            </w:r>
            <w:r>
              <w:rPr>
                <w:rFonts w:ascii="Times New Roman" w:cs="Times New Roman" w:eastAsia="Times New Roman" w:hAnsi="Times New Roman"/>
                <w:sz w:val="20"/>
                <w:szCs w:val="20"/>
                <w:color w:val="B8BABC"/>
              </w:rPr>
              <w:t>. . . . . . . . . . . . . . . . . . . . . . . . . . . . . . . . . . . . . . . . . . . .</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w:t>
            </w:r>
          </w:p>
        </w:tc>
      </w:tr>
      <w:tr>
        <w:trPr>
          <w:trHeight w:val="285"/>
        </w:trPr>
        <w:tc>
          <w:tcPr>
            <w:tcW w:w="59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 xml:space="preserve">Restricted stock units </w:t>
            </w:r>
            <w:r>
              <w:rPr>
                <w:rFonts w:ascii="Times New Roman" w:cs="Times New Roman" w:eastAsia="Times New Roman" w:hAnsi="Times New Roman"/>
                <w:sz w:val="20"/>
                <w:szCs w:val="20"/>
                <w:color w:val="B8BABC"/>
              </w:rPr>
              <w:t>. . . . . . . . . .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0.3</w:t>
            </w:r>
          </w:p>
        </w:tc>
      </w:tr>
      <w:tr>
        <w:trPr>
          <w:trHeight w:val="285"/>
        </w:trPr>
        <w:tc>
          <w:tcPr>
            <w:tcW w:w="59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 xml:space="preserve">2026 Convertible Notes </w:t>
            </w:r>
            <w:r>
              <w:rPr>
                <w:rFonts w:ascii="Times New Roman" w:cs="Times New Roman" w:eastAsia="Times New Roman" w:hAnsi="Times New Roman"/>
                <w:sz w:val="20"/>
                <w:szCs w:val="20"/>
                <w:color w:val="B8BABC"/>
              </w:rPr>
              <w:t>. . . . . . . . . . . . . . . . . . . . . . . . . . . . . . . . . . . . . .</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w:t>
            </w:r>
          </w:p>
        </w:tc>
      </w:tr>
      <w:tr>
        <w:trPr>
          <w:trHeight w:val="288"/>
        </w:trPr>
        <w:tc>
          <w:tcPr>
            <w:tcW w:w="59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 xml:space="preserve">2027 Convertible Notes </w:t>
            </w:r>
            <w:r>
              <w:rPr>
                <w:rFonts w:ascii="Times New Roman" w:cs="Times New Roman" w:eastAsia="Times New Roman" w:hAnsi="Times New Roman"/>
                <w:sz w:val="20"/>
                <w:szCs w:val="20"/>
                <w:color w:val="B8BABC"/>
              </w:rPr>
              <w:t>. . . . . . . . . . . . . . . . . . . . . . . . . . . . . . . . . . . . . .</w:t>
            </w:r>
          </w:p>
        </w:tc>
        <w:tc>
          <w:tcPr>
            <w:tcW w:w="28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w:t>
            </w:r>
          </w:p>
        </w:tc>
      </w:tr>
      <w:tr>
        <w:trPr>
          <w:trHeight w:val="265"/>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Shares for diluted (loss) earnings per share </w:t>
            </w:r>
            <w:r>
              <w:rPr>
                <w:rFonts w:ascii="Times New Roman" w:cs="Times New Roman" w:eastAsia="Times New Roman" w:hAnsi="Times New Roman"/>
                <w:sz w:val="20"/>
                <w:szCs w:val="20"/>
                <w:color w:val="B8BABC"/>
              </w:rPr>
              <w:t>. . . . . . . . . . . . . . . . . . . . . . . .</w:t>
            </w:r>
          </w:p>
        </w:tc>
        <w:tc>
          <w:tcPr>
            <w:tcW w:w="28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34.9</w:t>
            </w:r>
          </w:p>
        </w:tc>
        <w:tc>
          <w:tcPr>
            <w:tcW w:w="60" w:type="dxa"/>
            <w:vAlign w:val="bottom"/>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42.1</w:t>
            </w:r>
          </w:p>
        </w:tc>
        <w:tc>
          <w:tcPr>
            <w:tcW w:w="60" w:type="dxa"/>
            <w:vAlign w:val="bottom"/>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43.5</w:t>
            </w:r>
          </w:p>
        </w:tc>
      </w:tr>
      <w:tr>
        <w:trPr>
          <w:trHeight w:val="245"/>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Diluted (loss) earnings per share  </w:t>
            </w:r>
            <w:r>
              <w:rPr>
                <w:rFonts w:ascii="Times New Roman" w:cs="Times New Roman" w:eastAsia="Times New Roman" w:hAnsi="Times New Roman"/>
                <w:sz w:val="20"/>
                <w:szCs w:val="20"/>
                <w:color w:val="B8BABC"/>
              </w:rPr>
              <w:t>. . . . . . . . . . . . . . . . . . . . . . . . . . . . . . . .</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6.28</w:t>
            </w:r>
          </w:p>
        </w:tc>
      </w:tr>
      <w:tr>
        <w:trPr>
          <w:trHeight w:val="20"/>
        </w:trPr>
        <w:tc>
          <w:tcPr>
            <w:tcW w:w="594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r>
    </w:tbl>
    <w:p>
      <w:pPr>
        <w:spacing w:after="0" w:line="128" w:lineRule="exact"/>
        <w:rPr>
          <w:sz w:val="20"/>
          <w:szCs w:val="20"/>
          <w:color w:val="auto"/>
        </w:rPr>
      </w:pPr>
    </w:p>
    <w:p>
      <w:pPr>
        <w:ind w:left="360" w:right="20" w:hanging="360"/>
        <w:spacing w:after="0"/>
        <w:tabs>
          <w:tab w:leader="none" w:pos="360" w:val="left"/>
        </w:tabs>
        <w:numPr>
          <w:ilvl w:val="0"/>
          <w:numId w:val="42"/>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The computations of diluted earnings per share attributable to common stockholders above exclude approximately 222,000 and 193,000 shares of common stock, the maximum number of shares issuable as of December 31, 2024 and December 31, 2023, respectively, upon the vesting of certain performance-based awards, because the performance conditions required to be met for the shares subject to such awards to vest were not achieved by the end of the reporting period.</w:t>
      </w:r>
    </w:p>
    <w:p>
      <w:pPr>
        <w:spacing w:after="0" w:line="101" w:lineRule="exact"/>
        <w:rPr>
          <w:rFonts w:ascii="Times New Roman" w:cs="Times New Roman" w:eastAsia="Times New Roman" w:hAnsi="Times New Roman"/>
          <w:sz w:val="26"/>
          <w:szCs w:val="26"/>
          <w:color w:val="231F20"/>
          <w:vertAlign w:val="superscript"/>
        </w:rPr>
      </w:pPr>
    </w:p>
    <w:p>
      <w:pPr>
        <w:jc w:val="both"/>
        <w:ind w:left="360" w:right="120" w:hanging="360"/>
        <w:spacing w:after="0" w:line="234" w:lineRule="auto"/>
        <w:tabs>
          <w:tab w:leader="none" w:pos="360" w:val="left"/>
        </w:tabs>
        <w:numPr>
          <w:ilvl w:val="0"/>
          <w:numId w:val="42"/>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For the year ended December 31, 2025, $18 million of interest expense related to convertible notes, net of tax, was excluded from the above calculation of diluted net loss per share attributable to common stockholders as the effects of inclusion would have been anti-dilutive.</w:t>
      </w:r>
    </w:p>
    <w:p>
      <w:pPr>
        <w:sectPr>
          <w:pgSz w:w="11880" w:h="15480" w:orient="portrait"/>
          <w:cols w:equalWidth="0" w:num="1">
            <w:col w:w="9720"/>
          </w:cols>
          <w:pgMar w:left="1080" w:top="829" w:right="108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103</w:t>
      </w:r>
    </w:p>
    <w:p>
      <w:pPr>
        <w:sectPr>
          <w:pgSz w:w="11880" w:h="15480" w:orient="portrait"/>
          <w:cols w:equalWidth="0" w:num="1">
            <w:col w:w="9720"/>
          </w:cols>
          <w:pgMar w:left="1080" w:top="829" w:right="1080" w:bottom="0" w:gutter="0" w:footer="0" w:header="0"/>
          <w:type w:val="continuous"/>
        </w:sectPr>
      </w:pPr>
    </w:p>
    <w:bookmarkStart w:id="107" w:name="page108"/>
    <w:bookmarkEnd w:id="107"/>
    <w:p>
      <w:pPr>
        <w:ind w:left="360" w:right="240" w:hanging="360"/>
        <w:spacing w:after="0" w:line="234" w:lineRule="auto"/>
        <w:tabs>
          <w:tab w:leader="none" w:pos="360" w:val="left"/>
        </w:tabs>
        <w:numPr>
          <w:ilvl w:val="0"/>
          <w:numId w:val="43"/>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For the year ended December 31, 2025, the following potentially dilutive securities were excluded from the above calculation of diluted net loss per share attributable to common stockholders as the effects of including these securities would have been anti-dilutive.</w:t>
      </w:r>
    </w:p>
    <w:p>
      <w:pPr>
        <w:spacing w:after="0" w:line="49" w:lineRule="exact"/>
        <w:rPr>
          <w:sz w:val="20"/>
          <w:szCs w:val="20"/>
          <w:color w:val="auto"/>
        </w:rPr>
      </w:pPr>
    </w:p>
    <w:p>
      <w:pPr>
        <w:ind w:left="420"/>
        <w:spacing w:after="0"/>
        <w:tabs>
          <w:tab w:leader="none" w:pos="8540" w:val="left"/>
        </w:tabs>
        <w:rPr>
          <w:sz w:val="20"/>
          <w:szCs w:val="20"/>
          <w:color w:val="auto"/>
        </w:rPr>
      </w:pPr>
      <w:r>
        <w:rPr>
          <w:rFonts w:ascii="Times New Roman" w:cs="Times New Roman" w:eastAsia="Times New Roman" w:hAnsi="Times New Roman"/>
          <w:sz w:val="16"/>
          <w:szCs w:val="16"/>
          <w:b w:val="1"/>
          <w:bCs w:val="1"/>
          <w:i w:val="1"/>
          <w:iCs w:val="1"/>
          <w:color w:val="231F20"/>
        </w:rPr>
        <w:t>(in millions, except per share amounts)</w:t>
      </w:r>
      <w:r>
        <w:rPr>
          <w:sz w:val="20"/>
          <w:szCs w:val="20"/>
          <w:color w:val="auto"/>
        </w:rPr>
        <w:tab/>
      </w:r>
      <w:r>
        <w:rPr>
          <w:rFonts w:ascii="Times New Roman" w:cs="Times New Roman" w:eastAsia="Times New Roman" w:hAnsi="Times New Roman"/>
          <w:sz w:val="20"/>
          <w:szCs w:val="20"/>
          <w:b w:val="1"/>
          <w:bCs w:val="1"/>
          <w:color w:val="231F20"/>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23495</wp:posOffset>
            </wp:positionV>
            <wp:extent cx="122872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0">
                      <a:extLst>
                        <a:ext uri="{28A0092B-C50C-407E-A947-70E740481C1C}"/>
                      </a:extLst>
                    </a:blip>
                    <a:srcRect/>
                    <a:stretch>
                      <a:fillRect/>
                    </a:stretch>
                  </pic:blipFill>
                  <pic:spPr bwMode="auto">
                    <a:xfrm>
                      <a:off x="0" y="0"/>
                      <a:ext cx="1228725" cy="12700"/>
                    </a:xfrm>
                    <a:prstGeom prst="rect">
                      <a:avLst/>
                    </a:prstGeom>
                    <a:noFill/>
                  </pic:spPr>
                </pic:pic>
              </a:graphicData>
            </a:graphic>
          </wp:anchor>
        </w:drawing>
      </w:r>
    </w:p>
    <w:p>
      <w:pPr>
        <w:spacing w:after="0" w:line="39" w:lineRule="exact"/>
        <w:rPr>
          <w:sz w:val="20"/>
          <w:szCs w:val="20"/>
          <w:color w:val="auto"/>
        </w:rPr>
      </w:pPr>
    </w:p>
    <w:p>
      <w:pPr>
        <w:ind w:left="420"/>
        <w:spacing w:after="0"/>
        <w:tabs>
          <w:tab w:leader="none" w:pos="9360" w:val="left"/>
        </w:tabs>
        <w:rPr>
          <w:sz w:val="20"/>
          <w:szCs w:val="20"/>
          <w:color w:val="auto"/>
        </w:rPr>
      </w:pPr>
      <w:r>
        <w:rPr>
          <w:rFonts w:ascii="Times New Roman" w:cs="Times New Roman" w:eastAsia="Times New Roman" w:hAnsi="Times New Roman"/>
          <w:sz w:val="20"/>
          <w:szCs w:val="20"/>
          <w:color w:val="231F20"/>
        </w:rPr>
        <w:t xml:space="preserve">Restricted stock units  </w:t>
      </w:r>
      <w:r>
        <w:rPr>
          <w:rFonts w:ascii="Times New Roman" w:cs="Times New Roman" w:eastAsia="Times New Roman" w:hAnsi="Times New Roman"/>
          <w:sz w:val="20"/>
          <w:szCs w:val="20"/>
          <w:color w:val="B8BABC"/>
        </w:rPr>
        <w:t>. . . . . . . . . . . . . . . . . . . . . . . . . . . . . . . . . . . . . . . . . . . . . . . . . . . . . . .</w:t>
      </w:r>
      <w:r>
        <w:rPr>
          <w:sz w:val="20"/>
          <w:szCs w:val="20"/>
          <w:color w:val="auto"/>
        </w:rPr>
        <w:tab/>
      </w:r>
      <w:r>
        <w:rPr>
          <w:rFonts w:ascii="Times New Roman" w:cs="Times New Roman" w:eastAsia="Times New Roman" w:hAnsi="Times New Roman"/>
          <w:sz w:val="20"/>
          <w:szCs w:val="20"/>
          <w:color w:val="231F20"/>
        </w:rPr>
        <w:t>0.2</w:t>
      </w:r>
    </w:p>
    <w:p>
      <w:pPr>
        <w:spacing w:after="0" w:line="55" w:lineRule="exact"/>
        <w:rPr>
          <w:sz w:val="20"/>
          <w:szCs w:val="20"/>
          <w:color w:val="auto"/>
        </w:rPr>
      </w:pPr>
    </w:p>
    <w:p>
      <w:pPr>
        <w:ind w:left="420"/>
        <w:spacing w:after="0"/>
        <w:tabs>
          <w:tab w:leader="none" w:pos="9360" w:val="left"/>
        </w:tabs>
        <w:rPr>
          <w:sz w:val="20"/>
          <w:szCs w:val="20"/>
          <w:color w:val="auto"/>
        </w:rPr>
      </w:pPr>
      <w:r>
        <w:rPr>
          <w:rFonts w:ascii="Times New Roman" w:cs="Times New Roman" w:eastAsia="Times New Roman" w:hAnsi="Times New Roman"/>
          <w:sz w:val="20"/>
          <w:szCs w:val="20"/>
          <w:color w:val="231F20"/>
        </w:rPr>
        <w:t xml:space="preserve">2026 Convertible Notes </w:t>
      </w:r>
      <w:r>
        <w:rPr>
          <w:rFonts w:ascii="Times New Roman" w:cs="Times New Roman" w:eastAsia="Times New Roman" w:hAnsi="Times New Roman"/>
          <w:sz w:val="20"/>
          <w:szCs w:val="20"/>
          <w:color w:val="B8BABC"/>
        </w:rPr>
        <w:t>. . . . . . . . . . . . . . . . . . . . . . . . . . . . . . . . . . . . . . . . . . . . . . . . . . . . . .</w:t>
      </w:r>
      <w:r>
        <w:rPr>
          <w:sz w:val="20"/>
          <w:szCs w:val="20"/>
          <w:color w:val="auto"/>
        </w:rPr>
        <w:tab/>
      </w:r>
      <w:r>
        <w:rPr>
          <w:rFonts w:ascii="Times New Roman" w:cs="Times New Roman" w:eastAsia="Times New Roman" w:hAnsi="Times New Roman"/>
          <w:sz w:val="20"/>
          <w:szCs w:val="20"/>
          <w:color w:val="231F20"/>
        </w:rPr>
        <w:t>3.0</w:t>
      </w:r>
    </w:p>
    <w:p>
      <w:pPr>
        <w:spacing w:after="0" w:line="55" w:lineRule="exact"/>
        <w:rPr>
          <w:sz w:val="20"/>
          <w:szCs w:val="20"/>
          <w:color w:val="auto"/>
        </w:rPr>
      </w:pPr>
    </w:p>
    <w:p>
      <w:pPr>
        <w:ind w:left="420"/>
        <w:spacing w:after="0"/>
        <w:tabs>
          <w:tab w:leader="none" w:pos="9360" w:val="left"/>
        </w:tabs>
        <w:rPr>
          <w:sz w:val="20"/>
          <w:szCs w:val="20"/>
          <w:color w:val="auto"/>
        </w:rPr>
      </w:pPr>
      <w:r>
        <w:rPr>
          <w:rFonts w:ascii="Times New Roman" w:cs="Times New Roman" w:eastAsia="Times New Roman" w:hAnsi="Times New Roman"/>
          <w:sz w:val="20"/>
          <w:szCs w:val="20"/>
          <w:color w:val="231F20"/>
        </w:rPr>
        <w:t xml:space="preserve">2027 Convertible Notes  </w:t>
      </w:r>
      <w:r>
        <w:rPr>
          <w:rFonts w:ascii="Times New Roman" w:cs="Times New Roman" w:eastAsia="Times New Roman" w:hAnsi="Times New Roman"/>
          <w:sz w:val="20"/>
          <w:szCs w:val="20"/>
          <w:color w:val="B8BABC"/>
        </w:rPr>
        <w:t>. . . . . . . . . . . . . . . . . . . . . . . . . . . . . . . . . . . . . . . . . . . . . . . . . . . . .</w:t>
      </w:r>
      <w:r>
        <w:rPr>
          <w:sz w:val="20"/>
          <w:szCs w:val="20"/>
          <w:color w:val="auto"/>
        </w:rPr>
        <w:tab/>
      </w:r>
      <w:r>
        <w:rPr>
          <w:rFonts w:ascii="Times New Roman" w:cs="Times New Roman" w:eastAsia="Times New Roman" w:hAnsi="Times New Roman"/>
          <w:sz w:val="20"/>
          <w:szCs w:val="20"/>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20955</wp:posOffset>
            </wp:positionV>
            <wp:extent cx="122872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1">
                      <a:extLst>
                        <a:ext uri="{28A0092B-C50C-407E-A947-70E740481C1C}"/>
                      </a:extLst>
                    </a:blip>
                    <a:srcRect/>
                    <a:stretch>
                      <a:fillRect/>
                    </a:stretch>
                  </pic:blipFill>
                  <pic:spPr bwMode="auto">
                    <a:xfrm>
                      <a:off x="0" y="0"/>
                      <a:ext cx="1228725" cy="12700"/>
                    </a:xfrm>
                    <a:prstGeom prst="rect">
                      <a:avLst/>
                    </a:prstGeom>
                    <a:noFill/>
                  </pic:spPr>
                </pic:pic>
              </a:graphicData>
            </a:graphic>
          </wp:anchor>
        </w:drawing>
      </w:r>
    </w:p>
    <w:p>
      <w:pPr>
        <w:spacing w:after="0" w:line="65"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20"/>
          <w:szCs w:val="20"/>
          <w:color w:val="231F20"/>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8255</wp:posOffset>
            </wp:positionV>
            <wp:extent cx="122872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2">
                      <a:extLst>
                        <a:ext uri="{28A0092B-C50C-407E-A947-70E740481C1C}"/>
                      </a:extLst>
                    </a:blip>
                    <a:srcRect/>
                    <a:stretch>
                      <a:fillRect/>
                    </a:stretch>
                  </pic:blipFill>
                  <pic:spPr bwMode="auto">
                    <a:xfrm>
                      <a:off x="0" y="0"/>
                      <a:ext cx="1228725" cy="12700"/>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33655</wp:posOffset>
            </wp:positionV>
            <wp:extent cx="122872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3">
                      <a:extLst>
                        <a:ext uri="{28A0092B-C50C-407E-A947-70E740481C1C}"/>
                      </a:extLst>
                    </a:blip>
                    <a:srcRect/>
                    <a:stretch>
                      <a:fillRect/>
                    </a:stretch>
                  </pic:blipFill>
                  <pic:spPr bwMode="auto">
                    <a:xfrm>
                      <a:off x="0" y="0"/>
                      <a:ext cx="1228725" cy="1270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 accordance with the applicable accounting guidance for calculating earnings per share, for the year ended</w:t>
      </w:r>
    </w:p>
    <w:p>
      <w:pPr>
        <w:spacing w:after="0" w:line="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December 31, 2024, we excluded from our calculation of diluted earnings per share 643,167 shares underlying SARs that may settle in shares of common stock because the exercise prices of such SARs, which ranged from $93.73 to $173.88, were greater than the average market price of our common stock for the applicable period.</w:t>
      </w:r>
    </w:p>
    <w:p>
      <w:pPr>
        <w:spacing w:after="0" w:line="8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9"/>
          <w:szCs w:val="19"/>
          <w:color w:val="231F20"/>
        </w:rPr>
        <w:t>For the year ended December 31, 2023, we excluded from our calculation of diluted earnings per share 287,125 shares underlying SARs that may settle in shares of common stock because the exercise prices of such SARs, which ranged from $143.38 to $173.88, were greater than the average market price of our common stock for the applicable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8. INVENTORY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shows the composition of our inventory balances:</w:t>
      </w:r>
    </w:p>
    <w:p>
      <w:pPr>
        <w:spacing w:after="0" w:line="13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8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8"/>
                <w:szCs w:val="18"/>
                <w:b w:val="1"/>
                <w:bCs w:val="1"/>
                <w:color w:val="231F20"/>
                <w:w w:val="99"/>
              </w:rPr>
              <w:t>At Year-End 2025</w:t>
            </w: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ind w:right="103"/>
              <w:spacing w:after="0"/>
              <w:rPr>
                <w:sz w:val="20"/>
                <w:szCs w:val="20"/>
                <w:color w:val="auto"/>
              </w:rPr>
            </w:pPr>
            <w:r>
              <w:rPr>
                <w:rFonts w:ascii="Times New Roman" w:cs="Times New Roman" w:eastAsia="Times New Roman" w:hAnsi="Times New Roman"/>
                <w:sz w:val="18"/>
                <w:szCs w:val="18"/>
                <w:b w:val="1"/>
                <w:bCs w:val="1"/>
                <w:color w:val="231F20"/>
                <w:w w:val="99"/>
              </w:rPr>
              <w:t>At Year-End 2024</w:t>
            </w:r>
          </w:p>
        </w:tc>
      </w:tr>
      <w:tr>
        <w:trPr>
          <w:trHeight w:val="262"/>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31F20"/>
              </w:rPr>
              <w:t>Real estate inventory</w:t>
            </w:r>
            <w:r>
              <w:rPr>
                <w:rFonts w:ascii="Times New Roman" w:cs="Times New Roman" w:eastAsia="Times New Roman" w:hAnsi="Times New Roman"/>
                <w:sz w:val="11"/>
                <w:szCs w:val="11"/>
                <w:color w:val="231F20"/>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725</w:t>
            </w:r>
          </w:p>
        </w:tc>
      </w:tr>
      <w:tr>
        <w:trPr>
          <w:trHeight w:val="288"/>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 . . . . . . . . . . . . .</w:t>
            </w: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w:t>
            </w:r>
          </w:p>
        </w:tc>
      </w:tr>
      <w:tr>
        <w:trPr>
          <w:trHeight w:val="245"/>
        </w:trPr>
        <w:tc>
          <w:tcPr>
            <w:tcW w:w="60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735</w:t>
            </w:r>
          </w:p>
        </w:tc>
      </w:tr>
      <w:tr>
        <w:trPr>
          <w:trHeight w:val="20"/>
        </w:trPr>
        <w:tc>
          <w:tcPr>
            <w:tcW w:w="600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r>
    </w:tbl>
    <w:p>
      <w:pPr>
        <w:spacing w:after="0" w:line="128" w:lineRule="exact"/>
        <w:rPr>
          <w:sz w:val="20"/>
          <w:szCs w:val="20"/>
          <w:color w:val="auto"/>
        </w:rPr>
      </w:pPr>
    </w:p>
    <w:p>
      <w:pPr>
        <w:ind w:left="360" w:right="100" w:hanging="360"/>
        <w:spacing w:after="0" w:line="226" w:lineRule="auto"/>
        <w:tabs>
          <w:tab w:leader="none" w:pos="360" w:val="left"/>
        </w:tabs>
        <w:numPr>
          <w:ilvl w:val="0"/>
          <w:numId w:val="44"/>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Represents completed inventory that is registered for sale as VOIs and vacation ownership inventory expected to be reacquired pursuant to estimated future defaults on originated vacation ownership notes receivable.</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231F20"/>
        </w:rPr>
        <w:t>In addition to the above, at December 31, 2025 and December 31, 2024, we had $224 million and $271 million, respectively, of completed vacation ownership units which are classified as a component of Property and equipment, net until the time at which they are available and legally registered for sale as vacation ownership products.</w:t>
      </w:r>
    </w:p>
    <w:p>
      <w:pPr>
        <w:spacing w:after="0" w:line="13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231F20"/>
        </w:rPr>
        <w:t>We also had deposits on future purchases of inventory of $31 million at December 31, 2025, of which $26 million was included in Other assets and $5 million was included in Accounts and contracts receivable, net on our Balance Sheet, and $33 million at December 31, 2024, of which $29 million was included in Other assets and $4 million was included in Accounts and contracts receivable, net on our Balance Sheet.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See Footnote 20 “Restructuring and Impairment” for information on the impairment of inventory.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9. PROPERTY AND EQUIPMENT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details the composition of our property and equipment balances:</w:t>
      </w:r>
    </w:p>
    <w:p>
      <w:pPr>
        <w:spacing w:after="0" w:line="133" w:lineRule="exact"/>
        <w:rPr>
          <w:sz w:val="20"/>
          <w:szCs w:val="20"/>
          <w:color w:val="auto"/>
        </w:rPr>
      </w:pPr>
    </w:p>
    <w:p>
      <w:pPr>
        <w:ind w:left="60"/>
        <w:spacing w:after="0"/>
        <w:tabs>
          <w:tab w:leader="none" w:pos="6240" w:val="left"/>
          <w:tab w:leader="none" w:pos="8100" w:val="left"/>
        </w:tabs>
        <w:rPr>
          <w:sz w:val="20"/>
          <w:szCs w:val="20"/>
          <w:color w:val="auto"/>
        </w:rPr>
      </w:pPr>
      <w:r>
        <w:rPr>
          <w:rFonts w:ascii="Times New Roman" w:cs="Times New Roman" w:eastAsia="Times New Roman" w:hAnsi="Times New Roman"/>
          <w:sz w:val="16"/>
          <w:szCs w:val="16"/>
          <w:b w:val="1"/>
          <w:bCs w:val="1"/>
          <w:i w:val="1"/>
          <w:iCs w:val="1"/>
          <w:color w:val="231F20"/>
        </w:rPr>
        <w:t>($ in millions)</w:t>
      </w:r>
      <w:r>
        <w:rPr>
          <w:sz w:val="20"/>
          <w:szCs w:val="20"/>
          <w:color w:val="auto"/>
        </w:rPr>
        <w:tab/>
      </w:r>
      <w:r>
        <w:rPr>
          <w:rFonts w:ascii="Times New Roman" w:cs="Times New Roman" w:eastAsia="Times New Roman" w:hAnsi="Times New Roman"/>
          <w:sz w:val="18"/>
          <w:szCs w:val="18"/>
          <w:b w:val="1"/>
          <w:bCs w:val="1"/>
          <w:color w:val="231F20"/>
        </w:rPr>
        <w:t>At Year-End 2025</w:t>
      </w:r>
      <w:r>
        <w:rPr>
          <w:sz w:val="20"/>
          <w:szCs w:val="20"/>
          <w:color w:val="auto"/>
        </w:rPr>
        <w:tab/>
      </w:r>
      <w:r>
        <w:rPr>
          <w:rFonts w:ascii="Times New Roman" w:cs="Times New Roman" w:eastAsia="Times New Roman" w:hAnsi="Times New Roman"/>
          <w:sz w:val="17"/>
          <w:szCs w:val="17"/>
          <w:b w:val="1"/>
          <w:bCs w:val="1"/>
          <w:color w:val="231F20"/>
        </w:rPr>
        <w:t>At Year-End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22860</wp:posOffset>
            </wp:positionV>
            <wp:extent cx="2324100"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4">
                      <a:extLst>
                        <a:ext uri="{28A0092B-C50C-407E-A947-70E740481C1C}"/>
                      </a:extLst>
                    </a:blip>
                    <a:srcRect/>
                    <a:stretch>
                      <a:fillRect/>
                    </a:stretch>
                  </pic:blipFill>
                  <pic:spPr bwMode="auto">
                    <a:xfrm>
                      <a:off x="0" y="0"/>
                      <a:ext cx="2324100" cy="12700"/>
                    </a:xfrm>
                    <a:prstGeom prst="rect">
                      <a:avLst/>
                    </a:prstGeom>
                    <a:noFill/>
                  </pic:spPr>
                </pic:pic>
              </a:graphicData>
            </a:graphic>
          </wp:anchor>
        </w:drawing>
      </w:r>
    </w:p>
    <w:p>
      <w:pPr>
        <w:sectPr>
          <w:pgSz w:w="11880" w:h="15480" w:orient="portrait"/>
          <w:cols w:equalWidth="0" w:num="1">
            <w:col w:w="9720"/>
          </w:cols>
          <w:pgMar w:left="1080" w:top="838" w:right="1080" w:bottom="0" w:gutter="0" w:footer="0" w:header="0"/>
        </w:sectPr>
      </w:pPr>
    </w:p>
    <w:p>
      <w:pPr>
        <w:spacing w:after="0" w:line="37" w:lineRule="exact"/>
        <w:rPr>
          <w:sz w:val="20"/>
          <w:szCs w:val="20"/>
          <w:color w:val="auto"/>
        </w:rPr>
      </w:pPr>
    </w:p>
    <w:p>
      <w:pPr>
        <w:ind w:left="60" w:right="380"/>
        <w:spacing w:after="0" w:line="297" w:lineRule="auto"/>
        <w:rPr>
          <w:sz w:val="20"/>
          <w:szCs w:val="20"/>
          <w:color w:val="auto"/>
        </w:rPr>
      </w:pPr>
      <w:r>
        <w:rPr>
          <w:rFonts w:ascii="Times New Roman" w:cs="Times New Roman" w:eastAsia="Times New Roman" w:hAnsi="Times New Roman"/>
          <w:sz w:val="20"/>
          <w:szCs w:val="20"/>
          <w:color w:val="231F20"/>
        </w:rPr>
        <w:t xml:space="preserve">Land and land improvements </w:t>
      </w:r>
      <w:r>
        <w:rPr>
          <w:rFonts w:ascii="Times New Roman" w:cs="Times New Roman" w:eastAsia="Times New Roman" w:hAnsi="Times New Roman"/>
          <w:sz w:val="20"/>
          <w:szCs w:val="20"/>
          <w:color w:val="B8BABC"/>
        </w:rPr>
        <w:t>. . . . . . . . . . . . . . . . . . . . . . . . . . . . . . . . . . . .</w:t>
      </w:r>
      <w:r>
        <w:rPr>
          <w:rFonts w:ascii="Times New Roman" w:cs="Times New Roman" w:eastAsia="Times New Roman" w:hAnsi="Times New Roman"/>
          <w:sz w:val="20"/>
          <w:szCs w:val="20"/>
          <w:color w:val="231F20"/>
        </w:rPr>
        <w:t xml:space="preserve"> $ Buildings and leasehold improvements </w:t>
      </w:r>
      <w:r>
        <w:rPr>
          <w:rFonts w:ascii="Times New Roman" w:cs="Times New Roman" w:eastAsia="Times New Roman" w:hAnsi="Times New Roman"/>
          <w:sz w:val="20"/>
          <w:szCs w:val="20"/>
          <w:color w:val="B8BABC"/>
        </w:rPr>
        <w:t>. . . . . . . . . . . . . . . . . . . . . . . . . . . .</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 xml:space="preserve">Furniture, fixtures and other equipment </w:t>
      </w:r>
      <w:r>
        <w:rPr>
          <w:rFonts w:ascii="Times New Roman" w:cs="Times New Roman" w:eastAsia="Times New Roman" w:hAnsi="Times New Roman"/>
          <w:sz w:val="20"/>
          <w:szCs w:val="20"/>
          <w:color w:val="B8BABC"/>
        </w:rPr>
        <w:t>. . . . . . . . . . . . . . . . . . . . . . . . . . . .</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 xml:space="preserve">Information technology </w:t>
      </w:r>
      <w:r>
        <w:rPr>
          <w:rFonts w:ascii="Times New Roman" w:cs="Times New Roman" w:eastAsia="Times New Roman" w:hAnsi="Times New Roman"/>
          <w:sz w:val="20"/>
          <w:szCs w:val="20"/>
          <w:color w:val="B8BABC"/>
        </w:rPr>
        <w:t>. . . . . . . . . . . . . . . . . . . . . . . . . . . . . . . . . . . . . . . .</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 xml:space="preserve">Construction in progress </w:t>
      </w:r>
      <w:r>
        <w:rPr>
          <w:rFonts w:ascii="Times New Roman" w:cs="Times New Roman" w:eastAsia="Times New Roman" w:hAnsi="Times New Roman"/>
          <w:sz w:val="20"/>
          <w:szCs w:val="20"/>
          <w:color w:val="B8BABC"/>
        </w:rPr>
        <w:t>. . . . . . . . . . . . . . . . . . . . . . . . . . . . . . . . . . . . . . .</w:t>
      </w: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 xml:space="preserve">Accumulated depreciation </w:t>
      </w:r>
      <w:r>
        <w:rPr>
          <w:rFonts w:ascii="Times New Roman" w:cs="Times New Roman" w:eastAsia="Times New Roman" w:hAnsi="Times New Roman"/>
          <w:sz w:val="20"/>
          <w:szCs w:val="20"/>
          <w:color w:val="B8BABC"/>
        </w:rPr>
        <w:t>. . . . . . . . . . . . . . . . . . . . . . . . . . . . . . . . . . . . . .</w:t>
      </w:r>
    </w:p>
    <w:p>
      <w:pPr>
        <w:spacing w:after="0" w:line="76"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20"/>
          <w:szCs w:val="20"/>
          <w:color w:val="231F20"/>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160"/>
        <w:spacing w:after="0"/>
        <w:tabs>
          <w:tab w:leader="none" w:pos="640" w:val="left"/>
          <w:tab w:leader="none" w:pos="2000" w:val="left"/>
        </w:tabs>
        <w:rPr>
          <w:sz w:val="20"/>
          <w:szCs w:val="20"/>
          <w:color w:val="auto"/>
        </w:rPr>
      </w:pPr>
      <w:r>
        <w:rPr>
          <w:rFonts w:ascii="Times New Roman" w:cs="Times New Roman" w:eastAsia="Times New Roman" w:hAnsi="Times New Roman"/>
          <w:sz w:val="20"/>
          <w:szCs w:val="20"/>
          <w:color w:val="231F20"/>
        </w:rPr>
        <w:t>285</w:t>
        <w:tab/>
        <w:t>$</w:t>
      </w:r>
      <w:r>
        <w:rPr>
          <w:sz w:val="20"/>
          <w:szCs w:val="20"/>
          <w:color w:val="auto"/>
        </w:rPr>
        <w:tab/>
      </w:r>
      <w:r>
        <w:rPr>
          <w:rFonts w:ascii="Times New Roman" w:cs="Times New Roman" w:eastAsia="Times New Roman" w:hAnsi="Times New Roman"/>
          <w:sz w:val="20"/>
          <w:szCs w:val="20"/>
          <w:color w:val="231F20"/>
        </w:rPr>
        <w:t>427</w:t>
      </w:r>
    </w:p>
    <w:p>
      <w:pPr>
        <w:spacing w:after="0" w:line="55" w:lineRule="exact"/>
        <w:rPr>
          <w:sz w:val="20"/>
          <w:szCs w:val="20"/>
          <w:color w:val="auto"/>
        </w:rPr>
      </w:pPr>
    </w:p>
    <w:p>
      <w:pPr>
        <w:ind w:left="160"/>
        <w:spacing w:after="0"/>
        <w:tabs>
          <w:tab w:leader="none" w:pos="2000" w:val="left"/>
        </w:tabs>
        <w:rPr>
          <w:sz w:val="20"/>
          <w:szCs w:val="20"/>
          <w:color w:val="auto"/>
        </w:rPr>
      </w:pPr>
      <w:r>
        <w:rPr>
          <w:rFonts w:ascii="Times New Roman" w:cs="Times New Roman" w:eastAsia="Times New Roman" w:hAnsi="Times New Roman"/>
          <w:sz w:val="20"/>
          <w:szCs w:val="20"/>
          <w:color w:val="231F20"/>
        </w:rPr>
        <w:t>804</w:t>
      </w:r>
      <w:r>
        <w:rPr>
          <w:sz w:val="20"/>
          <w:szCs w:val="20"/>
          <w:color w:val="auto"/>
        </w:rPr>
        <w:tab/>
      </w:r>
      <w:r>
        <w:rPr>
          <w:rFonts w:ascii="Times New Roman" w:cs="Times New Roman" w:eastAsia="Times New Roman" w:hAnsi="Times New Roman"/>
          <w:sz w:val="20"/>
          <w:szCs w:val="20"/>
          <w:color w:val="231F20"/>
        </w:rPr>
        <w:t>854</w:t>
      </w:r>
    </w:p>
    <w:p>
      <w:pPr>
        <w:spacing w:after="0" w:line="55" w:lineRule="exact"/>
        <w:rPr>
          <w:sz w:val="20"/>
          <w:szCs w:val="20"/>
          <w:color w:val="auto"/>
        </w:rPr>
      </w:pPr>
    </w:p>
    <w:p>
      <w:pPr>
        <w:ind w:left="160"/>
        <w:spacing w:after="0"/>
        <w:tabs>
          <w:tab w:leader="none" w:pos="2000" w:val="left"/>
        </w:tabs>
        <w:rPr>
          <w:sz w:val="20"/>
          <w:szCs w:val="20"/>
          <w:color w:val="auto"/>
        </w:rPr>
      </w:pPr>
      <w:r>
        <w:rPr>
          <w:rFonts w:ascii="Times New Roman" w:cs="Times New Roman" w:eastAsia="Times New Roman" w:hAnsi="Times New Roman"/>
          <w:sz w:val="20"/>
          <w:szCs w:val="20"/>
          <w:color w:val="231F20"/>
        </w:rPr>
        <w:t>162</w:t>
      </w:r>
      <w:r>
        <w:rPr>
          <w:sz w:val="20"/>
          <w:szCs w:val="20"/>
          <w:color w:val="auto"/>
        </w:rPr>
        <w:tab/>
      </w:r>
      <w:r>
        <w:rPr>
          <w:rFonts w:ascii="Times New Roman" w:cs="Times New Roman" w:eastAsia="Times New Roman" w:hAnsi="Times New Roman"/>
          <w:sz w:val="20"/>
          <w:szCs w:val="20"/>
          <w:color w:val="231F20"/>
        </w:rPr>
        <w:t>148</w:t>
      </w:r>
    </w:p>
    <w:p>
      <w:pPr>
        <w:spacing w:after="0" w:line="55" w:lineRule="exact"/>
        <w:rPr>
          <w:sz w:val="20"/>
          <w:szCs w:val="20"/>
          <w:color w:val="auto"/>
        </w:rPr>
      </w:pPr>
    </w:p>
    <w:p>
      <w:pPr>
        <w:ind w:left="160"/>
        <w:spacing w:after="0"/>
        <w:tabs>
          <w:tab w:leader="none" w:pos="2000" w:val="left"/>
        </w:tabs>
        <w:rPr>
          <w:sz w:val="20"/>
          <w:szCs w:val="20"/>
          <w:color w:val="auto"/>
        </w:rPr>
      </w:pPr>
      <w:r>
        <w:rPr>
          <w:rFonts w:ascii="Times New Roman" w:cs="Times New Roman" w:eastAsia="Times New Roman" w:hAnsi="Times New Roman"/>
          <w:sz w:val="20"/>
          <w:szCs w:val="20"/>
          <w:color w:val="231F20"/>
        </w:rPr>
        <w:t>398</w:t>
      </w:r>
      <w:r>
        <w:rPr>
          <w:sz w:val="20"/>
          <w:szCs w:val="20"/>
          <w:color w:val="auto"/>
        </w:rPr>
        <w:tab/>
      </w:r>
      <w:r>
        <w:rPr>
          <w:rFonts w:ascii="Times New Roman" w:cs="Times New Roman" w:eastAsia="Times New Roman" w:hAnsi="Times New Roman"/>
          <w:sz w:val="20"/>
          <w:szCs w:val="20"/>
          <w:color w:val="231F20"/>
        </w:rPr>
        <w:t>401</w:t>
      </w:r>
    </w:p>
    <w:p>
      <w:pPr>
        <w:spacing w:after="0" w:line="55" w:lineRule="exact"/>
        <w:rPr>
          <w:sz w:val="20"/>
          <w:szCs w:val="20"/>
          <w:color w:val="auto"/>
        </w:rPr>
      </w:pPr>
    </w:p>
    <w:p>
      <w:pPr>
        <w:ind w:left="260"/>
        <w:spacing w:after="0"/>
        <w:tabs>
          <w:tab w:leader="none" w:pos="2100" w:val="left"/>
        </w:tabs>
        <w:rPr>
          <w:sz w:val="20"/>
          <w:szCs w:val="20"/>
          <w:color w:val="auto"/>
        </w:rPr>
      </w:pPr>
      <w:r>
        <w:rPr>
          <w:rFonts w:ascii="Times New Roman" w:cs="Times New Roman" w:eastAsia="Times New Roman" w:hAnsi="Times New Roman"/>
          <w:sz w:val="20"/>
          <w:szCs w:val="20"/>
          <w:color w:val="231F20"/>
        </w:rPr>
        <w:t>40</w:t>
      </w:r>
      <w:r>
        <w:rPr>
          <w:sz w:val="20"/>
          <w:szCs w:val="20"/>
          <w:color w:val="auto"/>
        </w:rPr>
        <w:tab/>
      </w:r>
      <w:r>
        <w:rPr>
          <w:rFonts w:ascii="Times New Roman" w:cs="Times New Roman" w:eastAsia="Times New Roman" w:hAnsi="Times New Roman"/>
          <w:sz w:val="20"/>
          <w:szCs w:val="20"/>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20955</wp:posOffset>
            </wp:positionV>
            <wp:extent cx="2324100"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5">
                      <a:extLst>
                        <a:ext uri="{28A0092B-C50C-407E-A947-70E740481C1C}"/>
                      </a:extLst>
                    </a:blip>
                    <a:srcRect/>
                    <a:stretch>
                      <a:fillRect/>
                    </a:stretch>
                  </pic:blipFill>
                  <pic:spPr bwMode="auto">
                    <a:xfrm>
                      <a:off x="0" y="0"/>
                      <a:ext cx="2324100" cy="12700"/>
                    </a:xfrm>
                    <a:prstGeom prst="rect">
                      <a:avLst/>
                    </a:prstGeom>
                    <a:noFill/>
                  </pic:spPr>
                </pic:pic>
              </a:graphicData>
            </a:graphic>
          </wp:anchor>
        </w:drawing>
      </w:r>
    </w:p>
    <w:p>
      <w:pPr>
        <w:spacing w:after="0" w:line="35"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20"/>
          <w:szCs w:val="20"/>
          <w:color w:val="231F20"/>
        </w:rPr>
        <w:t>1,689</w:t>
      </w:r>
      <w:r>
        <w:rPr>
          <w:sz w:val="20"/>
          <w:szCs w:val="20"/>
          <w:color w:val="auto"/>
        </w:rPr>
        <w:tab/>
      </w:r>
      <w:r>
        <w:rPr>
          <w:rFonts w:ascii="Times New Roman" w:cs="Times New Roman" w:eastAsia="Times New Roman" w:hAnsi="Times New Roman"/>
          <w:sz w:val="20"/>
          <w:szCs w:val="20"/>
          <w:color w:val="231F20"/>
        </w:rPr>
        <w:t>1,873</w:t>
      </w:r>
    </w:p>
    <w:p>
      <w:pPr>
        <w:spacing w:after="0" w:line="55" w:lineRule="exact"/>
        <w:rPr>
          <w:sz w:val="20"/>
          <w:szCs w:val="20"/>
          <w:color w:val="auto"/>
        </w:rPr>
      </w:pPr>
    </w:p>
    <w:p>
      <w:pPr>
        <w:ind w:left="100"/>
        <w:spacing w:after="0"/>
        <w:tabs>
          <w:tab w:leader="none" w:pos="1940" w:val="left"/>
        </w:tabs>
        <w:rPr>
          <w:sz w:val="20"/>
          <w:szCs w:val="20"/>
          <w:color w:val="auto"/>
        </w:rPr>
      </w:pPr>
      <w:r>
        <w:rPr>
          <w:rFonts w:ascii="Times New Roman" w:cs="Times New Roman" w:eastAsia="Times New Roman" w:hAnsi="Times New Roman"/>
          <w:sz w:val="19"/>
          <w:szCs w:val="19"/>
          <w:color w:val="231F20"/>
        </w:rPr>
        <w:t>(739)</w:t>
      </w:r>
      <w:r>
        <w:rPr>
          <w:sz w:val="20"/>
          <w:szCs w:val="20"/>
          <w:color w:val="auto"/>
        </w:rPr>
        <w:tab/>
      </w:r>
      <w:r>
        <w:rPr>
          <w:rFonts w:ascii="Times New Roman" w:cs="Times New Roman" w:eastAsia="Times New Roman" w:hAnsi="Times New Roman"/>
          <w:sz w:val="19"/>
          <w:szCs w:val="19"/>
          <w:color w:val="231F20"/>
        </w:rPr>
        <w:t>(703)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28575</wp:posOffset>
            </wp:positionV>
            <wp:extent cx="2324100"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6">
                      <a:extLst>
                        <a:ext uri="{28A0092B-C50C-407E-A947-70E740481C1C}"/>
                      </a:extLst>
                    </a:blip>
                    <a:srcRect/>
                    <a:stretch>
                      <a:fillRect/>
                    </a:stretch>
                  </pic:blipFill>
                  <pic:spPr bwMode="auto">
                    <a:xfrm>
                      <a:off x="0" y="0"/>
                      <a:ext cx="2324100" cy="12700"/>
                    </a:xfrm>
                    <a:prstGeom prst="rect">
                      <a:avLst/>
                    </a:prstGeom>
                    <a:noFill/>
                  </pic:spPr>
                </pic:pic>
              </a:graphicData>
            </a:graphic>
          </wp:anchor>
        </w:drawing>
      </w:r>
    </w:p>
    <w:p>
      <w:pPr>
        <w:spacing w:after="0" w:line="47" w:lineRule="exact"/>
        <w:rPr>
          <w:sz w:val="20"/>
          <w:szCs w:val="20"/>
          <w:color w:val="auto"/>
        </w:rPr>
      </w:pPr>
    </w:p>
    <w:p>
      <w:pPr>
        <w:ind w:left="160"/>
        <w:spacing w:after="0"/>
        <w:tabs>
          <w:tab w:leader="none" w:pos="640" w:val="left"/>
          <w:tab w:leader="none" w:pos="1840" w:val="left"/>
        </w:tabs>
        <w:rPr>
          <w:sz w:val="20"/>
          <w:szCs w:val="20"/>
          <w:color w:val="auto"/>
        </w:rPr>
      </w:pPr>
      <w:r>
        <w:rPr>
          <w:rFonts w:ascii="Times New Roman" w:cs="Times New Roman" w:eastAsia="Times New Roman" w:hAnsi="Times New Roman"/>
          <w:sz w:val="20"/>
          <w:szCs w:val="20"/>
          <w:color w:val="231F20"/>
        </w:rPr>
        <w:t>950</w:t>
        <w:tab/>
        <w:t>$</w:t>
      </w:r>
      <w:r>
        <w:rPr>
          <w:sz w:val="20"/>
          <w:szCs w:val="20"/>
          <w:color w:val="auto"/>
        </w:rPr>
        <w:tab/>
      </w:r>
      <w:r>
        <w:rPr>
          <w:rFonts w:ascii="Times New Roman" w:cs="Times New Roman" w:eastAsia="Times New Roman" w:hAnsi="Times New Roman"/>
          <w:sz w:val="20"/>
          <w:szCs w:val="20"/>
          <w:color w:val="231F20"/>
        </w:rPr>
        <w:t>1,170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8255</wp:posOffset>
            </wp:positionV>
            <wp:extent cx="232410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7">
                      <a:extLst>
                        <a:ext uri="{28A0092B-C50C-407E-A947-70E740481C1C}"/>
                      </a:extLst>
                    </a:blip>
                    <a:srcRect/>
                    <a:stretch>
                      <a:fillRect/>
                    </a:stretch>
                  </pic:blipFill>
                  <pic:spPr bwMode="auto">
                    <a:xfrm>
                      <a:off x="0" y="0"/>
                      <a:ext cx="2324100" cy="381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6600" w:space="720"/>
            <w:col w:w="2400"/>
          </w:cols>
          <w:pgMar w:left="1080" w:top="838" w:right="108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See Footnote 20 “Restructuring and Impairment” for information on the impairment of property and equipment.</w:t>
      </w:r>
    </w:p>
    <w:p>
      <w:pPr>
        <w:sectPr>
          <w:pgSz w:w="11880" w:h="15480" w:orient="portrait"/>
          <w:cols w:equalWidth="0" w:num="1">
            <w:col w:w="9720"/>
          </w:cols>
          <w:pgMar w:left="1080" w:top="838"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104</w:t>
      </w:r>
    </w:p>
    <w:p>
      <w:pPr>
        <w:sectPr>
          <w:pgSz w:w="11880" w:h="15480" w:orient="portrait"/>
          <w:cols w:equalWidth="0" w:num="1">
            <w:col w:w="9720"/>
          </w:cols>
          <w:pgMar w:left="1080" w:top="838" w:right="108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color w:val="231F20"/>
        </w:rPr>
        <w:t>10. GOODWILL</w:t>
      </w:r>
    </w:p>
    <w:p>
      <w:pPr>
        <w:spacing w:after="0" w:line="137"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20"/>
          <w:szCs w:val="20"/>
          <w:color w:val="231F20"/>
        </w:rPr>
        <w:t>The following table details the carrying amount of our goodwill at December 31, 2025 and December 31, 2024, and reflects goodwill attributed to the ILG Acquisition and the Welk Acquisition.</w:t>
      </w:r>
    </w:p>
    <w:p>
      <w:pPr>
        <w:spacing w:after="0" w:line="4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vMerge w:val="restart"/>
          </w:tcPr>
          <w:p>
            <w:pPr>
              <w:jc w:val="right"/>
              <w:ind w:right="83"/>
              <w:spacing w:after="0"/>
              <w:rPr>
                <w:sz w:val="20"/>
                <w:szCs w:val="20"/>
                <w:color w:val="auto"/>
              </w:rPr>
            </w:pPr>
            <w:r>
              <w:rPr>
                <w:rFonts w:ascii="Times New Roman" w:cs="Times New Roman" w:eastAsia="Times New Roman" w:hAnsi="Times New Roman"/>
                <w:sz w:val="18"/>
                <w:szCs w:val="18"/>
                <w:b w:val="1"/>
                <w:bCs w:val="1"/>
                <w:color w:val="231F20"/>
                <w:w w:val="99"/>
              </w:rPr>
              <w:t>Vacation Ownership</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ind w:right="124"/>
              <w:spacing w:after="0"/>
              <w:rPr>
                <w:sz w:val="20"/>
                <w:szCs w:val="20"/>
                <w:color w:val="auto"/>
              </w:rPr>
            </w:pPr>
            <w:r>
              <w:rPr>
                <w:rFonts w:ascii="Times New Roman" w:cs="Times New Roman" w:eastAsia="Times New Roman" w:hAnsi="Times New Roman"/>
                <w:sz w:val="18"/>
                <w:szCs w:val="18"/>
                <w:b w:val="1"/>
                <w:bCs w:val="1"/>
                <w:color w:val="231F20"/>
                <w:w w:val="99"/>
              </w:rPr>
              <w:t>Exchange &amp; Third-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vMerge w:val="restart"/>
          </w:tcPr>
          <w:p>
            <w:pPr>
              <w:jc w:val="right"/>
              <w:ind w:right="143"/>
              <w:spacing w:after="0"/>
              <w:rPr>
                <w:sz w:val="20"/>
                <w:szCs w:val="20"/>
                <w:color w:val="auto"/>
              </w:rPr>
            </w:pPr>
            <w:r>
              <w:rPr>
                <w:rFonts w:ascii="Times New Roman" w:cs="Times New Roman" w:eastAsia="Times New Roman" w:hAnsi="Times New Roman"/>
                <w:sz w:val="18"/>
                <w:szCs w:val="18"/>
                <w:b w:val="1"/>
                <w:bCs w:val="1"/>
                <w:color w:val="231F20"/>
              </w:rPr>
              <w:t>Total Consolidated</w:t>
            </w:r>
          </w:p>
        </w:tc>
        <w:tc>
          <w:tcPr>
            <w:tcW w:w="0" w:type="dxa"/>
            <w:vAlign w:val="bottom"/>
          </w:tcPr>
          <w:p>
            <w:pPr>
              <w:spacing w:after="0"/>
              <w:rPr>
                <w:sz w:val="1"/>
                <w:szCs w:val="1"/>
                <w:color w:val="auto"/>
              </w:rPr>
            </w:pPr>
          </w:p>
        </w:tc>
      </w:tr>
      <w:tr>
        <w:trPr>
          <w:trHeight w:val="239"/>
        </w:trPr>
        <w:tc>
          <w:tcPr>
            <w:tcW w:w="3740" w:type="dxa"/>
            <w:vAlign w:val="bottom"/>
          </w:tcPr>
          <w:p>
            <w:pPr>
              <w:jc w:val="right"/>
              <w:ind w:right="2725"/>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160" w:type="dxa"/>
            <w:vAlign w:val="bottom"/>
            <w:tcBorders>
              <w:bottom w:val="single" w:sz="8" w:color="231F20"/>
            </w:tcBorders>
          </w:tcPr>
          <w:p>
            <w:pPr>
              <w:spacing w:after="0"/>
              <w:rPr>
                <w:sz w:val="20"/>
                <w:szCs w:val="20"/>
                <w:color w:val="auto"/>
              </w:rPr>
            </w:pPr>
          </w:p>
        </w:tc>
        <w:tc>
          <w:tcPr>
            <w:tcW w:w="178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740" w:type="dxa"/>
            <w:vAlign w:val="bottom"/>
            <w:tcBorders>
              <w:bottom w:val="single" w:sz="8" w:color="231F20"/>
            </w:tcBorders>
          </w:tcPr>
          <w:p>
            <w:pPr>
              <w:jc w:val="right"/>
              <w:ind w:right="124"/>
              <w:spacing w:after="0"/>
              <w:rPr>
                <w:sz w:val="20"/>
                <w:szCs w:val="20"/>
                <w:color w:val="auto"/>
              </w:rPr>
            </w:pPr>
            <w:r>
              <w:rPr>
                <w:rFonts w:ascii="Times New Roman" w:cs="Times New Roman" w:eastAsia="Times New Roman" w:hAnsi="Times New Roman"/>
                <w:sz w:val="18"/>
                <w:szCs w:val="18"/>
                <w:b w:val="1"/>
                <w:bCs w:val="1"/>
                <w:color w:val="231F20"/>
              </w:rPr>
              <w:t>Party Management</w:t>
            </w:r>
          </w:p>
        </w:tc>
        <w:tc>
          <w:tcPr>
            <w:tcW w:w="6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74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37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Balance at December 31, 2024 </w:t>
            </w:r>
            <w:r>
              <w:rPr>
                <w:rFonts w:ascii="Times New Roman" w:cs="Times New Roman" w:eastAsia="Times New Roman" w:hAnsi="Times New Roman"/>
                <w:sz w:val="20"/>
                <w:szCs w:val="20"/>
                <w:color w:val="B8BABC"/>
                <w:w w:val="99"/>
              </w:rPr>
              <w:t>. . . . . . . . . . . .</w:t>
            </w:r>
          </w:p>
        </w:tc>
        <w:tc>
          <w:tcPr>
            <w:tcW w:w="160" w:type="dxa"/>
            <w:vAlign w:val="bottom"/>
          </w:tcPr>
          <w:p>
            <w:pPr>
              <w:spacing w:after="0"/>
              <w:rPr>
                <w:sz w:val="24"/>
                <w:szCs w:val="24"/>
                <w:color w:val="auto"/>
              </w:rPr>
            </w:pPr>
          </w:p>
        </w:tc>
        <w:tc>
          <w:tcPr>
            <w:tcW w:w="17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2,770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3,117</w:t>
            </w:r>
          </w:p>
        </w:tc>
        <w:tc>
          <w:tcPr>
            <w:tcW w:w="0" w:type="dxa"/>
            <w:vAlign w:val="bottom"/>
          </w:tcPr>
          <w:p>
            <w:pPr>
              <w:spacing w:after="0"/>
              <w:rPr>
                <w:sz w:val="1"/>
                <w:szCs w:val="1"/>
                <w:color w:val="auto"/>
              </w:rPr>
            </w:pPr>
          </w:p>
        </w:tc>
      </w:tr>
      <w:tr>
        <w:trPr>
          <w:trHeight w:val="318"/>
        </w:trPr>
        <w:tc>
          <w:tcPr>
            <w:tcW w:w="3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Impairment </w:t>
            </w:r>
            <w:r>
              <w:rPr>
                <w:rFonts w:ascii="Times New Roman" w:cs="Times New Roman" w:eastAsia="Times New Roman" w:hAnsi="Times New Roman"/>
                <w:sz w:val="20"/>
                <w:szCs w:val="20"/>
                <w:color w:val="B8BABC"/>
              </w:rPr>
              <w:t>. . . . . . . . . . . . . . . . . . . . . . . . .</w:t>
            </w:r>
          </w:p>
        </w:tc>
        <w:tc>
          <w:tcPr>
            <w:tcW w:w="160" w:type="dxa"/>
            <w:vAlign w:val="bottom"/>
            <w:tcBorders>
              <w:bottom w:val="single" w:sz="8" w:color="231F20"/>
            </w:tcBorders>
          </w:tcPr>
          <w:p>
            <w:pPr>
              <w:spacing w:after="0"/>
              <w:rPr>
                <w:sz w:val="24"/>
                <w:szCs w:val="24"/>
                <w:color w:val="auto"/>
              </w:rPr>
            </w:pPr>
          </w:p>
        </w:tc>
        <w:tc>
          <w:tcPr>
            <w:tcW w:w="1780" w:type="dxa"/>
            <w:vAlign w:val="bottom"/>
            <w:tcBorders>
              <w:bottom w:val="single" w:sz="8" w:color="231F20"/>
            </w:tcBorders>
          </w:tcPr>
          <w:p>
            <w:pPr>
              <w:jc w:val="right"/>
              <w:ind w:right="3"/>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(159)</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(159)</w:t>
            </w:r>
          </w:p>
        </w:tc>
        <w:tc>
          <w:tcPr>
            <w:tcW w:w="0" w:type="dxa"/>
            <w:vAlign w:val="bottom"/>
          </w:tcPr>
          <w:p>
            <w:pPr>
              <w:spacing w:after="0"/>
              <w:rPr>
                <w:sz w:val="1"/>
                <w:szCs w:val="1"/>
                <w:color w:val="auto"/>
              </w:rPr>
            </w:pPr>
          </w:p>
        </w:tc>
      </w:tr>
      <w:tr>
        <w:trPr>
          <w:trHeight w:val="275"/>
        </w:trPr>
        <w:tc>
          <w:tcPr>
            <w:tcW w:w="37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Balance at December 31, 2025 </w:t>
            </w:r>
            <w:r>
              <w:rPr>
                <w:rFonts w:ascii="Times New Roman" w:cs="Times New Roman" w:eastAsia="Times New Roman" w:hAnsi="Times New Roman"/>
                <w:sz w:val="20"/>
                <w:szCs w:val="20"/>
                <w:color w:val="B8BABC"/>
                <w:w w:val="99"/>
              </w:rPr>
              <w:t>.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7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231F20"/>
              </w:rPr>
              <w:t>2,770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2,958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7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7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7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31F20"/>
        </w:rPr>
        <w:t>We performed our annual goodwill impairment test as of October 1, 2025 and prepared a quantitative assessment for both the Vacation Ownership and the Exchange &amp; Third-Party Management reporting units. We utilized a combination of the income and market approaches to estimate the fair value of our reporting units (Level 3) and concluded that there was no impairment of the Vacation Ownership unit. We recognized a non-cash impairment charge of $159 million in the Impairment line on our Income Statement during 2025 related to the Exchange &amp; Third-Party Management reporting unit, as a result of the change in expected future operating results based on a sustained decline in operating performance in comparison to prior expectations and the impact of market factors, including a decline in our stock price and market capitalization. Accumulated impairment losses to Goodwill in our Exchange &amp; Third-Party Management reporting unit at December 31, 2025 and December 31, 2024 were $232 million and $73 million,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11. INTANGIBLE ASSETS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details the composition of our intangible asset balances: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8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ind w:right="101"/>
              <w:spacing w:after="0"/>
              <w:rPr>
                <w:sz w:val="20"/>
                <w:szCs w:val="20"/>
                <w:color w:val="auto"/>
              </w:rPr>
            </w:pPr>
            <w:r>
              <w:rPr>
                <w:rFonts w:ascii="Times New Roman" w:cs="Times New Roman" w:eastAsia="Times New Roman" w:hAnsi="Times New Roman"/>
                <w:sz w:val="18"/>
                <w:szCs w:val="18"/>
                <w:b w:val="1"/>
                <w:bCs w:val="1"/>
                <w:color w:val="231F20"/>
                <w:w w:val="99"/>
              </w:rPr>
              <w:t>At Year-End 2025</w:t>
            </w: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ind w:right="101"/>
              <w:spacing w:after="0"/>
              <w:rPr>
                <w:sz w:val="20"/>
                <w:szCs w:val="20"/>
                <w:color w:val="auto"/>
              </w:rPr>
            </w:pPr>
            <w:r>
              <w:rPr>
                <w:rFonts w:ascii="Times New Roman" w:cs="Times New Roman" w:eastAsia="Times New Roman" w:hAnsi="Times New Roman"/>
                <w:sz w:val="18"/>
                <w:szCs w:val="18"/>
                <w:b w:val="1"/>
                <w:bCs w:val="1"/>
                <w:color w:val="231F20"/>
                <w:w w:val="99"/>
              </w:rPr>
              <w:t>At Year-End 2024</w:t>
            </w:r>
          </w:p>
        </w:tc>
      </w:tr>
      <w:tr>
        <w:trPr>
          <w:trHeight w:val="262"/>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31F20"/>
              </w:rPr>
              <w:t>Definite-lived intangible assets</w:t>
            </w: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85"/>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Member relationships </w:t>
            </w:r>
            <w:r>
              <w:rPr>
                <w:rFonts w:ascii="Times New Roman" w:cs="Times New Roman" w:eastAsia="Times New Roman" w:hAnsi="Times New Roman"/>
                <w:sz w:val="20"/>
                <w:szCs w:val="20"/>
                <w:color w:val="B8BABC"/>
              </w:rPr>
              <w:t>. . . . . . . . . . .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670</w:t>
            </w:r>
          </w:p>
        </w:tc>
      </w:tr>
      <w:tr>
        <w:trPr>
          <w:trHeight w:val="288"/>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contracts </w:t>
            </w:r>
            <w:r>
              <w:rPr>
                <w:rFonts w:ascii="Times New Roman" w:cs="Times New Roman" w:eastAsia="Times New Roman" w:hAnsi="Times New Roman"/>
                <w:sz w:val="20"/>
                <w:szCs w:val="20"/>
                <w:color w:val="B8BABC"/>
              </w:rPr>
              <w:t>. . . . . . . . . . . . . . . . . . . . . . . . . . . . . . . . . . . . . . .</w:t>
            </w: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429</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427</w:t>
            </w:r>
          </w:p>
        </w:tc>
      </w:tr>
      <w:tr>
        <w:trPr>
          <w:trHeight w:val="262"/>
        </w:trPr>
        <w:tc>
          <w:tcPr>
            <w:tcW w:w="6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1,097</w:t>
            </w:r>
          </w:p>
        </w:tc>
      </w:tr>
      <w:tr>
        <w:trPr>
          <w:trHeight w:val="288"/>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Accumulated amortization </w:t>
            </w:r>
            <w:r>
              <w:rPr>
                <w:rFonts w:ascii="Times New Roman" w:cs="Times New Roman" w:eastAsia="Times New Roman" w:hAnsi="Times New Roman"/>
                <w:sz w:val="20"/>
                <w:szCs w:val="20"/>
                <w:color w:val="B8BABC"/>
                <w:w w:val="99"/>
              </w:rPr>
              <w:t>. . . . . . . . . . . . . . . . . . . . . . . . . . . . . . . . . . . . . .</w:t>
            </w: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(432)</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(370)</w:t>
            </w:r>
          </w:p>
        </w:tc>
      </w:tr>
      <w:tr>
        <w:trPr>
          <w:trHeight w:val="262"/>
        </w:trPr>
        <w:tc>
          <w:tcPr>
            <w:tcW w:w="6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727</w:t>
            </w:r>
          </w:p>
        </w:tc>
      </w:tr>
      <w:tr>
        <w:trPr>
          <w:trHeight w:val="285"/>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31F20"/>
              </w:rPr>
              <w:t>Indefinite-lived intangible assets</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88"/>
        </w:trPr>
        <w:tc>
          <w:tcPr>
            <w:tcW w:w="6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Trade names </w:t>
            </w:r>
            <w:r>
              <w:rPr>
                <w:rFonts w:ascii="Times New Roman" w:cs="Times New Roman" w:eastAsia="Times New Roman" w:hAnsi="Times New Roman"/>
                <w:sz w:val="20"/>
                <w:szCs w:val="20"/>
                <w:color w:val="B8BABC"/>
              </w:rPr>
              <w:t>. . . . . . . . . . . . . . . . . . . . . . . . . . . . . . . . . . . . . . . . . . . . . .</w:t>
            </w: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63</w:t>
            </w:r>
          </w:p>
        </w:tc>
      </w:tr>
      <w:tr>
        <w:trPr>
          <w:trHeight w:val="245"/>
        </w:trPr>
        <w:tc>
          <w:tcPr>
            <w:tcW w:w="60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790</w:t>
            </w:r>
          </w:p>
        </w:tc>
      </w:tr>
      <w:tr>
        <w:trPr>
          <w:trHeight w:val="20"/>
        </w:trPr>
        <w:tc>
          <w:tcPr>
            <w:tcW w:w="600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Definite-Lived Intangible Assets</w:t>
      </w:r>
    </w:p>
    <w:p>
      <w:pPr>
        <w:spacing w:after="0" w:line="1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Definite-lived intangible assets, all of which were acquired as part of the ILG and Welk Acquisitions, are amortized on a straight-line basis over their estimated useful lives, ranging from 15 to 20 years. We recorded amortization expense of $62 million, $60 million, and $61 million during 2025, 2024, and 2023, respectively, in the Depreciation and amortization line of our Income Statements. We estimate that our annual amortization expense will continue to be approximately $60 million for each of the next five fiscal years.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Indefinite-Lived Intangible Assets</w:t>
      </w:r>
    </w:p>
    <w:p>
      <w:pPr>
        <w:spacing w:after="0" w:line="134"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231F20"/>
        </w:rPr>
        <w:t>The following table summarizes the activity related to our indefinite-lived intangible assets, all of which are related to the Exchange &amp; Third-Party Management segment.</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7120" w:type="dxa"/>
            <w:vAlign w:val="bottom"/>
          </w:tcPr>
          <w:p>
            <w:pPr>
              <w:jc w:val="right"/>
              <w:ind w:right="6105"/>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254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Trade Names and Trademarks</w:t>
            </w:r>
          </w:p>
        </w:tc>
      </w:tr>
      <w:tr>
        <w:trPr>
          <w:trHeight w:val="292"/>
        </w:trPr>
        <w:tc>
          <w:tcPr>
            <w:tcW w:w="7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Balance at December 31, 2024 </w:t>
            </w:r>
            <w:r>
              <w:rPr>
                <w:rFonts w:ascii="Times New Roman" w:cs="Times New Roman" w:eastAsia="Times New Roman" w:hAnsi="Times New Roman"/>
                <w:sz w:val="20"/>
                <w:szCs w:val="20"/>
                <w:color w:val="B8BABC"/>
                <w:w w:val="99"/>
              </w:rPr>
              <w:t>. . . . . . . . . . . . . . . . . . . . . . . . . . . . . . . . . . . . . . . . . . . . . .</w:t>
            </w:r>
          </w:p>
        </w:tc>
        <w:tc>
          <w:tcPr>
            <w:tcW w:w="11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w:t>
            </w:r>
          </w:p>
        </w:tc>
      </w:tr>
      <w:tr>
        <w:trPr>
          <w:trHeight w:val="318"/>
        </w:trPr>
        <w:tc>
          <w:tcPr>
            <w:tcW w:w="7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Impairment </w:t>
            </w:r>
            <w:r>
              <w:rPr>
                <w:rFonts w:ascii="Times New Roman" w:cs="Times New Roman" w:eastAsia="Times New Roman" w:hAnsi="Times New Roman"/>
                <w:sz w:val="20"/>
                <w:szCs w:val="20"/>
                <w:color w:val="B8BABC"/>
              </w:rPr>
              <w:t>. . . . . . . . . . . . . . . . . . . . . . . . . . . . . . . . . . . . . . . . . . . . . . . . . . . . . . . . . . .</w:t>
            </w:r>
          </w:p>
        </w:tc>
        <w:tc>
          <w:tcPr>
            <w:tcW w:w="1180" w:type="dxa"/>
            <w:vAlign w:val="bottom"/>
            <w:tcBorders>
              <w:bottom w:val="single" w:sz="8" w:color="231F20"/>
            </w:tcBorders>
          </w:tcPr>
          <w:p>
            <w:pPr>
              <w:spacing w:after="0"/>
              <w:rPr>
                <w:sz w:val="24"/>
                <w:szCs w:val="24"/>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w:t>
            </w:r>
          </w:p>
        </w:tc>
      </w:tr>
      <w:tr>
        <w:trPr>
          <w:trHeight w:val="275"/>
        </w:trPr>
        <w:tc>
          <w:tcPr>
            <w:tcW w:w="7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Balance at December 31, 2025 </w:t>
            </w:r>
            <w:r>
              <w:rPr>
                <w:rFonts w:ascii="Times New Roman" w:cs="Times New Roman" w:eastAsia="Times New Roman" w:hAnsi="Times New Roman"/>
                <w:sz w:val="20"/>
                <w:szCs w:val="20"/>
                <w:color w:val="B8BABC"/>
                <w:w w:val="99"/>
              </w:rPr>
              <w:t>. . . . . . . . . . . . . . . . . . . . . . . . . . . . . . . . . . . . . . . . . . . . . .</w:t>
            </w:r>
          </w:p>
        </w:tc>
        <w:tc>
          <w:tcPr>
            <w:tcW w:w="118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w:t>
            </w:r>
          </w:p>
        </w:tc>
      </w:tr>
      <w:tr>
        <w:trPr>
          <w:trHeight w:val="20"/>
        </w:trPr>
        <w:tc>
          <w:tcPr>
            <w:tcW w:w="7120" w:type="dxa"/>
            <w:vAlign w:val="bottom"/>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r>
    </w:tbl>
    <w:p>
      <w:pPr>
        <w:spacing w:after="0" w:line="12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231F20"/>
        </w:rPr>
        <w:t>We performed our annual impairment test of indefinite-lived intangible assets during the fourth quarter of 2025. We used the relief of royalty method under the income approach in calculating the fair value of the trade names and trademarks (Level 3). As a result of our annual impairment test, we recorded a non-cash impairment charge of $21 million in the</w:t>
      </w:r>
    </w:p>
    <w:p>
      <w:pPr>
        <w:sectPr>
          <w:pgSz w:w="11880" w:h="15480" w:orient="portrait"/>
          <w:cols w:equalWidth="0" w:num="1">
            <w:col w:w="9720"/>
          </w:cols>
          <w:pgMar w:left="1080" w:top="831" w:right="1080" w:bottom="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105</w:t>
      </w:r>
    </w:p>
    <w:p>
      <w:pPr>
        <w:sectPr>
          <w:pgSz w:w="11880" w:h="15480" w:orient="portrait"/>
          <w:cols w:equalWidth="0" w:num="1">
            <w:col w:w="9720"/>
          </w:cols>
          <w:pgMar w:left="1080" w:top="831" w:right="1080" w:bottom="0" w:gutter="0" w:footer="0" w:header="0"/>
          <w:type w:val="continuous"/>
        </w:sectPr>
      </w:pPr>
    </w:p>
    <w:bookmarkStart w:id="109" w:name="page110"/>
    <w:bookmarkEnd w:id="109"/>
    <w:p>
      <w:pPr>
        <w:ind w:right="160"/>
        <w:spacing w:after="0" w:line="281" w:lineRule="auto"/>
        <w:rPr>
          <w:sz w:val="20"/>
          <w:szCs w:val="20"/>
          <w:color w:val="auto"/>
        </w:rPr>
      </w:pPr>
      <w:r>
        <w:rPr>
          <w:rFonts w:ascii="Times New Roman" w:cs="Times New Roman" w:eastAsia="Times New Roman" w:hAnsi="Times New Roman"/>
          <w:sz w:val="20"/>
          <w:szCs w:val="20"/>
          <w:color w:val="231F20"/>
        </w:rPr>
        <w:t>Impairment line on our Income Statement, which was primarily attributed to the decline in estimated future revenues in comparison to prior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12. CONTINGENCIES AND COMMITMENTS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Commitments and Letters of Credit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As of December 31, 2025, we had the following commitments outstanding:</w:t>
      </w:r>
    </w:p>
    <w:p>
      <w:pPr>
        <w:spacing w:after="0" w:line="130" w:lineRule="exact"/>
        <w:rPr>
          <w:sz w:val="20"/>
          <w:szCs w:val="20"/>
          <w:color w:val="auto"/>
        </w:rPr>
      </w:pPr>
    </w:p>
    <w:p>
      <w:pPr>
        <w:ind w:left="360" w:hanging="360"/>
        <w:spacing w:after="0" w:line="260" w:lineRule="auto"/>
        <w:tabs>
          <w:tab w:leader="none" w:pos="360" w:val="left"/>
        </w:tabs>
        <w:numPr>
          <w:ilvl w:val="0"/>
          <w:numId w:val="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have various agreements for cloud computing and outsourcing of development, maintenance and support related to information technology that we use in the normal course of business. We expect aggregate obligations under these contracts of $131 million, of which we expect $78 million, $28 million, $11 million, $5 million, $6 million and $3 million will be paid in 2026, 2027, 2028, 2029, 2030, and thereafter, respectively.</w:t>
      </w:r>
    </w:p>
    <w:p>
      <w:pPr>
        <w:spacing w:after="0" w:line="83" w:lineRule="exact"/>
        <w:rPr>
          <w:rFonts w:ascii="Times New Roman" w:cs="Times New Roman" w:eastAsia="Times New Roman" w:hAnsi="Times New Roman"/>
          <w:sz w:val="20"/>
          <w:szCs w:val="20"/>
          <w:color w:val="231F20"/>
        </w:rPr>
      </w:pPr>
    </w:p>
    <w:p>
      <w:pPr>
        <w:ind w:left="360" w:right="160" w:hanging="360"/>
        <w:spacing w:after="0" w:line="260" w:lineRule="auto"/>
        <w:tabs>
          <w:tab w:leader="none" w:pos="360" w:val="left"/>
        </w:tabs>
        <w:numPr>
          <w:ilvl w:val="0"/>
          <w:numId w:val="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have a commitment to purchase property and vacation ownership units located in Nashville, Tennessee, contingent upon completion of construction to agreed-upon standards within specified timeframes, for use in our Vacation Ownership segment. We expect to complete the acquisition of 168 vacation ownership units in 2027, and we expect to make payments when specific construction milestones are completed of $122 million in 2027.</w:t>
      </w:r>
    </w:p>
    <w:p>
      <w:pPr>
        <w:spacing w:after="0" w:line="83" w:lineRule="exact"/>
        <w:rPr>
          <w:rFonts w:ascii="Times New Roman" w:cs="Times New Roman" w:eastAsia="Times New Roman" w:hAnsi="Times New Roman"/>
          <w:sz w:val="20"/>
          <w:szCs w:val="20"/>
          <w:color w:val="231F20"/>
        </w:rPr>
      </w:pPr>
    </w:p>
    <w:p>
      <w:pPr>
        <w:ind w:left="360" w:right="40" w:hanging="360"/>
        <w:spacing w:after="0" w:line="258" w:lineRule="auto"/>
        <w:tabs>
          <w:tab w:leader="none" w:pos="360" w:val="left"/>
        </w:tabs>
        <w:numPr>
          <w:ilvl w:val="0"/>
          <w:numId w:val="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have a remaining commitment of $11 million to purchase 32 vacation ownership units located in Bali, Indonesia, contingent upon completion of construction to agreed-upon standards within specified timeframes, for use in our Vacation Ownership segment. We expect to complete the acquisition of these vacation ownership units in 2027, and we expect to make remaining payments with respect to these units when specific construction milestones are completed as follows: $10 million in 2026 and $1 million in 2027.</w:t>
      </w:r>
    </w:p>
    <w:p>
      <w:pPr>
        <w:spacing w:after="0" w:line="83" w:lineRule="exact"/>
        <w:rPr>
          <w:rFonts w:ascii="Times New Roman" w:cs="Times New Roman" w:eastAsia="Times New Roman" w:hAnsi="Times New Roman"/>
          <w:sz w:val="20"/>
          <w:szCs w:val="20"/>
          <w:color w:val="231F20"/>
        </w:rPr>
      </w:pPr>
    </w:p>
    <w:p>
      <w:pPr>
        <w:ind w:left="360" w:right="40" w:hanging="360"/>
        <w:spacing w:after="0" w:line="258" w:lineRule="auto"/>
        <w:tabs>
          <w:tab w:leader="none" w:pos="360" w:val="left"/>
        </w:tabs>
        <w:numPr>
          <w:ilvl w:val="0"/>
          <w:numId w:val="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have a remaining commitment of $41 million to purchase 60 vacation ownership units located in Khao Lak, Thailand, contingent upon completion of construction to agreed-upon standards within specified timeframes, for use in our Vacation Ownership segment. We expect to complete the acquisition of these vacation ownership units in 2026, and we expect to make remaining payments with respect to these units as follows: $4 million in 2026, $4 million in 2027, and $33 million in 2028.</w:t>
      </w:r>
    </w:p>
    <w:p>
      <w:pPr>
        <w:spacing w:after="0" w:line="83" w:lineRule="exact"/>
        <w:rPr>
          <w:rFonts w:ascii="Times New Roman" w:cs="Times New Roman" w:eastAsia="Times New Roman" w:hAnsi="Times New Roman"/>
          <w:sz w:val="20"/>
          <w:szCs w:val="20"/>
          <w:color w:val="231F20"/>
        </w:rPr>
      </w:pPr>
    </w:p>
    <w:p>
      <w:pPr>
        <w:ind w:left="360" w:right="20" w:hanging="360"/>
        <w:spacing w:after="0" w:line="260" w:lineRule="auto"/>
        <w:tabs>
          <w:tab w:leader="none" w:pos="360" w:val="left"/>
        </w:tabs>
        <w:numPr>
          <w:ilvl w:val="0"/>
          <w:numId w:val="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 have a commitment to acquire real estate in Waikiki, Hawaii for use in our Vacation Ownership segment via our involvement with a VIE. Refer to Footnote 18 “Variable Interest Entities” for additional information about this commitment, including purchases that occurred during 2025 and 2024 pursuant to this commitment, and for additional information about our activities relating to the VIE involved in this commitment.</w:t>
      </w:r>
    </w:p>
    <w:p>
      <w:pPr>
        <w:spacing w:after="0" w:line="83" w:lineRule="exact"/>
        <w:rPr>
          <w:rFonts w:ascii="Times New Roman" w:cs="Times New Roman" w:eastAsia="Times New Roman" w:hAnsi="Times New Roman"/>
          <w:sz w:val="20"/>
          <w:szCs w:val="20"/>
          <w:color w:val="231F20"/>
        </w:rPr>
      </w:pPr>
    </w:p>
    <w:p>
      <w:pPr>
        <w:ind w:left="360" w:right="140" w:hanging="360"/>
        <w:spacing w:after="0" w:line="258" w:lineRule="auto"/>
        <w:tabs>
          <w:tab w:leader="none" w:pos="360" w:val="left"/>
        </w:tabs>
        <w:numPr>
          <w:ilvl w:val="0"/>
          <w:numId w:val="4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 connection with our sale of a hotel in Cancun, we entered into a commitment to purchase vacation ownership units located in Puerto Vallarta, Mexico, contingent upon completion of construction to agreed-upon standards within specified timeframes, for use in our Vacation Ownership segment. We expect to complete the acquisition of 64 vacation ownership units in 2028, and we expect to make payments of $46 million when specific construction milestones are completed in 2028.</w:t>
      </w:r>
    </w:p>
    <w:p>
      <w:pPr>
        <w:spacing w:after="0" w:line="84"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231F20"/>
        </w:rPr>
        <w:t>Surety bonds issued as of December 31, 2025 totaled $140 million, the majority of which were requested by federal, state or local governments in connection with our operations.</w:t>
      </w:r>
    </w:p>
    <w:p>
      <w:pPr>
        <w:spacing w:after="0" w:line="6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As of December 31, 2025, we had $13 million of letters of credit outstanding under our Revolving Corporate Credit Facility (as defined in Footnote 15 “Debt”), of which $12 million were related to and in lieu of reserves required for certain of our outstanding securitization transactions. In addition, as of December 31, 2025, we had $25 million in letters of credit outstanding that were related to and in lieu of reserves required for certain other outstanding securitization transactions, which were not issued pursuant to, nor do they impact our borrowing capacity under, the Revolving Corporate Credit Facility.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Guarantees</w:t>
      </w:r>
    </w:p>
    <w:p>
      <w:pPr>
        <w:spacing w:after="0" w:line="1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231F20"/>
        </w:rPr>
        <w:t>We have a commitment to an owners’ association that we manage to pay for any shortfall between the actual expenses incurred by the owners’ association and the income received by the owners’ association, in lieu of our payment of maintenance fees for unsold inventory. The agreement will terminate on the earlier of: 1) sale of 95% of the total ownership interests in the owners’ association; or 2) written notification of termination by either party. At December 31, 2025, our expected commitment for 2026 is $29 million, which will ultimately be recorded as a component of rental expense on our income statement.</w:t>
      </w:r>
    </w:p>
    <w:p>
      <w:pPr>
        <w:sectPr>
          <w:pgSz w:w="11880" w:h="15480" w:orient="portrait"/>
          <w:cols w:equalWidth="0" w:num="1">
            <w:col w:w="9700"/>
          </w:cols>
          <w:pgMar w:left="1080" w:top="83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106</w:t>
      </w:r>
    </w:p>
    <w:p>
      <w:pPr>
        <w:sectPr>
          <w:pgSz w:w="11880" w:h="15480" w:orient="portrait"/>
          <w:cols w:equalWidth="0" w:num="1">
            <w:col w:w="9700"/>
          </w:cols>
          <w:pgMar w:left="1080" w:top="838" w:right="110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i w:val="1"/>
          <w:iCs w:val="1"/>
          <w:color w:val="231F20"/>
        </w:rPr>
        <w:t>Loss Contingencies</w:t>
      </w:r>
    </w:p>
    <w:p>
      <w:pPr>
        <w:spacing w:after="0" w:line="13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231F20"/>
        </w:rPr>
        <w:t>In the ordinary course of our business, various claims and lawsuits have been filed or are pending against us. A number of these lawsuits and claims may exist at any given time.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231F20"/>
        </w:rPr>
        <w:t>We have accrued for certain pending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where required, are adequate and/or we have valid defenses to the claims asserted, unfavorable rulings could occur that could, individually or in the aggregate, have a material adverse effect on our business, financial condition, or operating results.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13.  LEASES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presents the carrying values of our leases and the classification on our Balance Sheet.</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27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32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Balance Sheet Classification</w:t>
            </w:r>
          </w:p>
        </w:tc>
        <w:tc>
          <w:tcPr>
            <w:tcW w:w="60" w:type="dxa"/>
            <w:vAlign w:val="bottom"/>
          </w:tcPr>
          <w:p>
            <w:pPr>
              <w:spacing w:after="0"/>
              <w:rPr>
                <w:sz w:val="21"/>
                <w:szCs w:val="21"/>
                <w:color w:val="auto"/>
              </w:rPr>
            </w:pPr>
          </w:p>
        </w:tc>
        <w:tc>
          <w:tcPr>
            <w:tcW w:w="180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At December 31, 2025</w:t>
            </w:r>
          </w:p>
        </w:tc>
        <w:tc>
          <w:tcPr>
            <w:tcW w:w="60" w:type="dxa"/>
            <w:vAlign w:val="bottom"/>
          </w:tcPr>
          <w:p>
            <w:pPr>
              <w:spacing w:after="0"/>
              <w:rPr>
                <w:sz w:val="21"/>
                <w:szCs w:val="21"/>
                <w:color w:val="auto"/>
              </w:rPr>
            </w:pPr>
          </w:p>
        </w:tc>
        <w:tc>
          <w:tcPr>
            <w:tcW w:w="180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At December 31, 2024</w:t>
            </w:r>
          </w:p>
        </w:tc>
      </w:tr>
      <w:tr>
        <w:trPr>
          <w:trHeight w:val="262"/>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Operating lease assets </w:t>
            </w:r>
            <w:r>
              <w:rPr>
                <w:rFonts w:ascii="Times New Roman" w:cs="Times New Roman" w:eastAsia="Times New Roman" w:hAnsi="Times New Roman"/>
                <w:sz w:val="20"/>
                <w:szCs w:val="20"/>
                <w:color w:val="B8BABC"/>
              </w:rPr>
              <w:t>. . . . . . . . .</w:t>
            </w:r>
          </w:p>
        </w:tc>
        <w:tc>
          <w:tcPr>
            <w:tcW w:w="3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Other assets</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w:t>
            </w:r>
          </w:p>
        </w:tc>
      </w:tr>
      <w:tr>
        <w:trPr>
          <w:trHeight w:val="288"/>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Finance lease assets </w:t>
            </w:r>
            <w:r>
              <w:rPr>
                <w:rFonts w:ascii="Times New Roman" w:cs="Times New Roman" w:eastAsia="Times New Roman" w:hAnsi="Times New Roman"/>
                <w:sz w:val="20"/>
                <w:szCs w:val="20"/>
                <w:color w:val="B8BABC"/>
              </w:rPr>
              <w:t>. . . . . . . . . . .</w:t>
            </w:r>
          </w:p>
        </w:tc>
        <w:tc>
          <w:tcPr>
            <w:tcW w:w="3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Property and equipment, net</w:t>
            </w:r>
          </w:p>
        </w:tc>
        <w:tc>
          <w:tcPr>
            <w:tcW w:w="60" w:type="dxa"/>
            <w:vAlign w:val="bottom"/>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164</w:t>
            </w:r>
          </w:p>
        </w:tc>
        <w:tc>
          <w:tcPr>
            <w:tcW w:w="60" w:type="dxa"/>
            <w:vAlign w:val="bottom"/>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168</w:t>
            </w:r>
          </w:p>
        </w:tc>
      </w:tr>
      <w:tr>
        <w:trPr>
          <w:trHeight w:val="245"/>
        </w:trPr>
        <w:tc>
          <w:tcPr>
            <w:tcW w:w="27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221</w:t>
            </w:r>
          </w:p>
        </w:tc>
        <w:tc>
          <w:tcPr>
            <w:tcW w:w="60" w:type="dxa"/>
            <w:vAlign w:val="bottom"/>
          </w:tcPr>
          <w:p>
            <w:pPr>
              <w:spacing w:after="0"/>
              <w:rPr>
                <w:sz w:val="21"/>
                <w:szCs w:val="21"/>
                <w:color w:val="auto"/>
              </w:rPr>
            </w:pPr>
          </w:p>
        </w:tc>
        <w:tc>
          <w:tcPr>
            <w:tcW w:w="78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242</w:t>
            </w:r>
          </w:p>
        </w:tc>
      </w:tr>
      <w:tr>
        <w:trPr>
          <w:trHeight w:val="20"/>
        </w:trPr>
        <w:tc>
          <w:tcPr>
            <w:tcW w:w="2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r>
      <w:tr>
        <w:trPr>
          <w:trHeight w:val="557"/>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Operating lease liabilities </w:t>
            </w:r>
            <w:r>
              <w:rPr>
                <w:rFonts w:ascii="Times New Roman" w:cs="Times New Roman" w:eastAsia="Times New Roman" w:hAnsi="Times New Roman"/>
                <w:sz w:val="20"/>
                <w:szCs w:val="20"/>
                <w:color w:val="B8BABC"/>
              </w:rPr>
              <w:t>. . . . . .</w:t>
            </w:r>
          </w:p>
        </w:tc>
        <w:tc>
          <w:tcPr>
            <w:tcW w:w="3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Accrued liabilities</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w:t>
            </w:r>
          </w:p>
        </w:tc>
      </w:tr>
      <w:tr>
        <w:trPr>
          <w:trHeight w:val="288"/>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Finance lease liabilities </w:t>
            </w:r>
            <w:r>
              <w:rPr>
                <w:rFonts w:ascii="Times New Roman" w:cs="Times New Roman" w:eastAsia="Times New Roman" w:hAnsi="Times New Roman"/>
                <w:sz w:val="20"/>
                <w:szCs w:val="20"/>
                <w:color w:val="B8BABC"/>
              </w:rPr>
              <w:t>. . . . . . . .</w:t>
            </w:r>
          </w:p>
        </w:tc>
        <w:tc>
          <w:tcPr>
            <w:tcW w:w="32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Debt, net</w:t>
            </w:r>
          </w:p>
        </w:tc>
        <w:tc>
          <w:tcPr>
            <w:tcW w:w="60" w:type="dxa"/>
            <w:vAlign w:val="bottom"/>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198</w:t>
            </w:r>
          </w:p>
        </w:tc>
        <w:tc>
          <w:tcPr>
            <w:tcW w:w="60" w:type="dxa"/>
            <w:vAlign w:val="bottom"/>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199</w:t>
            </w:r>
          </w:p>
        </w:tc>
      </w:tr>
      <w:tr>
        <w:trPr>
          <w:trHeight w:val="245"/>
        </w:trPr>
        <w:tc>
          <w:tcPr>
            <w:tcW w:w="27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271</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293</w:t>
            </w:r>
          </w:p>
        </w:tc>
      </w:tr>
      <w:tr>
        <w:trPr>
          <w:trHeight w:val="20"/>
        </w:trPr>
        <w:tc>
          <w:tcPr>
            <w:tcW w:w="2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presents the lease costs and the classification on our Income Statements for 2025, 2024, and 2023.</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29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Income Statement Classification</w:t>
            </w:r>
          </w:p>
        </w:tc>
        <w:tc>
          <w:tcPr>
            <w:tcW w:w="60" w:type="dxa"/>
            <w:vAlign w:val="bottom"/>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ind w:right="302"/>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ind w:right="28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ind w:right="282"/>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0" w:type="dxa"/>
            <w:vAlign w:val="bottom"/>
          </w:tcPr>
          <w:p>
            <w:pPr>
              <w:spacing w:after="0"/>
              <w:rPr>
                <w:sz w:val="1"/>
                <w:szCs w:val="1"/>
                <w:color w:val="auto"/>
              </w:rPr>
            </w:pPr>
          </w:p>
        </w:tc>
      </w:tr>
      <w:tr>
        <w:trPr>
          <w:trHeight w:val="182"/>
        </w:trPr>
        <w:tc>
          <w:tcPr>
            <w:tcW w:w="3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 xml:space="preserve">Operating lease cost </w:t>
            </w:r>
            <w:r>
              <w:rPr>
                <w:rFonts w:ascii="Times New Roman" w:cs="Times New Roman" w:eastAsia="Times New Roman" w:hAnsi="Times New Roman"/>
                <w:sz w:val="20"/>
                <w:szCs w:val="20"/>
                <w:color w:val="B8BABC"/>
              </w:rPr>
              <w:t>. . . . . . . . . . . . . .</w:t>
            </w:r>
          </w:p>
        </w:tc>
        <w:tc>
          <w:tcPr>
            <w:tcW w:w="2980" w:type="dxa"/>
            <w:vAlign w:val="bottom"/>
          </w:tcPr>
          <w:p>
            <w:pPr>
              <w:jc w:val="center"/>
              <w:spacing w:after="0" w:line="182" w:lineRule="exact"/>
              <w:rPr>
                <w:sz w:val="20"/>
                <w:szCs w:val="20"/>
                <w:color w:val="auto"/>
              </w:rPr>
            </w:pPr>
            <w:r>
              <w:rPr>
                <w:rFonts w:ascii="Times New Roman" w:cs="Times New Roman" w:eastAsia="Times New Roman" w:hAnsi="Times New Roman"/>
                <w:sz w:val="20"/>
                <w:szCs w:val="20"/>
                <w:color w:val="231F20"/>
                <w:w w:val="99"/>
              </w:rPr>
              <w:t>Marketing and sales expense</w:t>
            </w: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tcPr>
          <w:p>
            <w:pPr>
              <w:jc w:val="right"/>
              <w:ind w:right="2"/>
              <w:spacing w:after="0"/>
              <w:rPr>
                <w:sz w:val="20"/>
                <w:szCs w:val="20"/>
                <w:color w:val="auto"/>
              </w:rPr>
            </w:pPr>
            <w:r>
              <w:rPr>
                <w:rFonts w:ascii="Times New Roman" w:cs="Times New Roman" w:eastAsia="Times New Roman" w:hAnsi="Times New Roman"/>
                <w:sz w:val="20"/>
                <w:szCs w:val="20"/>
                <w:color w:val="231F20"/>
              </w:rPr>
              <w:t>16</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0" w:type="dxa"/>
            <w:vAlign w:val="bottom"/>
          </w:tcPr>
          <w:p>
            <w:pPr>
              <w:spacing w:after="0"/>
              <w:rPr>
                <w:sz w:val="1"/>
                <w:szCs w:val="1"/>
                <w:color w:val="auto"/>
              </w:rPr>
            </w:pPr>
          </w:p>
        </w:tc>
      </w:tr>
      <w:tr>
        <w:trPr>
          <w:trHeight w:val="260"/>
        </w:trPr>
        <w:tc>
          <w:tcPr>
            <w:tcW w:w="3120" w:type="dxa"/>
            <w:vAlign w:val="bottom"/>
            <w:vMerge w:val="continue"/>
          </w:tcPr>
          <w:p>
            <w:pPr>
              <w:spacing w:after="0"/>
              <w:rPr>
                <w:sz w:val="22"/>
                <w:szCs w:val="22"/>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General and administrative expense</w:t>
            </w:r>
          </w:p>
        </w:tc>
        <w:tc>
          <w:tcPr>
            <w:tcW w:w="34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120" w:type="dxa"/>
            <w:vAlign w:val="bottom"/>
          </w:tcPr>
          <w:p>
            <w:pPr>
              <w:spacing w:after="0"/>
              <w:rPr>
                <w:sz w:val="20"/>
                <w:szCs w:val="20"/>
                <w:color w:val="auto"/>
              </w:rPr>
            </w:pPr>
            <w:r>
              <w:rPr>
                <w:rFonts w:ascii="Times New Roman" w:cs="Times New Roman" w:eastAsia="Times New Roman" w:hAnsi="Times New Roman"/>
                <w:sz w:val="20"/>
                <w:szCs w:val="20"/>
                <w:color w:val="231F20"/>
              </w:rPr>
              <w:t>Finance lease cost</w:t>
            </w:r>
          </w:p>
        </w:tc>
        <w:tc>
          <w:tcPr>
            <w:tcW w:w="2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Amortization of right-of-use assets </w:t>
            </w:r>
            <w:r>
              <w:rPr>
                <w:rFonts w:ascii="Times New Roman" w:cs="Times New Roman" w:eastAsia="Times New Roman" w:hAnsi="Times New Roman"/>
                <w:sz w:val="20"/>
                <w:szCs w:val="20"/>
                <w:color w:val="B8BABC"/>
              </w:rPr>
              <w:t>.</w:t>
            </w:r>
          </w:p>
        </w:tc>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Depreciation and amortization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0" w:type="dxa"/>
            <w:vAlign w:val="bottom"/>
          </w:tcPr>
          <w:p>
            <w:pPr>
              <w:spacing w:after="0"/>
              <w:rPr>
                <w:sz w:val="1"/>
                <w:szCs w:val="1"/>
                <w:color w:val="auto"/>
              </w:rPr>
            </w:pPr>
          </w:p>
        </w:tc>
      </w:tr>
      <w:tr>
        <w:trPr>
          <w:trHeight w:val="285"/>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Interest on lease liabilities </w:t>
            </w:r>
            <w:r>
              <w:rPr>
                <w:rFonts w:ascii="Times New Roman" w:cs="Times New Roman" w:eastAsia="Times New Roman" w:hAnsi="Times New Roman"/>
                <w:sz w:val="20"/>
                <w:szCs w:val="20"/>
                <w:color w:val="B8BABC"/>
              </w:rPr>
              <w:t>. . . . . . . .</w:t>
            </w:r>
          </w:p>
        </w:tc>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Financing expense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13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0" w:type="dxa"/>
            <w:vAlign w:val="bottom"/>
          </w:tcPr>
          <w:p>
            <w:pPr>
              <w:spacing w:after="0"/>
              <w:rPr>
                <w:sz w:val="1"/>
                <w:szCs w:val="1"/>
                <w:color w:val="auto"/>
              </w:rPr>
            </w:pPr>
          </w:p>
        </w:tc>
      </w:tr>
      <w:tr>
        <w:trPr>
          <w:trHeight w:val="288"/>
        </w:trPr>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Variable lease cost </w:t>
            </w:r>
            <w:r>
              <w:rPr>
                <w:rFonts w:ascii="Times New Roman" w:cs="Times New Roman" w:eastAsia="Times New Roman" w:hAnsi="Times New Roman"/>
                <w:sz w:val="20"/>
                <w:szCs w:val="20"/>
                <w:color w:val="B8BABC"/>
              </w:rPr>
              <w:t>. . . . . . . . . . . . . . .</w:t>
            </w:r>
          </w:p>
        </w:tc>
        <w:tc>
          <w:tcPr>
            <w:tcW w:w="29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Marketing and sales expense</w:t>
            </w:r>
          </w:p>
        </w:tc>
        <w:tc>
          <w:tcPr>
            <w:tcW w:w="6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45"/>
        </w:trPr>
        <w:tc>
          <w:tcPr>
            <w:tcW w:w="31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231F20"/>
              </w:rPr>
              <w:t>44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presents the maturity of our operating and finance lease liabilities as of December 31, 2025.</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 in millions)</w:t>
            </w:r>
          </w:p>
        </w:tc>
        <w:tc>
          <w:tcPr>
            <w:tcW w:w="162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Operating Leases</w:t>
            </w:r>
          </w:p>
        </w:tc>
        <w:tc>
          <w:tcPr>
            <w:tcW w:w="6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1420" w:type="dxa"/>
            <w:vAlign w:val="bottom"/>
            <w:tcBorders>
              <w:bottom w:val="single" w:sz="8" w:color="231F20"/>
            </w:tcBorders>
          </w:tcPr>
          <w:p>
            <w:pPr>
              <w:jc w:val="right"/>
              <w:ind w:right="121"/>
              <w:spacing w:after="0"/>
              <w:rPr>
                <w:sz w:val="20"/>
                <w:szCs w:val="20"/>
                <w:color w:val="auto"/>
              </w:rPr>
            </w:pPr>
            <w:r>
              <w:rPr>
                <w:rFonts w:ascii="Times New Roman" w:cs="Times New Roman" w:eastAsia="Times New Roman" w:hAnsi="Times New Roman"/>
                <w:sz w:val="18"/>
                <w:szCs w:val="18"/>
                <w:b w:val="1"/>
                <w:bCs w:val="1"/>
                <w:color w:val="231F20"/>
              </w:rPr>
              <w:t>Finance Leases</w:t>
            </w:r>
          </w:p>
        </w:tc>
        <w:tc>
          <w:tcPr>
            <w:tcW w:w="60" w:type="dxa"/>
            <w:vAlign w:val="bottom"/>
          </w:tcPr>
          <w:p>
            <w:pPr>
              <w:spacing w:after="0"/>
              <w:rPr>
                <w:sz w:val="21"/>
                <w:szCs w:val="21"/>
                <w:color w:val="auto"/>
              </w:rPr>
            </w:pPr>
          </w:p>
        </w:tc>
        <w:tc>
          <w:tcPr>
            <w:tcW w:w="380" w:type="dxa"/>
            <w:vAlign w:val="bottom"/>
            <w:tcBorders>
              <w:bottom w:val="single" w:sz="8" w:color="231F20"/>
            </w:tcBorders>
          </w:tcPr>
          <w:p>
            <w:pPr>
              <w:spacing w:after="0"/>
              <w:rPr>
                <w:sz w:val="21"/>
                <w:szCs w:val="21"/>
                <w:color w:val="auto"/>
              </w:rPr>
            </w:pPr>
          </w:p>
        </w:tc>
        <w:tc>
          <w:tcPr>
            <w:tcW w:w="1240" w:type="dxa"/>
            <w:vAlign w:val="bottom"/>
            <w:tcBorders>
              <w:bottom w:val="single" w:sz="8" w:color="231F20"/>
            </w:tcBorders>
          </w:tcPr>
          <w:p>
            <w:pPr>
              <w:jc w:val="right"/>
              <w:ind w:right="501"/>
              <w:spacing w:after="0"/>
              <w:rPr>
                <w:sz w:val="20"/>
                <w:szCs w:val="20"/>
                <w:color w:val="auto"/>
              </w:rPr>
            </w:pPr>
            <w:r>
              <w:rPr>
                <w:rFonts w:ascii="Times New Roman" w:cs="Times New Roman" w:eastAsia="Times New Roman" w:hAnsi="Times New Roman"/>
                <w:sz w:val="18"/>
                <w:szCs w:val="18"/>
                <w:b w:val="1"/>
                <w:bCs w:val="1"/>
                <w:color w:val="231F20"/>
              </w:rPr>
              <w:t>Total</w:t>
            </w:r>
          </w:p>
        </w:tc>
      </w:tr>
      <w:tr>
        <w:trPr>
          <w:trHeight w:val="262"/>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2026 </w:t>
            </w:r>
            <w:r>
              <w:rPr>
                <w:rFonts w:ascii="Times New Roman" w:cs="Times New Roman" w:eastAsia="Times New Roman" w:hAnsi="Times New Roman"/>
                <w:sz w:val="20"/>
                <w:szCs w:val="20"/>
                <w:color w:val="B8BABC"/>
              </w:rPr>
              <w:t>. . . . . . . . . . . . . . . . . . . . . . . . . . . . . . . . . . . . . . . . . .</w:t>
            </w:r>
          </w:p>
        </w:tc>
        <w:tc>
          <w:tcPr>
            <w:tcW w:w="720" w:type="dxa"/>
            <w:vAlign w:val="bottom"/>
          </w:tcPr>
          <w:p>
            <w:pPr>
              <w:jc w:val="right"/>
              <w:ind w:right="463"/>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r>
      <w:tr>
        <w:trPr>
          <w:trHeight w:val="285"/>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2027 </w:t>
            </w:r>
            <w:r>
              <w:rPr>
                <w:rFonts w:ascii="Times New Roman" w:cs="Times New Roman" w:eastAsia="Times New Roman" w:hAnsi="Times New Roman"/>
                <w:sz w:val="20"/>
                <w:szCs w:val="20"/>
                <w:color w:val="B8BABC"/>
              </w:rPr>
              <w:t>. . . . . . . . . . . . . . . . . . . . . . . . . . . . . . . . . . . . . . . . . .</w:t>
            </w:r>
          </w:p>
        </w:tc>
        <w:tc>
          <w:tcPr>
            <w:tcW w:w="7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w:t>
            </w:r>
          </w:p>
        </w:tc>
      </w:tr>
      <w:tr>
        <w:trPr>
          <w:trHeight w:val="285"/>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2028 </w:t>
            </w:r>
            <w:r>
              <w:rPr>
                <w:rFonts w:ascii="Times New Roman" w:cs="Times New Roman" w:eastAsia="Times New Roman" w:hAnsi="Times New Roman"/>
                <w:sz w:val="20"/>
                <w:szCs w:val="20"/>
                <w:color w:val="B8BABC"/>
              </w:rPr>
              <w:t>. . . . . . . . . . . . . . . . . . . . . . . . . . . . . . . . . . . . . . . . . .</w:t>
            </w:r>
          </w:p>
        </w:tc>
        <w:tc>
          <w:tcPr>
            <w:tcW w:w="7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w:t>
            </w:r>
          </w:p>
        </w:tc>
      </w:tr>
      <w:tr>
        <w:trPr>
          <w:trHeight w:val="285"/>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2029 </w:t>
            </w:r>
            <w:r>
              <w:rPr>
                <w:rFonts w:ascii="Times New Roman" w:cs="Times New Roman" w:eastAsia="Times New Roman" w:hAnsi="Times New Roman"/>
                <w:sz w:val="20"/>
                <w:szCs w:val="20"/>
                <w:color w:val="B8BABC"/>
              </w:rPr>
              <w:t>. . . . . . . . . . . . . . . . . . . . . . . . . . . . . . . . . . . . . . . . . .</w:t>
            </w:r>
          </w:p>
        </w:tc>
        <w:tc>
          <w:tcPr>
            <w:tcW w:w="7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r>
      <w:tr>
        <w:trPr>
          <w:trHeight w:val="285"/>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2030 </w:t>
            </w:r>
            <w:r>
              <w:rPr>
                <w:rFonts w:ascii="Times New Roman" w:cs="Times New Roman" w:eastAsia="Times New Roman" w:hAnsi="Times New Roman"/>
                <w:sz w:val="20"/>
                <w:szCs w:val="20"/>
                <w:color w:val="B8BABC"/>
              </w:rPr>
              <w:t>. . . . . . . . . . . . . . . . . . . . . . . . . . . . . . . . . . . . . . . . . .</w:t>
            </w:r>
          </w:p>
        </w:tc>
        <w:tc>
          <w:tcPr>
            <w:tcW w:w="7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w:t>
            </w:r>
          </w:p>
        </w:tc>
      </w:tr>
      <w:tr>
        <w:trPr>
          <w:trHeight w:val="288"/>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Thereafter </w:t>
            </w:r>
            <w:r>
              <w:rPr>
                <w:rFonts w:ascii="Times New Roman" w:cs="Times New Roman" w:eastAsia="Times New Roman" w:hAnsi="Times New Roman"/>
                <w:sz w:val="20"/>
                <w:szCs w:val="20"/>
                <w:color w:val="B8BABC"/>
              </w:rPr>
              <w:t>. . . . . . . . . . . . . . . . . . . . . . . . . . . . . . . . . . . . . .</w:t>
            </w:r>
          </w:p>
        </w:tc>
        <w:tc>
          <w:tcPr>
            <w:tcW w:w="72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448</w:t>
            </w:r>
          </w:p>
        </w:tc>
        <w:tc>
          <w:tcPr>
            <w:tcW w:w="60" w:type="dxa"/>
            <w:vAlign w:val="bottom"/>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464</w:t>
            </w:r>
          </w:p>
        </w:tc>
      </w:tr>
      <w:tr>
        <w:trPr>
          <w:trHeight w:val="262"/>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Total lease payments </w:t>
            </w:r>
            <w:r>
              <w:rPr>
                <w:rFonts w:ascii="Times New Roman" w:cs="Times New Roman" w:eastAsia="Times New Roman" w:hAnsi="Times New Roman"/>
                <w:sz w:val="20"/>
                <w:szCs w:val="20"/>
                <w:color w:val="B8BABC"/>
              </w:rPr>
              <w:t>. . . . . . . . . . . . . . . . . . . . . . . . . . . . .</w:t>
            </w:r>
          </w:p>
        </w:tc>
        <w:tc>
          <w:tcPr>
            <w:tcW w:w="7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522</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606</w:t>
            </w:r>
          </w:p>
        </w:tc>
      </w:tr>
      <w:tr>
        <w:trPr>
          <w:trHeight w:val="288"/>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Less: Imputed interest </w:t>
            </w:r>
            <w:r>
              <w:rPr>
                <w:rFonts w:ascii="Times New Roman" w:cs="Times New Roman" w:eastAsia="Times New Roman" w:hAnsi="Times New Roman"/>
                <w:sz w:val="20"/>
                <w:szCs w:val="20"/>
                <w:color w:val="B8BABC"/>
              </w:rPr>
              <w:t>. . . . . . . . . . . . . . . . . . . . . . . . . . . .</w:t>
            </w:r>
          </w:p>
        </w:tc>
        <w:tc>
          <w:tcPr>
            <w:tcW w:w="72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4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(324)</w:t>
            </w:r>
          </w:p>
        </w:tc>
        <w:tc>
          <w:tcPr>
            <w:tcW w:w="60" w:type="dxa"/>
            <w:vAlign w:val="bottom"/>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(335)</w:t>
            </w:r>
          </w:p>
        </w:tc>
      </w:tr>
      <w:tr>
        <w:trPr>
          <w:trHeight w:val="245"/>
        </w:trPr>
        <w:tc>
          <w:tcPr>
            <w:tcW w:w="4680" w:type="dxa"/>
            <w:vAlign w:val="bottom"/>
          </w:tcPr>
          <w:p>
            <w:pPr>
              <w:spacing w:after="0"/>
              <w:rPr>
                <w:sz w:val="21"/>
                <w:szCs w:val="21"/>
                <w:color w:val="auto"/>
              </w:rPr>
            </w:pPr>
          </w:p>
        </w:tc>
        <w:tc>
          <w:tcPr>
            <w:tcW w:w="720" w:type="dxa"/>
            <w:vAlign w:val="bottom"/>
          </w:tcPr>
          <w:p>
            <w:pPr>
              <w:jc w:val="right"/>
              <w:ind w:right="463"/>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271</w:t>
            </w:r>
          </w:p>
        </w:tc>
      </w:tr>
      <w:tr>
        <w:trPr>
          <w:trHeight w:val="20"/>
        </w:trPr>
        <w:tc>
          <w:tcPr>
            <w:tcW w:w="4680" w:type="dxa"/>
            <w:vAlign w:val="bottom"/>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1240" w:type="dxa"/>
            <w:vAlign w:val="bottom"/>
            <w:tcBorders>
              <w:top w:val="single" w:sz="8" w:color="231F20"/>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834"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107</w:t>
      </w:r>
    </w:p>
    <w:p>
      <w:pPr>
        <w:sectPr>
          <w:pgSz w:w="11880" w:h="15480" w:orient="portrait"/>
          <w:cols w:equalWidth="0" w:num="1">
            <w:col w:w="9720"/>
          </w:cols>
          <w:pgMar w:left="1080" w:top="834" w:right="108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i w:val="1"/>
          <w:iCs w:val="1"/>
          <w:color w:val="231F20"/>
        </w:rPr>
        <w:t>Lease Term and Discount Rate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presents additional information about our lease obligations.</w:t>
      </w:r>
    </w:p>
    <w:p>
      <w:pPr>
        <w:spacing w:after="0" w:line="13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000" w:type="dxa"/>
            <w:vAlign w:val="bottom"/>
          </w:tcPr>
          <w:p>
            <w:pPr>
              <w:spacing w:after="0"/>
              <w:rPr>
                <w:sz w:val="21"/>
                <w:szCs w:val="21"/>
                <w:color w:val="auto"/>
              </w:rPr>
            </w:pPr>
          </w:p>
        </w:tc>
        <w:tc>
          <w:tcPr>
            <w:tcW w:w="1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At December 31, 2025</w:t>
            </w:r>
          </w:p>
        </w:tc>
        <w:tc>
          <w:tcPr>
            <w:tcW w:w="60" w:type="dxa"/>
            <w:vAlign w:val="bottom"/>
          </w:tcPr>
          <w:p>
            <w:pPr>
              <w:spacing w:after="0"/>
              <w:rPr>
                <w:sz w:val="21"/>
                <w:szCs w:val="21"/>
                <w:color w:val="auto"/>
              </w:rPr>
            </w:pPr>
          </w:p>
        </w:tc>
        <w:tc>
          <w:tcPr>
            <w:tcW w:w="1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At December 31, 2024</w:t>
            </w:r>
          </w:p>
        </w:tc>
      </w:tr>
      <w:tr>
        <w:trPr>
          <w:trHeight w:val="262"/>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31F20"/>
              </w:rPr>
              <w:t>Weighted-average remaining lease term</w:t>
            </w:r>
          </w:p>
        </w:tc>
        <w:tc>
          <w:tcPr>
            <w:tcW w:w="1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85"/>
        </w:trPr>
        <w:tc>
          <w:tcPr>
            <w:tcW w:w="600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 xml:space="preserve">Operating leases </w:t>
            </w:r>
            <w:r>
              <w:rPr>
                <w:rFonts w:ascii="Times New Roman" w:cs="Times New Roman" w:eastAsia="Times New Roman" w:hAnsi="Times New Roman"/>
                <w:sz w:val="20"/>
                <w:szCs w:val="20"/>
                <w:color w:val="B8BABC"/>
              </w:rPr>
              <w:t>. . . . . . . . . . . . . . . . . . . . . . . . . . . . . . . . . . . . . . . . . . .</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5.6 years</w:t>
            </w:r>
          </w:p>
        </w:tc>
        <w:tc>
          <w:tcPr>
            <w:tcW w:w="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6.2 years</w:t>
            </w:r>
          </w:p>
        </w:tc>
      </w:tr>
      <w:tr>
        <w:trPr>
          <w:trHeight w:val="285"/>
        </w:trPr>
        <w:tc>
          <w:tcPr>
            <w:tcW w:w="600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 xml:space="preserve">Finance leases </w:t>
            </w:r>
            <w:r>
              <w:rPr>
                <w:rFonts w:ascii="Times New Roman" w:cs="Times New Roman" w:eastAsia="Times New Roman" w:hAnsi="Times New Roman"/>
                <w:sz w:val="20"/>
                <w:szCs w:val="20"/>
                <w:color w:val="B8BABC"/>
              </w:rPr>
              <w:t>. . . . . . . . . . . . . . . . . . . . . . . . . . . . . . . . . . . . . . . . . . . . .</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34.4 years</w:t>
            </w:r>
          </w:p>
        </w:tc>
        <w:tc>
          <w:tcPr>
            <w:tcW w:w="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35.1 years</w:t>
            </w:r>
          </w:p>
        </w:tc>
      </w:tr>
      <w:tr>
        <w:trPr>
          <w:trHeight w:val="285"/>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31F20"/>
              </w:rPr>
              <w:t>Weighted-average discount rate</w:t>
            </w: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5"/>
        </w:trPr>
        <w:tc>
          <w:tcPr>
            <w:tcW w:w="600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 xml:space="preserve">Operating leases </w:t>
            </w:r>
            <w:r>
              <w:rPr>
                <w:rFonts w:ascii="Times New Roman" w:cs="Times New Roman" w:eastAsia="Times New Roman" w:hAnsi="Times New Roman"/>
                <w:sz w:val="20"/>
                <w:szCs w:val="20"/>
                <w:color w:val="B8BABC"/>
              </w:rPr>
              <w:t>. . . . . . . . . . . . . . . . . . . . . . . . . . . . . . . . . . . . . . . . . . .</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5"/>
              </w:rPr>
              <w:t>6.5%</w:t>
            </w: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5"/>
              </w:rPr>
              <w:t>6.5%</w:t>
            </w:r>
          </w:p>
        </w:tc>
      </w:tr>
      <w:tr>
        <w:trPr>
          <w:trHeight w:val="285"/>
        </w:trPr>
        <w:tc>
          <w:tcPr>
            <w:tcW w:w="600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 xml:space="preserve">Finance leases </w:t>
            </w:r>
            <w:r>
              <w:rPr>
                <w:rFonts w:ascii="Times New Roman" w:cs="Times New Roman" w:eastAsia="Times New Roman" w:hAnsi="Times New Roman"/>
                <w:sz w:val="20"/>
                <w:szCs w:val="20"/>
                <w:color w:val="B8BABC"/>
              </w:rPr>
              <w:t>. . . . . . . . . . . . . . . . . . . . . . . . . . . . . . . . . . . . . . . . . . . . .</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5"/>
              </w:rPr>
              <w:t>6.5%</w:t>
            </w: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5"/>
              </w:rPr>
              <w:t>6.5%</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Information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presents supplemental cash flow information for 2025, 2024, and 2023.</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940" w:type="dxa"/>
            <w:vAlign w:val="bottom"/>
            <w:tcBorders>
              <w:bottom w:val="single" w:sz="8" w:color="231F20"/>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38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382"/>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62"/>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231F20"/>
              </w:rPr>
              <w:t>Cash paid for amounts included in measurement of lease liabilities</w:t>
            </w: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5"/>
        </w:trPr>
        <w:tc>
          <w:tcPr>
            <w:tcW w:w="562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Operating cash flows for finance leases </w:t>
            </w:r>
            <w:r>
              <w:rPr>
                <w:rFonts w:ascii="Times New Roman" w:cs="Times New Roman" w:eastAsia="Times New Roman" w:hAnsi="Times New Roman"/>
                <w:sz w:val="20"/>
                <w:szCs w:val="20"/>
                <w:color w:val="B8BABC"/>
              </w:rPr>
              <w:t>. . . . . . . . . . . . . . . . . . . . . .</w:t>
            </w:r>
          </w:p>
        </w:tc>
        <w:tc>
          <w:tcPr>
            <w:tcW w:w="940" w:type="dxa"/>
            <w:vAlign w:val="bottom"/>
          </w:tcPr>
          <w:p>
            <w:pPr>
              <w:jc w:val="right"/>
              <w:ind w:right="682"/>
              <w:spacing w:after="0"/>
              <w:rPr>
                <w:sz w:val="20"/>
                <w:szCs w:val="20"/>
                <w:color w:val="auto"/>
              </w:rPr>
            </w:pPr>
            <w:r>
              <w:rPr>
                <w:rFonts w:ascii="Times New Roman" w:cs="Times New Roman" w:eastAsia="Times New Roman" w:hAnsi="Times New Roman"/>
                <w:sz w:val="20"/>
                <w:szCs w:val="20"/>
                <w:color w:val="231F2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r>
      <w:tr>
        <w:trPr>
          <w:trHeight w:val="285"/>
        </w:trPr>
        <w:tc>
          <w:tcPr>
            <w:tcW w:w="562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Operating cash flows for operating leases </w:t>
            </w:r>
            <w:r>
              <w:rPr>
                <w:rFonts w:ascii="Times New Roman" w:cs="Times New Roman" w:eastAsia="Times New Roman" w:hAnsi="Times New Roman"/>
                <w:sz w:val="20"/>
                <w:szCs w:val="20"/>
                <w:color w:val="B8BABC"/>
              </w:rPr>
              <w:t>. . . . . . . . . . . . . . . . . . . .</w:t>
            </w:r>
          </w:p>
        </w:tc>
        <w:tc>
          <w:tcPr>
            <w:tcW w:w="940" w:type="dxa"/>
            <w:vAlign w:val="bottom"/>
          </w:tcPr>
          <w:p>
            <w:pPr>
              <w:jc w:val="right"/>
              <w:ind w:right="682"/>
              <w:spacing w:after="0"/>
              <w:rPr>
                <w:sz w:val="20"/>
                <w:szCs w:val="20"/>
                <w:color w:val="auto"/>
              </w:rPr>
            </w:pPr>
            <w:r>
              <w:rPr>
                <w:rFonts w:ascii="Times New Roman" w:cs="Times New Roman" w:eastAsia="Times New Roman" w:hAnsi="Times New Roman"/>
                <w:sz w:val="20"/>
                <w:szCs w:val="20"/>
                <w:color w:val="231F2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w:t>
            </w:r>
          </w:p>
        </w:tc>
      </w:tr>
      <w:tr>
        <w:trPr>
          <w:trHeight w:val="285"/>
        </w:trPr>
        <w:tc>
          <w:tcPr>
            <w:tcW w:w="562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Financing cash flows for finance leases </w:t>
            </w:r>
            <w:r>
              <w:rPr>
                <w:rFonts w:ascii="Times New Roman" w:cs="Times New Roman" w:eastAsia="Times New Roman" w:hAnsi="Times New Roman"/>
                <w:sz w:val="20"/>
                <w:szCs w:val="20"/>
                <w:color w:val="B8BABC"/>
              </w:rPr>
              <w:t>. . . . . . . . . . . . . . . . . . . . . .</w:t>
            </w:r>
          </w:p>
        </w:tc>
        <w:tc>
          <w:tcPr>
            <w:tcW w:w="940" w:type="dxa"/>
            <w:vAlign w:val="bottom"/>
          </w:tcPr>
          <w:p>
            <w:pPr>
              <w:jc w:val="right"/>
              <w:ind w:right="682"/>
              <w:spacing w:after="0"/>
              <w:rPr>
                <w:sz w:val="20"/>
                <w:szCs w:val="20"/>
                <w:color w:val="auto"/>
              </w:rPr>
            </w:pPr>
            <w:r>
              <w:rPr>
                <w:rFonts w:ascii="Times New Roman" w:cs="Times New Roman" w:eastAsia="Times New Roman" w:hAnsi="Times New Roman"/>
                <w:sz w:val="20"/>
                <w:szCs w:val="20"/>
                <w:color w:val="231F2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r>
      <w:tr>
        <w:trPr>
          <w:trHeight w:val="285"/>
        </w:trPr>
        <w:tc>
          <w:tcPr>
            <w:tcW w:w="5620" w:type="dxa"/>
            <w:vAlign w:val="bottom"/>
          </w:tcPr>
          <w:p>
            <w:pPr>
              <w:spacing w:after="0"/>
              <w:rPr>
                <w:sz w:val="20"/>
                <w:szCs w:val="20"/>
                <w:color w:val="auto"/>
              </w:rPr>
            </w:pPr>
            <w:r>
              <w:rPr>
                <w:rFonts w:ascii="Times New Roman" w:cs="Times New Roman" w:eastAsia="Times New Roman" w:hAnsi="Times New Roman"/>
                <w:sz w:val="20"/>
                <w:szCs w:val="20"/>
                <w:color w:val="231F20"/>
              </w:rPr>
              <w:t>Right-of-use assets obtained in exchange for lease obligations</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5"/>
        </w:trPr>
        <w:tc>
          <w:tcPr>
            <w:tcW w:w="562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Operating leases </w:t>
            </w:r>
            <w:r>
              <w:rPr>
                <w:rFonts w:ascii="Times New Roman" w:cs="Times New Roman" w:eastAsia="Times New Roman" w:hAnsi="Times New Roman"/>
                <w:sz w:val="20"/>
                <w:szCs w:val="20"/>
                <w:color w:val="B8BABC"/>
              </w:rPr>
              <w:t>. . . . . . . . . . . . . . . . . . . . . . . . . . . . . . . . . . . . . . . .</w:t>
            </w:r>
          </w:p>
        </w:tc>
        <w:tc>
          <w:tcPr>
            <w:tcW w:w="940" w:type="dxa"/>
            <w:vAlign w:val="bottom"/>
          </w:tcPr>
          <w:p>
            <w:pPr>
              <w:jc w:val="right"/>
              <w:ind w:right="682"/>
              <w:spacing w:after="0"/>
              <w:rPr>
                <w:sz w:val="20"/>
                <w:szCs w:val="20"/>
                <w:color w:val="auto"/>
              </w:rPr>
            </w:pPr>
            <w:r>
              <w:rPr>
                <w:rFonts w:ascii="Times New Roman" w:cs="Times New Roman" w:eastAsia="Times New Roman" w:hAnsi="Times New Roman"/>
                <w:sz w:val="20"/>
                <w:szCs w:val="20"/>
                <w:color w:val="231F2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w:t>
            </w:r>
          </w:p>
        </w:tc>
      </w:tr>
      <w:tr>
        <w:trPr>
          <w:trHeight w:val="285"/>
        </w:trPr>
        <w:tc>
          <w:tcPr>
            <w:tcW w:w="562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Finance leases  </w:t>
            </w:r>
            <w:r>
              <w:rPr>
                <w:rFonts w:ascii="Times New Roman" w:cs="Times New Roman" w:eastAsia="Times New Roman" w:hAnsi="Times New Roman"/>
                <w:sz w:val="20"/>
                <w:szCs w:val="20"/>
                <w:color w:val="B8BABC"/>
              </w:rPr>
              <w:t>. . . . . . . . . . . . . . . . . . . . . . . . . . . . . . . . . . . . . . . . .</w:t>
            </w:r>
          </w:p>
        </w:tc>
        <w:tc>
          <w:tcPr>
            <w:tcW w:w="940" w:type="dxa"/>
            <w:vAlign w:val="bottom"/>
          </w:tcPr>
          <w:p>
            <w:pPr>
              <w:jc w:val="right"/>
              <w:ind w:right="682"/>
              <w:spacing w:after="0"/>
              <w:rPr>
                <w:sz w:val="20"/>
                <w:szCs w:val="20"/>
                <w:color w:val="auto"/>
              </w:rPr>
            </w:pPr>
            <w:r>
              <w:rPr>
                <w:rFonts w:ascii="Times New Roman" w:cs="Times New Roman" w:eastAsia="Times New Roman" w:hAnsi="Times New Roman"/>
                <w:sz w:val="20"/>
                <w:szCs w:val="20"/>
                <w:color w:val="231F2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w:t>
            </w:r>
          </w:p>
        </w:tc>
      </w:tr>
    </w:tbl>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14. SECURITIZED DEBT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provides detail on our securitized debt, net of unamortized debt discount and issuance costs.</w:t>
      </w:r>
    </w:p>
    <w:p>
      <w:pPr>
        <w:spacing w:after="0" w:line="253" w:lineRule="exact"/>
        <w:rPr>
          <w:sz w:val="20"/>
          <w:szCs w:val="20"/>
          <w:color w:val="auto"/>
        </w:rPr>
      </w:pPr>
    </w:p>
    <w:p>
      <w:pPr>
        <w:ind w:left="60"/>
        <w:spacing w:after="0"/>
        <w:tabs>
          <w:tab w:leader="none" w:pos="6100" w:val="left"/>
          <w:tab w:leader="none" w:pos="7960" w:val="left"/>
        </w:tabs>
        <w:rPr>
          <w:sz w:val="20"/>
          <w:szCs w:val="20"/>
          <w:color w:val="auto"/>
        </w:rPr>
      </w:pPr>
      <w:r>
        <w:rPr>
          <w:rFonts w:ascii="Times New Roman" w:cs="Times New Roman" w:eastAsia="Times New Roman" w:hAnsi="Times New Roman"/>
          <w:sz w:val="16"/>
          <w:szCs w:val="16"/>
          <w:b w:val="1"/>
          <w:bCs w:val="1"/>
          <w:i w:val="1"/>
          <w:iCs w:val="1"/>
          <w:color w:val="231F20"/>
        </w:rPr>
        <w:t>($ in millions)</w:t>
      </w:r>
      <w:r>
        <w:rPr>
          <w:sz w:val="20"/>
          <w:szCs w:val="20"/>
          <w:color w:val="auto"/>
        </w:rPr>
        <w:tab/>
      </w:r>
      <w:r>
        <w:rPr>
          <w:rFonts w:ascii="Times New Roman" w:cs="Times New Roman" w:eastAsia="Times New Roman" w:hAnsi="Times New Roman"/>
          <w:sz w:val="18"/>
          <w:szCs w:val="18"/>
          <w:b w:val="1"/>
          <w:bCs w:val="1"/>
          <w:color w:val="231F20"/>
        </w:rPr>
        <w:t>At December 31, 2025</w:t>
      </w:r>
      <w:r>
        <w:rPr>
          <w:sz w:val="20"/>
          <w:szCs w:val="20"/>
          <w:color w:val="auto"/>
        </w:rPr>
        <w:tab/>
      </w:r>
      <w:r>
        <w:rPr>
          <w:rFonts w:ascii="Times New Roman" w:cs="Times New Roman" w:eastAsia="Times New Roman" w:hAnsi="Times New Roman"/>
          <w:sz w:val="17"/>
          <w:szCs w:val="17"/>
          <w:b w:val="1"/>
          <w:bCs w:val="1"/>
          <w:color w:val="231F20"/>
        </w:rPr>
        <w:t>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22860</wp:posOffset>
            </wp:positionV>
            <wp:extent cx="2324100"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8">
                      <a:extLst>
                        <a:ext uri="{28A0092B-C50C-407E-A947-70E740481C1C}"/>
                      </a:extLst>
                    </a:blip>
                    <a:srcRect/>
                    <a:stretch>
                      <a:fillRect/>
                    </a:stretch>
                  </pic:blipFill>
                  <pic:spPr bwMode="auto">
                    <a:xfrm>
                      <a:off x="0" y="0"/>
                      <a:ext cx="2324100" cy="12700"/>
                    </a:xfrm>
                    <a:prstGeom prst="rect">
                      <a:avLst/>
                    </a:prstGeom>
                    <a:noFill/>
                  </pic:spPr>
                </pic:pic>
              </a:graphicData>
            </a:graphic>
          </wp:anchor>
        </w:drawing>
      </w:r>
    </w:p>
    <w:p>
      <w:pPr>
        <w:sectPr>
          <w:pgSz w:w="11880" w:h="15480" w:orient="portrait"/>
          <w:cols w:equalWidth="0" w:num="1">
            <w:col w:w="9720"/>
          </w:cols>
          <w:pgMar w:left="1080" w:top="829" w:right="1080" w:bottom="0" w:gutter="0" w:footer="0" w:header="0"/>
        </w:sectPr>
      </w:pPr>
    </w:p>
    <w:p>
      <w:pPr>
        <w:spacing w:after="0" w:line="58" w:lineRule="exact"/>
        <w:rPr>
          <w:sz w:val="20"/>
          <w:szCs w:val="20"/>
          <w:color w:val="auto"/>
        </w:rPr>
      </w:pPr>
    </w:p>
    <w:p>
      <w:pPr>
        <w:ind w:left="60" w:right="380"/>
        <w:spacing w:after="0" w:line="307" w:lineRule="auto"/>
        <w:rPr>
          <w:sz w:val="20"/>
          <w:szCs w:val="20"/>
          <w:color w:val="auto"/>
        </w:rPr>
      </w:pPr>
      <w:r>
        <w:rPr>
          <w:rFonts w:ascii="Times New Roman" w:cs="Times New Roman" w:eastAsia="Times New Roman" w:hAnsi="Times New Roman"/>
          <w:sz w:val="20"/>
          <w:szCs w:val="20"/>
          <w:color w:val="231F20"/>
        </w:rPr>
        <w:t>Vacation ownership notes receivable securitizations, gross</w:t>
      </w:r>
      <w:r>
        <w:rPr>
          <w:rFonts w:ascii="Times New Roman" w:cs="Times New Roman" w:eastAsia="Times New Roman" w:hAnsi="Times New Roman"/>
          <w:sz w:val="11"/>
          <w:szCs w:val="11"/>
          <w:color w:val="231F20"/>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w:t>
      </w:r>
      <w:r>
        <w:rPr>
          <w:rFonts w:ascii="Times New Roman" w:cs="Times New Roman" w:eastAsia="Times New Roman" w:hAnsi="Times New Roman"/>
          <w:sz w:val="20"/>
          <w:szCs w:val="20"/>
          <w:color w:val="231F20"/>
        </w:rPr>
        <w:t xml:space="preserve"> $ Unamortized debt discount and issuance costs </w:t>
      </w:r>
      <w:r>
        <w:rPr>
          <w:rFonts w:ascii="Times New Roman" w:cs="Times New Roman" w:eastAsia="Times New Roman" w:hAnsi="Times New Roman"/>
          <w:sz w:val="20"/>
          <w:szCs w:val="20"/>
          <w:color w:val="B8BABC"/>
        </w:rPr>
        <w:t>. . . . . . . . . . . . . . . . . . . . . .</w:t>
      </w:r>
    </w:p>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 xml:space="preserve">Warehouse Credit Facility, gross </w:t>
      </w:r>
      <w:r>
        <w:rPr>
          <w:rFonts w:ascii="Times New Roman" w:cs="Times New Roman" w:eastAsia="Times New Roman" w:hAnsi="Times New Roman"/>
          <w:sz w:val="20"/>
          <w:szCs w:val="20"/>
          <w:color w:val="B8BABC"/>
        </w:rPr>
        <w:t>. . . . . . . . . . . . . . . . . . . . . . . . . . . . . . . . .</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31F20"/>
        </w:rPr>
        <w:t>Unamortized debt issuance costs</w:t>
      </w:r>
      <w:r>
        <w:rPr>
          <w:rFonts w:ascii="Times New Roman" w:cs="Times New Roman" w:eastAsia="Times New Roman" w:hAnsi="Times New Roman"/>
          <w:sz w:val="11"/>
          <w:szCs w:val="11"/>
          <w:color w:val="231F20"/>
        </w:rPr>
        <w:t>(2)</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 . . . . .</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97"/>
              </w:rPr>
              <w:t>2,173</w:t>
            </w:r>
          </w:p>
        </w:tc>
        <w:tc>
          <w:tcPr>
            <w:tcW w:w="72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2,039</w:t>
            </w:r>
          </w:p>
        </w:tc>
      </w:tr>
      <w:tr>
        <w:trPr>
          <w:trHeight w:val="288"/>
        </w:trPr>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72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w:t>
            </w:r>
          </w:p>
        </w:tc>
      </w:tr>
      <w:tr>
        <w:trPr>
          <w:trHeight w:val="262"/>
        </w:trPr>
        <w:tc>
          <w:tcPr>
            <w:tcW w:w="6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97"/>
              </w:rPr>
              <w:t>2,146</w:t>
            </w:r>
          </w:p>
        </w:tc>
        <w:tc>
          <w:tcPr>
            <w:tcW w:w="7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2,014</w:t>
            </w:r>
          </w:p>
        </w:tc>
      </w:tr>
      <w:tr>
        <w:trPr>
          <w:trHeight w:val="570"/>
        </w:trPr>
        <w:tc>
          <w:tcPr>
            <w:tcW w:w="6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w:t>
            </w:r>
          </w:p>
        </w:tc>
      </w:tr>
      <w:tr>
        <w:trPr>
          <w:trHeight w:val="288"/>
        </w:trPr>
        <w:tc>
          <w:tcPr>
            <w:tcW w:w="6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r>
      <w:tr>
        <w:trPr>
          <w:trHeight w:val="262"/>
        </w:trPr>
        <w:tc>
          <w:tcPr>
            <w:tcW w:w="6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-902335</wp:posOffset>
            </wp:positionV>
            <wp:extent cx="1143000"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9">
                      <a:extLst>
                        <a:ext uri="{28A0092B-C50C-407E-A947-70E740481C1C}"/>
                      </a:extLst>
                    </a:blip>
                    <a:srcRect/>
                    <a:stretch>
                      <a:fillRect/>
                    </a:stretch>
                  </pic:blipFill>
                  <pic:spPr bwMode="auto">
                    <a:xfrm>
                      <a:off x="0" y="0"/>
                      <a:ext cx="1143000" cy="12700"/>
                    </a:xfrm>
                    <a:prstGeom prst="rect">
                      <a:avLst/>
                    </a:prstGeom>
                    <a:noFill/>
                  </pic:spPr>
                </pic:pic>
              </a:graphicData>
            </a:graphic>
          </wp:anchor>
        </w:drawing>
        <w:drawing>
          <wp:anchor simplePos="0" relativeHeight="251657728" behindDoc="1" locked="0" layoutInCell="0" allowOverlap="1">
            <wp:simplePos x="0" y="0"/>
            <wp:positionH relativeFrom="column">
              <wp:posOffset>-799465</wp:posOffset>
            </wp:positionH>
            <wp:positionV relativeFrom="paragraph">
              <wp:posOffset>-178435</wp:posOffset>
            </wp:positionV>
            <wp:extent cx="1143000"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0">
                      <a:extLst>
                        <a:ext uri="{28A0092B-C50C-407E-A947-70E740481C1C}"/>
                      </a:extLst>
                    </a:blip>
                    <a:srcRect/>
                    <a:stretch>
                      <a:fillRect/>
                    </a:stretch>
                  </pic:blipFill>
                  <pic:spPr bwMode="auto">
                    <a:xfrm>
                      <a:off x="0" y="0"/>
                      <a:ext cx="1143000" cy="12700"/>
                    </a:xfrm>
                    <a:prstGeom prst="rect">
                      <a:avLst/>
                    </a:prstGeom>
                    <a:noFill/>
                  </pic:spPr>
                </pic:pic>
              </a:graphicData>
            </a:graphic>
          </wp:anchor>
        </w:drawing>
        <w:drawing>
          <wp:anchor simplePos="0" relativeHeight="251657728" behindDoc="1" locked="0" layoutInCell="0" allowOverlap="1">
            <wp:simplePos x="0" y="0"/>
            <wp:positionH relativeFrom="column">
              <wp:posOffset>-799465</wp:posOffset>
            </wp:positionH>
            <wp:positionV relativeFrom="paragraph">
              <wp:posOffset>182880</wp:posOffset>
            </wp:positionV>
            <wp:extent cx="2324100"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1">
                      <a:extLst>
                        <a:ext uri="{28A0092B-C50C-407E-A947-70E740481C1C}"/>
                      </a:extLst>
                    </a:blip>
                    <a:srcRect/>
                    <a:stretch>
                      <a:fillRect/>
                    </a:stretch>
                  </pic:blipFill>
                  <pic:spPr bwMode="auto">
                    <a:xfrm>
                      <a:off x="0" y="0"/>
                      <a:ext cx="2324100" cy="127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6600" w:space="720"/>
            <w:col w:w="2400"/>
          </w:cols>
          <w:pgMar w:left="1080" w:top="829" w:right="1080" w:bottom="0" w:gutter="0" w:footer="0" w:header="0"/>
          <w:type w:val="continuous"/>
        </w:sectPr>
      </w:pPr>
    </w:p>
    <w:p>
      <w:pPr>
        <w:spacing w:after="0" w:line="110" w:lineRule="exact"/>
        <w:rPr>
          <w:sz w:val="20"/>
          <w:szCs w:val="20"/>
          <w:color w:val="auto"/>
        </w:rPr>
      </w:pPr>
    </w:p>
    <w:p>
      <w:pPr>
        <w:ind w:left="6120"/>
        <w:spacing w:after="0"/>
        <w:tabs>
          <w:tab w:leader="none" w:pos="7300" w:val="left"/>
          <w:tab w:leader="none" w:pos="7960" w:val="left"/>
          <w:tab w:leader="none" w:pos="9160" w:val="left"/>
        </w:tabs>
        <w:rPr>
          <w:sz w:val="20"/>
          <w:szCs w:val="20"/>
          <w:color w:val="auto"/>
        </w:rPr>
      </w:pPr>
      <w:r>
        <w:rPr>
          <w:rFonts w:ascii="Times New Roman" w:cs="Times New Roman" w:eastAsia="Times New Roman" w:hAnsi="Times New Roman"/>
          <w:sz w:val="20"/>
          <w:szCs w:val="20"/>
          <w:color w:val="231F20"/>
        </w:rPr>
        <w:t>$</w:t>
      </w:r>
      <w:r>
        <w:rPr>
          <w:sz w:val="20"/>
          <w:szCs w:val="20"/>
          <w:color w:val="auto"/>
        </w:rPr>
        <w:tab/>
      </w:r>
      <w:r>
        <w:rPr>
          <w:rFonts w:ascii="Times New Roman" w:cs="Times New Roman" w:eastAsia="Times New Roman" w:hAnsi="Times New Roman"/>
          <w:sz w:val="20"/>
          <w:szCs w:val="20"/>
          <w:color w:val="231F20"/>
        </w:rPr>
        <w:t>2,146</w:t>
        <w:tab/>
        <w:t>$</w:t>
      </w:r>
      <w:r>
        <w:rPr>
          <w:sz w:val="20"/>
          <w:szCs w:val="20"/>
          <w:color w:val="auto"/>
        </w:rPr>
        <w:tab/>
      </w:r>
      <w:r>
        <w:rPr>
          <w:rFonts w:ascii="Times New Roman" w:cs="Times New Roman" w:eastAsia="Times New Roman" w:hAnsi="Times New Roman"/>
          <w:sz w:val="20"/>
          <w:szCs w:val="20"/>
          <w:color w:val="231F20"/>
        </w:rPr>
        <w:t>2,136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8255</wp:posOffset>
            </wp:positionV>
            <wp:extent cx="232410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2">
                      <a:extLst>
                        <a:ext uri="{28A0092B-C50C-407E-A947-70E740481C1C}"/>
                      </a:extLst>
                    </a:blip>
                    <a:srcRect/>
                    <a:stretch>
                      <a:fillRect/>
                    </a:stretch>
                  </pic:blipFill>
                  <pic:spPr bwMode="auto">
                    <a:xfrm>
                      <a:off x="0" y="0"/>
                      <a:ext cx="2324100" cy="38100"/>
                    </a:xfrm>
                    <a:prstGeom prst="rect">
                      <a:avLst/>
                    </a:prstGeom>
                    <a:noFill/>
                  </pic:spPr>
                </pic:pic>
              </a:graphicData>
            </a:graphic>
          </wp:anchor>
        </w:drawing>
      </w:r>
    </w:p>
    <w:p>
      <w:pPr>
        <w:spacing w:after="0" w:line="203" w:lineRule="exact"/>
        <w:rPr>
          <w:sz w:val="20"/>
          <w:szCs w:val="20"/>
          <w:color w:val="auto"/>
        </w:rPr>
      </w:pPr>
    </w:p>
    <w:p>
      <w:pPr>
        <w:ind w:left="360" w:hanging="360"/>
        <w:spacing w:after="0"/>
        <w:tabs>
          <w:tab w:leader="none" w:pos="360" w:val="left"/>
        </w:tabs>
        <w:numPr>
          <w:ilvl w:val="0"/>
          <w:numId w:val="46"/>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Interest rates as of December 31, 2025 range from 1.5% to 6.6%, with a weighted average interest rate of 4.8%.</w:t>
      </w:r>
    </w:p>
    <w:p>
      <w:pPr>
        <w:spacing w:after="0" w:line="61" w:lineRule="exact"/>
        <w:rPr>
          <w:rFonts w:ascii="Times New Roman" w:cs="Times New Roman" w:eastAsia="Times New Roman" w:hAnsi="Times New Roman"/>
          <w:sz w:val="26"/>
          <w:szCs w:val="26"/>
          <w:color w:val="231F20"/>
          <w:vertAlign w:val="superscript"/>
        </w:rPr>
      </w:pPr>
    </w:p>
    <w:p>
      <w:pPr>
        <w:ind w:left="360" w:right="60" w:hanging="360"/>
        <w:spacing w:after="0" w:line="227" w:lineRule="auto"/>
        <w:tabs>
          <w:tab w:leader="none" w:pos="360" w:val="left"/>
        </w:tabs>
        <w:numPr>
          <w:ilvl w:val="0"/>
          <w:numId w:val="46"/>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Excludes $2 million of unamortized debt issuance costs classified as a component of Other Assets on our Balance Sheet as of December 31, 2025, as no cash borrowings were outstanding under the Warehouse Credit Facility at that time.</w:t>
      </w:r>
    </w:p>
    <w:p>
      <w:pPr>
        <w:spacing w:after="0" w:line="10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20"/>
          <w:szCs w:val="20"/>
          <w:color w:val="231F20"/>
        </w:rPr>
        <w:t>All of our securitized debt is non-recourse. See Footnote 18 “Variable Interest Entities” for a discussion of the collateral for the non-recourse debt associated with our securitized debt.</w:t>
      </w:r>
    </w:p>
    <w:p>
      <w:pPr>
        <w:sectPr>
          <w:pgSz w:w="11880" w:h="15480" w:orient="portrait"/>
          <w:cols w:equalWidth="0" w:num="1">
            <w:col w:w="9720"/>
          </w:cols>
          <w:pgMar w:left="1080" w:top="829"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108</w:t>
      </w:r>
    </w:p>
    <w:p>
      <w:pPr>
        <w:sectPr>
          <w:pgSz w:w="11880" w:h="15480" w:orient="portrait"/>
          <w:cols w:equalWidth="0" w:num="1">
            <w:col w:w="9720"/>
          </w:cols>
          <w:pgMar w:left="1080" w:top="829" w:right="1080"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color w:val="231F20"/>
        </w:rPr>
        <w:t>The following table shows anticipated future principal payments for our securitized debt as of December 31, 2025.</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rPr>
              <w:t>Vacation Ownership</w:t>
            </w:r>
          </w:p>
        </w:tc>
        <w:tc>
          <w:tcPr>
            <w:tcW w:w="0" w:type="dxa"/>
            <w:vAlign w:val="bottom"/>
          </w:tcPr>
          <w:p>
            <w:pPr>
              <w:spacing w:after="0"/>
              <w:rPr>
                <w:sz w:val="1"/>
                <w:szCs w:val="1"/>
                <w:color w:val="auto"/>
              </w:rPr>
            </w:pPr>
          </w:p>
        </w:tc>
      </w:tr>
      <w:tr>
        <w:trPr>
          <w:trHeight w:val="180"/>
        </w:trPr>
        <w:tc>
          <w:tcPr>
            <w:tcW w:w="7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center"/>
              <w:ind w:right="102"/>
              <w:spacing w:after="0" w:line="180" w:lineRule="exact"/>
              <w:rPr>
                <w:sz w:val="20"/>
                <w:szCs w:val="20"/>
                <w:color w:val="auto"/>
              </w:rPr>
            </w:pPr>
            <w:r>
              <w:rPr>
                <w:rFonts w:ascii="Times New Roman" w:cs="Times New Roman" w:eastAsia="Times New Roman" w:hAnsi="Times New Roman"/>
                <w:sz w:val="18"/>
                <w:szCs w:val="18"/>
                <w:b w:val="1"/>
                <w:bCs w:val="1"/>
                <w:color w:val="231F20"/>
              </w:rPr>
              <w:t>Notes Receivable</w:t>
            </w:r>
          </w:p>
        </w:tc>
        <w:tc>
          <w:tcPr>
            <w:tcW w:w="0" w:type="dxa"/>
            <w:vAlign w:val="bottom"/>
          </w:tcPr>
          <w:p>
            <w:pPr>
              <w:spacing w:after="0"/>
              <w:rPr>
                <w:sz w:val="1"/>
                <w:szCs w:val="1"/>
                <w:color w:val="auto"/>
              </w:rPr>
            </w:pPr>
          </w:p>
        </w:tc>
      </w:tr>
      <w:tr>
        <w:trPr>
          <w:trHeight w:val="239"/>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Payments Year</w:t>
            </w:r>
          </w:p>
        </w:tc>
        <w:tc>
          <w:tcPr>
            <w:tcW w:w="200" w:type="dxa"/>
            <w:vAlign w:val="bottom"/>
            <w:tcBorders>
              <w:bottom w:val="single" w:sz="8" w:color="231F20"/>
            </w:tcBorders>
          </w:tcPr>
          <w:p>
            <w:pPr>
              <w:spacing w:after="0"/>
              <w:rPr>
                <w:sz w:val="20"/>
                <w:szCs w:val="20"/>
                <w:color w:val="auto"/>
              </w:rPr>
            </w:pPr>
          </w:p>
        </w:tc>
        <w:tc>
          <w:tcPr>
            <w:tcW w:w="1600" w:type="dxa"/>
            <w:vAlign w:val="bottom"/>
            <w:tcBorders>
              <w:bottom w:val="single" w:sz="8" w:color="231F20"/>
            </w:tcBorders>
          </w:tcPr>
          <w:p>
            <w:pPr>
              <w:jc w:val="center"/>
              <w:ind w:right="82"/>
              <w:spacing w:after="0"/>
              <w:rPr>
                <w:sz w:val="20"/>
                <w:szCs w:val="20"/>
                <w:color w:val="auto"/>
              </w:rPr>
            </w:pPr>
            <w:r>
              <w:rPr>
                <w:rFonts w:ascii="Times New Roman" w:cs="Times New Roman" w:eastAsia="Times New Roman" w:hAnsi="Times New Roman"/>
                <w:sz w:val="18"/>
                <w:szCs w:val="18"/>
                <w:b w:val="1"/>
                <w:bCs w:val="1"/>
                <w:color w:val="231F20"/>
                <w:w w:val="99"/>
              </w:rPr>
              <w:t>Securitizations</w:t>
            </w:r>
          </w:p>
        </w:tc>
        <w:tc>
          <w:tcPr>
            <w:tcW w:w="0" w:type="dxa"/>
            <w:vAlign w:val="bottom"/>
          </w:tcPr>
          <w:p>
            <w:pPr>
              <w:spacing w:after="0"/>
              <w:rPr>
                <w:sz w:val="1"/>
                <w:szCs w:val="1"/>
                <w:color w:val="auto"/>
              </w:rPr>
            </w:pPr>
          </w:p>
        </w:tc>
      </w:tr>
      <w:tr>
        <w:trPr>
          <w:trHeight w:val="262"/>
        </w:trPr>
        <w:tc>
          <w:tcPr>
            <w:tcW w:w="786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2026 </w:t>
            </w:r>
            <w:r>
              <w:rPr>
                <w:rFonts w:ascii="Times New Roman" w:cs="Times New Roman" w:eastAsia="Times New Roman" w:hAnsi="Times New Roman"/>
                <w:sz w:val="20"/>
                <w:szCs w:val="20"/>
                <w:color w:val="B8BABC"/>
              </w:rPr>
              <w:t>. . . . . . . . . . . . . . . . . . . . . . . . . . . . . . . . . . . . . . . . . . . . . . . . . . . . . .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185</w:t>
            </w:r>
          </w:p>
        </w:tc>
        <w:tc>
          <w:tcPr>
            <w:tcW w:w="0" w:type="dxa"/>
            <w:vAlign w:val="bottom"/>
          </w:tcPr>
          <w:p>
            <w:pPr>
              <w:spacing w:after="0"/>
              <w:rPr>
                <w:sz w:val="1"/>
                <w:szCs w:val="1"/>
                <w:color w:val="auto"/>
              </w:rPr>
            </w:pPr>
          </w:p>
        </w:tc>
      </w:tr>
      <w:tr>
        <w:trPr>
          <w:trHeight w:val="285"/>
        </w:trPr>
        <w:tc>
          <w:tcPr>
            <w:tcW w:w="786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2027 </w:t>
            </w:r>
            <w:r>
              <w:rPr>
                <w:rFonts w:ascii="Times New Roman" w:cs="Times New Roman" w:eastAsia="Times New Roman" w:hAnsi="Times New Roman"/>
                <w:sz w:val="20"/>
                <w:szCs w:val="20"/>
                <w:color w:val="B8BABC"/>
              </w:rPr>
              <w:t>. . . . . . . . . . . . . . . . . . . . . . . . . . . . . . . . . . . . . . . . . . . . . . . . . . . . . . . . . . . . . . . . . . . . . . .</w:t>
            </w: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189</w:t>
            </w:r>
          </w:p>
        </w:tc>
        <w:tc>
          <w:tcPr>
            <w:tcW w:w="0" w:type="dxa"/>
            <w:vAlign w:val="bottom"/>
          </w:tcPr>
          <w:p>
            <w:pPr>
              <w:spacing w:after="0"/>
              <w:rPr>
                <w:sz w:val="1"/>
                <w:szCs w:val="1"/>
                <w:color w:val="auto"/>
              </w:rPr>
            </w:pPr>
          </w:p>
        </w:tc>
      </w:tr>
      <w:tr>
        <w:trPr>
          <w:trHeight w:val="285"/>
        </w:trPr>
        <w:tc>
          <w:tcPr>
            <w:tcW w:w="786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2028 </w:t>
            </w:r>
            <w:r>
              <w:rPr>
                <w:rFonts w:ascii="Times New Roman" w:cs="Times New Roman" w:eastAsia="Times New Roman" w:hAnsi="Times New Roman"/>
                <w:sz w:val="20"/>
                <w:szCs w:val="20"/>
                <w:color w:val="B8BABC"/>
              </w:rPr>
              <w:t>. . . . . . . . . . . . . . . . . . . . . . . . . . . . . . . . . . . . . . . . . . . . . . . . . . . . . . . . . . . . . . . . . . . . . . .</w:t>
            </w: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192</w:t>
            </w:r>
          </w:p>
        </w:tc>
        <w:tc>
          <w:tcPr>
            <w:tcW w:w="0" w:type="dxa"/>
            <w:vAlign w:val="bottom"/>
          </w:tcPr>
          <w:p>
            <w:pPr>
              <w:spacing w:after="0"/>
              <w:rPr>
                <w:sz w:val="1"/>
                <w:szCs w:val="1"/>
                <w:color w:val="auto"/>
              </w:rPr>
            </w:pPr>
          </w:p>
        </w:tc>
      </w:tr>
      <w:tr>
        <w:trPr>
          <w:trHeight w:val="285"/>
        </w:trPr>
        <w:tc>
          <w:tcPr>
            <w:tcW w:w="786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2029 </w:t>
            </w:r>
            <w:r>
              <w:rPr>
                <w:rFonts w:ascii="Times New Roman" w:cs="Times New Roman" w:eastAsia="Times New Roman" w:hAnsi="Times New Roman"/>
                <w:sz w:val="20"/>
                <w:szCs w:val="20"/>
                <w:color w:val="B8BABC"/>
              </w:rPr>
              <w:t>. . . . . . . . . . . . . . . . . . . . . . . . . . . . . . . . . . . . . . . . . . . . . . . . . . . . . . . . . . . . . . . . . . . . . . .</w:t>
            </w: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191</w:t>
            </w:r>
          </w:p>
        </w:tc>
        <w:tc>
          <w:tcPr>
            <w:tcW w:w="0" w:type="dxa"/>
            <w:vAlign w:val="bottom"/>
          </w:tcPr>
          <w:p>
            <w:pPr>
              <w:spacing w:after="0"/>
              <w:rPr>
                <w:sz w:val="1"/>
                <w:szCs w:val="1"/>
                <w:color w:val="auto"/>
              </w:rPr>
            </w:pPr>
          </w:p>
        </w:tc>
      </w:tr>
      <w:tr>
        <w:trPr>
          <w:trHeight w:val="285"/>
        </w:trPr>
        <w:tc>
          <w:tcPr>
            <w:tcW w:w="786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2030 </w:t>
            </w:r>
            <w:r>
              <w:rPr>
                <w:rFonts w:ascii="Times New Roman" w:cs="Times New Roman" w:eastAsia="Times New Roman" w:hAnsi="Times New Roman"/>
                <w:sz w:val="20"/>
                <w:szCs w:val="20"/>
                <w:color w:val="B8BABC"/>
              </w:rPr>
              <w:t>. . . . . . . . . . . . . . . . . . . . . . . . . . . . . . . . . . . . . . . . . . . . . . . . . . . . . . . . . . . . . . . . . . . . . . .</w:t>
            </w: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193</w:t>
            </w:r>
          </w:p>
        </w:tc>
        <w:tc>
          <w:tcPr>
            <w:tcW w:w="0" w:type="dxa"/>
            <w:vAlign w:val="bottom"/>
          </w:tcPr>
          <w:p>
            <w:pPr>
              <w:spacing w:after="0"/>
              <w:rPr>
                <w:sz w:val="1"/>
                <w:szCs w:val="1"/>
                <w:color w:val="auto"/>
              </w:rPr>
            </w:pPr>
          </w:p>
        </w:tc>
      </w:tr>
      <w:tr>
        <w:trPr>
          <w:trHeight w:val="288"/>
        </w:trPr>
        <w:tc>
          <w:tcPr>
            <w:tcW w:w="786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Thereafter </w:t>
            </w:r>
            <w:r>
              <w:rPr>
                <w:rFonts w:ascii="Times New Roman" w:cs="Times New Roman" w:eastAsia="Times New Roman" w:hAnsi="Times New Roman"/>
                <w:sz w:val="20"/>
                <w:szCs w:val="20"/>
                <w:color w:val="B8BABC"/>
              </w:rPr>
              <w:t>. . . . . . . . . . . . . . . . . . . . . . . . . . . . . . . . . . . . . . . . . . . . . . . . . . . . . . . . . . . . . . . . . . .</w:t>
            </w:r>
          </w:p>
        </w:tc>
        <w:tc>
          <w:tcPr>
            <w:tcW w:w="200" w:type="dxa"/>
            <w:vAlign w:val="bottom"/>
            <w:tcBorders>
              <w:bottom w:val="single" w:sz="8" w:color="231F20"/>
            </w:tcBorders>
          </w:tcPr>
          <w:p>
            <w:pPr>
              <w:spacing w:after="0"/>
              <w:rPr>
                <w:sz w:val="24"/>
                <w:szCs w:val="24"/>
                <w:color w:val="auto"/>
              </w:rPr>
            </w:pPr>
          </w:p>
        </w:tc>
        <w:tc>
          <w:tcPr>
            <w:tcW w:w="1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1,223</w:t>
            </w:r>
          </w:p>
        </w:tc>
        <w:tc>
          <w:tcPr>
            <w:tcW w:w="0" w:type="dxa"/>
            <w:vAlign w:val="bottom"/>
          </w:tcPr>
          <w:p>
            <w:pPr>
              <w:spacing w:after="0"/>
              <w:rPr>
                <w:sz w:val="1"/>
                <w:szCs w:val="1"/>
                <w:color w:val="auto"/>
              </w:rPr>
            </w:pPr>
          </w:p>
        </w:tc>
      </w:tr>
      <w:tr>
        <w:trPr>
          <w:trHeight w:val="245"/>
        </w:trPr>
        <w:tc>
          <w:tcPr>
            <w:tcW w:w="7860" w:type="dxa"/>
            <w:vAlign w:val="bottom"/>
          </w:tcPr>
          <w:p>
            <w:pPr>
              <w:spacing w:after="0"/>
              <w:rPr>
                <w:sz w:val="21"/>
                <w:szCs w:val="21"/>
                <w:color w:val="auto"/>
              </w:rPr>
            </w:pP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2,173</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6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Vacation Ownership Notes Receivable Securitizations</w:t>
      </w:r>
    </w:p>
    <w:p>
      <w:pPr>
        <w:spacing w:after="0" w:line="13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231F20"/>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2025, and as of December 31, 2025, no securitized vacation ownership notes receivable pools were out of compliance with their respective established parameters. As of December 31, 2025, we had 12 securitized vacation ownership notes receivable pools outstanding.</w:t>
      </w:r>
    </w:p>
    <w:p>
      <w:pPr>
        <w:spacing w:after="0" w:line="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231F20"/>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231F20"/>
        </w:rPr>
        <w:t>During the second quarter of 2025, we securitized a pool of $459 million of vacation ownership notes receivable. In connection with the securitization, $450 million in vacation ownership loan backed notes were issued by MVW 2025-1 LLC (the “2025-1 LLC”) in a private placement. Three classes of vacation ownership loan backed notes were issued by the 2025-1 LLC: $277 million of Class A Notes, $93 million of Class B Notes, and $80 million of Class C Notes. The Class A Notes have an interest rate of 4.97%, the Class B Notes have an interest rate of 5.21%, and the Class C Notes have an interest rate of 5.75%, for an overall weighted average interest rate of 5.16%. Proceeds from the transaction, net of fees, were used to repay the outstanding obligations on our warehouse credit facility (as defined below) and for other general corporate purposes.</w:t>
      </w:r>
    </w:p>
    <w:p>
      <w:pPr>
        <w:spacing w:after="0" w:line="9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231F20"/>
        </w:rPr>
        <w:t>During the fourth quarter of 2025, we securitized a pool of $479 million of vacation ownership notes receivable. In connection with the securitization, $470 million in vacation ownership loan backed notes were issued by MVW 2025-2 LLC (the “2025-2 LLC”) in a private placement. Three classes of vacation ownership loan backed notes were issued by the 2025-2 LLC: $283 million of Class A Notes, $106 million of Class B Notes, and $81 million of Class C Notes. The Class A Notes have an interest rate of 4.48%, the Class B Notes have an interest rate of 4.72%, and the Class C Notes have an interest rate of 4.97%, for an overall weighted average interest rate of 4.62%. Proceeds from the transaction, net of fees, were used to repay the outstanding obligations on our warehouse credit facility (as defined below) and for other general corporate purposes.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Warehouse Credit Facility</w:t>
      </w:r>
    </w:p>
    <w:p>
      <w:pPr>
        <w:spacing w:after="0" w:line="13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231F20"/>
        </w:rPr>
        <w:t>Our warehouse credit facility (the “Warehouse Credit Facility”), which has a borrowing capacity of $500 million, allows for the securitization of vacation ownership notes receivable on a revolving non-recourse basis. If not renewed prior to termination, any amounts outstanding under the Warehouse Credit Facility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w:t>
      </w:r>
    </w:p>
    <w:p>
      <w:pPr>
        <w:spacing w:after="0" w:line="88"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20"/>
          <w:szCs w:val="20"/>
          <w:color w:val="231F20"/>
        </w:rPr>
        <w:t>During the second quarter of 2025, we amended certain agreements associated with our Warehouse Credit Facility (the “Warehouse Amendment”). The Warehouse Amendment extended the revolving period from June 11, 2026 to June 11, 2027, and changed the credit spread from 115 basis points over the Secured Overnight Financing Rate (“SOFR”) to 110 basis points over SOFR. The Warehouse Amendment made no other material changes to the Warehouse Credit Facility.</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109</w:t>
      </w:r>
    </w:p>
    <w:p>
      <w:pPr>
        <w:sectPr>
          <w:pgSz w:w="11880" w:h="15480" w:orient="portrait"/>
          <w:cols w:equalWidth="0" w:num="1">
            <w:col w:w="9720"/>
          </w:cols>
          <w:pgMar w:left="1080" w:top="838" w:right="1080" w:bottom="0" w:gutter="0" w:footer="0" w:header="0"/>
          <w:type w:val="continuous"/>
        </w:sectPr>
      </w:pPr>
    </w:p>
    <w:bookmarkStart w:id="113" w:name="page114"/>
    <w:bookmarkEnd w:id="113"/>
    <w:p>
      <w:pPr>
        <w:ind w:right="160"/>
        <w:spacing w:after="0" w:line="258" w:lineRule="auto"/>
        <w:rPr>
          <w:sz w:val="20"/>
          <w:szCs w:val="20"/>
          <w:color w:val="auto"/>
        </w:rPr>
      </w:pPr>
      <w:r>
        <w:rPr>
          <w:rFonts w:ascii="Times New Roman" w:cs="Times New Roman" w:eastAsia="Times New Roman" w:hAnsi="Times New Roman"/>
          <w:sz w:val="20"/>
          <w:szCs w:val="20"/>
          <w:color w:val="231F20"/>
        </w:rPr>
        <w:t>The advance rate for vacation ownership notes receivable securitized using the Warehouse Credit Facility varies based on the characteristics of the securitized vacation ownership notes receivable. We also pay unused facility and other fees under the Warehouse Credit Facility. We generally expect to securitize our vacation ownership notes receivable, including any vacation ownership notes receivable held in the Warehouse Credit Facility, in the ABS market typically twice a year.</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15. DEBT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provides detail on our debt balances, net of unamortized debt discount and issuance costs:</w:t>
      </w:r>
    </w:p>
    <w:p>
      <w:pPr>
        <w:spacing w:after="0" w:line="13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6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96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At December 31, 2025</w:t>
            </w:r>
          </w:p>
        </w:tc>
        <w:tc>
          <w:tcPr>
            <w:tcW w:w="60" w:type="dxa"/>
            <w:vAlign w:val="bottom"/>
          </w:tcPr>
          <w:p>
            <w:pPr>
              <w:spacing w:after="0"/>
              <w:rPr>
                <w:sz w:val="21"/>
                <w:szCs w:val="21"/>
                <w:color w:val="auto"/>
              </w:rPr>
            </w:pPr>
          </w:p>
        </w:tc>
        <w:tc>
          <w:tcPr>
            <w:tcW w:w="196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At December 31, 2024</w:t>
            </w:r>
          </w:p>
        </w:tc>
      </w:tr>
      <w:tr>
        <w:trPr>
          <w:trHeight w:val="262"/>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Corporate Credit Facility</w:t>
            </w:r>
          </w:p>
        </w:tc>
        <w:tc>
          <w:tcPr>
            <w:tcW w:w="7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5"/>
        </w:trPr>
        <w:tc>
          <w:tcPr>
            <w:tcW w:w="5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Term Loan</w:t>
            </w:r>
            <w:r>
              <w:rPr>
                <w:rFonts w:ascii="Times New Roman" w:cs="Times New Roman" w:eastAsia="Times New Roman" w:hAnsi="Times New Roman"/>
                <w:sz w:val="11"/>
                <w:szCs w:val="11"/>
                <w:color w:val="231F20"/>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 . . . . . . . . . . . . . . . . . .</w:t>
            </w:r>
          </w:p>
        </w:tc>
        <w:tc>
          <w:tcPr>
            <w:tcW w:w="780" w:type="dxa"/>
            <w:vAlign w:val="bottom"/>
          </w:tcPr>
          <w:p>
            <w:pPr>
              <w:jc w:val="right"/>
              <w:ind w:right="543"/>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788</w:t>
            </w:r>
          </w:p>
        </w:tc>
        <w:tc>
          <w:tcPr>
            <w:tcW w:w="840" w:type="dxa"/>
            <w:vAlign w:val="bottom"/>
            <w:gridSpan w:val="2"/>
          </w:tcPr>
          <w:p>
            <w:pPr>
              <w:jc w:val="right"/>
              <w:ind w:right="55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796</w:t>
            </w:r>
          </w:p>
        </w:tc>
      </w:tr>
      <w:tr>
        <w:trPr>
          <w:trHeight w:val="288"/>
        </w:trPr>
        <w:tc>
          <w:tcPr>
            <w:tcW w:w="5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Unamortized debt discount and issuance costs </w:t>
            </w:r>
            <w:r>
              <w:rPr>
                <w:rFonts w:ascii="Times New Roman" w:cs="Times New Roman" w:eastAsia="Times New Roman" w:hAnsi="Times New Roman"/>
                <w:sz w:val="20"/>
                <w:szCs w:val="20"/>
                <w:color w:val="B8BABC"/>
              </w:rPr>
              <w:t>. . . . . . . . . . . . . . . .</w:t>
            </w:r>
          </w:p>
        </w:tc>
        <w:tc>
          <w:tcPr>
            <w:tcW w:w="7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w:t>
            </w:r>
          </w:p>
        </w:tc>
      </w:tr>
      <w:tr>
        <w:trPr>
          <w:trHeight w:val="262"/>
        </w:trPr>
        <w:tc>
          <w:tcPr>
            <w:tcW w:w="5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780</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786</w:t>
            </w:r>
          </w:p>
        </w:tc>
      </w:tr>
      <w:tr>
        <w:trPr>
          <w:trHeight w:val="510"/>
        </w:trPr>
        <w:tc>
          <w:tcPr>
            <w:tcW w:w="5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Revolving Corporate Credit Facility </w:t>
            </w:r>
            <w:r>
              <w:rPr>
                <w:rFonts w:ascii="Times New Roman" w:cs="Times New Roman" w:eastAsia="Times New Roman" w:hAnsi="Times New Roman"/>
                <w:sz w:val="20"/>
                <w:szCs w:val="20"/>
                <w:color w:val="B8BABC"/>
              </w:rPr>
              <w:t>. . . . . . . . . . . . . . . . . . . . . . .</w:t>
            </w: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w:t>
            </w:r>
          </w:p>
        </w:tc>
      </w:tr>
      <w:tr>
        <w:trPr>
          <w:trHeight w:val="288"/>
        </w:trPr>
        <w:tc>
          <w:tcPr>
            <w:tcW w:w="5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Unamortized debt issuance costs</w:t>
            </w:r>
            <w:r>
              <w:rPr>
                <w:rFonts w:ascii="Times New Roman" w:cs="Times New Roman" w:eastAsia="Times New Roman" w:hAnsi="Times New Roman"/>
                <w:sz w:val="11"/>
                <w:szCs w:val="11"/>
                <w:color w:val="231F20"/>
              </w:rPr>
              <w:t>(2)</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 . . . . .</w:t>
            </w:r>
          </w:p>
        </w:tc>
        <w:tc>
          <w:tcPr>
            <w:tcW w:w="7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r>
      <w:tr>
        <w:trPr>
          <w:trHeight w:val="262"/>
        </w:trPr>
        <w:tc>
          <w:tcPr>
            <w:tcW w:w="5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w:t>
            </w:r>
          </w:p>
        </w:tc>
      </w:tr>
      <w:tr>
        <w:trPr>
          <w:trHeight w:val="285"/>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Senior Unsecured Notes</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5"/>
        </w:trPr>
        <w:tc>
          <w:tcPr>
            <w:tcW w:w="5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2028 Notes </w:t>
            </w:r>
            <w:r>
              <w:rPr>
                <w:rFonts w:ascii="Times New Roman" w:cs="Times New Roman" w:eastAsia="Times New Roman" w:hAnsi="Times New Roman"/>
                <w:sz w:val="20"/>
                <w:szCs w:val="20"/>
                <w:color w:val="B8BABC"/>
              </w:rPr>
              <w:t>. . . . . . . . . . . . . . . . . . . . . . . . . . . . . . . . . . . . . . . . . . .</w:t>
            </w: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w:t>
            </w:r>
          </w:p>
        </w:tc>
      </w:tr>
      <w:tr>
        <w:trPr>
          <w:trHeight w:val="288"/>
        </w:trPr>
        <w:tc>
          <w:tcPr>
            <w:tcW w:w="5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Unamortized debt discount and issuance costs </w:t>
            </w:r>
            <w:r>
              <w:rPr>
                <w:rFonts w:ascii="Times New Roman" w:cs="Times New Roman" w:eastAsia="Times New Roman" w:hAnsi="Times New Roman"/>
                <w:sz w:val="20"/>
                <w:szCs w:val="20"/>
                <w:color w:val="B8BABC"/>
              </w:rPr>
              <w:t>. . . . . . . . . . . . . . . .</w:t>
            </w:r>
          </w:p>
        </w:tc>
        <w:tc>
          <w:tcPr>
            <w:tcW w:w="7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r>
      <w:tr>
        <w:trPr>
          <w:trHeight w:val="262"/>
        </w:trPr>
        <w:tc>
          <w:tcPr>
            <w:tcW w:w="5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348</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348</w:t>
            </w:r>
          </w:p>
        </w:tc>
      </w:tr>
      <w:tr>
        <w:trPr>
          <w:trHeight w:val="510"/>
        </w:trPr>
        <w:tc>
          <w:tcPr>
            <w:tcW w:w="5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2029 Notes </w:t>
            </w:r>
            <w:r>
              <w:rPr>
                <w:rFonts w:ascii="Times New Roman" w:cs="Times New Roman" w:eastAsia="Times New Roman" w:hAnsi="Times New Roman"/>
                <w:sz w:val="20"/>
                <w:szCs w:val="20"/>
                <w:color w:val="B8BABC"/>
              </w:rPr>
              <w:t>. . . . . . . . . . . . . . . . . . . . . . . . . . . . . . . . . . . . . . . . . . .</w:t>
            </w: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w:t>
            </w:r>
          </w:p>
        </w:tc>
      </w:tr>
      <w:tr>
        <w:trPr>
          <w:trHeight w:val="288"/>
        </w:trPr>
        <w:tc>
          <w:tcPr>
            <w:tcW w:w="5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Unamortized debt discount and issuance costs </w:t>
            </w:r>
            <w:r>
              <w:rPr>
                <w:rFonts w:ascii="Times New Roman" w:cs="Times New Roman" w:eastAsia="Times New Roman" w:hAnsi="Times New Roman"/>
                <w:sz w:val="20"/>
                <w:szCs w:val="20"/>
                <w:color w:val="B8BABC"/>
              </w:rPr>
              <w:t>. . . . . . . . . . . . . . . .</w:t>
            </w:r>
          </w:p>
        </w:tc>
        <w:tc>
          <w:tcPr>
            <w:tcW w:w="7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w:t>
            </w:r>
          </w:p>
        </w:tc>
      </w:tr>
      <w:tr>
        <w:trPr>
          <w:trHeight w:val="262"/>
        </w:trPr>
        <w:tc>
          <w:tcPr>
            <w:tcW w:w="5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497</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496</w:t>
            </w:r>
          </w:p>
        </w:tc>
      </w:tr>
      <w:tr>
        <w:trPr>
          <w:trHeight w:val="510"/>
        </w:trPr>
        <w:tc>
          <w:tcPr>
            <w:tcW w:w="5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2033 Notes </w:t>
            </w:r>
            <w:r>
              <w:rPr>
                <w:rFonts w:ascii="Times New Roman" w:cs="Times New Roman" w:eastAsia="Times New Roman" w:hAnsi="Times New Roman"/>
                <w:sz w:val="20"/>
                <w:szCs w:val="20"/>
                <w:color w:val="B8BABC"/>
              </w:rPr>
              <w:t>. . . . . . . . . . . . . . . . . . . . . . . . . . . . . . . . . . . . . . . . . . .</w:t>
            </w: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88"/>
        </w:trPr>
        <w:tc>
          <w:tcPr>
            <w:tcW w:w="5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Unamortized debt discount and issuance costs </w:t>
            </w:r>
            <w:r>
              <w:rPr>
                <w:rFonts w:ascii="Times New Roman" w:cs="Times New Roman" w:eastAsia="Times New Roman" w:hAnsi="Times New Roman"/>
                <w:sz w:val="20"/>
                <w:szCs w:val="20"/>
                <w:color w:val="B8BABC"/>
              </w:rPr>
              <w:t>. . . . . . . . . . . . . . . .</w:t>
            </w:r>
          </w:p>
        </w:tc>
        <w:tc>
          <w:tcPr>
            <w:tcW w:w="7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62"/>
        </w:trPr>
        <w:tc>
          <w:tcPr>
            <w:tcW w:w="5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567</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85"/>
        </w:trPr>
        <w:tc>
          <w:tcPr>
            <w:tcW w:w="56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Convertible Notes</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5"/>
        </w:trPr>
        <w:tc>
          <w:tcPr>
            <w:tcW w:w="5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2026 Convertible Notes </w:t>
            </w:r>
            <w:r>
              <w:rPr>
                <w:rFonts w:ascii="Times New Roman" w:cs="Times New Roman" w:eastAsia="Times New Roman" w:hAnsi="Times New Roman"/>
                <w:sz w:val="20"/>
                <w:szCs w:val="20"/>
                <w:color w:val="B8BABC"/>
              </w:rPr>
              <w:t>. . . . . . . . . . . . . . . . . . . . . . . . . . . . . . . . .</w:t>
            </w: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w:t>
            </w:r>
          </w:p>
        </w:tc>
      </w:tr>
      <w:tr>
        <w:trPr>
          <w:trHeight w:val="288"/>
        </w:trPr>
        <w:tc>
          <w:tcPr>
            <w:tcW w:w="5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Unamortized debt discount and issuance costs </w:t>
            </w:r>
            <w:r>
              <w:rPr>
                <w:rFonts w:ascii="Times New Roman" w:cs="Times New Roman" w:eastAsia="Times New Roman" w:hAnsi="Times New Roman"/>
                <w:sz w:val="20"/>
                <w:szCs w:val="20"/>
                <w:color w:val="B8BABC"/>
              </w:rPr>
              <w:t>. . . . . . . . . . . . . . . .</w:t>
            </w:r>
          </w:p>
        </w:tc>
        <w:tc>
          <w:tcPr>
            <w:tcW w:w="7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r>
      <w:tr>
        <w:trPr>
          <w:trHeight w:val="262"/>
        </w:trPr>
        <w:tc>
          <w:tcPr>
            <w:tcW w:w="5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572</w:t>
            </w:r>
          </w:p>
        </w:tc>
      </w:tr>
      <w:tr>
        <w:trPr>
          <w:trHeight w:val="510"/>
        </w:trPr>
        <w:tc>
          <w:tcPr>
            <w:tcW w:w="5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2027 Convertible Notes </w:t>
            </w:r>
            <w:r>
              <w:rPr>
                <w:rFonts w:ascii="Times New Roman" w:cs="Times New Roman" w:eastAsia="Times New Roman" w:hAnsi="Times New Roman"/>
                <w:sz w:val="20"/>
                <w:szCs w:val="20"/>
                <w:color w:val="B8BABC"/>
              </w:rPr>
              <w:t>. . . . . . . . . . . . . . . . . . . . . . . . . . . . . . . . .</w:t>
            </w: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w:t>
            </w:r>
          </w:p>
        </w:tc>
      </w:tr>
      <w:tr>
        <w:trPr>
          <w:trHeight w:val="288"/>
        </w:trPr>
        <w:tc>
          <w:tcPr>
            <w:tcW w:w="5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Unamortized debt discount and issuance costs </w:t>
            </w:r>
            <w:r>
              <w:rPr>
                <w:rFonts w:ascii="Times New Roman" w:cs="Times New Roman" w:eastAsia="Times New Roman" w:hAnsi="Times New Roman"/>
                <w:sz w:val="20"/>
                <w:szCs w:val="20"/>
                <w:color w:val="B8BABC"/>
              </w:rPr>
              <w:t>. . . . . . . . . . . . . . . .</w:t>
            </w:r>
          </w:p>
        </w:tc>
        <w:tc>
          <w:tcPr>
            <w:tcW w:w="7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60" w:type="dxa"/>
            <w:vAlign w:val="bottom"/>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w:t>
            </w:r>
          </w:p>
        </w:tc>
      </w:tr>
      <w:tr>
        <w:trPr>
          <w:trHeight w:val="262"/>
        </w:trPr>
        <w:tc>
          <w:tcPr>
            <w:tcW w:w="5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569</w:t>
            </w: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566</w:t>
            </w:r>
          </w:p>
        </w:tc>
      </w:tr>
      <w:tr>
        <w:trPr>
          <w:trHeight w:val="513"/>
        </w:trPr>
        <w:tc>
          <w:tcPr>
            <w:tcW w:w="56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Finance Leases  </w:t>
            </w:r>
            <w:r>
              <w:rPr>
                <w:rFonts w:ascii="Times New Roman" w:cs="Times New Roman" w:eastAsia="Times New Roman" w:hAnsi="Times New Roman"/>
                <w:sz w:val="20"/>
                <w:szCs w:val="20"/>
                <w:color w:val="B8BABC"/>
              </w:rPr>
              <w:t>. . . . . . . . . . . . . . . . . . . . . . . . . . . . . . . . . . . . . . . . . . .</w:t>
            </w:r>
          </w:p>
        </w:tc>
        <w:tc>
          <w:tcPr>
            <w:tcW w:w="7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198</w:t>
            </w:r>
          </w:p>
        </w:tc>
        <w:tc>
          <w:tcPr>
            <w:tcW w:w="60" w:type="dxa"/>
            <w:vAlign w:val="bottom"/>
          </w:tcPr>
          <w:p>
            <w:pPr>
              <w:spacing w:after="0"/>
              <w:rPr>
                <w:sz w:val="24"/>
                <w:szCs w:val="24"/>
                <w:color w:val="auto"/>
              </w:rPr>
            </w:pPr>
          </w:p>
        </w:tc>
        <w:tc>
          <w:tcPr>
            <w:tcW w:w="78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199</w:t>
            </w:r>
          </w:p>
        </w:tc>
      </w:tr>
      <w:tr>
        <w:trPr>
          <w:trHeight w:val="245"/>
        </w:trPr>
        <w:tc>
          <w:tcPr>
            <w:tcW w:w="5680" w:type="dxa"/>
            <w:vAlign w:val="bottom"/>
          </w:tcPr>
          <w:p>
            <w:pPr>
              <w:spacing w:after="0"/>
              <w:rPr>
                <w:sz w:val="21"/>
                <w:szCs w:val="21"/>
                <w:color w:val="auto"/>
              </w:rPr>
            </w:pPr>
          </w:p>
        </w:tc>
        <w:tc>
          <w:tcPr>
            <w:tcW w:w="780" w:type="dxa"/>
            <w:vAlign w:val="bottom"/>
          </w:tcPr>
          <w:p>
            <w:pPr>
              <w:jc w:val="right"/>
              <w:ind w:right="543"/>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3,534</w:t>
            </w:r>
          </w:p>
        </w:tc>
        <w:tc>
          <w:tcPr>
            <w:tcW w:w="840" w:type="dxa"/>
            <w:vAlign w:val="bottom"/>
            <w:gridSpan w:val="2"/>
          </w:tcPr>
          <w:p>
            <w:pPr>
              <w:jc w:val="right"/>
              <w:ind w:right="55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3,089</w:t>
            </w:r>
          </w:p>
        </w:tc>
      </w:tr>
      <w:tr>
        <w:trPr>
          <w:trHeight w:val="20"/>
        </w:trPr>
        <w:tc>
          <w:tcPr>
            <w:tcW w:w="5680" w:type="dxa"/>
            <w:vAlign w:val="bottom"/>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r>
    </w:tbl>
    <w:p>
      <w:pPr>
        <w:ind w:left="360" w:hanging="360"/>
        <w:spacing w:after="0" w:line="215" w:lineRule="auto"/>
        <w:tabs>
          <w:tab w:leader="none" w:pos="360" w:val="left"/>
        </w:tabs>
        <w:numPr>
          <w:ilvl w:val="0"/>
          <w:numId w:val="47"/>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The effective interest rate as of December 31, 2025 was 6.0%.</w:t>
      </w:r>
    </w:p>
    <w:p>
      <w:pPr>
        <w:spacing w:after="0" w:line="62" w:lineRule="exact"/>
        <w:rPr>
          <w:rFonts w:ascii="Times New Roman" w:cs="Times New Roman" w:eastAsia="Times New Roman" w:hAnsi="Times New Roman"/>
          <w:sz w:val="26"/>
          <w:szCs w:val="26"/>
          <w:color w:val="231F20"/>
          <w:vertAlign w:val="superscript"/>
        </w:rPr>
      </w:pPr>
    </w:p>
    <w:p>
      <w:pPr>
        <w:ind w:left="360" w:right="260" w:hanging="360"/>
        <w:spacing w:after="0" w:line="227" w:lineRule="auto"/>
        <w:tabs>
          <w:tab w:leader="none" w:pos="360" w:val="left"/>
        </w:tabs>
        <w:numPr>
          <w:ilvl w:val="0"/>
          <w:numId w:val="47"/>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Excludes $4 million of unamortized debt issuance costs classified as a component of Other Assets on our Balance Sheet as of December 31, 2025, as no cash borrowings were outstanding under the Revolving Corporate Credit Facility at that time.</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110</w:t>
      </w:r>
    </w:p>
    <w:p>
      <w:pPr>
        <w:sectPr>
          <w:pgSz w:w="11880" w:h="15480" w:orient="portrait"/>
          <w:cols w:equalWidth="0" w:num="1">
            <w:col w:w="9720"/>
          </w:cols>
          <w:pgMar w:left="1080" w:top="838" w:right="108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9"/>
          <w:szCs w:val="19"/>
          <w:color w:val="231F20"/>
        </w:rPr>
        <w:t>The following table shows scheduled principal payments for our debt, excluding finance leases, as of December 31, 2025.</w:t>
      </w:r>
    </w:p>
    <w:p>
      <w:pPr>
        <w:spacing w:after="0" w:line="7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222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78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740" w:type="dxa"/>
            <w:vAlign w:val="bottom"/>
            <w:tcBorders>
              <w:bottom w:val="single" w:sz="8" w:color="231F20"/>
            </w:tcBorders>
          </w:tcPr>
          <w:p>
            <w:pPr>
              <w:spacing w:after="0"/>
              <w:rPr>
                <w:sz w:val="21"/>
                <w:szCs w:val="21"/>
                <w:color w:val="auto"/>
              </w:rPr>
            </w:pPr>
          </w:p>
        </w:tc>
        <w:tc>
          <w:tcPr>
            <w:tcW w:w="1220" w:type="dxa"/>
            <w:vAlign w:val="bottom"/>
            <w:tcBorders>
              <w:bottom w:val="single" w:sz="8" w:color="231F20"/>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231F20"/>
                <w:w w:val="98"/>
              </w:rPr>
              <w:t>Payments Year</w:t>
            </w:r>
          </w:p>
        </w:tc>
        <w:tc>
          <w:tcPr>
            <w:tcW w:w="18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70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spacing w:after="0"/>
              <w:rPr>
                <w:sz w:val="21"/>
                <w:szCs w:val="21"/>
                <w:color w:val="auto"/>
              </w:rPr>
            </w:pPr>
          </w:p>
        </w:tc>
      </w:tr>
      <w:tr>
        <w:trPr>
          <w:trHeight w:val="235"/>
        </w:trPr>
        <w:tc>
          <w:tcPr>
            <w:tcW w:w="22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24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21"/>
              <w:spacing w:after="0"/>
              <w:rPr>
                <w:sz w:val="20"/>
                <w:szCs w:val="20"/>
                <w:color w:val="auto"/>
              </w:rPr>
            </w:pPr>
            <w:r>
              <w:rPr>
                <w:rFonts w:ascii="Times New Roman" w:cs="Times New Roman" w:eastAsia="Times New Roman" w:hAnsi="Times New Roman"/>
                <w:sz w:val="18"/>
                <w:szCs w:val="18"/>
                <w:b w:val="1"/>
                <w:bCs w:val="1"/>
                <w:color w:val="231F20"/>
              </w:rPr>
              <w:t>2026</w:t>
            </w:r>
          </w:p>
        </w:tc>
        <w:tc>
          <w:tcPr>
            <w:tcW w:w="6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ind w:right="241"/>
              <w:spacing w:after="0"/>
              <w:rPr>
                <w:sz w:val="20"/>
                <w:szCs w:val="20"/>
                <w:color w:val="auto"/>
              </w:rPr>
            </w:pPr>
            <w:r>
              <w:rPr>
                <w:rFonts w:ascii="Times New Roman" w:cs="Times New Roman" w:eastAsia="Times New Roman" w:hAnsi="Times New Roman"/>
                <w:sz w:val="18"/>
                <w:szCs w:val="18"/>
                <w:b w:val="1"/>
                <w:bCs w:val="1"/>
                <w:color w:val="231F20"/>
              </w:rPr>
              <w:t>2027</w:t>
            </w: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740" w:type="dxa"/>
            <w:vAlign w:val="bottom"/>
            <w:tcBorders>
              <w:bottom w:val="single" w:sz="8" w:color="231F20"/>
            </w:tcBorders>
          </w:tcPr>
          <w:p>
            <w:pPr>
              <w:jc w:val="right"/>
              <w:ind w:right="181"/>
              <w:spacing w:after="0"/>
              <w:rPr>
                <w:sz w:val="20"/>
                <w:szCs w:val="20"/>
                <w:color w:val="auto"/>
              </w:rPr>
            </w:pPr>
            <w:r>
              <w:rPr>
                <w:rFonts w:ascii="Times New Roman" w:cs="Times New Roman" w:eastAsia="Times New Roman" w:hAnsi="Times New Roman"/>
                <w:sz w:val="18"/>
                <w:szCs w:val="18"/>
                <w:b w:val="1"/>
                <w:bCs w:val="1"/>
                <w:color w:val="231F20"/>
              </w:rPr>
              <w:t>2028</w:t>
            </w:r>
          </w:p>
        </w:tc>
        <w:tc>
          <w:tcPr>
            <w:tcW w:w="4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21"/>
              <w:spacing w:after="0"/>
              <w:rPr>
                <w:sz w:val="20"/>
                <w:szCs w:val="20"/>
                <w:color w:val="auto"/>
              </w:rPr>
            </w:pPr>
            <w:r>
              <w:rPr>
                <w:rFonts w:ascii="Times New Roman" w:cs="Times New Roman" w:eastAsia="Times New Roman" w:hAnsi="Times New Roman"/>
                <w:sz w:val="18"/>
                <w:szCs w:val="18"/>
                <w:b w:val="1"/>
                <w:bCs w:val="1"/>
                <w:color w:val="231F20"/>
              </w:rPr>
              <w:t>2029</w:t>
            </w:r>
          </w:p>
        </w:tc>
        <w:tc>
          <w:tcPr>
            <w:tcW w:w="60" w:type="dxa"/>
            <w:vAlign w:val="bottom"/>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tcBorders>
          </w:tcPr>
          <w:p>
            <w:pPr>
              <w:jc w:val="right"/>
              <w:ind w:right="221"/>
              <w:spacing w:after="0"/>
              <w:rPr>
                <w:sz w:val="20"/>
                <w:szCs w:val="20"/>
                <w:color w:val="auto"/>
              </w:rPr>
            </w:pPr>
            <w:r>
              <w:rPr>
                <w:rFonts w:ascii="Times New Roman" w:cs="Times New Roman" w:eastAsia="Times New Roman" w:hAnsi="Times New Roman"/>
                <w:sz w:val="18"/>
                <w:szCs w:val="18"/>
                <w:b w:val="1"/>
                <w:bCs w:val="1"/>
                <w:color w:val="231F20"/>
              </w:rPr>
              <w:t>2030</w:t>
            </w:r>
          </w:p>
        </w:tc>
        <w:tc>
          <w:tcPr>
            <w:tcW w:w="60" w:type="dxa"/>
            <w:vAlign w:val="bottom"/>
          </w:tcPr>
          <w:p>
            <w:pPr>
              <w:spacing w:after="0"/>
              <w:rPr>
                <w:sz w:val="20"/>
                <w:szCs w:val="20"/>
                <w:color w:val="auto"/>
              </w:rPr>
            </w:pPr>
          </w:p>
        </w:tc>
        <w:tc>
          <w:tcPr>
            <w:tcW w:w="10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Thereafter</w:t>
            </w: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00" w:type="dxa"/>
            <w:vAlign w:val="bottom"/>
            <w:tcBorders>
              <w:bottom w:val="single" w:sz="8" w:color="231F20"/>
            </w:tcBorders>
          </w:tcPr>
          <w:p>
            <w:pPr>
              <w:jc w:val="right"/>
              <w:ind w:right="201"/>
              <w:spacing w:after="0"/>
              <w:rPr>
                <w:sz w:val="20"/>
                <w:szCs w:val="20"/>
                <w:color w:val="auto"/>
              </w:rPr>
            </w:pPr>
            <w:r>
              <w:rPr>
                <w:rFonts w:ascii="Times New Roman" w:cs="Times New Roman" w:eastAsia="Times New Roman" w:hAnsi="Times New Roman"/>
                <w:sz w:val="18"/>
                <w:szCs w:val="18"/>
                <w:b w:val="1"/>
                <w:bCs w:val="1"/>
                <w:color w:val="231F20"/>
              </w:rPr>
              <w:t>Total</w:t>
            </w:r>
          </w:p>
        </w:tc>
      </w:tr>
      <w:tr>
        <w:trPr>
          <w:trHeight w:val="262"/>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Term Loan </w:t>
            </w:r>
            <w:r>
              <w:rPr>
                <w:rFonts w:ascii="Times New Roman" w:cs="Times New Roman" w:eastAsia="Times New Roman" w:hAnsi="Times New Roman"/>
                <w:sz w:val="20"/>
                <w:szCs w:val="20"/>
                <w:color w:val="B8BABC"/>
              </w:rPr>
              <w:t>. . . . . . . . . . . .</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788</w:t>
            </w:r>
          </w:p>
        </w:tc>
      </w:tr>
      <w:tr>
        <w:trPr>
          <w:trHeight w:val="285"/>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2028 Notes </w:t>
            </w:r>
            <w:r>
              <w:rPr>
                <w:rFonts w:ascii="Times New Roman" w:cs="Times New Roman" w:eastAsia="Times New Roman" w:hAnsi="Times New Roman"/>
                <w:sz w:val="20"/>
                <w:szCs w:val="20"/>
                <w:color w:val="B8BABC"/>
              </w:rPr>
              <w:t>. . . . . . . . . . . .</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350</w:t>
            </w:r>
          </w:p>
        </w:tc>
      </w:tr>
      <w:tr>
        <w:trPr>
          <w:trHeight w:val="285"/>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2029 Notes </w:t>
            </w:r>
            <w:r>
              <w:rPr>
                <w:rFonts w:ascii="Times New Roman" w:cs="Times New Roman" w:eastAsia="Times New Roman" w:hAnsi="Times New Roman"/>
                <w:sz w:val="20"/>
                <w:szCs w:val="20"/>
                <w:color w:val="B8BABC"/>
              </w:rPr>
              <w:t>. . . . . . . . . . . .</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500</w:t>
            </w:r>
          </w:p>
        </w:tc>
      </w:tr>
      <w:tr>
        <w:trPr>
          <w:trHeight w:val="285"/>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2033 Notes </w:t>
            </w:r>
            <w:r>
              <w:rPr>
                <w:rFonts w:ascii="Times New Roman" w:cs="Times New Roman" w:eastAsia="Times New Roman" w:hAnsi="Times New Roman"/>
                <w:sz w:val="20"/>
                <w:szCs w:val="20"/>
                <w:color w:val="B8BABC"/>
              </w:rPr>
              <w:t>. . . . . . . . . . . .</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w:t>
            </w:r>
          </w:p>
        </w:tc>
      </w:tr>
      <w:tr>
        <w:trPr>
          <w:trHeight w:val="285"/>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2026 Convertible Notes </w:t>
            </w:r>
            <w:r>
              <w:rPr>
                <w:rFonts w:ascii="Times New Roman" w:cs="Times New Roman" w:eastAsia="Times New Roman" w:hAnsi="Times New Roman"/>
                <w:sz w:val="20"/>
                <w:szCs w:val="20"/>
                <w:color w:val="B8BABC"/>
              </w:rPr>
              <w:t>. .</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575</w:t>
            </w:r>
          </w:p>
        </w:tc>
      </w:tr>
      <w:tr>
        <w:trPr>
          <w:trHeight w:val="288"/>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2027 Convertible Notes </w:t>
            </w:r>
            <w:r>
              <w:rPr>
                <w:rFonts w:ascii="Times New Roman" w:cs="Times New Roman" w:eastAsia="Times New Roman" w:hAnsi="Times New Roman"/>
                <w:sz w:val="20"/>
                <w:szCs w:val="20"/>
                <w:color w:val="B8BABC"/>
              </w:rPr>
              <w:t>. .</w:t>
            </w:r>
          </w:p>
        </w:tc>
        <w:tc>
          <w:tcPr>
            <w:tcW w:w="24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ind w:right="1"/>
              <w:spacing w:after="0"/>
              <w:rPr>
                <w:sz w:val="20"/>
                <w:szCs w:val="20"/>
                <w:color w:val="auto"/>
              </w:rPr>
            </w:pPr>
            <w:r>
              <w:rPr>
                <w:rFonts w:ascii="Times New Roman" w:cs="Times New Roman" w:eastAsia="Times New Roman" w:hAnsi="Times New Roman"/>
                <w:sz w:val="20"/>
                <w:szCs w:val="20"/>
                <w:color w:val="231F20"/>
              </w:rPr>
              <w:t>575</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575</w:t>
            </w:r>
          </w:p>
        </w:tc>
      </w:tr>
      <w:tr>
        <w:trPr>
          <w:trHeight w:val="245"/>
        </w:trPr>
        <w:tc>
          <w:tcPr>
            <w:tcW w:w="22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583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358</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1,323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3,363</w:t>
            </w:r>
          </w:p>
        </w:tc>
      </w:tr>
      <w:tr>
        <w:trPr>
          <w:trHeight w:val="20"/>
        </w:trPr>
        <w:tc>
          <w:tcPr>
            <w:tcW w:w="222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Corporate Credit Facility</w:t>
      </w:r>
    </w:p>
    <w:p>
      <w:pPr>
        <w:spacing w:after="0" w:line="13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231F20"/>
        </w:rPr>
        <w:t>Our corporate credit facility (the “Corporate Credit Facility”) provides support for our business, including ongoing liquidity and letters of credit, and consists of a term loan facility (the “Term Loan”) and a revolving credit facility (the “Revolving Corporate Credit Facility”), which includes a letter of credit sub-facility.</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During the first quarter of 2025, we entered into an amendment to the Corporate Credit Facility (the “Amendment”), which, among other things; increased the borrowing capacity of our Revolving Corporate Credit Facility from $750 million to $800 million; extended the termination date from March 31, 2027 to March 24, 2030; and reduced certain fees and interest costs. The Amendment also increased the letter of credit sub-facility of the Revolving Corporate Credit Facility from $75 million to $150 million.</w:t>
      </w:r>
    </w:p>
    <w:p>
      <w:pPr>
        <w:spacing w:after="0" w:line="84"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20"/>
          <w:szCs w:val="20"/>
          <w:color w:val="231F20"/>
        </w:rPr>
        <w:t>Additionally, the Amendment provided for a new $450 million senior secured delayed-draw term loan facility (the “Delayed-Draw Term Loan”) scheduled to mature on December 31, 2027, which was subsequently terminated in the third quarter of 2025 in connection with the issuance of the 2033 Notes (as defined and discussed below). We did not draw on the Delayed-Draw Term Loan at any time.</w:t>
      </w:r>
    </w:p>
    <w:p>
      <w:pPr>
        <w:spacing w:after="0" w:line="8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231F20"/>
        </w:rPr>
        <w:t>Borrowings under the Revolving Corporate Credit Facility generally bear interest at a floating rate (SOFR or Prime) plus an applicable margin that varies from 0.50% to 2.00% depending on the type of loan and our leverage. In addition, we pay a commitment fee on the unused availability under the Revolving Corporate Credit Facility at a rate that varies from 20 to 25 basis points per annum, also depending on our leverage.</w:t>
      </w:r>
    </w:p>
    <w:p>
      <w:pPr>
        <w:spacing w:after="0" w:line="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0"/>
          <w:szCs w:val="20"/>
          <w:color w:val="231F20"/>
        </w:rPr>
        <w:t>Any amounts borrowed under the Corporate Credit Facility, as well as obligations with respect to letters of credit issued pursuant to the Revolving Corporate Credit Facility, are secured by a perfected first priority security interest in substantially all of the assets of the borrower under, and guarantors of, that facility (which include MVWC and certain of our direct and indirect, existing and future, domestic subsidiaries, excluding certain bankruptcy remote special purpose entities).</w:t>
      </w:r>
    </w:p>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During the second quarter of 2025, we entered into a $300 million interest rate swap pursuant to which we pay interest at a fixed rate of 3.344% and receive interest at a floating rate (SOFR) through May 2027 to hedge a portion of our interest rate risk on the Term Loan. This interest rate swap has been designated and qualifies as a cash flow hedge of interest rate risk and is recorded in Other Liabilities on our Balance Sheet as of December 31, 2025. We characterize payments we make or receive in connection with this derivative instrument as interest expense and a reclassification of accumulated other comprehensive income or loss for presentation purposes.</w:t>
      </w:r>
    </w:p>
    <w:p>
      <w:pPr>
        <w:spacing w:after="0" w:line="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231F20"/>
        </w:rPr>
        <w:t>The following table reflects the activity in accumulated other comprehensive income or loss related to our derivative instruments during 2025, 2024 and 2023. There were no reclassifications to the Income Statement for any of the periods presented below.</w:t>
      </w:r>
    </w:p>
    <w:p>
      <w:pPr>
        <w:spacing w:after="0" w:line="139"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34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jc w:val="right"/>
              <w:ind w:right="443"/>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tcPr>
          <w:p>
            <w:pPr>
              <w:jc w:val="right"/>
              <w:ind w:right="443"/>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tcPr>
          <w:p>
            <w:pPr>
              <w:jc w:val="right"/>
              <w:ind w:right="443"/>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Derivative Instrument Adjustment, Beginning of Year </w:t>
            </w:r>
            <w:r>
              <w:rPr>
                <w:rFonts w:ascii="Times New Roman" w:cs="Times New Roman" w:eastAsia="Times New Roman" w:hAnsi="Times New Roman"/>
                <w:sz w:val="20"/>
                <w:szCs w:val="20"/>
                <w:color w:val="B8BABC"/>
              </w:rPr>
              <w:t>. . . . . . . .</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20"/>
                <w:szCs w:val="20"/>
                <w:color w:val="231F20"/>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r>
      <w:tr>
        <w:trPr>
          <w:trHeight w:val="288"/>
        </w:trPr>
        <w:tc>
          <w:tcPr>
            <w:tcW w:w="5260" w:type="dxa"/>
            <w:vAlign w:val="bottom"/>
          </w:tcPr>
          <w:p>
            <w:pPr>
              <w:ind w:left="220"/>
              <w:spacing w:after="0"/>
              <w:rPr>
                <w:sz w:val="20"/>
                <w:szCs w:val="20"/>
                <w:color w:val="auto"/>
              </w:rPr>
            </w:pPr>
            <w:r>
              <w:rPr>
                <w:rFonts w:ascii="Times New Roman" w:cs="Times New Roman" w:eastAsia="Times New Roman" w:hAnsi="Times New Roman"/>
                <w:sz w:val="20"/>
                <w:szCs w:val="20"/>
                <w:color w:val="231F20"/>
              </w:rPr>
              <w:t xml:space="preserve">Other comprehensive loss before reclassifications </w:t>
            </w:r>
            <w:r>
              <w:rPr>
                <w:rFonts w:ascii="Times New Roman" w:cs="Times New Roman" w:eastAsia="Times New Roman" w:hAnsi="Times New Roman"/>
                <w:sz w:val="20"/>
                <w:szCs w:val="20"/>
                <w:color w:val="B8BABC"/>
              </w:rPr>
              <w:t>. . . . . . . . . .</w:t>
            </w:r>
          </w:p>
        </w:tc>
        <w:tc>
          <w:tcPr>
            <w:tcW w:w="34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ind w:left="80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w:t>
            </w:r>
          </w:p>
        </w:tc>
      </w:tr>
      <w:tr>
        <w:trPr>
          <w:trHeight w:val="24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Derivative Instrument Adjustment, End of Year </w:t>
            </w:r>
            <w:r>
              <w:rPr>
                <w:rFonts w:ascii="Times New Roman" w:cs="Times New Roman" w:eastAsia="Times New Roman" w:hAnsi="Times New Roman"/>
                <w:sz w:val="20"/>
                <w:szCs w:val="20"/>
                <w:color w:val="B8BABC"/>
              </w:rPr>
              <w:t>. . . . . . . . . . . . . .</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20"/>
                <w:szCs w:val="20"/>
                <w:color w:val="231F20"/>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r>
      <w:tr>
        <w:trPr>
          <w:trHeight w:val="20"/>
        </w:trPr>
        <w:tc>
          <w:tcPr>
            <w:tcW w:w="52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84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111</w:t>
      </w:r>
    </w:p>
    <w:p>
      <w:pPr>
        <w:sectPr>
          <w:pgSz w:w="11880" w:h="15480" w:orient="portrait"/>
          <w:cols w:equalWidth="0" w:num="1">
            <w:col w:w="9720"/>
          </w:cols>
          <w:pgMar w:left="1080" w:top="840" w:right="1080"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i w:val="1"/>
          <w:iCs w:val="1"/>
          <w:color w:val="231F20"/>
        </w:rPr>
        <w:t>Senior Notes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senior notes include:</w:t>
      </w:r>
    </w:p>
    <w:p>
      <w:pPr>
        <w:spacing w:after="0" w:line="130" w:lineRule="exact"/>
        <w:rPr>
          <w:sz w:val="20"/>
          <w:szCs w:val="20"/>
          <w:color w:val="auto"/>
        </w:rPr>
      </w:pPr>
    </w:p>
    <w:p>
      <w:pPr>
        <w:ind w:left="360" w:right="640" w:hanging="360"/>
        <w:spacing w:after="0" w:line="281" w:lineRule="auto"/>
        <w:tabs>
          <w:tab w:leader="none" w:pos="360" w:val="left"/>
        </w:tabs>
        <w:numPr>
          <w:ilvl w:val="0"/>
          <w:numId w:val="4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$350 million aggregate principal amount of 4.750% Senior Unsecured Notes due 2028 issued in 2019 with a maturity date of January 15, 2028 (the “2028 Notes”).</w:t>
      </w:r>
    </w:p>
    <w:p>
      <w:pPr>
        <w:spacing w:after="0" w:line="61" w:lineRule="exact"/>
        <w:rPr>
          <w:rFonts w:ascii="Times New Roman" w:cs="Times New Roman" w:eastAsia="Times New Roman" w:hAnsi="Times New Roman"/>
          <w:sz w:val="20"/>
          <w:szCs w:val="20"/>
          <w:color w:val="231F20"/>
        </w:rPr>
      </w:pPr>
    </w:p>
    <w:p>
      <w:pPr>
        <w:ind w:left="360" w:right="640" w:hanging="360"/>
        <w:spacing w:after="0" w:line="281" w:lineRule="auto"/>
        <w:tabs>
          <w:tab w:leader="none" w:pos="360" w:val="left"/>
        </w:tabs>
        <w:numPr>
          <w:ilvl w:val="0"/>
          <w:numId w:val="4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$500 million aggregate principal amount of 4.500% Senior Unsecured Notes due 2029 issued in 2021 with a maturity date of June 15, 2029 (the “2029 Notes”).</w:t>
      </w:r>
    </w:p>
    <w:p>
      <w:pPr>
        <w:spacing w:after="0" w:line="61" w:lineRule="exact"/>
        <w:rPr>
          <w:rFonts w:ascii="Times New Roman" w:cs="Times New Roman" w:eastAsia="Times New Roman" w:hAnsi="Times New Roman"/>
          <w:sz w:val="20"/>
          <w:szCs w:val="20"/>
          <w:color w:val="231F20"/>
        </w:rPr>
      </w:pPr>
    </w:p>
    <w:p>
      <w:pPr>
        <w:ind w:left="360" w:right="640" w:hanging="360"/>
        <w:spacing w:after="0" w:line="281" w:lineRule="auto"/>
        <w:tabs>
          <w:tab w:leader="none" w:pos="360" w:val="left"/>
        </w:tabs>
        <w:numPr>
          <w:ilvl w:val="0"/>
          <w:numId w:val="4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$575 million aggregate principal amount of 6.500% Senior Unsecured Notes due 2033 issued in 2025 with a maturity date of October 1, 2033 (the “2033 Notes”).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2028 Notes</w:t>
      </w:r>
    </w:p>
    <w:p>
      <w:pPr>
        <w:spacing w:after="0" w:line="13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231F20"/>
        </w:rPr>
        <w:t>We issued the 2028 Notes under an indenture with The Bank of New York Mellon Trust Company, N.A., as trustee. We received net proceeds of $346 million from the offering, after deducting the underwriting discount and estimated expenses. We pay interest on the 2028 Notes on March 15 and September 15 of each year. We may redeem some or all of the 2028 Notes prior to maturity under the terms provided in the indenture.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2029 Notes</w:t>
      </w:r>
    </w:p>
    <w:p>
      <w:pPr>
        <w:spacing w:after="0" w:line="13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231F20"/>
        </w:rPr>
        <w:t>We issued the 2029 Notes under an indenture with The Bank of New York Mellon Trust Company, N.A., as trustee. We received net proceeds of $493 million from the offering, after deducting the underwriting fees and transaction expenses. We pay interest on the 2029 Notes on June 15 and December 15 of each year. We may redeem some or all of the 2029 Notes prior to maturity under the terms provided in the indenture.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2033 Notes</w:t>
      </w:r>
    </w:p>
    <w:p>
      <w:pPr>
        <w:spacing w:after="0" w:line="1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231F20"/>
        </w:rPr>
        <w:t>We issued the 2033 Notes under an indenture with the Bank of New York Mellon Trust Company, N.A, as trustee. We received net proceeds of $567 million from the offering, after deducting the underwriting fees and transaction expenses, and used these net proceeds to repay our 2026 Convertible Notes (as defined below) subsequent to the end of 2025. We will pay interest on the 2033 Notes on April 1 and October 1 of each year, commencing on April 1, 2026. We may redeem some or all of the 2033 Notes prior to maturity under the terms provided in the indenture.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Convertible Notes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2026 Convertible Notes</w:t>
      </w:r>
    </w:p>
    <w:p>
      <w:pPr>
        <w:spacing w:after="0" w:line="13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20"/>
          <w:szCs w:val="20"/>
          <w:color w:val="231F20"/>
        </w:rPr>
        <w:t>During 2021, we issued $575 million aggregate principal amount of convertible senior notes (the “2026 Convertible Notes”) that bear interest at a rate of 0.00%. The 2026 Convertible Notes mature on January 15, 2026, unless earlier repurchased or converted in accordance with their terms prior to that date.</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The conversion rate of the 2026 Convertible Notes is subject to adjustment for certain events as described in the indenture governing the notes and was subject to adjustment as of December 31, 2025 to 6.6865 shares of common stock per $1,000 principal amount of 2026 Convertible Notes (equivalent to a conversion price of $149.56 per share of our common stock), as a result of the dividends we declared since issuance of the 2026 Convertible Notes that were greater than the quarterly dividend we paid when the 2026 Convertible Notes were issued. As of December 31, 2025, upon conversion, we will pay or deliver cash for the principal balance of the notes, and settle any conversion premium in, shares of our common stock. As of December 31, 2025, the effective interest rate was 0.55%. Amortization of debt issuance costs related to the 2026 Convertible Notes was $3 million in each of the three years ended December 31, 2025, 2024, and 2023.</w:t>
      </w:r>
    </w:p>
    <w:p>
      <w:pPr>
        <w:spacing w:after="0" w:line="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231F20"/>
        </w:rPr>
        <w:t>The 2026 Convertible Notes matured at par subsequent to the end of 2025, on January 15, 2026, at which time none of the 2026 Convertible Notes were converted and all were settled in cash, and the deferred financing costs were fully amortized.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2026 Convertible Note Hedges and Warrants</w:t>
      </w:r>
    </w:p>
    <w:p>
      <w:pPr>
        <w:spacing w:after="0" w:line="13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231F20"/>
        </w:rPr>
        <w:t>In connection with the offering of the 2026 Convertible Notes, we concurrently entered into the following privately-negotiated separate transactions: convertible note hedge transactions with respect to our common stock (the “2026 Convertible Note Hedges”), covering a total of 3.8 million shares of our common stock, and warrant transactions (the “2026 Warrants”), whereby we sold to the counterparties to the 2026 Convertible Note Hedges warrants to acquire 3.8 million shares of our common stock, in each case, as of December 31, 2025. The strike prices of the 2026</w:t>
      </w:r>
    </w:p>
    <w:p>
      <w:pPr>
        <w:sectPr>
          <w:pgSz w:w="11880" w:h="15480" w:orient="portrait"/>
          <w:cols w:equalWidth="0" w:num="1">
            <w:col w:w="9680"/>
          </w:cols>
          <w:pgMar w:left="1080" w:top="829"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112</w:t>
      </w:r>
    </w:p>
    <w:p>
      <w:pPr>
        <w:sectPr>
          <w:pgSz w:w="11880" w:h="15480" w:orient="portrait"/>
          <w:cols w:equalWidth="0" w:num="1">
            <w:col w:w="9680"/>
          </w:cols>
          <w:pgMar w:left="1080" w:top="829" w:right="1120" w:bottom="0" w:gutter="0" w:footer="0" w:header="0"/>
          <w:type w:val="continuous"/>
        </w:sectPr>
      </w:pPr>
    </w:p>
    <w:bookmarkStart w:id="116" w:name="page117"/>
    <w:bookmarkEnd w:id="116"/>
    <w:p>
      <w:pPr>
        <w:ind w:right="140"/>
        <w:spacing w:after="0" w:line="281" w:lineRule="auto"/>
        <w:rPr>
          <w:sz w:val="20"/>
          <w:szCs w:val="20"/>
          <w:color w:val="auto"/>
        </w:rPr>
      </w:pPr>
      <w:r>
        <w:rPr>
          <w:rFonts w:ascii="Times New Roman" w:cs="Times New Roman" w:eastAsia="Times New Roman" w:hAnsi="Times New Roman"/>
          <w:sz w:val="20"/>
          <w:szCs w:val="20"/>
          <w:color w:val="231F20"/>
        </w:rPr>
        <w:t>Convertible Note Hedges and the 2026 Warrants were subject to adjustment to $149.56 and $186.94, respectively, as of December 31, 2025 and no 2026 Convertible Note Hedges or 2026 Warrants have been exercised.</w:t>
      </w:r>
    </w:p>
    <w:p>
      <w:pPr>
        <w:spacing w:after="0" w:line="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231F20"/>
        </w:rPr>
        <w:t>The 2026 Convertible Note Hedges expired upon the maturity of the 2026 Convertible Notes, subsequent to the end of 2025, and none were exercised. The 2026 Warrants expire in ratable portions over the 70 trading day period commencing on April 15, 2026.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2027 Convertible Notes</w:t>
      </w:r>
    </w:p>
    <w:p>
      <w:pPr>
        <w:spacing w:after="0" w:line="13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color w:val="231F20"/>
        </w:rPr>
        <w:t>During 2022, we issued $575 million aggregate principal amount of convertible senior notes (the “2027 Convertible Notes”) that bear interest at a rate of 3.25%. The 2027 Convertible Notes mature on December 15, 2027, unless earlier repurchased or converted in accordance with their terms prior to that date.</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231F20"/>
        </w:rPr>
        <w:t>The conversion rate of the 2027 Convertible Notes is subject to adjustment for certain events as described in the indenture governing the notes and was subject to adjustment as of December 31, 2025 to 5.3099 shares of common stock per $1,000 principal amount of 2027 Convertible Notes (equivalent to a conversion price of $188.33 per share of our common stock), as a result of the dividends we declared since issuance of the 2027 Convertible Notes that were greater than the quarterly dividend we paid when the 2027 Convertible Notes were issued. Upon conversion, we will pay or deliver, as the case may be, cash, shares of our common stock, or a combination of cash and shares of our common stock, at our election. As of December 31, 2025, the effective interest rate was 3.88%. Contractual interest expense related to the 2027 Convertible Notes was $19 million and amortization of debt issuance costs was $3 million in each of the three years ended December 31, 2025, 2024, and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2027 Convertible Note Hedges and Warrants</w:t>
      </w:r>
    </w:p>
    <w:p>
      <w:pPr>
        <w:spacing w:after="0" w:line="13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231F20"/>
        </w:rPr>
        <w:t>In connection with the offering of the 2027 Convertible Notes, we concurrently entered into the following privately-negotiated separate transactions: convertible note hedge transactions with respect to our common stock (the “2027 Convertible Note Hedges”), covering a total of 3.1 million shares of our common stock, and warrant transactions (the “2027 Warrants”), whereby we sold to the counterparties to the 2027 Convertible Note Hedges warrants to acquire 3.1 million shares of our common stock, in each case, as of December 31, 2025. The strike prices of the 2027 Convertible Note Hedges and the 2027 Warrants were subject to adjustment to $188.33 and $284.26, respectively, as of December 31, 2025, and no 2027 Convertible Note Hedges or 2027 Warrants have been exercised.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Finance Leases</w:t>
      </w:r>
    </w:p>
    <w:p>
      <w:pPr>
        <w:spacing w:after="0" w:line="139"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20"/>
          <w:szCs w:val="20"/>
          <w:color w:val="231F20"/>
        </w:rPr>
        <w:t>See Footnote 13 “Leases” for information on our finance leases. Non-cash financing activities related to our lease liabilities during 2025, 2024, and 2023, were $7 million, $16 million, and $108 million,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Security and Guarantees</w:t>
      </w:r>
    </w:p>
    <w:p>
      <w:pPr>
        <w:spacing w:after="0" w:line="13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9"/>
          <w:szCs w:val="19"/>
          <w:color w:val="231F20"/>
        </w:rPr>
        <w:t>Amounts borrowed under the Corporate Credit Facility,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entities), subject to certain exceptions. In addition, the Corporate Credit Facility, the 2026 Convertible Notes, the 2027 Convertible Notes, the 2028 Notes, the 2029 Notes, and the 2033 Notes are guaranteed by MVWC and certain of our direct and indirect, existing and future, domestic subsidiaries, excluding certain bankruptcy remote special purpose entities.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16.  STOCKHOLDERS’ EQUITY</w:t>
      </w:r>
    </w:p>
    <w:p>
      <w:pPr>
        <w:spacing w:after="0" w:line="13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231F20"/>
        </w:rPr>
        <w:t>Marriott Vacations Worldwide has 100,000,000 authorized shares of common stock, par value of $0.01 per share. At December 31, 2025, there were 75,891,531 shares of Marriott Vacations Worldwide common stock issued, of which 34,124,033 shares were outstanding and 41,767,498 shares were held as treasury stock. At December 31, 2024, there were 75,852,678 shares of Marriott Vacations Worldwide common stock issued, of which 34,877,925 shares were outstanding and 40,974,753 shares were held as treasury stock. Marriott Vacations Worldwide has 2,000,000 authorized shares of preferred stock, par value of $0.01 per share, none of which were issued or outstanding as of December 31, 2025 or December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Share Repurchase Program</w:t>
      </w:r>
    </w:p>
    <w:p>
      <w:pPr>
        <w:spacing w:after="0" w:line="139"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231F20"/>
        </w:rPr>
        <w:t>From time to time, with the approval of our Board of Directors, we may undertake programs to purchase shares of our common stock (each, a “Share Repurchase Program”). During the second quarter of 2023, our Board of Directors</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113</w:t>
      </w:r>
    </w:p>
    <w:p>
      <w:pPr>
        <w:sectPr>
          <w:pgSz w:w="11880" w:h="15480" w:orient="portrait"/>
          <w:cols w:equalWidth="0" w:num="1">
            <w:col w:w="9720"/>
          </w:cols>
          <w:pgMar w:left="1080" w:top="838" w:right="1080" w:bottom="0" w:gutter="0" w:footer="0" w:header="0"/>
          <w:type w:val="continuous"/>
        </w:sectPr>
      </w:pPr>
    </w:p>
    <w:bookmarkStart w:id="117" w:name="page118"/>
    <w:bookmarkEnd w:id="117"/>
    <w:p>
      <w:pPr>
        <w:ind w:right="140"/>
        <w:spacing w:after="0" w:line="258" w:lineRule="auto"/>
        <w:rPr>
          <w:sz w:val="20"/>
          <w:szCs w:val="20"/>
          <w:color w:val="auto"/>
        </w:rPr>
      </w:pPr>
      <w:r>
        <w:rPr>
          <w:rFonts w:ascii="Times New Roman" w:cs="Times New Roman" w:eastAsia="Times New Roman" w:hAnsi="Times New Roman"/>
          <w:sz w:val="20"/>
          <w:szCs w:val="20"/>
          <w:color w:val="231F20"/>
        </w:rPr>
        <w:t>increased the then-remaining authorization under our previously approved Share Repurchase Program to authorize purchases up to $600 million and extended the term of this program to December 31, 2024. During the fourth quarter of 2024, our Board of Directors extended the term of this program to December 31, 2025. During the fourth quarter of 2025, our Board of Directors extended the term of this program to December 31, 2026. As of December 31, 2025, approximately $322 million remained available for share repurchases under the current Share Repurchase Program.</w:t>
      </w:r>
    </w:p>
    <w:p>
      <w:pPr>
        <w:spacing w:after="0" w:line="84"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0"/>
          <w:szCs w:val="20"/>
          <w:color w:val="231F20"/>
        </w:rPr>
        <w:t>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current Share Repurchase Program, we are authorized to adopt one or more plans pursuant to the provisions of Rule 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summarizes share repurchase activity under our Share Repurchase Program:</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620" w:type="dxa"/>
            <w:vAlign w:val="bottom"/>
            <w:vMerge w:val="restart"/>
          </w:tcPr>
          <w:p>
            <w:pPr>
              <w:jc w:val="right"/>
              <w:ind w:right="24"/>
              <w:spacing w:after="0"/>
              <w:rPr>
                <w:sz w:val="20"/>
                <w:szCs w:val="20"/>
                <w:color w:val="auto"/>
              </w:rPr>
            </w:pPr>
            <w:r>
              <w:rPr>
                <w:rFonts w:ascii="Times New Roman" w:cs="Times New Roman" w:eastAsia="Times New Roman" w:hAnsi="Times New Roman"/>
                <w:sz w:val="18"/>
                <w:szCs w:val="18"/>
                <w:b w:val="1"/>
                <w:bCs w:val="1"/>
                <w:color w:val="231F20"/>
              </w:rPr>
              <w:t>Number of Shares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center"/>
              <w:ind w:right="145"/>
              <w:spacing w:after="0"/>
              <w:rPr>
                <w:sz w:val="20"/>
                <w:szCs w:val="20"/>
                <w:color w:val="auto"/>
              </w:rPr>
            </w:pPr>
            <w:r>
              <w:rPr>
                <w:rFonts w:ascii="Times New Roman" w:cs="Times New Roman" w:eastAsia="Times New Roman" w:hAnsi="Times New Roman"/>
                <w:sz w:val="18"/>
                <w:szCs w:val="18"/>
                <w:b w:val="1"/>
                <w:bCs w:val="1"/>
                <w:color w:val="231F20"/>
                <w:w w:val="98"/>
              </w:rPr>
              <w:t>Cost Basis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vMerge w:val="restart"/>
          </w:tcPr>
          <w:p>
            <w:pPr>
              <w:jc w:val="right"/>
              <w:ind w:right="164"/>
              <w:spacing w:after="0"/>
              <w:rPr>
                <w:sz w:val="20"/>
                <w:szCs w:val="20"/>
                <w:color w:val="auto"/>
              </w:rPr>
            </w:pPr>
            <w:r>
              <w:rPr>
                <w:rFonts w:ascii="Times New Roman" w:cs="Times New Roman" w:eastAsia="Times New Roman" w:hAnsi="Times New Roman"/>
                <w:sz w:val="18"/>
                <w:szCs w:val="18"/>
                <w:b w:val="1"/>
                <w:bCs w:val="1"/>
                <w:color w:val="231F20"/>
              </w:rPr>
              <w:t>Average Price</w:t>
            </w:r>
          </w:p>
        </w:tc>
        <w:tc>
          <w:tcPr>
            <w:tcW w:w="0" w:type="dxa"/>
            <w:vAlign w:val="bottom"/>
          </w:tcPr>
          <w:p>
            <w:pPr>
              <w:spacing w:after="0"/>
              <w:rPr>
                <w:sz w:val="1"/>
                <w:szCs w:val="1"/>
                <w:color w:val="auto"/>
              </w:rPr>
            </w:pPr>
          </w:p>
        </w:tc>
      </w:tr>
      <w:tr>
        <w:trPr>
          <w:trHeight w:val="180"/>
        </w:trPr>
        <w:tc>
          <w:tcPr>
            <w:tcW w:w="472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center"/>
              <w:ind w:right="125"/>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Shares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 except per share amounts)</w:t>
            </w:r>
          </w:p>
        </w:tc>
        <w:tc>
          <w:tcPr>
            <w:tcW w:w="1620" w:type="dxa"/>
            <w:vAlign w:val="bottom"/>
            <w:tcBorders>
              <w:bottom w:val="single" w:sz="8" w:color="231F20"/>
            </w:tcBorders>
          </w:tcPr>
          <w:p>
            <w:pPr>
              <w:jc w:val="right"/>
              <w:ind w:right="204"/>
              <w:spacing w:after="0"/>
              <w:rPr>
                <w:sz w:val="20"/>
                <w:szCs w:val="20"/>
                <w:color w:val="auto"/>
              </w:rPr>
            </w:pPr>
            <w:r>
              <w:rPr>
                <w:rFonts w:ascii="Times New Roman" w:cs="Times New Roman" w:eastAsia="Times New Roman" w:hAnsi="Times New Roman"/>
                <w:sz w:val="18"/>
                <w:szCs w:val="18"/>
                <w:b w:val="1"/>
                <w:bCs w:val="1"/>
                <w:color w:val="231F20"/>
              </w:rPr>
              <w:t>Repurchased</w:t>
            </w: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1380" w:type="dxa"/>
            <w:vAlign w:val="bottom"/>
            <w:tcBorders>
              <w:bottom w:val="single" w:sz="8" w:color="231F20"/>
            </w:tcBorders>
          </w:tcPr>
          <w:p>
            <w:pPr>
              <w:jc w:val="center"/>
              <w:ind w:right="145"/>
              <w:spacing w:after="0"/>
              <w:rPr>
                <w:sz w:val="20"/>
                <w:szCs w:val="20"/>
                <w:color w:val="auto"/>
              </w:rPr>
            </w:pPr>
            <w:r>
              <w:rPr>
                <w:rFonts w:ascii="Times New Roman" w:cs="Times New Roman" w:eastAsia="Times New Roman" w:hAnsi="Times New Roman"/>
                <w:sz w:val="18"/>
                <w:szCs w:val="18"/>
                <w:b w:val="1"/>
                <w:bCs w:val="1"/>
                <w:color w:val="231F20"/>
              </w:rPr>
              <w:t>Repurchased</w:t>
            </w: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420" w:type="dxa"/>
            <w:vAlign w:val="bottom"/>
            <w:tcBorders>
              <w:bottom w:val="single" w:sz="8" w:color="231F20"/>
            </w:tcBorders>
          </w:tcPr>
          <w:p>
            <w:pPr>
              <w:jc w:val="right"/>
              <w:ind w:right="124"/>
              <w:spacing w:after="0"/>
              <w:rPr>
                <w:sz w:val="20"/>
                <w:szCs w:val="20"/>
                <w:color w:val="auto"/>
              </w:rPr>
            </w:pPr>
            <w:r>
              <w:rPr>
                <w:rFonts w:ascii="Times New Roman" w:cs="Times New Roman" w:eastAsia="Times New Roman" w:hAnsi="Times New Roman"/>
                <w:sz w:val="18"/>
                <w:szCs w:val="18"/>
                <w:b w:val="1"/>
                <w:bCs w:val="1"/>
                <w:color w:val="231F20"/>
              </w:rPr>
              <w:t>Paid per Share</w:t>
            </w:r>
          </w:p>
        </w:tc>
        <w:tc>
          <w:tcPr>
            <w:tcW w:w="0" w:type="dxa"/>
            <w:vAlign w:val="bottom"/>
          </w:tcPr>
          <w:p>
            <w:pPr>
              <w:spacing w:after="0"/>
              <w:rPr>
                <w:sz w:val="1"/>
                <w:szCs w:val="1"/>
                <w:color w:val="auto"/>
              </w:rPr>
            </w:pPr>
          </w:p>
        </w:tc>
      </w:tr>
      <w:tr>
        <w:trPr>
          <w:trHeight w:val="262"/>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B8BABC"/>
              </w:rPr>
              <w:t>. . . . . . . . . . . . . . . . . . . . . . . . .</w:t>
            </w:r>
            <w:r>
              <w:rPr>
                <w:rFonts w:ascii="Times New Roman" w:cs="Times New Roman" w:eastAsia="Times New Roman" w:hAnsi="Times New Roman"/>
                <w:sz w:val="20"/>
                <w:szCs w:val="20"/>
                <w:color w:val="231F20"/>
              </w:rPr>
              <w:t>AsofDecember31,2024</w:t>
            </w: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25,790,550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2,461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95.40</w:t>
            </w:r>
          </w:p>
        </w:tc>
        <w:tc>
          <w:tcPr>
            <w:tcW w:w="0" w:type="dxa"/>
            <w:vAlign w:val="bottom"/>
          </w:tcPr>
          <w:p>
            <w:pPr>
              <w:spacing w:after="0"/>
              <w:rPr>
                <w:sz w:val="1"/>
                <w:szCs w:val="1"/>
                <w:color w:val="auto"/>
              </w:rPr>
            </w:pPr>
          </w:p>
        </w:tc>
      </w:tr>
      <w:tr>
        <w:trPr>
          <w:trHeight w:val="288"/>
        </w:trPr>
        <w:tc>
          <w:tcPr>
            <w:tcW w:w="472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 xml:space="preserve">For the year ended December 31, 2025 </w:t>
            </w:r>
            <w:r>
              <w:rPr>
                <w:rFonts w:ascii="Times New Roman" w:cs="Times New Roman" w:eastAsia="Times New Roman" w:hAnsi="Times New Roman"/>
                <w:sz w:val="20"/>
                <w:szCs w:val="20"/>
                <w:color w:val="B8BABC"/>
              </w:rPr>
              <w:t>. . . . . . . . . . . . .</w:t>
            </w:r>
          </w:p>
        </w:tc>
        <w:tc>
          <w:tcPr>
            <w:tcW w:w="1620" w:type="dxa"/>
            <w:vAlign w:val="bottom"/>
            <w:tcBorders>
              <w:bottom w:val="single" w:sz="8" w:color="231F20"/>
            </w:tcBorders>
          </w:tcPr>
          <w:p>
            <w:pPr>
              <w:jc w:val="right"/>
              <w:ind w:right="4"/>
              <w:spacing w:after="0"/>
              <w:rPr>
                <w:sz w:val="20"/>
                <w:szCs w:val="20"/>
                <w:color w:val="auto"/>
              </w:rPr>
            </w:pPr>
            <w:r>
              <w:rPr>
                <w:rFonts w:ascii="Times New Roman" w:cs="Times New Roman" w:eastAsia="Times New Roman" w:hAnsi="Times New Roman"/>
                <w:sz w:val="20"/>
                <w:szCs w:val="20"/>
                <w:color w:val="231F20"/>
              </w:rPr>
              <w:t>1,004,613</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13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61.26</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B8BABC"/>
              </w:rPr>
              <w:t>. . . . . . . . . . . . . . . . . . . . . . . . .</w:t>
            </w:r>
            <w:r>
              <w:rPr>
                <w:rFonts w:ascii="Times New Roman" w:cs="Times New Roman" w:eastAsia="Times New Roman" w:hAnsi="Times New Roman"/>
                <w:sz w:val="20"/>
                <w:szCs w:val="20"/>
                <w:color w:val="231F20"/>
              </w:rPr>
              <w:t>AsofDecember31,2025</w:t>
            </w:r>
          </w:p>
        </w:tc>
        <w:tc>
          <w:tcPr>
            <w:tcW w:w="16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231F20"/>
              </w:rPr>
              <w:t>26,795,163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94.12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13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Dividends</w:t>
      </w:r>
    </w:p>
    <w:p>
      <w:pPr>
        <w:spacing w:after="0" w:line="13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20"/>
          <w:szCs w:val="20"/>
          <w:color w:val="231F20"/>
        </w:rPr>
        <w:t>We declared cash dividends to holders of common stock during the year ended December 31, 2025 as follows. Any future dividend payments will be subject to the restrictions imposed under the agreements covering our debt and approval of our Board of Directors. There can be no assurance that we will pay dividends in the future.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5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Declaration Date</w:t>
            </w:r>
          </w:p>
        </w:tc>
        <w:tc>
          <w:tcPr>
            <w:tcW w:w="60" w:type="dxa"/>
            <w:vAlign w:val="bottom"/>
          </w:tcPr>
          <w:p>
            <w:pPr>
              <w:spacing w:after="0"/>
              <w:rPr>
                <w:sz w:val="21"/>
                <w:szCs w:val="21"/>
                <w:color w:val="auto"/>
              </w:rPr>
            </w:pPr>
          </w:p>
        </w:tc>
        <w:tc>
          <w:tcPr>
            <w:tcW w:w="25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Stockholder Record Date</w:t>
            </w:r>
          </w:p>
        </w:tc>
        <w:tc>
          <w:tcPr>
            <w:tcW w:w="60" w:type="dxa"/>
            <w:vAlign w:val="bottom"/>
          </w:tcPr>
          <w:p>
            <w:pPr>
              <w:spacing w:after="0"/>
              <w:rPr>
                <w:sz w:val="21"/>
                <w:szCs w:val="21"/>
                <w:color w:val="auto"/>
              </w:rPr>
            </w:pPr>
          </w:p>
        </w:tc>
        <w:tc>
          <w:tcPr>
            <w:tcW w:w="25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Distribution Date</w:t>
            </w:r>
          </w:p>
        </w:tc>
        <w:tc>
          <w:tcPr>
            <w:tcW w:w="60" w:type="dxa"/>
            <w:vAlign w:val="bottom"/>
          </w:tcPr>
          <w:p>
            <w:pPr>
              <w:spacing w:after="0"/>
              <w:rPr>
                <w:sz w:val="21"/>
                <w:szCs w:val="21"/>
                <w:color w:val="auto"/>
              </w:rPr>
            </w:pPr>
          </w:p>
        </w:tc>
        <w:tc>
          <w:tcPr>
            <w:tcW w:w="2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Dividend per Share</w:t>
            </w:r>
          </w:p>
        </w:tc>
      </w:tr>
      <w:tr>
        <w:trPr>
          <w:trHeight w:val="260"/>
        </w:trPr>
        <w:tc>
          <w:tcPr>
            <w:tcW w:w="25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February 20, 2025</w:t>
            </w:r>
          </w:p>
        </w:tc>
        <w:tc>
          <w:tcPr>
            <w:tcW w:w="60" w:type="dxa"/>
            <w:vAlign w:val="bottom"/>
          </w:tcPr>
          <w:p>
            <w:pPr>
              <w:spacing w:after="0"/>
              <w:rPr>
                <w:sz w:val="22"/>
                <w:szCs w:val="2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March 5, 2025</w:t>
            </w:r>
          </w:p>
        </w:tc>
        <w:tc>
          <w:tcPr>
            <w:tcW w:w="60" w:type="dxa"/>
            <w:vAlign w:val="bottom"/>
          </w:tcPr>
          <w:p>
            <w:pPr>
              <w:spacing w:after="0"/>
              <w:rPr>
                <w:sz w:val="22"/>
                <w:szCs w:val="22"/>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March 19, 2025</w:t>
            </w:r>
          </w:p>
        </w:tc>
        <w:tc>
          <w:tcPr>
            <w:tcW w:w="6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$0.79</w:t>
            </w:r>
          </w:p>
        </w:tc>
      </w:tr>
      <w:tr>
        <w:trPr>
          <w:trHeight w:val="276"/>
        </w:trPr>
        <w:tc>
          <w:tcPr>
            <w:tcW w:w="25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12, 2025</w:t>
            </w:r>
          </w:p>
        </w:tc>
        <w:tc>
          <w:tcPr>
            <w:tcW w:w="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May 23, 2025</w:t>
            </w:r>
          </w:p>
        </w:tc>
        <w:tc>
          <w:tcPr>
            <w:tcW w:w="6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June 6, 2025</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$0.79</w:t>
            </w:r>
          </w:p>
        </w:tc>
      </w:tr>
      <w:tr>
        <w:trPr>
          <w:trHeight w:val="295"/>
        </w:trPr>
        <w:tc>
          <w:tcPr>
            <w:tcW w:w="25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September 3, 2025</w:t>
            </w:r>
          </w:p>
        </w:tc>
        <w:tc>
          <w:tcPr>
            <w:tcW w:w="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September 17, 2025</w:t>
            </w:r>
          </w:p>
        </w:tc>
        <w:tc>
          <w:tcPr>
            <w:tcW w:w="6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8"/>
              </w:rPr>
              <w:t>October 1, 2025</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$0.79</w:t>
            </w:r>
          </w:p>
        </w:tc>
      </w:tr>
      <w:tr>
        <w:trPr>
          <w:trHeight w:val="285"/>
        </w:trPr>
        <w:tc>
          <w:tcPr>
            <w:tcW w:w="25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December 12, 2025</w:t>
            </w:r>
          </w:p>
        </w:tc>
        <w:tc>
          <w:tcPr>
            <w:tcW w:w="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December 24, 2025</w:t>
            </w:r>
          </w:p>
        </w:tc>
        <w:tc>
          <w:tcPr>
            <w:tcW w:w="6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January 7, 2026</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$0.80</w:t>
            </w:r>
          </w:p>
        </w:tc>
      </w:tr>
    </w:tbl>
    <w:p>
      <w:pPr>
        <w:spacing w:after="0" w:line="23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0"/>
          <w:szCs w:val="20"/>
          <w:color w:val="231F20"/>
        </w:rPr>
        <w:t>Subsequent to the end of 2025, on February 19, 2026, our Board of Directors declared a quarterly dividend of $0.80 per share to be paid on March 18, 2026 to stockholders of record as of March 4, 2026.</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114</w:t>
      </w:r>
    </w:p>
    <w:p>
      <w:pPr>
        <w:sectPr>
          <w:pgSz w:w="11880" w:h="15480" w:orient="portrait"/>
          <w:cols w:equalWidth="0" w:num="1">
            <w:col w:w="9720"/>
          </w:cols>
          <w:pgMar w:left="1080" w:top="838" w:right="1080" w:bottom="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b w:val="1"/>
          <w:bCs w:val="1"/>
          <w:color w:val="231F20"/>
        </w:rPr>
        <w:t>17. SHARE-BASED COMPENSATION</w:t>
      </w:r>
    </w:p>
    <w:p>
      <w:pPr>
        <w:spacing w:after="0" w:line="19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The MVW Equity Plan is maintained for the benefit of our officers, directors, and employees. Under the MVW Equity Plan, we are authorized to award: (1) RSUs of our common stock, (2) SARs relating to our common stock, and (3) stock options to purchase our common stock. A total of approximately 3 million shares are authorized for issuance pursuant to grants under the MVW Equity Plan. As of December 31, 2025, approximately 1 million shares were available for grants under the MVW Equity Plan.</w:t>
      </w:r>
    </w:p>
    <w:p>
      <w:pPr>
        <w:spacing w:after="0" w:line="14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231F20"/>
        </w:rPr>
        <w:t>The following table details our share-based compensation expense related to award grants to our officers, directors, and employees. We recognized $7 million of tax benefits associated with share-based compensation during each of the three years ended December 31, 2025, 2024, and 2023.</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440" w:type="dxa"/>
            <w:vAlign w:val="bottom"/>
            <w:tcBorders>
              <w:bottom w:val="single" w:sz="8" w:color="231F20"/>
            </w:tcBorders>
          </w:tcPr>
          <w:p>
            <w:pPr>
              <w:spacing w:after="0"/>
              <w:rPr>
                <w:sz w:val="21"/>
                <w:szCs w:val="21"/>
                <w:color w:val="auto"/>
              </w:rPr>
            </w:pPr>
          </w:p>
        </w:tc>
        <w:tc>
          <w:tcPr>
            <w:tcW w:w="1360" w:type="dxa"/>
            <w:vAlign w:val="bottom"/>
            <w:tcBorders>
              <w:bottom w:val="single" w:sz="8" w:color="231F20"/>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1"/>
                <w:szCs w:val="21"/>
                <w:color w:val="auto"/>
              </w:rPr>
            </w:pPr>
          </w:p>
        </w:tc>
        <w:tc>
          <w:tcPr>
            <w:tcW w:w="440" w:type="dxa"/>
            <w:vAlign w:val="bottom"/>
            <w:tcBorders>
              <w:bottom w:val="single" w:sz="8" w:color="231F20"/>
            </w:tcBorders>
          </w:tcPr>
          <w:p>
            <w:pPr>
              <w:spacing w:after="0"/>
              <w:rPr>
                <w:sz w:val="21"/>
                <w:szCs w:val="21"/>
                <w:color w:val="auto"/>
              </w:rPr>
            </w:pPr>
          </w:p>
        </w:tc>
        <w:tc>
          <w:tcPr>
            <w:tcW w:w="1360" w:type="dxa"/>
            <w:vAlign w:val="bottom"/>
            <w:tcBorders>
              <w:bottom w:val="single" w:sz="8" w:color="231F20"/>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1"/>
                <w:szCs w:val="21"/>
                <w:color w:val="auto"/>
              </w:rPr>
            </w:pPr>
          </w:p>
        </w:tc>
        <w:tc>
          <w:tcPr>
            <w:tcW w:w="440" w:type="dxa"/>
            <w:vAlign w:val="bottom"/>
            <w:tcBorders>
              <w:bottom w:val="single" w:sz="8" w:color="231F20"/>
            </w:tcBorders>
          </w:tcPr>
          <w:p>
            <w:pPr>
              <w:spacing w:after="0"/>
              <w:rPr>
                <w:sz w:val="21"/>
                <w:szCs w:val="21"/>
                <w:color w:val="auto"/>
              </w:rPr>
            </w:pPr>
          </w:p>
        </w:tc>
        <w:tc>
          <w:tcPr>
            <w:tcW w:w="1360" w:type="dxa"/>
            <w:vAlign w:val="bottom"/>
            <w:tcBorders>
              <w:bottom w:val="single" w:sz="8" w:color="231F20"/>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62"/>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Service-based RSUs </w:t>
            </w:r>
            <w:r>
              <w:rPr>
                <w:rFonts w:ascii="Times New Roman" w:cs="Times New Roman" w:eastAsia="Times New Roman" w:hAnsi="Times New Roman"/>
                <w:sz w:val="20"/>
                <w:szCs w:val="20"/>
                <w:color w:val="B8BABC"/>
              </w:rPr>
              <w:t>. . . . . . . . . . . . . . . . . . . . . . . .</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w:t>
            </w:r>
          </w:p>
        </w:tc>
      </w:tr>
      <w:tr>
        <w:trPr>
          <w:trHeight w:val="288"/>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Performance-based RSUs </w:t>
            </w:r>
            <w:r>
              <w:rPr>
                <w:rFonts w:ascii="Times New Roman" w:cs="Times New Roman" w:eastAsia="Times New Roman" w:hAnsi="Times New Roman"/>
                <w:sz w:val="20"/>
                <w:szCs w:val="20"/>
                <w:color w:val="B8BABC"/>
              </w:rPr>
              <w:t>. . . . . . . . . . . . . . . . . . . .</w:t>
            </w:r>
          </w:p>
        </w:tc>
        <w:tc>
          <w:tcPr>
            <w:tcW w:w="440" w:type="dxa"/>
            <w:vAlign w:val="bottom"/>
            <w:tcBorders>
              <w:bottom w:val="single" w:sz="8" w:color="231F20"/>
            </w:tcBorders>
          </w:tcPr>
          <w:p>
            <w:pPr>
              <w:spacing w:after="0"/>
              <w:rPr>
                <w:sz w:val="24"/>
                <w:szCs w:val="24"/>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60" w:type="dxa"/>
            <w:vAlign w:val="bottom"/>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62"/>
        </w:trPr>
        <w:tc>
          <w:tcPr>
            <w:tcW w:w="4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w:t>
            </w:r>
          </w:p>
        </w:tc>
      </w:tr>
      <w:tr>
        <w:trPr>
          <w:trHeight w:val="288"/>
        </w:trPr>
        <w:tc>
          <w:tcPr>
            <w:tcW w:w="414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SARs </w:t>
            </w:r>
            <w:r>
              <w:rPr>
                <w:rFonts w:ascii="Times New Roman" w:cs="Times New Roman" w:eastAsia="Times New Roman" w:hAnsi="Times New Roman"/>
                <w:sz w:val="20"/>
                <w:szCs w:val="20"/>
                <w:color w:val="B8BABC"/>
              </w:rPr>
              <w:t>. . . . . . . . . . . . . . . . . . . . . . . . . . . . . . . . . . . .</w:t>
            </w:r>
          </w:p>
        </w:tc>
        <w:tc>
          <w:tcPr>
            <w:tcW w:w="440" w:type="dxa"/>
            <w:vAlign w:val="bottom"/>
            <w:tcBorders>
              <w:bottom w:val="single" w:sz="8" w:color="231F20"/>
            </w:tcBorders>
          </w:tcPr>
          <w:p>
            <w:pPr>
              <w:spacing w:after="0"/>
              <w:rPr>
                <w:sz w:val="24"/>
                <w:szCs w:val="24"/>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r>
      <w:tr>
        <w:trPr>
          <w:trHeight w:val="245"/>
        </w:trPr>
        <w:tc>
          <w:tcPr>
            <w:tcW w:w="4140" w:type="dxa"/>
            <w:vAlign w:val="bottom"/>
          </w:tcPr>
          <w:p>
            <w:pPr>
              <w:spacing w:after="0"/>
              <w:rPr>
                <w:sz w:val="21"/>
                <w:szCs w:val="21"/>
                <w:color w:val="auto"/>
              </w:rPr>
            </w:pP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w:t>
            </w:r>
          </w:p>
        </w:tc>
      </w:tr>
      <w:tr>
        <w:trPr>
          <w:trHeight w:val="20"/>
        </w:trPr>
        <w:tc>
          <w:tcPr>
            <w:tcW w:w="4140" w:type="dxa"/>
            <w:vAlign w:val="bottom"/>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13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13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1360" w:type="dxa"/>
            <w:vAlign w:val="bottom"/>
            <w:tcBorders>
              <w:top w:val="single" w:sz="8" w:color="231F20"/>
              <w:bottom w:val="single" w:sz="8" w:color="231F20"/>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details our deferred compensation costs related to unvested awards:</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264"/>
        </w:trPr>
        <w:tc>
          <w:tcPr>
            <w:tcW w:w="60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1800" w:type="dxa"/>
            <w:vAlign w:val="bottom"/>
            <w:tcBorders>
              <w:bottom w:val="single" w:sz="8" w:color="231F20"/>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At Year-End 2025</w:t>
            </w:r>
            <w:r>
              <w:rPr>
                <w:rFonts w:ascii="Times New Roman" w:cs="Times New Roman" w:eastAsia="Times New Roman" w:hAnsi="Times New Roman"/>
                <w:sz w:val="23"/>
                <w:szCs w:val="23"/>
                <w:b w:val="1"/>
                <w:bCs w:val="1"/>
                <w:color w:val="231F20"/>
                <w:vertAlign w:val="superscript"/>
              </w:rPr>
              <w:t>(1)</w:t>
            </w:r>
          </w:p>
        </w:tc>
        <w:tc>
          <w:tcPr>
            <w:tcW w:w="60" w:type="dxa"/>
            <w:vAlign w:val="bottom"/>
          </w:tcPr>
          <w:p>
            <w:pPr>
              <w:spacing w:after="0"/>
              <w:rPr>
                <w:sz w:val="23"/>
                <w:szCs w:val="23"/>
                <w:color w:val="auto"/>
              </w:rPr>
            </w:pPr>
          </w:p>
        </w:tc>
        <w:tc>
          <w:tcPr>
            <w:tcW w:w="180" w:type="dxa"/>
            <w:vAlign w:val="bottom"/>
            <w:tcBorders>
              <w:bottom w:val="single" w:sz="8" w:color="231F20"/>
            </w:tcBorders>
          </w:tcPr>
          <w:p>
            <w:pPr>
              <w:spacing w:after="0"/>
              <w:rPr>
                <w:sz w:val="23"/>
                <w:szCs w:val="23"/>
                <w:color w:val="auto"/>
              </w:rPr>
            </w:pPr>
          </w:p>
        </w:tc>
        <w:tc>
          <w:tcPr>
            <w:tcW w:w="1620" w:type="dxa"/>
            <w:vAlign w:val="bottom"/>
            <w:tcBorders>
              <w:bottom w:val="single" w:sz="8" w:color="231F20"/>
            </w:tcBorders>
          </w:tcPr>
          <w:p>
            <w:pPr>
              <w:jc w:val="right"/>
              <w:ind w:right="102"/>
              <w:spacing w:after="0"/>
              <w:rPr>
                <w:sz w:val="20"/>
                <w:szCs w:val="20"/>
                <w:color w:val="auto"/>
              </w:rPr>
            </w:pPr>
            <w:r>
              <w:rPr>
                <w:rFonts w:ascii="Times New Roman" w:cs="Times New Roman" w:eastAsia="Times New Roman" w:hAnsi="Times New Roman"/>
                <w:sz w:val="18"/>
                <w:szCs w:val="18"/>
                <w:b w:val="1"/>
                <w:bCs w:val="1"/>
                <w:color w:val="231F20"/>
                <w:w w:val="99"/>
              </w:rPr>
              <w:t>At Year-End 2024</w:t>
            </w:r>
          </w:p>
        </w:tc>
      </w:tr>
      <w:tr>
        <w:trPr>
          <w:trHeight w:val="262"/>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Service-based RSUs </w:t>
            </w:r>
            <w:r>
              <w:rPr>
                <w:rFonts w:ascii="Times New Roman" w:cs="Times New Roman" w:eastAsia="Times New Roman" w:hAnsi="Times New Roman"/>
                <w:sz w:val="20"/>
                <w:szCs w:val="20"/>
                <w:color w:val="B8BABC"/>
              </w:rPr>
              <w:t>. . . . . . . . . . . . . . . . . . . . . . . . . . . . . . . . . . . . . . . . . . .</w:t>
            </w:r>
          </w:p>
        </w:tc>
        <w:tc>
          <w:tcPr>
            <w:tcW w:w="840" w:type="dxa"/>
            <w:vAlign w:val="bottom"/>
          </w:tcPr>
          <w:p>
            <w:pPr>
              <w:jc w:val="right"/>
              <w:ind w:right="583"/>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w:t>
            </w:r>
          </w:p>
        </w:tc>
      </w:tr>
      <w:tr>
        <w:trPr>
          <w:trHeight w:val="288"/>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Performance-based RSUs  </w:t>
            </w:r>
            <w:r>
              <w:rPr>
                <w:rFonts w:ascii="Times New Roman" w:cs="Times New Roman" w:eastAsia="Times New Roman" w:hAnsi="Times New Roman"/>
                <w:sz w:val="20"/>
                <w:szCs w:val="20"/>
                <w:color w:val="B8BABC"/>
              </w:rPr>
              <w:t>. . . . . . . . . . . . . . . . . . . . . . . . . . . . . . . . . . . . . .</w:t>
            </w:r>
          </w:p>
        </w:tc>
        <w:tc>
          <w:tcPr>
            <w:tcW w:w="8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r>
      <w:tr>
        <w:trPr>
          <w:trHeight w:val="262"/>
        </w:trPr>
        <w:tc>
          <w:tcPr>
            <w:tcW w:w="6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w:t>
            </w:r>
          </w:p>
        </w:tc>
      </w:tr>
      <w:tr>
        <w:trPr>
          <w:trHeight w:val="288"/>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SARs </w:t>
            </w:r>
            <w:r>
              <w:rPr>
                <w:rFonts w:ascii="Times New Roman" w:cs="Times New Roman" w:eastAsia="Times New Roman" w:hAnsi="Times New Roman"/>
                <w:sz w:val="20"/>
                <w:szCs w:val="20"/>
                <w:color w:val="B8BABC"/>
              </w:rPr>
              <w:t>. . . . . . . . . . . . . . . . . . . . . . . . . . . . . . . . . . . . . . . . . . . . . . . . . . . . . .</w:t>
            </w:r>
          </w:p>
        </w:tc>
        <w:tc>
          <w:tcPr>
            <w:tcW w:w="84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w:t>
            </w:r>
          </w:p>
        </w:tc>
      </w:tr>
      <w:tr>
        <w:trPr>
          <w:trHeight w:val="245"/>
        </w:trPr>
        <w:tc>
          <w:tcPr>
            <w:tcW w:w="6000" w:type="dxa"/>
            <w:vAlign w:val="bottom"/>
          </w:tcPr>
          <w:p>
            <w:pPr>
              <w:spacing w:after="0"/>
              <w:rPr>
                <w:sz w:val="21"/>
                <w:szCs w:val="21"/>
                <w:color w:val="auto"/>
              </w:rPr>
            </w:pPr>
          </w:p>
        </w:tc>
        <w:tc>
          <w:tcPr>
            <w:tcW w:w="840" w:type="dxa"/>
            <w:vAlign w:val="bottom"/>
          </w:tcPr>
          <w:p>
            <w:pPr>
              <w:jc w:val="right"/>
              <w:ind w:right="583"/>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r>
      <w:tr>
        <w:trPr>
          <w:trHeight w:val="20"/>
        </w:trPr>
        <w:tc>
          <w:tcPr>
            <w:tcW w:w="6000" w:type="dxa"/>
            <w:vAlign w:val="bottom"/>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r>
    </w:tbl>
    <w:p>
      <w:pPr>
        <w:spacing w:after="0" w:line="128" w:lineRule="exact"/>
        <w:rPr>
          <w:sz w:val="20"/>
          <w:szCs w:val="20"/>
          <w:color w:val="auto"/>
        </w:rPr>
      </w:pPr>
    </w:p>
    <w:p>
      <w:pPr>
        <w:ind w:left="360" w:right="220" w:hanging="360"/>
        <w:spacing w:after="0" w:line="234" w:lineRule="auto"/>
        <w:tabs>
          <w:tab w:leader="none" w:pos="360" w:val="left"/>
        </w:tabs>
        <w:numPr>
          <w:ilvl w:val="0"/>
          <w:numId w:val="49"/>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As of December 31, 2025, the weighted average remaining term for RSU grants outstanding at year-end 2025 was one to three years and we expect that deferred compensation expense will be recognized over a weighted average term of two years.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Restricted Stock Units</w:t>
      </w:r>
    </w:p>
    <w:p>
      <w:pPr>
        <w:spacing w:after="0" w:line="139"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20"/>
          <w:szCs w:val="20"/>
          <w:color w:val="231F20"/>
        </w:rPr>
        <w:t>We have issued RSUs that vest over time, which we refer to as service-based RSUs, and RSUs that vest based on performance with respect to established criteria, which we refer to as performance-based RSUs.</w:t>
      </w:r>
    </w:p>
    <w:p>
      <w:pPr>
        <w:spacing w:after="0" w:line="61"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20"/>
          <w:szCs w:val="20"/>
          <w:color w:val="231F20"/>
        </w:rPr>
        <w:t>The following table shows the changes in our outstanding RSUs and the associated weighted average grant-date fair values: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2660" w:type="dxa"/>
            <w:vAlign w:val="bottom"/>
          </w:tcPr>
          <w:p>
            <w:pPr>
              <w:spacing w:after="0"/>
              <w:rPr>
                <w:sz w:val="21"/>
                <w:szCs w:val="21"/>
                <w:color w:val="auto"/>
              </w:rPr>
            </w:pPr>
          </w:p>
        </w:tc>
        <w:tc>
          <w:tcPr>
            <w:tcW w:w="124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spacing w:after="0"/>
              <w:rPr>
                <w:sz w:val="21"/>
                <w:szCs w:val="21"/>
                <w:color w:val="auto"/>
              </w:rPr>
            </w:pPr>
          </w:p>
        </w:tc>
        <w:tc>
          <w:tcPr>
            <w:tcW w:w="1340" w:type="dxa"/>
            <w:vAlign w:val="bottom"/>
            <w:tcBorders>
              <w:bottom w:val="single" w:sz="8" w:color="231F20"/>
            </w:tcBorders>
            <w:gridSpan w:val="4"/>
          </w:tcPr>
          <w:p>
            <w:pPr>
              <w:jc w:val="right"/>
              <w:ind w:right="884"/>
              <w:spacing w:after="0"/>
              <w:rPr>
                <w:sz w:val="20"/>
                <w:szCs w:val="20"/>
                <w:color w:val="auto"/>
              </w:rPr>
            </w:pPr>
            <w:r>
              <w:rPr>
                <w:rFonts w:ascii="Times New Roman" w:cs="Times New Roman" w:eastAsia="Times New Roman" w:hAnsi="Times New Roman"/>
                <w:sz w:val="18"/>
                <w:szCs w:val="18"/>
                <w:b w:val="1"/>
                <w:bCs w:val="1"/>
                <w:color w:val="231F20"/>
                <w:w w:val="94"/>
              </w:rPr>
              <w:t>2025</w:t>
            </w:r>
          </w:p>
        </w:tc>
        <w:tc>
          <w:tcPr>
            <w:tcW w:w="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spacing w:after="0"/>
              <w:rPr>
                <w:sz w:val="21"/>
                <w:szCs w:val="21"/>
                <w:color w:val="auto"/>
              </w:rPr>
            </w:pPr>
          </w:p>
        </w:tc>
        <w:tc>
          <w:tcPr>
            <w:tcW w:w="4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660" w:type="dxa"/>
            <w:vAlign w:val="bottom"/>
          </w:tcPr>
          <w:p>
            <w:pPr>
              <w:spacing w:after="0"/>
              <w:rPr>
                <w:sz w:val="20"/>
                <w:szCs w:val="20"/>
                <w:color w:val="auto"/>
              </w:rPr>
            </w:pPr>
          </w:p>
        </w:tc>
        <w:tc>
          <w:tcPr>
            <w:tcW w:w="2320" w:type="dxa"/>
            <w:vAlign w:val="bottom"/>
            <w:tcBorders>
              <w:bottom w:val="single" w:sz="8" w:color="231F20"/>
            </w:tcBorders>
            <w:gridSpan w:val="4"/>
          </w:tcPr>
          <w:p>
            <w:pPr>
              <w:jc w:val="right"/>
              <w:ind w:right="524"/>
              <w:spacing w:after="0"/>
              <w:rPr>
                <w:sz w:val="20"/>
                <w:szCs w:val="20"/>
                <w:color w:val="auto"/>
              </w:rPr>
            </w:pPr>
            <w:r>
              <w:rPr>
                <w:rFonts w:ascii="Times New Roman" w:cs="Times New Roman" w:eastAsia="Times New Roman" w:hAnsi="Times New Roman"/>
                <w:sz w:val="18"/>
                <w:szCs w:val="18"/>
                <w:b w:val="1"/>
                <w:bCs w:val="1"/>
                <w:color w:val="231F20"/>
              </w:rPr>
              <w:t>Service-based</w:t>
            </w:r>
          </w:p>
        </w:tc>
        <w:tc>
          <w:tcPr>
            <w:tcW w:w="60" w:type="dxa"/>
            <w:vAlign w:val="bottom"/>
          </w:tcPr>
          <w:p>
            <w:pPr>
              <w:spacing w:after="0"/>
              <w:rPr>
                <w:sz w:val="20"/>
                <w:szCs w:val="20"/>
                <w:color w:val="auto"/>
              </w:rPr>
            </w:pPr>
          </w:p>
        </w:tc>
        <w:tc>
          <w:tcPr>
            <w:tcW w:w="2280" w:type="dxa"/>
            <w:vAlign w:val="bottom"/>
            <w:tcBorders>
              <w:bottom w:val="single" w:sz="8" w:color="231F20"/>
            </w:tcBorders>
            <w:gridSpan w:val="5"/>
          </w:tcPr>
          <w:p>
            <w:pPr>
              <w:jc w:val="right"/>
              <w:ind w:right="284"/>
              <w:spacing w:after="0"/>
              <w:rPr>
                <w:sz w:val="20"/>
                <w:szCs w:val="20"/>
                <w:color w:val="auto"/>
              </w:rPr>
            </w:pPr>
            <w:r>
              <w:rPr>
                <w:rFonts w:ascii="Times New Roman" w:cs="Times New Roman" w:eastAsia="Times New Roman" w:hAnsi="Times New Roman"/>
                <w:sz w:val="18"/>
                <w:szCs w:val="18"/>
                <w:b w:val="1"/>
                <w:bCs w:val="1"/>
                <w:color w:val="231F20"/>
              </w:rPr>
              <w:t>Performance-based</w:t>
            </w:r>
          </w:p>
        </w:tc>
        <w:tc>
          <w:tcPr>
            <w:tcW w:w="60" w:type="dxa"/>
            <w:vAlign w:val="bottom"/>
          </w:tcPr>
          <w:p>
            <w:pPr>
              <w:spacing w:after="0"/>
              <w:rPr>
                <w:sz w:val="20"/>
                <w:szCs w:val="20"/>
                <w:color w:val="auto"/>
              </w:rPr>
            </w:pPr>
          </w:p>
        </w:tc>
        <w:tc>
          <w:tcPr>
            <w:tcW w:w="940" w:type="dxa"/>
            <w:vAlign w:val="bottom"/>
            <w:tcBorders>
              <w:bottom w:val="single" w:sz="8" w:color="231F20"/>
            </w:tcBorders>
          </w:tcPr>
          <w:p>
            <w:pPr>
              <w:spacing w:after="0"/>
              <w:rPr>
                <w:sz w:val="20"/>
                <w:szCs w:val="20"/>
                <w:color w:val="auto"/>
              </w:rPr>
            </w:pPr>
          </w:p>
        </w:tc>
        <w:tc>
          <w:tcPr>
            <w:tcW w:w="1340" w:type="dxa"/>
            <w:vAlign w:val="bottom"/>
            <w:tcBorders>
              <w:bottom w:val="single" w:sz="8" w:color="231F20"/>
            </w:tcBorders>
            <w:gridSpan w:val="4"/>
          </w:tcPr>
          <w:p>
            <w:pPr>
              <w:jc w:val="right"/>
              <w:ind w:right="824"/>
              <w:spacing w:after="0"/>
              <w:rPr>
                <w:sz w:val="20"/>
                <w:szCs w:val="20"/>
                <w:color w:val="auto"/>
              </w:rPr>
            </w:pPr>
            <w:r>
              <w:rPr>
                <w:rFonts w:ascii="Times New Roman" w:cs="Times New Roman" w:eastAsia="Times New Roman" w:hAnsi="Times New Roman"/>
                <w:sz w:val="18"/>
                <w:szCs w:val="18"/>
                <w:b w:val="1"/>
                <w:bCs w:val="1"/>
                <w:color w:val="231F20"/>
                <w:w w:val="97"/>
              </w:rPr>
              <w:t>Total</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24"/>
              <w:spacing w:after="0" w:line="176" w:lineRule="exact"/>
              <w:rPr>
                <w:sz w:val="20"/>
                <w:szCs w:val="20"/>
                <w:color w:val="auto"/>
              </w:rPr>
            </w:pPr>
            <w:r>
              <w:rPr>
                <w:rFonts w:ascii="Times New Roman" w:cs="Times New Roman" w:eastAsia="Times New Roman" w:hAnsi="Times New Roman"/>
                <w:sz w:val="18"/>
                <w:szCs w:val="18"/>
                <w:b w:val="1"/>
                <w:bCs w:val="1"/>
                <w:color w:val="231F20"/>
                <w:w w:val="99"/>
              </w:rPr>
              <w:t>Weighted</w:t>
            </w: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44"/>
              <w:spacing w:after="0" w:line="176" w:lineRule="exact"/>
              <w:rPr>
                <w:sz w:val="20"/>
                <w:szCs w:val="20"/>
                <w:color w:val="auto"/>
              </w:rPr>
            </w:pPr>
            <w:r>
              <w:rPr>
                <w:rFonts w:ascii="Times New Roman" w:cs="Times New Roman" w:eastAsia="Times New Roman" w:hAnsi="Times New Roman"/>
                <w:sz w:val="18"/>
                <w:szCs w:val="18"/>
                <w:b w:val="1"/>
                <w:bCs w:val="1"/>
                <w:color w:val="231F20"/>
                <w:w w:val="99"/>
              </w:rPr>
              <w:t>Weighted</w:t>
            </w: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44"/>
              <w:spacing w:after="0" w:line="176" w:lineRule="exact"/>
              <w:rPr>
                <w:sz w:val="20"/>
                <w:szCs w:val="20"/>
                <w:color w:val="auto"/>
              </w:rPr>
            </w:pPr>
            <w:r>
              <w:rPr>
                <w:rFonts w:ascii="Times New Roman" w:cs="Times New Roman" w:eastAsia="Times New Roman" w:hAnsi="Times New Roman"/>
                <w:sz w:val="18"/>
                <w:szCs w:val="18"/>
                <w:b w:val="1"/>
                <w:bCs w:val="1"/>
                <w:color w:val="231F20"/>
                <w:w w:val="99"/>
              </w:rPr>
              <w:t>Weighted</w:t>
            </w: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44"/>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Average</w:t>
            </w: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24"/>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Average</w:t>
            </w: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24"/>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Average</w:t>
            </w: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1240" w:type="dxa"/>
            <w:vAlign w:val="bottom"/>
            <w:vMerge w:val="restart"/>
          </w:tcPr>
          <w:p>
            <w:pPr>
              <w:jc w:val="right"/>
              <w:ind w:right="84"/>
              <w:spacing w:after="0"/>
              <w:rPr>
                <w:sz w:val="20"/>
                <w:szCs w:val="20"/>
                <w:color w:val="auto"/>
              </w:rPr>
            </w:pPr>
            <w:r>
              <w:rPr>
                <w:rFonts w:ascii="Times New Roman" w:cs="Times New Roman" w:eastAsia="Times New Roman" w:hAnsi="Times New Roman"/>
                <w:sz w:val="18"/>
                <w:szCs w:val="18"/>
                <w:b w:val="1"/>
                <w:bCs w:val="1"/>
                <w:color w:val="231F20"/>
              </w:rPr>
              <w:t>Number of</w:t>
            </w:r>
          </w:p>
        </w:tc>
        <w:tc>
          <w:tcPr>
            <w:tcW w:w="60" w:type="dxa"/>
            <w:vAlign w:val="bottom"/>
          </w:tcPr>
          <w:p>
            <w:pPr>
              <w:spacing w:after="0"/>
              <w:rPr>
                <w:sz w:val="15"/>
                <w:szCs w:val="15"/>
                <w:color w:val="auto"/>
              </w:rPr>
            </w:pPr>
          </w:p>
        </w:tc>
        <w:tc>
          <w:tcPr>
            <w:tcW w:w="10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231F20"/>
              </w:rPr>
              <w:t>Grant-Date</w:t>
            </w:r>
          </w:p>
        </w:tc>
        <w:tc>
          <w:tcPr>
            <w:tcW w:w="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231F20"/>
              </w:rPr>
              <w:t>Number of</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24"/>
              <w:spacing w:after="0" w:line="180" w:lineRule="exact"/>
              <w:rPr>
                <w:sz w:val="20"/>
                <w:szCs w:val="20"/>
                <w:color w:val="auto"/>
              </w:rPr>
            </w:pPr>
            <w:r>
              <w:rPr>
                <w:rFonts w:ascii="Times New Roman" w:cs="Times New Roman" w:eastAsia="Times New Roman" w:hAnsi="Times New Roman"/>
                <w:sz w:val="18"/>
                <w:szCs w:val="18"/>
                <w:b w:val="1"/>
                <w:bCs w:val="1"/>
                <w:color w:val="231F20"/>
                <w:w w:val="98"/>
              </w:rPr>
              <w:t>Grant-Date</w:t>
            </w:r>
          </w:p>
        </w:tc>
        <w:tc>
          <w:tcPr>
            <w:tcW w:w="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231F20"/>
              </w:rPr>
              <w:t>Number of</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24"/>
              <w:spacing w:after="0" w:line="180" w:lineRule="exact"/>
              <w:rPr>
                <w:sz w:val="20"/>
                <w:szCs w:val="20"/>
                <w:color w:val="auto"/>
              </w:rPr>
            </w:pPr>
            <w:r>
              <w:rPr>
                <w:rFonts w:ascii="Times New Roman" w:cs="Times New Roman" w:eastAsia="Times New Roman" w:hAnsi="Times New Roman"/>
                <w:sz w:val="18"/>
                <w:szCs w:val="18"/>
                <w:b w:val="1"/>
                <w:bCs w:val="1"/>
                <w:color w:val="231F20"/>
                <w:w w:val="98"/>
              </w:rPr>
              <w:t>Grant-Date</w:t>
            </w: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Fair Value</w:t>
            </w:r>
          </w:p>
        </w:tc>
        <w:tc>
          <w:tcPr>
            <w:tcW w:w="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8"/>
                <w:szCs w:val="18"/>
                <w:b w:val="1"/>
                <w:bCs w:val="1"/>
                <w:color w:val="231F20"/>
              </w:rPr>
              <w:t>Fair Value Per</w:t>
            </w:r>
          </w:p>
        </w:tc>
        <w:tc>
          <w:tcPr>
            <w:tcW w:w="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60"/>
              <w:spacing w:after="0" w:line="180" w:lineRule="exact"/>
              <w:rPr>
                <w:sz w:val="20"/>
                <w:szCs w:val="20"/>
                <w:color w:val="auto"/>
              </w:rPr>
            </w:pPr>
            <w:r>
              <w:rPr>
                <w:rFonts w:ascii="Times New Roman" w:cs="Times New Roman" w:eastAsia="Times New Roman" w:hAnsi="Times New Roman"/>
                <w:sz w:val="18"/>
                <w:szCs w:val="18"/>
                <w:b w:val="1"/>
                <w:bCs w:val="1"/>
                <w:color w:val="231F20"/>
              </w:rPr>
              <w:t>Fair Value Per</w:t>
            </w:r>
          </w:p>
        </w:tc>
        <w:tc>
          <w:tcPr>
            <w:tcW w:w="0" w:type="dxa"/>
            <w:vAlign w:val="bottom"/>
          </w:tcPr>
          <w:p>
            <w:pPr>
              <w:spacing w:after="0"/>
              <w:rPr>
                <w:sz w:val="1"/>
                <w:szCs w:val="1"/>
                <w:color w:val="auto"/>
              </w:rPr>
            </w:pPr>
          </w:p>
        </w:tc>
      </w:tr>
      <w:tr>
        <w:trPr>
          <w:trHeight w:val="239"/>
        </w:trPr>
        <w:tc>
          <w:tcPr>
            <w:tcW w:w="2660" w:type="dxa"/>
            <w:vAlign w:val="bottom"/>
          </w:tcPr>
          <w:p>
            <w:pPr>
              <w:spacing w:after="0"/>
              <w:rPr>
                <w:sz w:val="20"/>
                <w:szCs w:val="20"/>
                <w:color w:val="auto"/>
              </w:rPr>
            </w:pPr>
          </w:p>
        </w:tc>
        <w:tc>
          <w:tcPr>
            <w:tcW w:w="1240" w:type="dxa"/>
            <w:vAlign w:val="bottom"/>
            <w:tcBorders>
              <w:bottom w:val="single" w:sz="8" w:color="231F20"/>
            </w:tcBorders>
          </w:tcPr>
          <w:p>
            <w:pPr>
              <w:jc w:val="right"/>
              <w:ind w:right="284"/>
              <w:spacing w:after="0"/>
              <w:rPr>
                <w:sz w:val="20"/>
                <w:szCs w:val="20"/>
                <w:color w:val="auto"/>
              </w:rPr>
            </w:pPr>
            <w:r>
              <w:rPr>
                <w:rFonts w:ascii="Times New Roman" w:cs="Times New Roman" w:eastAsia="Times New Roman" w:hAnsi="Times New Roman"/>
                <w:sz w:val="18"/>
                <w:szCs w:val="18"/>
                <w:b w:val="1"/>
                <w:bCs w:val="1"/>
                <w:color w:val="231F20"/>
              </w:rPr>
              <w:t>RSUs</w:t>
            </w:r>
          </w:p>
        </w:tc>
        <w:tc>
          <w:tcPr>
            <w:tcW w:w="6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center"/>
              <w:ind w:right="24"/>
              <w:spacing w:after="0"/>
              <w:rPr>
                <w:sz w:val="20"/>
                <w:szCs w:val="20"/>
                <w:color w:val="auto"/>
              </w:rPr>
            </w:pPr>
            <w:r>
              <w:rPr>
                <w:rFonts w:ascii="Times New Roman" w:cs="Times New Roman" w:eastAsia="Times New Roman" w:hAnsi="Times New Roman"/>
                <w:sz w:val="18"/>
                <w:szCs w:val="18"/>
                <w:b w:val="1"/>
                <w:bCs w:val="1"/>
                <w:color w:val="231F20"/>
                <w:w w:val="97"/>
              </w:rPr>
              <w:t>Per RSU</w:t>
            </w:r>
          </w:p>
        </w:tc>
        <w:tc>
          <w:tcPr>
            <w:tcW w:w="60" w:type="dxa"/>
            <w:vAlign w:val="bottom"/>
          </w:tcPr>
          <w:p>
            <w:pPr>
              <w:spacing w:after="0"/>
              <w:rPr>
                <w:sz w:val="20"/>
                <w:szCs w:val="20"/>
                <w:color w:val="auto"/>
              </w:rPr>
            </w:pPr>
          </w:p>
        </w:tc>
        <w:tc>
          <w:tcPr>
            <w:tcW w:w="940" w:type="dxa"/>
            <w:vAlign w:val="bottom"/>
            <w:tcBorders>
              <w:bottom w:val="single" w:sz="8" w:color="231F20"/>
            </w:tcBorders>
          </w:tcPr>
          <w:p>
            <w:pPr>
              <w:jc w:val="right"/>
              <w:ind w:right="128"/>
              <w:spacing w:after="0"/>
              <w:rPr>
                <w:sz w:val="20"/>
                <w:szCs w:val="20"/>
                <w:color w:val="auto"/>
              </w:rPr>
            </w:pPr>
            <w:r>
              <w:rPr>
                <w:rFonts w:ascii="Times New Roman" w:cs="Times New Roman" w:eastAsia="Times New Roman" w:hAnsi="Times New Roman"/>
                <w:sz w:val="18"/>
                <w:szCs w:val="18"/>
                <w:b w:val="1"/>
                <w:bCs w:val="1"/>
                <w:color w:val="231F20"/>
              </w:rPr>
              <w:t>RSUs</w:t>
            </w:r>
          </w:p>
        </w:tc>
        <w:tc>
          <w:tcPr>
            <w:tcW w:w="4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jc w:val="center"/>
              <w:ind w:right="24"/>
              <w:spacing w:after="0"/>
              <w:rPr>
                <w:sz w:val="20"/>
                <w:szCs w:val="20"/>
                <w:color w:val="auto"/>
              </w:rPr>
            </w:pPr>
            <w:r>
              <w:rPr>
                <w:rFonts w:ascii="Times New Roman" w:cs="Times New Roman" w:eastAsia="Times New Roman" w:hAnsi="Times New Roman"/>
                <w:sz w:val="18"/>
                <w:szCs w:val="18"/>
                <w:b w:val="1"/>
                <w:bCs w:val="1"/>
                <w:color w:val="231F20"/>
                <w:w w:val="99"/>
              </w:rPr>
              <w:t>RSU</w:t>
            </w:r>
          </w:p>
        </w:tc>
        <w:tc>
          <w:tcPr>
            <w:tcW w:w="60" w:type="dxa"/>
            <w:vAlign w:val="bottom"/>
          </w:tcPr>
          <w:p>
            <w:pPr>
              <w:spacing w:after="0"/>
              <w:rPr>
                <w:sz w:val="20"/>
                <w:szCs w:val="20"/>
                <w:color w:val="auto"/>
              </w:rPr>
            </w:pPr>
          </w:p>
        </w:tc>
        <w:tc>
          <w:tcPr>
            <w:tcW w:w="940" w:type="dxa"/>
            <w:vAlign w:val="bottom"/>
            <w:tcBorders>
              <w:bottom w:val="single" w:sz="8" w:color="231F20"/>
            </w:tcBorders>
          </w:tcPr>
          <w:p>
            <w:pPr>
              <w:jc w:val="right"/>
              <w:ind w:right="127"/>
              <w:spacing w:after="0"/>
              <w:rPr>
                <w:sz w:val="20"/>
                <w:szCs w:val="20"/>
                <w:color w:val="auto"/>
              </w:rPr>
            </w:pPr>
            <w:r>
              <w:rPr>
                <w:rFonts w:ascii="Times New Roman" w:cs="Times New Roman" w:eastAsia="Times New Roman" w:hAnsi="Times New Roman"/>
                <w:sz w:val="18"/>
                <w:szCs w:val="18"/>
                <w:b w:val="1"/>
                <w:bCs w:val="1"/>
                <w:color w:val="231F20"/>
              </w:rPr>
              <w:t>RSUs</w:t>
            </w:r>
          </w:p>
        </w:tc>
        <w:tc>
          <w:tcPr>
            <w:tcW w:w="40" w:type="dxa"/>
            <w:vAlign w:val="bottom"/>
            <w:tcBorders>
              <w:bottom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jc w:val="center"/>
              <w:ind w:right="24"/>
              <w:spacing w:after="0"/>
              <w:rPr>
                <w:sz w:val="20"/>
                <w:szCs w:val="20"/>
                <w:color w:val="auto"/>
              </w:rPr>
            </w:pPr>
            <w:r>
              <w:rPr>
                <w:rFonts w:ascii="Times New Roman" w:cs="Times New Roman" w:eastAsia="Times New Roman" w:hAnsi="Times New Roman"/>
                <w:sz w:val="18"/>
                <w:szCs w:val="18"/>
                <w:b w:val="1"/>
                <w:bCs w:val="1"/>
                <w:color w:val="231F20"/>
                <w:w w:val="99"/>
              </w:rPr>
              <w:t>RSU</w:t>
            </w:r>
          </w:p>
        </w:tc>
        <w:tc>
          <w:tcPr>
            <w:tcW w:w="0" w:type="dxa"/>
            <w:vAlign w:val="bottom"/>
          </w:tcPr>
          <w:p>
            <w:pPr>
              <w:spacing w:after="0"/>
              <w:rPr>
                <w:sz w:val="1"/>
                <w:szCs w:val="1"/>
                <w:color w:val="auto"/>
              </w:rPr>
            </w:pPr>
          </w:p>
        </w:tc>
      </w:tr>
      <w:tr>
        <w:trPr>
          <w:trHeight w:val="262"/>
        </w:trPr>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Outstanding at year-end 2024 </w:t>
            </w:r>
            <w:r>
              <w:rPr>
                <w:rFonts w:ascii="Times New Roman" w:cs="Times New Roman" w:eastAsia="Times New Roman" w:hAnsi="Times New Roman"/>
                <w:sz w:val="20"/>
                <w:szCs w:val="20"/>
                <w:color w:val="B8BABC"/>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783,527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375,832</w:t>
            </w: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231F20"/>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1,159,359</w:t>
            </w: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231F20"/>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106.92</w:t>
            </w:r>
          </w:p>
        </w:tc>
        <w:tc>
          <w:tcPr>
            <w:tcW w:w="0" w:type="dxa"/>
            <w:vAlign w:val="bottom"/>
          </w:tcPr>
          <w:p>
            <w:pPr>
              <w:spacing w:after="0"/>
              <w:rPr>
                <w:sz w:val="1"/>
                <w:szCs w:val="1"/>
                <w:color w:val="auto"/>
              </w:rPr>
            </w:pPr>
          </w:p>
        </w:tc>
      </w:tr>
      <w:tr>
        <w:trPr>
          <w:trHeight w:val="285"/>
        </w:trPr>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Granted </w:t>
            </w:r>
            <w:r>
              <w:rPr>
                <w:rFonts w:ascii="Times New Roman" w:cs="Times New Roman" w:eastAsia="Times New Roman" w:hAnsi="Times New Roman"/>
                <w:sz w:val="20"/>
                <w:szCs w:val="20"/>
                <w:color w:val="B8BABC"/>
              </w:rPr>
              <w:t>. . . . . . . . . . . . . . . . .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581,375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423,863</w:t>
            </w: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231F20"/>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63.38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1,005,238</w:t>
            </w: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231F20"/>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63.07</w:t>
            </w:r>
          </w:p>
        </w:tc>
        <w:tc>
          <w:tcPr>
            <w:tcW w:w="0" w:type="dxa"/>
            <w:vAlign w:val="bottom"/>
          </w:tcPr>
          <w:p>
            <w:pPr>
              <w:spacing w:after="0"/>
              <w:rPr>
                <w:sz w:val="1"/>
                <w:szCs w:val="1"/>
                <w:color w:val="auto"/>
              </w:rPr>
            </w:pPr>
          </w:p>
        </w:tc>
      </w:tr>
      <w:tr>
        <w:trPr>
          <w:trHeight w:val="285"/>
        </w:trPr>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Distributed </w:t>
            </w:r>
            <w:r>
              <w:rPr>
                <w:rFonts w:ascii="Times New Roman" w:cs="Times New Roman" w:eastAsia="Times New Roman" w:hAnsi="Times New Roman"/>
                <w:sz w:val="20"/>
                <w:szCs w:val="20"/>
                <w:color w:val="B8BABC"/>
              </w:rPr>
              <w:t>. . . . . . . . . . . . . .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(278,406)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111.12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(8,923)</w:t>
            </w: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231F20"/>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152.12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(287,329)</w:t>
            </w: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231F20"/>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112.40</w:t>
            </w:r>
          </w:p>
        </w:tc>
        <w:tc>
          <w:tcPr>
            <w:tcW w:w="0" w:type="dxa"/>
            <w:vAlign w:val="bottom"/>
          </w:tcPr>
          <w:p>
            <w:pPr>
              <w:spacing w:after="0"/>
              <w:rPr>
                <w:sz w:val="1"/>
                <w:szCs w:val="1"/>
                <w:color w:val="auto"/>
              </w:rPr>
            </w:pPr>
          </w:p>
        </w:tc>
      </w:tr>
      <w:tr>
        <w:trPr>
          <w:trHeight w:val="288"/>
        </w:trPr>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Forfeited </w:t>
            </w:r>
            <w:r>
              <w:rPr>
                <w:rFonts w:ascii="Times New Roman" w:cs="Times New Roman" w:eastAsia="Times New Roman" w:hAnsi="Times New Roman"/>
                <w:sz w:val="20"/>
                <w:szCs w:val="20"/>
                <w:color w:val="B8BABC"/>
              </w:rPr>
              <w:t>. . . . . . . . . . . . . . . . .</w:t>
            </w: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(42,199)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79.34</w:t>
            </w:r>
          </w:p>
        </w:tc>
        <w:tc>
          <w:tcPr>
            <w:tcW w:w="60" w:type="dxa"/>
            <w:vAlign w:val="bottom"/>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(191,569)</w:t>
            </w:r>
          </w:p>
        </w:tc>
        <w:tc>
          <w:tcPr>
            <w:tcW w:w="40" w:type="dxa"/>
            <w:vAlign w:val="bottom"/>
            <w:tcBorders>
              <w:bottom w:val="single" w:sz="8" w:color="231F20"/>
            </w:tcBorders>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104.63</w:t>
            </w:r>
          </w:p>
        </w:tc>
        <w:tc>
          <w:tcPr>
            <w:tcW w:w="60" w:type="dxa"/>
            <w:vAlign w:val="bottom"/>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(233,768)</w:t>
            </w:r>
          </w:p>
        </w:tc>
        <w:tc>
          <w:tcPr>
            <w:tcW w:w="40" w:type="dxa"/>
            <w:vAlign w:val="bottom"/>
            <w:tcBorders>
              <w:bottom w:val="single" w:sz="8" w:color="231F20"/>
            </w:tcBorders>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100.07</w:t>
            </w:r>
          </w:p>
        </w:tc>
        <w:tc>
          <w:tcPr>
            <w:tcW w:w="0" w:type="dxa"/>
            <w:vAlign w:val="bottom"/>
          </w:tcPr>
          <w:p>
            <w:pPr>
              <w:spacing w:after="0"/>
              <w:rPr>
                <w:sz w:val="1"/>
                <w:szCs w:val="1"/>
                <w:color w:val="auto"/>
              </w:rPr>
            </w:pPr>
          </w:p>
        </w:tc>
      </w:tr>
      <w:tr>
        <w:trPr>
          <w:trHeight w:val="245"/>
        </w:trPr>
        <w:tc>
          <w:tcPr>
            <w:tcW w:w="2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Outstanding at year-end 2025 </w:t>
            </w:r>
            <w:r>
              <w:rPr>
                <w:rFonts w:ascii="Times New Roman" w:cs="Times New Roman" w:eastAsia="Times New Roman" w:hAnsi="Times New Roman"/>
                <w:sz w:val="20"/>
                <w:szCs w:val="20"/>
                <w:color w:val="B8BABC"/>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1,044,297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79.07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599,203</w:t>
            </w: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231F20"/>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1,643,500</w:t>
            </w:r>
          </w:p>
        </w:tc>
        <w:tc>
          <w:tcPr>
            <w:tcW w:w="2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231F20"/>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80.12</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20"/>
          <w:szCs w:val="20"/>
          <w:color w:val="231F20"/>
        </w:rPr>
        <w:t>The weighted average grant-date fair value per RSU granted in 2024 and 2023 was $86.73 and $143.08, respectively. The fair value of the RSUs which vested in 2025, 2024, and 2023 was $23 million, $22 million, and $36 million, respectively.</w:t>
      </w:r>
    </w:p>
    <w:p>
      <w:pPr>
        <w:sectPr>
          <w:pgSz w:w="11880" w:h="15480" w:orient="portrait"/>
          <w:cols w:equalWidth="0" w:num="1">
            <w:col w:w="9720"/>
          </w:cols>
          <w:pgMar w:left="1080" w:top="83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115</w:t>
      </w:r>
    </w:p>
    <w:p>
      <w:pPr>
        <w:sectPr>
          <w:pgSz w:w="11880" w:h="15480" w:orient="portrait"/>
          <w:cols w:equalWidth="0" w:num="1">
            <w:col w:w="9720"/>
          </w:cols>
          <w:pgMar w:left="1080" w:top="831" w:right="1080" w:bottom="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i w:val="1"/>
          <w:iCs w:val="1"/>
          <w:color w:val="231F20"/>
        </w:rPr>
        <w:t>Stock Appreciation Rights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shows the changes in our outstanding SARs and the associated weighted average exercise prices: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260" w:type="dxa"/>
            <w:vAlign w:val="bottom"/>
          </w:tcPr>
          <w:p>
            <w:pPr>
              <w:spacing w:after="0"/>
              <w:rPr>
                <w:sz w:val="21"/>
                <w:szCs w:val="21"/>
                <w:color w:val="auto"/>
              </w:rPr>
            </w:pPr>
          </w:p>
        </w:tc>
        <w:tc>
          <w:tcPr>
            <w:tcW w:w="1980" w:type="dxa"/>
            <w:vAlign w:val="bottom"/>
            <w:tcBorders>
              <w:bottom w:val="single" w:sz="8" w:color="231F20"/>
            </w:tcBorders>
          </w:tcPr>
          <w:p>
            <w:pPr>
              <w:spacing w:after="0"/>
              <w:rPr>
                <w:sz w:val="21"/>
                <w:szCs w:val="21"/>
                <w:color w:val="auto"/>
              </w:rPr>
            </w:pPr>
          </w:p>
        </w:tc>
        <w:tc>
          <w:tcPr>
            <w:tcW w:w="2400" w:type="dxa"/>
            <w:vAlign w:val="bottom"/>
            <w:tcBorders>
              <w:bottom w:val="single" w:sz="8" w:color="231F20"/>
            </w:tcBorders>
            <w:gridSpan w:val="3"/>
          </w:tcPr>
          <w:p>
            <w:pPr>
              <w:jc w:val="right"/>
              <w:ind w:right="1923"/>
              <w:spacing w:after="0"/>
              <w:rPr>
                <w:sz w:val="20"/>
                <w:szCs w:val="20"/>
                <w:color w:val="auto"/>
              </w:rPr>
            </w:pPr>
            <w:r>
              <w:rPr>
                <w:rFonts w:ascii="Times New Roman" w:cs="Times New Roman" w:eastAsia="Times New Roman" w:hAnsi="Times New Roman"/>
                <w:sz w:val="18"/>
                <w:szCs w:val="18"/>
                <w:b w:val="1"/>
                <w:bCs w:val="1"/>
                <w:color w:val="231F20"/>
                <w:w w:val="99"/>
              </w:rPr>
              <w:t>2025</w:t>
            </w:r>
          </w:p>
        </w:tc>
      </w:tr>
      <w:tr>
        <w:trPr>
          <w:trHeight w:val="176"/>
        </w:trPr>
        <w:tc>
          <w:tcPr>
            <w:tcW w:w="5260" w:type="dxa"/>
            <w:vAlign w:val="bottom"/>
          </w:tcPr>
          <w:p>
            <w:pPr>
              <w:spacing w:after="0"/>
              <w:rPr>
                <w:sz w:val="15"/>
                <w:szCs w:val="15"/>
                <w:color w:val="auto"/>
              </w:rPr>
            </w:pPr>
          </w:p>
        </w:tc>
        <w:tc>
          <w:tcPr>
            <w:tcW w:w="1980" w:type="dxa"/>
            <w:vAlign w:val="bottom"/>
          </w:tcPr>
          <w:p>
            <w:pPr>
              <w:ind w:left="580"/>
              <w:spacing w:after="0" w:line="176" w:lineRule="exact"/>
              <w:rPr>
                <w:sz w:val="20"/>
                <w:szCs w:val="20"/>
                <w:color w:val="auto"/>
              </w:rPr>
            </w:pPr>
            <w:r>
              <w:rPr>
                <w:rFonts w:ascii="Times New Roman" w:cs="Times New Roman" w:eastAsia="Times New Roman" w:hAnsi="Times New Roman"/>
                <w:sz w:val="18"/>
                <w:szCs w:val="18"/>
                <w:b w:val="1"/>
                <w:bCs w:val="1"/>
                <w:color w:val="231F20"/>
              </w:rPr>
              <w:t>Number of</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tcPr>
          <w:p>
            <w:pPr>
              <w:jc w:val="right"/>
              <w:ind w:right="363"/>
              <w:spacing w:after="0" w:line="176" w:lineRule="exact"/>
              <w:rPr>
                <w:sz w:val="20"/>
                <w:szCs w:val="20"/>
                <w:color w:val="auto"/>
              </w:rPr>
            </w:pPr>
            <w:r>
              <w:rPr>
                <w:rFonts w:ascii="Times New Roman" w:cs="Times New Roman" w:eastAsia="Times New Roman" w:hAnsi="Times New Roman"/>
                <w:sz w:val="18"/>
                <w:szCs w:val="18"/>
                <w:b w:val="1"/>
                <w:bCs w:val="1"/>
                <w:color w:val="231F20"/>
              </w:rPr>
              <w:t>Weighted Average</w:t>
            </w:r>
          </w:p>
        </w:tc>
      </w:tr>
      <w:tr>
        <w:trPr>
          <w:trHeight w:val="239"/>
        </w:trPr>
        <w:tc>
          <w:tcPr>
            <w:tcW w:w="5260" w:type="dxa"/>
            <w:vAlign w:val="bottom"/>
          </w:tcPr>
          <w:p>
            <w:pPr>
              <w:spacing w:after="0"/>
              <w:rPr>
                <w:sz w:val="20"/>
                <w:szCs w:val="20"/>
                <w:color w:val="auto"/>
              </w:rPr>
            </w:pPr>
          </w:p>
        </w:tc>
        <w:tc>
          <w:tcPr>
            <w:tcW w:w="1980" w:type="dxa"/>
            <w:vAlign w:val="bottom"/>
            <w:tcBorders>
              <w:bottom w:val="single" w:sz="8" w:color="231F20"/>
            </w:tcBorders>
          </w:tcPr>
          <w:p>
            <w:pPr>
              <w:ind w:left="780"/>
              <w:spacing w:after="0"/>
              <w:rPr>
                <w:sz w:val="20"/>
                <w:szCs w:val="20"/>
                <w:color w:val="auto"/>
              </w:rPr>
            </w:pPr>
            <w:r>
              <w:rPr>
                <w:rFonts w:ascii="Times New Roman" w:cs="Times New Roman" w:eastAsia="Times New Roman" w:hAnsi="Times New Roman"/>
                <w:sz w:val="18"/>
                <w:szCs w:val="18"/>
                <w:b w:val="1"/>
                <w:bCs w:val="1"/>
                <w:color w:val="231F20"/>
              </w:rPr>
              <w:t>SARs</w:t>
            </w: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2120" w:type="dxa"/>
            <w:vAlign w:val="bottom"/>
            <w:tcBorders>
              <w:bottom w:val="single" w:sz="8" w:color="231F20"/>
            </w:tcBorders>
          </w:tcPr>
          <w:p>
            <w:pPr>
              <w:jc w:val="right"/>
              <w:ind w:right="163"/>
              <w:spacing w:after="0"/>
              <w:rPr>
                <w:sz w:val="20"/>
                <w:szCs w:val="20"/>
                <w:color w:val="auto"/>
              </w:rPr>
            </w:pPr>
            <w:r>
              <w:rPr>
                <w:rFonts w:ascii="Times New Roman" w:cs="Times New Roman" w:eastAsia="Times New Roman" w:hAnsi="Times New Roman"/>
                <w:sz w:val="18"/>
                <w:szCs w:val="18"/>
                <w:b w:val="1"/>
                <w:bCs w:val="1"/>
                <w:color w:val="231F20"/>
              </w:rPr>
              <w:t>Exercise Price Per SAR</w:t>
            </w:r>
          </w:p>
        </w:tc>
      </w:tr>
      <w:tr>
        <w:trPr>
          <w:trHeight w:val="262"/>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Outstanding at year-end 2024 </w:t>
            </w:r>
            <w:r>
              <w:rPr>
                <w:rFonts w:ascii="Times New Roman" w:cs="Times New Roman" w:eastAsia="Times New Roman" w:hAnsi="Times New Roman"/>
                <w:sz w:val="20"/>
                <w:szCs w:val="20"/>
                <w:color w:val="B8BABC"/>
              </w:rPr>
              <w:t>. . . . . . . . . . . . . . . . . . . . . . . . . . . .</w:t>
            </w:r>
          </w:p>
        </w:tc>
        <w:tc>
          <w:tcPr>
            <w:tcW w:w="1980" w:type="dxa"/>
            <w:vAlign w:val="bottom"/>
          </w:tcPr>
          <w:p>
            <w:pPr>
              <w:ind w:left="1280"/>
              <w:spacing w:after="0"/>
              <w:rPr>
                <w:sz w:val="20"/>
                <w:szCs w:val="20"/>
                <w:color w:val="auto"/>
              </w:rPr>
            </w:pPr>
            <w:r>
              <w:rPr>
                <w:rFonts w:ascii="Times New Roman" w:cs="Times New Roman" w:eastAsia="Times New Roman" w:hAnsi="Times New Roman"/>
                <w:sz w:val="20"/>
                <w:szCs w:val="20"/>
                <w:color w:val="231F20"/>
              </w:rPr>
              <w:t>758,729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116.59</w:t>
            </w:r>
          </w:p>
        </w:tc>
      </w:tr>
      <w:tr>
        <w:trPr>
          <w:trHeight w:val="285"/>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Granted </w:t>
            </w:r>
            <w:r>
              <w:rPr>
                <w:rFonts w:ascii="Times New Roman" w:cs="Times New Roman" w:eastAsia="Times New Roman" w:hAnsi="Times New Roman"/>
                <w:sz w:val="20"/>
                <w:szCs w:val="20"/>
                <w:color w:val="B8BABC"/>
              </w:rPr>
              <w:t>. . . . . . . . . . . . . . . . . . . . . . . . . . . . . . . . . . . . . . . . . . .</w:t>
            </w:r>
          </w:p>
        </w:tc>
        <w:tc>
          <w:tcPr>
            <w:tcW w:w="1980" w:type="dxa"/>
            <w:vAlign w:val="bottom"/>
          </w:tcPr>
          <w:p>
            <w:pPr>
              <w:ind w:left="1260"/>
              <w:spacing w:after="0"/>
              <w:rPr>
                <w:sz w:val="20"/>
                <w:szCs w:val="20"/>
                <w:color w:val="auto"/>
              </w:rPr>
            </w:pPr>
            <w:r>
              <w:rPr>
                <w:rFonts w:ascii="Times New Roman" w:cs="Times New Roman" w:eastAsia="Times New Roman" w:hAnsi="Times New Roman"/>
                <w:sz w:val="20"/>
                <w:szCs w:val="20"/>
                <w:color w:val="231F20"/>
              </w:rPr>
              <w:t>245,440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61.22</w:t>
            </w:r>
          </w:p>
        </w:tc>
      </w:tr>
      <w:tr>
        <w:trPr>
          <w:trHeight w:val="285"/>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Exercised  </w:t>
            </w:r>
            <w:r>
              <w:rPr>
                <w:rFonts w:ascii="Times New Roman" w:cs="Times New Roman" w:eastAsia="Times New Roman" w:hAnsi="Times New Roman"/>
                <w:sz w:val="20"/>
                <w:szCs w:val="20"/>
                <w:color w:val="B8BABC"/>
              </w:rPr>
              <w:t>. . . . . . . . . . . . . . . . . . . . . . . . . . . . . . . . . . . . . . . . .</w:t>
            </w:r>
          </w:p>
        </w:tc>
        <w:tc>
          <w:tcPr>
            <w:tcW w:w="1980" w:type="dxa"/>
            <w:vAlign w:val="bottom"/>
          </w:tcPr>
          <w:p>
            <w:pPr>
              <w:ind w:left="1280"/>
              <w:spacing w:after="0"/>
              <w:rPr>
                <w:sz w:val="20"/>
                <w:szCs w:val="20"/>
                <w:color w:val="auto"/>
              </w:rPr>
            </w:pPr>
            <w:r>
              <w:rPr>
                <w:rFonts w:ascii="Times New Roman" w:cs="Times New Roman" w:eastAsia="Times New Roman" w:hAnsi="Times New Roman"/>
                <w:sz w:val="20"/>
                <w:szCs w:val="20"/>
                <w:color w:val="231F20"/>
                <w:w w:val="99"/>
              </w:rPr>
              <w:t>(22,511)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69.63</w:t>
            </w:r>
          </w:p>
        </w:tc>
      </w:tr>
      <w:tr>
        <w:trPr>
          <w:trHeight w:val="288"/>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Forfeited or expired </w:t>
            </w:r>
            <w:r>
              <w:rPr>
                <w:rFonts w:ascii="Times New Roman" w:cs="Times New Roman" w:eastAsia="Times New Roman" w:hAnsi="Times New Roman"/>
                <w:sz w:val="20"/>
                <w:szCs w:val="20"/>
                <w:color w:val="B8BABC"/>
              </w:rPr>
              <w:t>. . . . . . . . . . . . . . . . . . . . . . . . . . . . . . . . .</w:t>
            </w:r>
          </w:p>
        </w:tc>
        <w:tc>
          <w:tcPr>
            <w:tcW w:w="1980" w:type="dxa"/>
            <w:vAlign w:val="bottom"/>
            <w:tcBorders>
              <w:bottom w:val="single" w:sz="8" w:color="231F20"/>
            </w:tcBorders>
          </w:tcPr>
          <w:p>
            <w:pPr>
              <w:ind w:left="1280"/>
              <w:spacing w:after="0"/>
              <w:rPr>
                <w:sz w:val="20"/>
                <w:szCs w:val="20"/>
                <w:color w:val="auto"/>
              </w:rPr>
            </w:pPr>
            <w:r>
              <w:rPr>
                <w:rFonts w:ascii="Times New Roman" w:cs="Times New Roman" w:eastAsia="Times New Roman" w:hAnsi="Times New Roman"/>
                <w:sz w:val="20"/>
                <w:szCs w:val="20"/>
                <w:color w:val="231F20"/>
                <w:w w:val="99"/>
              </w:rPr>
              <w:t>(24,089)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82.56</w:t>
            </w:r>
          </w:p>
        </w:tc>
      </w:tr>
      <w:tr>
        <w:trPr>
          <w:trHeight w:val="260"/>
        </w:trPr>
        <w:tc>
          <w:tcPr>
            <w:tcW w:w="52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Outstanding at year-end 2025</w:t>
            </w:r>
            <w:r>
              <w:rPr>
                <w:rFonts w:ascii="Times New Roman" w:cs="Times New Roman" w:eastAsia="Times New Roman" w:hAnsi="Times New Roman"/>
                <w:sz w:val="10"/>
                <w:szCs w:val="10"/>
                <w:color w:val="231F20"/>
                <w:w w:val="99"/>
              </w:rPr>
              <w:t>(1)(2)</w:t>
            </w:r>
            <w:r>
              <w:rPr>
                <w:rFonts w:ascii="Times New Roman" w:cs="Times New Roman" w:eastAsia="Times New Roman" w:hAnsi="Times New Roman"/>
                <w:sz w:val="20"/>
                <w:szCs w:val="20"/>
                <w:color w:val="231F20"/>
                <w:w w:val="99"/>
              </w:rPr>
              <w:t xml:space="preserve">   </w:t>
            </w:r>
            <w:r>
              <w:rPr>
                <w:rFonts w:ascii="Times New Roman" w:cs="Times New Roman" w:eastAsia="Times New Roman" w:hAnsi="Times New Roman"/>
                <w:sz w:val="20"/>
                <w:szCs w:val="20"/>
                <w:color w:val="B8BABC"/>
                <w:w w:val="99"/>
              </w:rPr>
              <w:t>. . . . . . . . . . . . . . . . . . . . . . . . .</w:t>
            </w:r>
          </w:p>
        </w:tc>
        <w:tc>
          <w:tcPr>
            <w:tcW w:w="1980" w:type="dxa"/>
            <w:vAlign w:val="bottom"/>
            <w:tcBorders>
              <w:bottom w:val="single" w:sz="8" w:color="231F20"/>
            </w:tcBorders>
          </w:tcPr>
          <w:p>
            <w:pPr>
              <w:ind w:left="1280"/>
              <w:spacing w:after="0"/>
              <w:rPr>
                <w:sz w:val="20"/>
                <w:szCs w:val="20"/>
                <w:color w:val="auto"/>
              </w:rPr>
            </w:pPr>
            <w:r>
              <w:rPr>
                <w:rFonts w:ascii="Times New Roman" w:cs="Times New Roman" w:eastAsia="Times New Roman" w:hAnsi="Times New Roman"/>
                <w:sz w:val="20"/>
                <w:szCs w:val="20"/>
                <w:color w:val="231F20"/>
              </w:rPr>
              <w:t>957,569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104.36</w:t>
            </w:r>
          </w:p>
        </w:tc>
      </w:tr>
      <w:tr>
        <w:trPr>
          <w:trHeight w:val="20"/>
        </w:trPr>
        <w:tc>
          <w:tcPr>
            <w:tcW w:w="5260" w:type="dxa"/>
            <w:vAlign w:val="bottom"/>
          </w:tcPr>
          <w:p>
            <w:pPr>
              <w:spacing w:after="0" w:line="20" w:lineRule="exact"/>
              <w:rPr>
                <w:sz w:val="1"/>
                <w:szCs w:val="1"/>
                <w:color w:val="auto"/>
              </w:rPr>
            </w:pPr>
          </w:p>
        </w:tc>
        <w:tc>
          <w:tcPr>
            <w:tcW w:w="19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128" w:lineRule="exact"/>
        <w:rPr>
          <w:sz w:val="20"/>
          <w:szCs w:val="20"/>
          <w:color w:val="auto"/>
        </w:rPr>
      </w:pPr>
    </w:p>
    <w:p>
      <w:pPr>
        <w:ind w:left="360" w:right="140" w:hanging="360"/>
        <w:spacing w:after="0" w:line="226" w:lineRule="auto"/>
        <w:tabs>
          <w:tab w:leader="none" w:pos="360" w:val="left"/>
        </w:tabs>
        <w:numPr>
          <w:ilvl w:val="0"/>
          <w:numId w:val="50"/>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As of December 31, 2025, outstanding SARs had an aggregate intrinsic value of $1 million and a weighted average remaining term of 5 years.</w:t>
      </w:r>
    </w:p>
    <w:p>
      <w:pPr>
        <w:spacing w:after="0" w:line="41" w:lineRule="exact"/>
        <w:rPr>
          <w:rFonts w:ascii="Times New Roman" w:cs="Times New Roman" w:eastAsia="Times New Roman" w:hAnsi="Times New Roman"/>
          <w:sz w:val="26"/>
          <w:szCs w:val="26"/>
          <w:color w:val="231F20"/>
          <w:vertAlign w:val="superscript"/>
        </w:rPr>
      </w:pPr>
    </w:p>
    <w:p>
      <w:pPr>
        <w:ind w:left="360" w:right="140" w:hanging="360"/>
        <w:spacing w:after="0" w:line="226" w:lineRule="auto"/>
        <w:tabs>
          <w:tab w:leader="none" w:pos="360" w:val="left"/>
        </w:tabs>
        <w:numPr>
          <w:ilvl w:val="0"/>
          <w:numId w:val="50"/>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As of December 31, 2025, 630,361 SARs with a weighted average exercise price of $118.38 had no intrinsic value, and a weighted average remaining contractual term of 4 years were exercisable</w:t>
      </w:r>
      <w:r>
        <w:rPr>
          <w:rFonts w:ascii="Times New Roman" w:cs="Times New Roman" w:eastAsia="Times New Roman" w:hAnsi="Times New Roman"/>
          <w:sz w:val="20"/>
          <w:szCs w:val="20"/>
          <w:color w:val="7A7B7E"/>
        </w:rPr>
        <w:t>.</w:t>
      </w:r>
    </w:p>
    <w:p>
      <w:pPr>
        <w:spacing w:after="0" w:line="16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20"/>
          <w:szCs w:val="20"/>
          <w:color w:val="231F20"/>
        </w:rPr>
        <w:t>The weighted average grant-date fair value per SAR granted in 2025, 2024, and 2023 was $18.83, $34.58, and $58.50, respectively. The SARs which vested in 2025, 2024, and 2023 did not have any intrinsic value. The aggregate intrinsic value of SARs which were exercised in 2025, 2024, and 2023 was less than $1 million, $1 million, and less than $1 million, respectively.</w:t>
      </w:r>
    </w:p>
    <w:p>
      <w:pPr>
        <w:spacing w:after="0" w:line="14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231F20"/>
        </w:rPr>
        <w:t>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outlines the assumptions used to estimate the fair value of grants in 2025, 2024, and 2023:</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940" w:type="dxa"/>
            <w:vAlign w:val="bottom"/>
          </w:tcPr>
          <w:p>
            <w:pPr>
              <w:spacing w:after="0"/>
              <w:rPr>
                <w:sz w:val="21"/>
                <w:szCs w:val="21"/>
                <w:color w:val="auto"/>
              </w:rPr>
            </w:pPr>
          </w:p>
        </w:tc>
        <w:tc>
          <w:tcPr>
            <w:tcW w:w="1700" w:type="dxa"/>
            <w:vAlign w:val="bottom"/>
            <w:tcBorders>
              <w:bottom w:val="single" w:sz="8" w:color="231F20"/>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1"/>
                <w:szCs w:val="21"/>
                <w:color w:val="auto"/>
              </w:rPr>
            </w:pPr>
          </w:p>
        </w:tc>
        <w:tc>
          <w:tcPr>
            <w:tcW w:w="1440" w:type="dxa"/>
            <w:vAlign w:val="bottom"/>
            <w:tcBorders>
              <w:bottom w:val="single" w:sz="8" w:color="231F20"/>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Pr>
          <w:p>
            <w:pPr>
              <w:spacing w:after="0"/>
              <w:rPr>
                <w:sz w:val="21"/>
                <w:szCs w:val="21"/>
                <w:color w:val="auto"/>
              </w:rPr>
            </w:pPr>
          </w:p>
        </w:tc>
        <w:tc>
          <w:tcPr>
            <w:tcW w:w="1440" w:type="dxa"/>
            <w:vAlign w:val="bottom"/>
            <w:tcBorders>
              <w:bottom w:val="single" w:sz="8" w:color="231F20"/>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62"/>
        </w:trPr>
        <w:tc>
          <w:tcPr>
            <w:tcW w:w="494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 . . . . . . .</w:t>
            </w:r>
            <w:r>
              <w:rPr>
                <w:rFonts w:ascii="Times New Roman" w:cs="Times New Roman" w:eastAsia="Times New Roman" w:hAnsi="Times New Roman"/>
                <w:sz w:val="20"/>
                <w:szCs w:val="20"/>
                <w:color w:val="231F20"/>
              </w:rPr>
              <w:t>Expectedvolatility</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45.79%</w:t>
            </w:r>
          </w:p>
        </w:tc>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- 51.27%</w:t>
            </w:r>
          </w:p>
        </w:tc>
        <w:tc>
          <w:tcPr>
            <w:tcW w:w="150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rPr>
              <w:t>45.78%</w:t>
            </w:r>
          </w:p>
        </w:tc>
        <w:tc>
          <w:tcPr>
            <w:tcW w:w="15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w w:val="97"/>
              </w:rPr>
              <w:t>40.47%</w:t>
            </w:r>
          </w:p>
        </w:tc>
      </w:tr>
      <w:tr>
        <w:trPr>
          <w:trHeight w:val="285"/>
        </w:trPr>
        <w:tc>
          <w:tcPr>
            <w:tcW w:w="4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Dividend yield  </w:t>
            </w:r>
            <w:r>
              <w:rPr>
                <w:rFonts w:ascii="Times New Roman" w:cs="Times New Roman" w:eastAsia="Times New Roman" w:hAnsi="Times New Roman"/>
                <w:sz w:val="20"/>
                <w:szCs w:val="20"/>
                <w:color w:val="B8BABC"/>
              </w:rPr>
              <w:t>.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4.35%</w:t>
            </w:r>
          </w:p>
        </w:tc>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- 6.64%</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3.21%</w:t>
            </w:r>
          </w:p>
        </w:tc>
        <w:tc>
          <w:tcPr>
            <w:tcW w:w="15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rPr>
              <w:t>1.87%</w:t>
            </w:r>
          </w:p>
        </w:tc>
      </w:tr>
      <w:tr>
        <w:trPr>
          <w:trHeight w:val="285"/>
        </w:trPr>
        <w:tc>
          <w:tcPr>
            <w:tcW w:w="4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Risk-free rate  </w:t>
            </w:r>
            <w:r>
              <w:rPr>
                <w:rFonts w:ascii="Times New Roman" w:cs="Times New Roman" w:eastAsia="Times New Roman" w:hAnsi="Times New Roman"/>
                <w:sz w:val="20"/>
                <w:szCs w:val="20"/>
                <w:color w:val="B8BABC"/>
              </w:rPr>
              <w:t>. . . . . . . . . . . . . . . . . . . . . . . . . . . . . . . . . . . . .</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3.81%</w:t>
            </w:r>
          </w:p>
        </w:tc>
        <w:tc>
          <w:tcPr>
            <w:tcW w:w="92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- 4.03%</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4.23%</w:t>
            </w:r>
          </w:p>
        </w:tc>
        <w:tc>
          <w:tcPr>
            <w:tcW w:w="152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231F20"/>
              </w:rPr>
              <w:t>4.07%</w:t>
            </w:r>
          </w:p>
        </w:tc>
      </w:tr>
      <w:tr>
        <w:trPr>
          <w:trHeight w:val="285"/>
        </w:trPr>
        <w:tc>
          <w:tcPr>
            <w:tcW w:w="49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Expected term (in years) </w:t>
            </w:r>
            <w:r>
              <w:rPr>
                <w:rFonts w:ascii="Times New Roman" w:cs="Times New Roman" w:eastAsia="Times New Roman" w:hAnsi="Times New Roman"/>
                <w:sz w:val="20"/>
                <w:szCs w:val="20"/>
                <w:color w:val="B8BABC"/>
                <w:w w:val="99"/>
              </w:rPr>
              <w:t>. . . . . . . . . . . . . . . . . . . . . . . . . . . . .</w:t>
            </w: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231F20"/>
              </w:rPr>
              <w:t>3.5 - 6.25</w:t>
            </w:r>
          </w:p>
        </w:tc>
        <w:tc>
          <w:tcPr>
            <w:tcW w:w="1500" w:type="dxa"/>
            <w:vAlign w:val="bottom"/>
            <w:gridSpan w:val="2"/>
          </w:tcPr>
          <w:p>
            <w:pPr>
              <w:jc w:val="right"/>
              <w:ind w:right="450"/>
              <w:spacing w:after="0"/>
              <w:rPr>
                <w:sz w:val="20"/>
                <w:szCs w:val="20"/>
                <w:color w:val="auto"/>
              </w:rPr>
            </w:pPr>
            <w:r>
              <w:rPr>
                <w:rFonts w:ascii="Times New Roman" w:cs="Times New Roman" w:eastAsia="Times New Roman" w:hAnsi="Times New Roman"/>
                <w:sz w:val="20"/>
                <w:szCs w:val="20"/>
                <w:color w:val="231F20"/>
              </w:rPr>
              <w:t>6.25</w:t>
            </w:r>
          </w:p>
        </w:tc>
        <w:tc>
          <w:tcPr>
            <w:tcW w:w="1520" w:type="dxa"/>
            <w:vAlign w:val="bottom"/>
            <w:gridSpan w:val="2"/>
          </w:tcPr>
          <w:p>
            <w:pPr>
              <w:jc w:val="right"/>
              <w:ind w:right="450"/>
              <w:spacing w:after="0"/>
              <w:rPr>
                <w:sz w:val="20"/>
                <w:szCs w:val="20"/>
                <w:color w:val="auto"/>
              </w:rPr>
            </w:pPr>
            <w:r>
              <w:rPr>
                <w:rFonts w:ascii="Times New Roman" w:cs="Times New Roman" w:eastAsia="Times New Roman" w:hAnsi="Times New Roman"/>
                <w:sz w:val="20"/>
                <w:szCs w:val="20"/>
                <w:color w:val="231F20"/>
              </w:rPr>
              <w:t>6.25</w:t>
            </w: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18. VARIABLE INTEREST ENTITIES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Variable Interest Entities Related to Our Vacation Ownership Notes Receivable Securitizations</w:t>
      </w:r>
    </w:p>
    <w:p>
      <w:pPr>
        <w:spacing w:after="0" w:line="13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231F20"/>
        </w:rPr>
        <w:t>We periodically securitize, without recourse, through bankruptcy remote special purpose entities, notes receivable originated in connection with the sale of vacation ownership products. These vacation ownership notes receivable securitizations provide funding for general corporate purposes. In a vacation ownership notes receivable securitization, several classes of debt securities issued by a special purpose entity are generally collateralized by a single pool of transferred assets, which consist of vacation ownership notes receivable. With each vacation ownership notes receivable securitization, we may retain all or a portion of the securities that are issued, and certain residual interests.</w:t>
      </w:r>
    </w:p>
    <w:p>
      <w:pPr>
        <w:spacing w:after="0" w:line="8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231F20"/>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ectPr>
          <w:pgSz w:w="11880" w:h="15480" w:orient="portrait"/>
          <w:cols w:equalWidth="0" w:num="1">
            <w:col w:w="9720"/>
          </w:cols>
          <w:pgMar w:left="1080" w:top="82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116</w:t>
      </w:r>
    </w:p>
    <w:p>
      <w:pPr>
        <w:sectPr>
          <w:pgSz w:w="11880" w:h="15480" w:orient="portrait"/>
          <w:cols w:equalWidth="0" w:num="1">
            <w:col w:w="9720"/>
          </w:cols>
          <w:pgMar w:left="1080" w:top="829" w:right="1080" w:bottom="0" w:gutter="0" w:footer="0" w:header="0"/>
          <w:type w:val="continuous"/>
        </w:sectPr>
      </w:pPr>
    </w:p>
    <w:bookmarkStart w:id="120" w:name="page121"/>
    <w:bookmarkEnd w:id="120"/>
    <w:p>
      <w:pPr>
        <w:ind w:right="20"/>
        <w:spacing w:after="0" w:line="266" w:lineRule="auto"/>
        <w:rPr>
          <w:sz w:val="20"/>
          <w:szCs w:val="20"/>
          <w:color w:val="auto"/>
        </w:rPr>
      </w:pPr>
      <w:r>
        <w:rPr>
          <w:rFonts w:ascii="Times New Roman" w:cs="Times New Roman" w:eastAsia="Times New Roman" w:hAnsi="Times New Roman"/>
          <w:sz w:val="20"/>
          <w:szCs w:val="20"/>
          <w:color w:val="231F20"/>
        </w:rPr>
        <w:t>The following table shows consolidated assets, which are collateral for the obligations of the VIEs related to our vacation ownership notes receivable securitizations, and consolidated liabilities included on our Balance Sheet at December 31, 2025:</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Consolidated Assets</w:t>
      </w:r>
    </w:p>
    <w:p>
      <w:pPr>
        <w:spacing w:after="0" w:line="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 xml:space="preserve">Vacation ownership notes receivable, net of reserves </w:t>
      </w:r>
      <w:r>
        <w:rPr>
          <w:rFonts w:ascii="Times New Roman" w:cs="Times New Roman" w:eastAsia="Times New Roman" w:hAnsi="Times New Roman"/>
          <w:sz w:val="20"/>
          <w:szCs w:val="20"/>
          <w:color w:val="B8BABC"/>
        </w:rPr>
        <w:t>. .</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 xml:space="preserve">Interest receivable </w:t>
      </w:r>
      <w:r>
        <w:rPr>
          <w:rFonts w:ascii="Times New Roman" w:cs="Times New Roman" w:eastAsia="Times New Roman" w:hAnsi="Times New Roman"/>
          <w:sz w:val="20"/>
          <w:szCs w:val="20"/>
          <w:color w:val="B8BABC"/>
        </w:rPr>
        <w:t>. . . . . . . . . . . . . . . . . . . . . . . . . . . . .</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 xml:space="preserve">Restricted cash </w:t>
      </w:r>
      <w:r>
        <w:rPr>
          <w:rFonts w:ascii="Times New Roman" w:cs="Times New Roman" w:eastAsia="Times New Roman" w:hAnsi="Times New Roman"/>
          <w:sz w:val="20"/>
          <w:szCs w:val="20"/>
          <w:color w:val="B8BABC"/>
        </w:rPr>
        <w:t>. . . . . . . . . . . . . . . . . . . . . . . . . . . . . . . .</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231F20"/>
        </w:rPr>
        <w:t xml:space="preserve">Total </w:t>
      </w:r>
      <w:r>
        <w:rPr>
          <w:rFonts w:ascii="Times New Roman" w:cs="Times New Roman" w:eastAsia="Times New Roman" w:hAnsi="Times New Roman"/>
          <w:sz w:val="20"/>
          <w:szCs w:val="20"/>
          <w:color w:val="B8BABC"/>
        </w:rPr>
        <w:t>. . . . . . . . . . . . . . . . . . . . . . . . . . . . . . . . . . . . . .</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Consolidated Liabilities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231F20"/>
              </w:rPr>
              <w:t>Vacation Ownership</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231F20"/>
              </w:rPr>
              <w:t>Warehouse</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154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8"/>
                <w:szCs w:val="18"/>
                <w:b w:val="1"/>
                <w:bCs w:val="1"/>
                <w:color w:val="231F20"/>
              </w:rPr>
              <w:t>Notes Receivable</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ind w:right="442"/>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239"/>
        </w:trPr>
        <w:tc>
          <w:tcPr>
            <w:tcW w:w="180" w:type="dxa"/>
            <w:vAlign w:val="bottom"/>
            <w:tcBorders>
              <w:bottom w:val="single" w:sz="8" w:color="231F20"/>
            </w:tcBorders>
          </w:tcPr>
          <w:p>
            <w:pPr>
              <w:spacing w:after="0"/>
              <w:rPr>
                <w:sz w:val="20"/>
                <w:szCs w:val="20"/>
                <w:color w:val="auto"/>
              </w:rPr>
            </w:pPr>
          </w:p>
        </w:tc>
        <w:tc>
          <w:tcPr>
            <w:tcW w:w="1540" w:type="dxa"/>
            <w:vAlign w:val="bottom"/>
            <w:tcBorders>
              <w:bottom w:val="single" w:sz="8" w:color="231F20"/>
            </w:tcBorders>
          </w:tcPr>
          <w:p>
            <w:pPr>
              <w:jc w:val="right"/>
              <w:ind w:right="183"/>
              <w:spacing w:after="0"/>
              <w:rPr>
                <w:sz w:val="20"/>
                <w:szCs w:val="20"/>
                <w:color w:val="auto"/>
              </w:rPr>
            </w:pPr>
            <w:r>
              <w:rPr>
                <w:rFonts w:ascii="Times New Roman" w:cs="Times New Roman" w:eastAsia="Times New Roman" w:hAnsi="Times New Roman"/>
                <w:sz w:val="18"/>
                <w:szCs w:val="18"/>
                <w:b w:val="1"/>
                <w:bCs w:val="1"/>
                <w:color w:val="231F20"/>
              </w:rPr>
              <w:t>Securitizations</w:t>
            </w:r>
          </w:p>
        </w:tc>
        <w:tc>
          <w:tcPr>
            <w:tcW w:w="80" w:type="dxa"/>
            <w:vAlign w:val="bottom"/>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40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Credit Facility</w:t>
            </w:r>
          </w:p>
        </w:tc>
        <w:tc>
          <w:tcPr>
            <w:tcW w:w="80" w:type="dxa"/>
            <w:vAlign w:val="bottom"/>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116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180" w:type="dxa"/>
            <w:vAlign w:val="bottom"/>
          </w:tcPr>
          <w:p>
            <w:pPr>
              <w:ind w:left="60"/>
              <w:spacing w:after="0"/>
              <w:rPr>
                <w:sz w:val="20"/>
                <w:szCs w:val="20"/>
                <w:color w:val="auto"/>
              </w:rPr>
            </w:pPr>
            <w:r>
              <w:rPr>
                <w:rFonts w:ascii="Times New Roman" w:cs="Times New Roman" w:eastAsia="Times New Roman" w:hAnsi="Times New Roman"/>
                <w:sz w:val="20"/>
                <w:szCs w:val="20"/>
                <w:color w:val="231F20"/>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00" w:type="dxa"/>
            <w:vAlign w:val="bottom"/>
          </w:tcPr>
          <w:p>
            <w:pPr>
              <w:ind w:left="1120"/>
              <w:spacing w:after="0"/>
              <w:rPr>
                <w:sz w:val="20"/>
                <w:szCs w:val="20"/>
                <w:color w:val="auto"/>
              </w:rPr>
            </w:pPr>
            <w:r>
              <w:rPr>
                <w:rFonts w:ascii="Times New Roman" w:cs="Times New Roman" w:eastAsia="Times New Roman" w:hAnsi="Times New Roman"/>
                <w:sz w:val="20"/>
                <w:szCs w:val="20"/>
                <w:color w:val="231F20"/>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1,900</w:t>
            </w:r>
          </w:p>
        </w:tc>
        <w:tc>
          <w:tcPr>
            <w:tcW w:w="0" w:type="dxa"/>
            <w:vAlign w:val="bottom"/>
          </w:tcPr>
          <w:p>
            <w:pPr>
              <w:spacing w:after="0"/>
              <w:rPr>
                <w:sz w:val="1"/>
                <w:szCs w:val="1"/>
                <w:color w:val="auto"/>
              </w:rPr>
            </w:pPr>
          </w:p>
        </w:tc>
      </w:tr>
      <w:tr>
        <w:trPr>
          <w:trHeight w:val="285"/>
        </w:trPr>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ind w:left="112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w:t>
            </w:r>
          </w:p>
        </w:tc>
        <w:tc>
          <w:tcPr>
            <w:tcW w:w="0" w:type="dxa"/>
            <w:vAlign w:val="bottom"/>
          </w:tcPr>
          <w:p>
            <w:pPr>
              <w:spacing w:after="0"/>
              <w:rPr>
                <w:sz w:val="1"/>
                <w:szCs w:val="1"/>
                <w:color w:val="auto"/>
              </w:rPr>
            </w:pPr>
          </w:p>
        </w:tc>
      </w:tr>
      <w:tr>
        <w:trPr>
          <w:trHeight w:val="288"/>
        </w:trPr>
        <w:tc>
          <w:tcPr>
            <w:tcW w:w="180" w:type="dxa"/>
            <w:vAlign w:val="bottom"/>
            <w:tcBorders>
              <w:bottom w:val="single" w:sz="8" w:color="231F20"/>
            </w:tcBorders>
          </w:tcPr>
          <w:p>
            <w:pPr>
              <w:spacing w:after="0"/>
              <w:rPr>
                <w:sz w:val="24"/>
                <w:szCs w:val="24"/>
                <w:color w:val="auto"/>
              </w:rPr>
            </w:pPr>
          </w:p>
        </w:tc>
        <w:tc>
          <w:tcPr>
            <w:tcW w:w="1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81</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400" w:type="dxa"/>
            <w:vAlign w:val="bottom"/>
            <w:tcBorders>
              <w:bottom w:val="single" w:sz="8" w:color="231F20"/>
            </w:tcBorders>
          </w:tcPr>
          <w:p>
            <w:pPr>
              <w:ind w:left="112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81</w:t>
            </w:r>
          </w:p>
        </w:tc>
        <w:tc>
          <w:tcPr>
            <w:tcW w:w="0" w:type="dxa"/>
            <w:vAlign w:val="bottom"/>
          </w:tcPr>
          <w:p>
            <w:pPr>
              <w:spacing w:after="0"/>
              <w:rPr>
                <w:sz w:val="1"/>
                <w:szCs w:val="1"/>
                <w:color w:val="auto"/>
              </w:rPr>
            </w:pPr>
          </w:p>
        </w:tc>
      </w:tr>
      <w:tr>
        <w:trPr>
          <w:trHeight w:val="245"/>
        </w:trPr>
        <w:tc>
          <w:tcPr>
            <w:tcW w:w="180" w:type="dxa"/>
            <w:vAlign w:val="bottom"/>
          </w:tcPr>
          <w:p>
            <w:pPr>
              <w:ind w:left="60"/>
              <w:spacing w:after="0"/>
              <w:rPr>
                <w:sz w:val="20"/>
                <w:szCs w:val="20"/>
                <w:color w:val="auto"/>
              </w:rPr>
            </w:pPr>
            <w:r>
              <w:rPr>
                <w:rFonts w:ascii="Times New Roman" w:cs="Times New Roman" w:eastAsia="Times New Roman" w:hAnsi="Times New Roman"/>
                <w:sz w:val="20"/>
                <w:szCs w:val="20"/>
                <w:color w:val="231F20"/>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1,996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400" w:type="dxa"/>
            <w:vAlign w:val="bottom"/>
          </w:tcPr>
          <w:p>
            <w:pPr>
              <w:ind w:left="1120"/>
              <w:spacing w:after="0"/>
              <w:rPr>
                <w:sz w:val="20"/>
                <w:szCs w:val="20"/>
                <w:color w:val="auto"/>
              </w:rPr>
            </w:pPr>
            <w:r>
              <w:rPr>
                <w:rFonts w:ascii="Times New Roman" w:cs="Times New Roman" w:eastAsia="Times New Roman" w:hAnsi="Times New Roman"/>
                <w:sz w:val="20"/>
                <w:szCs w:val="20"/>
                <w:color w:val="231F20"/>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1,996</w:t>
            </w:r>
          </w:p>
        </w:tc>
        <w:tc>
          <w:tcPr>
            <w:tcW w:w="0" w:type="dxa"/>
            <w:vAlign w:val="bottom"/>
          </w:tcPr>
          <w:p>
            <w:pPr>
              <w:spacing w:after="0"/>
              <w:rPr>
                <w:sz w:val="1"/>
                <w:szCs w:val="1"/>
                <w:color w:val="auto"/>
              </w:rPr>
            </w:pPr>
          </w:p>
        </w:tc>
      </w:tr>
      <w:tr>
        <w:trPr>
          <w:trHeight w:val="20"/>
        </w:trPr>
        <w:tc>
          <w:tcPr>
            <w:tcW w:w="180" w:type="dxa"/>
            <w:vAlign w:val="bottom"/>
            <w:tcBorders>
              <w:top w:val="single" w:sz="8" w:color="231F20"/>
              <w:bottom w:val="single" w:sz="8" w:color="231F20"/>
            </w:tcBorders>
          </w:tcPr>
          <w:p>
            <w:pPr>
              <w:spacing w:after="0" w:line="20" w:lineRule="exact"/>
              <w:rPr>
                <w:sz w:val="1"/>
                <w:szCs w:val="1"/>
                <w:color w:val="auto"/>
              </w:rPr>
            </w:pPr>
          </w:p>
        </w:tc>
        <w:tc>
          <w:tcPr>
            <w:tcW w:w="15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4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ectPr>
          <w:pgSz w:w="11880" w:h="15480" w:orient="portrait"/>
          <w:cols w:equalWidth="0" w:num="2">
            <w:col w:w="4600" w:space="140"/>
            <w:col w:w="4980"/>
          </w:cols>
          <w:pgMar w:left="1080" w:top="838" w:right="1080" w:bottom="0" w:gutter="0" w:footer="0" w:header="0"/>
          <w:type w:val="continuous"/>
        </w:sectPr>
      </w:pPr>
    </w:p>
    <w:tbl>
      <w:tblPr>
        <w:tblLayout w:type="fixed"/>
        <w:tblInd w:w="160" w:type="dxa"/>
        <w:tblCellMar>
          <w:top w:w="0" w:type="dxa"/>
          <w:left w:w="0" w:type="dxa"/>
          <w:bottom w:w="0" w:type="dxa"/>
          <w:right w:w="0" w:type="dxa"/>
        </w:tblCellMar>
      </w:tblPr>
      <w:tr>
        <w:trPr>
          <w:trHeight w:val="281"/>
        </w:trPr>
        <w:tc>
          <w:tcPr>
            <w:tcW w:w="45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Interest payable </w:t>
            </w:r>
            <w:r>
              <w:rPr>
                <w:rFonts w:ascii="Times New Roman" w:cs="Times New Roman" w:eastAsia="Times New Roman" w:hAnsi="Times New Roman"/>
                <w:sz w:val="20"/>
                <w:szCs w:val="20"/>
                <w:color w:val="B8BABC"/>
              </w:rPr>
              <w:t>. . . . . . . . . . . . . . . . . . . . . . . . . . . . . . .</w:t>
            </w:r>
          </w:p>
        </w:tc>
        <w:tc>
          <w:tcPr>
            <w:tcW w:w="6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82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r>
      <w:tr>
        <w:trPr>
          <w:trHeight w:val="288"/>
        </w:trPr>
        <w:tc>
          <w:tcPr>
            <w:tcW w:w="45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 xml:space="preserve">Securitized debt </w:t>
            </w:r>
            <w:r>
              <w:rPr>
                <w:rFonts w:ascii="Times New Roman" w:cs="Times New Roman" w:eastAsia="Times New Roman" w:hAnsi="Times New Roman"/>
                <w:sz w:val="20"/>
                <w:szCs w:val="20"/>
                <w:color w:val="B8BABC"/>
              </w:rPr>
              <w:t>. . . . . . . . . . . . . . . . . . . . . . . . . . . . . . .</w:t>
            </w:r>
          </w:p>
        </w:tc>
        <w:tc>
          <w:tcPr>
            <w:tcW w:w="68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2,173</w:t>
            </w:r>
          </w:p>
        </w:tc>
        <w:tc>
          <w:tcPr>
            <w:tcW w:w="80" w:type="dxa"/>
            <w:vAlign w:val="bottom"/>
          </w:tcPr>
          <w:p>
            <w:pPr>
              <w:spacing w:after="0"/>
              <w:rPr>
                <w:sz w:val="24"/>
                <w:szCs w:val="24"/>
                <w:color w:val="auto"/>
              </w:rPr>
            </w:pPr>
          </w:p>
        </w:tc>
        <w:tc>
          <w:tcPr>
            <w:tcW w:w="74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ind w:left="58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56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2,173</w:t>
            </w:r>
          </w:p>
        </w:tc>
      </w:tr>
      <w:tr>
        <w:trPr>
          <w:trHeight w:val="245"/>
        </w:trPr>
        <w:tc>
          <w:tcPr>
            <w:tcW w:w="45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B8BABC"/>
              </w:rPr>
              <w:t>. . . . . . . . . . . . . . . . . . . . . . . . . . . . . . . . . . . . . .</w:t>
            </w:r>
            <w:r>
              <w:rPr>
                <w:rFonts w:ascii="Times New Roman" w:cs="Times New Roman" w:eastAsia="Times New Roman" w:hAnsi="Times New Roman"/>
                <w:sz w:val="20"/>
                <w:szCs w:val="20"/>
                <w:color w:val="231F20"/>
              </w:rPr>
              <w:t>Total</w:t>
            </w:r>
          </w:p>
        </w:tc>
        <w:tc>
          <w:tcPr>
            <w:tcW w:w="68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2,177</w:t>
            </w:r>
          </w:p>
        </w:tc>
        <w:tc>
          <w:tcPr>
            <w:tcW w:w="82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20"/>
                <w:szCs w:val="20"/>
                <w:color w:val="231F20"/>
              </w:rPr>
              <w:t>—</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2,177</w:t>
            </w:r>
          </w:p>
        </w:tc>
      </w:tr>
      <w:tr>
        <w:trPr>
          <w:trHeight w:val="20"/>
        </w:trPr>
        <w:tc>
          <w:tcPr>
            <w:tcW w:w="4580" w:type="dxa"/>
            <w:vAlign w:val="bottom"/>
          </w:tcPr>
          <w:p>
            <w:pPr>
              <w:spacing w:after="0" w:line="20" w:lineRule="exact"/>
              <w:rPr>
                <w:sz w:val="1"/>
                <w:szCs w:val="1"/>
                <w:color w:val="auto"/>
              </w:rPr>
            </w:pPr>
          </w:p>
        </w:tc>
        <w:tc>
          <w:tcPr>
            <w:tcW w:w="68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r>
    </w:tbl>
    <w:p>
      <w:pPr>
        <w:spacing w:after="0" w:line="248"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20"/>
          <w:szCs w:val="20"/>
          <w:color w:val="231F20"/>
        </w:rPr>
        <w:t>The following table shows the interest income and expense recognized as a result of our involvement with these VIEs during 2025:</w:t>
      </w:r>
    </w:p>
    <w:p>
      <w:pPr>
        <w:spacing w:after="0" w:line="4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65"/>
              <w:spacing w:after="0"/>
              <w:rPr>
                <w:sz w:val="20"/>
                <w:szCs w:val="20"/>
                <w:color w:val="auto"/>
              </w:rPr>
            </w:pPr>
            <w:r>
              <w:rPr>
                <w:rFonts w:ascii="Times New Roman" w:cs="Times New Roman" w:eastAsia="Times New Roman" w:hAnsi="Times New Roman"/>
                <w:sz w:val="18"/>
                <w:szCs w:val="18"/>
                <w:b w:val="1"/>
                <w:bCs w:val="1"/>
                <w:color w:val="231F20"/>
              </w:rPr>
              <w:t>Vacation</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vMerge w:val="restart"/>
          </w:tcPr>
          <w:p>
            <w:pPr>
              <w:jc w:val="center"/>
              <w:ind w:right="184"/>
              <w:spacing w:after="0"/>
              <w:rPr>
                <w:sz w:val="20"/>
                <w:szCs w:val="20"/>
                <w:color w:val="auto"/>
              </w:rPr>
            </w:pPr>
            <w:r>
              <w:rPr>
                <w:rFonts w:ascii="Times New Roman" w:cs="Times New Roman" w:eastAsia="Times New Roman" w:hAnsi="Times New Roman"/>
                <w:sz w:val="18"/>
                <w:szCs w:val="18"/>
                <w:b w:val="1"/>
                <w:bCs w:val="1"/>
                <w:color w:val="231F20"/>
                <w:w w:val="98"/>
              </w:rPr>
              <w:t>Warehouse</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65"/>
              <w:spacing w:after="0" w:line="180" w:lineRule="exact"/>
              <w:rPr>
                <w:sz w:val="20"/>
                <w:szCs w:val="20"/>
                <w:color w:val="auto"/>
              </w:rPr>
            </w:pPr>
            <w:r>
              <w:rPr>
                <w:rFonts w:ascii="Times New Roman" w:cs="Times New Roman" w:eastAsia="Times New Roman" w:hAnsi="Times New Roman"/>
                <w:sz w:val="18"/>
                <w:szCs w:val="18"/>
                <w:b w:val="1"/>
                <w:bCs w:val="1"/>
                <w:color w:val="231F20"/>
              </w:rPr>
              <w:t>Ownership</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65"/>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Notes Receivable</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184"/>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Credit</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vMerge w:val="restart"/>
          </w:tcPr>
          <w:p>
            <w:pPr>
              <w:jc w:val="right"/>
              <w:ind w:right="502"/>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239"/>
        </w:trPr>
        <w:tc>
          <w:tcPr>
            <w:tcW w:w="4720" w:type="dxa"/>
            <w:vAlign w:val="bottom"/>
          </w:tcPr>
          <w:p>
            <w:pPr>
              <w:jc w:val="right"/>
              <w:ind w:right="3704"/>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160" w:type="dxa"/>
            <w:vAlign w:val="bottom"/>
            <w:tcBorders>
              <w:bottom w:val="single" w:sz="8" w:color="231F20"/>
            </w:tcBorders>
          </w:tcPr>
          <w:p>
            <w:pPr>
              <w:spacing w:after="0"/>
              <w:rPr>
                <w:sz w:val="20"/>
                <w:szCs w:val="20"/>
                <w:color w:val="auto"/>
              </w:rPr>
            </w:pPr>
          </w:p>
        </w:tc>
        <w:tc>
          <w:tcPr>
            <w:tcW w:w="1460" w:type="dxa"/>
            <w:vAlign w:val="bottom"/>
            <w:tcBorders>
              <w:bottom w:val="single" w:sz="8" w:color="231F20"/>
            </w:tcBorders>
          </w:tcPr>
          <w:p>
            <w:pPr>
              <w:jc w:val="center"/>
              <w:ind w:right="65"/>
              <w:spacing w:after="0"/>
              <w:rPr>
                <w:sz w:val="20"/>
                <w:szCs w:val="20"/>
                <w:color w:val="auto"/>
              </w:rPr>
            </w:pPr>
            <w:r>
              <w:rPr>
                <w:rFonts w:ascii="Times New Roman" w:cs="Times New Roman" w:eastAsia="Times New Roman" w:hAnsi="Times New Roman"/>
                <w:sz w:val="18"/>
                <w:szCs w:val="18"/>
                <w:b w:val="1"/>
                <w:bCs w:val="1"/>
                <w:color w:val="231F20"/>
                <w:w w:val="99"/>
              </w:rPr>
              <w:t>Securitizations</w:t>
            </w:r>
          </w:p>
        </w:tc>
        <w:tc>
          <w:tcPr>
            <w:tcW w:w="60" w:type="dxa"/>
            <w:vAlign w:val="bottom"/>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340" w:type="dxa"/>
            <w:vAlign w:val="bottom"/>
            <w:tcBorders>
              <w:bottom w:val="single" w:sz="8" w:color="231F20"/>
            </w:tcBorders>
          </w:tcPr>
          <w:p>
            <w:pPr>
              <w:jc w:val="center"/>
              <w:ind w:right="184"/>
              <w:spacing w:after="0"/>
              <w:rPr>
                <w:sz w:val="20"/>
                <w:szCs w:val="20"/>
                <w:color w:val="auto"/>
              </w:rPr>
            </w:pPr>
            <w:r>
              <w:rPr>
                <w:rFonts w:ascii="Times New Roman" w:cs="Times New Roman" w:eastAsia="Times New Roman" w:hAnsi="Times New Roman"/>
                <w:sz w:val="18"/>
                <w:szCs w:val="18"/>
                <w:b w:val="1"/>
                <w:bCs w:val="1"/>
                <w:color w:val="231F20"/>
                <w:w w:val="99"/>
              </w:rPr>
              <w:t>Facility</w:t>
            </w:r>
          </w:p>
        </w:tc>
        <w:tc>
          <w:tcPr>
            <w:tcW w:w="60" w:type="dxa"/>
            <w:vAlign w:val="bottom"/>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72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B8BABC"/>
              </w:rPr>
              <w:t>. . . . . . . . . . . . . . . . . . . . . . . . . . . . . . . . .</w:t>
            </w:r>
            <w:r>
              <w:rPr>
                <w:rFonts w:ascii="Times New Roman" w:cs="Times New Roman" w:eastAsia="Times New Roman" w:hAnsi="Times New Roman"/>
                <w:sz w:val="20"/>
                <w:szCs w:val="20"/>
                <w:color w:val="231F20"/>
              </w:rPr>
              <w:t>Interestincome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267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293</w:t>
            </w:r>
          </w:p>
        </w:tc>
        <w:tc>
          <w:tcPr>
            <w:tcW w:w="0" w:type="dxa"/>
            <w:vAlign w:val="bottom"/>
          </w:tcPr>
          <w:p>
            <w:pPr>
              <w:spacing w:after="0"/>
              <w:rPr>
                <w:sz w:val="1"/>
                <w:szCs w:val="1"/>
                <w:color w:val="auto"/>
              </w:rPr>
            </w:pPr>
          </w:p>
        </w:tc>
      </w:tr>
      <w:tr>
        <w:trPr>
          <w:trHeight w:val="285"/>
        </w:trPr>
        <w:tc>
          <w:tcPr>
            <w:tcW w:w="472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w w:val="99"/>
              </w:rPr>
              <w:t xml:space="preserve">Interest expense </w:t>
            </w:r>
            <w:r>
              <w:rPr>
                <w:rFonts w:ascii="Times New Roman" w:cs="Times New Roman" w:eastAsia="Times New Roman" w:hAnsi="Times New Roman"/>
                <w:sz w:val="20"/>
                <w:szCs w:val="20"/>
                <w:color w:val="B8BABC"/>
                <w:w w:val="99"/>
              </w:rPr>
              <w:t>.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95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107</w:t>
            </w:r>
          </w:p>
        </w:tc>
        <w:tc>
          <w:tcPr>
            <w:tcW w:w="0" w:type="dxa"/>
            <w:vAlign w:val="bottom"/>
          </w:tcPr>
          <w:p>
            <w:pPr>
              <w:spacing w:after="0"/>
              <w:rPr>
                <w:sz w:val="1"/>
                <w:szCs w:val="1"/>
                <w:color w:val="auto"/>
              </w:rPr>
            </w:pPr>
          </w:p>
        </w:tc>
      </w:tr>
      <w:tr>
        <w:trPr>
          <w:trHeight w:val="285"/>
        </w:trPr>
        <w:tc>
          <w:tcPr>
            <w:tcW w:w="472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 xml:space="preserve">Debt issuance cost amortization </w:t>
            </w:r>
            <w:r>
              <w:rPr>
                <w:rFonts w:ascii="Times New Roman" w:cs="Times New Roman" w:eastAsia="Times New Roman" w:hAnsi="Times New Roman"/>
                <w:sz w:val="20"/>
                <w:szCs w:val="20"/>
                <w:color w:val="B8BABC"/>
              </w:rPr>
              <w:t>.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11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85"/>
        </w:trPr>
        <w:tc>
          <w:tcPr>
            <w:tcW w:w="472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 xml:space="preserve">Administrative expenses </w:t>
            </w:r>
            <w:r>
              <w:rPr>
                <w:rFonts w:ascii="Times New Roman" w:cs="Times New Roman" w:eastAsia="Times New Roman" w:hAnsi="Times New Roman"/>
                <w:sz w:val="20"/>
                <w:szCs w:val="20"/>
                <w:color w:val="B8BABC"/>
              </w:rPr>
              <w:t>.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6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231F20"/>
              </w:rPr>
              <w:t>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shows cash flows between us and the vacation ownership notes receivable securitization VIEs:</w:t>
      </w:r>
    </w:p>
    <w:p>
      <w:pPr>
        <w:sectPr>
          <w:pgSz w:w="11880" w:h="15480" w:orient="portrait"/>
          <w:cols w:equalWidth="0" w:num="1">
            <w:col w:w="9720"/>
          </w:cols>
          <w:pgMar w:left="1080" w:top="838" w:right="1080" w:bottom="0" w:gutter="0" w:footer="0" w:header="0"/>
          <w:type w:val="continuous"/>
        </w:sectPr>
      </w:pP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Cash Inflows</w:t>
      </w:r>
    </w:p>
    <w:p>
      <w:pPr>
        <w:spacing w:after="0" w:line="62" w:lineRule="exact"/>
        <w:rPr>
          <w:sz w:val="20"/>
          <w:szCs w:val="20"/>
          <w:color w:val="auto"/>
        </w:rPr>
      </w:pPr>
    </w:p>
    <w:p>
      <w:pPr>
        <w:ind w:left="160"/>
        <w:spacing w:after="0" w:line="297" w:lineRule="auto"/>
        <w:rPr>
          <w:sz w:val="20"/>
          <w:szCs w:val="20"/>
          <w:color w:val="auto"/>
        </w:rPr>
      </w:pPr>
      <w:r>
        <w:rPr>
          <w:rFonts w:ascii="Times New Roman" w:cs="Times New Roman" w:eastAsia="Times New Roman" w:hAnsi="Times New Roman"/>
          <w:sz w:val="20"/>
          <w:szCs w:val="20"/>
          <w:color w:val="231F20"/>
        </w:rPr>
        <w:t xml:space="preserve">Net proceeds from vacation ownership notes receivable securitizations </w:t>
      </w:r>
      <w:r>
        <w:rPr>
          <w:rFonts w:ascii="Times New Roman" w:cs="Times New Roman" w:eastAsia="Times New Roman" w:hAnsi="Times New Roman"/>
          <w:sz w:val="20"/>
          <w:szCs w:val="20"/>
          <w:color w:val="B8BABC"/>
        </w:rPr>
        <w:t>. . . . . . .</w:t>
      </w:r>
      <w:r>
        <w:rPr>
          <w:rFonts w:ascii="Times New Roman" w:cs="Times New Roman" w:eastAsia="Times New Roman" w:hAnsi="Times New Roman"/>
          <w:sz w:val="20"/>
          <w:szCs w:val="20"/>
          <w:color w:val="231F20"/>
        </w:rPr>
        <w:t xml:space="preserve"> $ Principal receipts </w:t>
      </w:r>
      <w:r>
        <w:rPr>
          <w:rFonts w:ascii="Times New Roman" w:cs="Times New Roman" w:eastAsia="Times New Roman" w:hAnsi="Times New Roman"/>
          <w:sz w:val="20"/>
          <w:szCs w:val="20"/>
          <w:color w:val="B8BABC"/>
        </w:rPr>
        <w:t>. . . . . . . . . . . . . . . . . . . . . . . . . . . . . . . . . . . . . . . . . . . . . . . . .</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 xml:space="preserve">Interest receipts </w:t>
      </w:r>
      <w:r>
        <w:rPr>
          <w:rFonts w:ascii="Times New Roman" w:cs="Times New Roman" w:eastAsia="Times New Roman" w:hAnsi="Times New Roman"/>
          <w:sz w:val="20"/>
          <w:szCs w:val="20"/>
          <w:color w:val="B8BABC"/>
        </w:rPr>
        <w:t>. . . . . . . . . . . . . . . . . . . . . . . . . . . . . . . . . . . . . . . . . . . . . . . . . .</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 xml:space="preserve">Reserve release  </w:t>
      </w:r>
      <w:r>
        <w:rPr>
          <w:rFonts w:ascii="Times New Roman" w:cs="Times New Roman" w:eastAsia="Times New Roman" w:hAnsi="Times New Roman"/>
          <w:sz w:val="20"/>
          <w:szCs w:val="20"/>
          <w:color w:val="B8BABC"/>
        </w:rPr>
        <w:t>. . . . . . . . . . . . . . . . . . . . . . . . . . . . . . . . . . . . . . . . . . . . . . . . . .</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231F20"/>
        </w:rPr>
        <w:t xml:space="preserve">Total </w:t>
      </w:r>
      <w:r>
        <w:rPr>
          <w:rFonts w:ascii="Times New Roman" w:cs="Times New Roman" w:eastAsia="Times New Roman" w:hAnsi="Times New Roman"/>
          <w:sz w:val="20"/>
          <w:szCs w:val="20"/>
          <w:color w:val="B8BABC"/>
        </w:rPr>
        <w:t>. . . . . . . . . . . . . . . . . . . . . . . . . . . . . . . . . . . . . . . . . . . . . . . . . . . . . . . . .</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Cash Outflows</w:t>
      </w:r>
    </w:p>
    <w:p>
      <w:pPr>
        <w:spacing w:after="0" w:line="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 xml:space="preserve">Principal payments </w:t>
      </w:r>
      <w:r>
        <w:rPr>
          <w:rFonts w:ascii="Times New Roman" w:cs="Times New Roman" w:eastAsia="Times New Roman" w:hAnsi="Times New Roman"/>
          <w:sz w:val="20"/>
          <w:szCs w:val="20"/>
          <w:color w:val="B8BABC"/>
        </w:rPr>
        <w:t>. . . . . . . . . . . . . . . . . . . . . . . . . . . . . . . . . . . . . . . . . . . . . . . .</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 xml:space="preserve">Voluntary repurchases of defaulted vacation ownership notes receivable </w:t>
      </w:r>
      <w:r>
        <w:rPr>
          <w:rFonts w:ascii="Times New Roman" w:cs="Times New Roman" w:eastAsia="Times New Roman" w:hAnsi="Times New Roman"/>
          <w:sz w:val="20"/>
          <w:szCs w:val="20"/>
          <w:color w:val="B8BABC"/>
        </w:rPr>
        <w:t>. . . . .</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 xml:space="preserve">Voluntary clean-up call </w:t>
      </w:r>
      <w:r>
        <w:rPr>
          <w:rFonts w:ascii="Times New Roman" w:cs="Times New Roman" w:eastAsia="Times New Roman" w:hAnsi="Times New Roman"/>
          <w:sz w:val="20"/>
          <w:szCs w:val="20"/>
          <w:color w:val="B8BABC"/>
        </w:rPr>
        <w:t>. . . . . . . . . . . . . . . . . . . . . . . . . . . . . . . . . . . . . . . . . . . .</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 xml:space="preserve">Interest payments </w:t>
      </w:r>
      <w:r>
        <w:rPr>
          <w:rFonts w:ascii="Times New Roman" w:cs="Times New Roman" w:eastAsia="Times New Roman" w:hAnsi="Times New Roman"/>
          <w:sz w:val="20"/>
          <w:szCs w:val="20"/>
          <w:color w:val="B8BABC"/>
        </w:rPr>
        <w:t>. . . . . . . . . . . . . . . . . . . . . . . . . . . . . . . . . . . . . . . . . . . . . . . . .</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 xml:space="preserve">Funding of restricted cash </w:t>
      </w:r>
      <w:r>
        <w:rPr>
          <w:rFonts w:ascii="Times New Roman" w:cs="Times New Roman" w:eastAsia="Times New Roman" w:hAnsi="Times New Roman"/>
          <w:sz w:val="20"/>
          <w:szCs w:val="20"/>
          <w:color w:val="B8BABC"/>
        </w:rPr>
        <w:t>. . . . . . . . . . . . . . . . . . . . . . . . . . . . . . . . . . . . . . . . . .</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231F20"/>
        </w:rPr>
        <w:t xml:space="preserve">Total </w:t>
      </w:r>
      <w:r>
        <w:rPr>
          <w:rFonts w:ascii="Times New Roman" w:cs="Times New Roman" w:eastAsia="Times New Roman" w:hAnsi="Times New Roman"/>
          <w:sz w:val="20"/>
          <w:szCs w:val="20"/>
          <w:color w:val="B8BABC"/>
        </w:rPr>
        <w:t>. . . . . . . . . . . . . . . . . . . . . . . . . . . . . . . . . . . . . . . . . . . . . . . . . . . . . . . . .</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 xml:space="preserve">Net Cash Flows </w:t>
      </w:r>
      <w:r>
        <w:rPr>
          <w:rFonts w:ascii="Times New Roman" w:cs="Times New Roman" w:eastAsia="Times New Roman" w:hAnsi="Times New Roman"/>
          <w:sz w:val="20"/>
          <w:szCs w:val="20"/>
          <w:b w:val="1"/>
          <w:bCs w:val="1"/>
          <w:color w:val="B8BABC"/>
        </w:rPr>
        <w:t>. . . . . . . . . . . . . . . . . . . . . . . . . . . . . . . . . . . . . . . . . . . . . . . . . . .</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020" w:type="dxa"/>
            <w:vAlign w:val="bottom"/>
          </w:tcPr>
          <w:p>
            <w:pPr>
              <w:jc w:val="right"/>
              <w:ind w:right="562"/>
              <w:spacing w:after="0"/>
              <w:rPr>
                <w:sz w:val="20"/>
                <w:szCs w:val="20"/>
                <w:color w:val="auto"/>
              </w:rPr>
            </w:pPr>
            <w:r>
              <w:rPr>
                <w:rFonts w:ascii="Times New Roman" w:cs="Times New Roman" w:eastAsia="Times New Roman" w:hAnsi="Times New Roman"/>
                <w:sz w:val="18"/>
                <w:szCs w:val="18"/>
                <w:b w:val="1"/>
                <w:bCs w:val="1"/>
                <w:color w:val="231F20"/>
                <w:w w:val="94"/>
              </w:rPr>
              <w:t>2025</w:t>
            </w:r>
          </w:p>
        </w:tc>
        <w:tc>
          <w:tcPr>
            <w:tcW w:w="38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jc w:val="right"/>
              <w:ind w:right="482"/>
              <w:spacing w:after="0"/>
              <w:rPr>
                <w:sz w:val="20"/>
                <w:szCs w:val="20"/>
                <w:color w:val="auto"/>
              </w:rPr>
            </w:pPr>
            <w:r>
              <w:rPr>
                <w:rFonts w:ascii="Times New Roman" w:cs="Times New Roman" w:eastAsia="Times New Roman" w:hAnsi="Times New Roman"/>
                <w:sz w:val="18"/>
                <w:szCs w:val="18"/>
                <w:b w:val="1"/>
                <w:bCs w:val="1"/>
                <w:color w:val="231F20"/>
              </w:rPr>
              <w:t>2024</w:t>
            </w:r>
          </w:p>
        </w:tc>
      </w:tr>
      <w:tr>
        <w:trPr>
          <w:trHeight w:val="547"/>
        </w:trPr>
        <w:tc>
          <w:tcPr>
            <w:tcW w:w="10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910</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866</w:t>
            </w:r>
          </w:p>
        </w:tc>
      </w:tr>
      <w:tr>
        <w:trPr>
          <w:trHeight w:val="285"/>
        </w:trPr>
        <w:tc>
          <w:tcPr>
            <w:tcW w:w="10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578</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565</w:t>
            </w:r>
          </w:p>
        </w:tc>
      </w:tr>
      <w:tr>
        <w:trPr>
          <w:trHeight w:val="285"/>
        </w:trPr>
        <w:tc>
          <w:tcPr>
            <w:tcW w:w="10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267</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266</w:t>
            </w:r>
          </w:p>
        </w:tc>
      </w:tr>
      <w:tr>
        <w:trPr>
          <w:trHeight w:val="288"/>
        </w:trPr>
        <w:tc>
          <w:tcPr>
            <w:tcW w:w="10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105</w:t>
            </w:r>
          </w:p>
        </w:tc>
        <w:tc>
          <w:tcPr>
            <w:tcW w:w="38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245</w:t>
            </w:r>
          </w:p>
        </w:tc>
      </w:tr>
      <w:tr>
        <w:trPr>
          <w:trHeight w:val="265"/>
        </w:trPr>
        <w:tc>
          <w:tcPr>
            <w:tcW w:w="1020" w:type="dxa"/>
            <w:vAlign w:val="bottom"/>
          </w:tcPr>
          <w:p>
            <w:pPr>
              <w:jc w:val="right"/>
              <w:ind w:right="42"/>
              <w:spacing w:after="0"/>
              <w:rPr>
                <w:sz w:val="20"/>
                <w:szCs w:val="20"/>
                <w:color w:val="auto"/>
              </w:rPr>
            </w:pPr>
            <w:r>
              <w:rPr>
                <w:rFonts w:ascii="Times New Roman" w:cs="Times New Roman" w:eastAsia="Times New Roman" w:hAnsi="Times New Roman"/>
                <w:sz w:val="20"/>
                <w:szCs w:val="20"/>
                <w:color w:val="231F20"/>
              </w:rPr>
              <w:t>1,860</w:t>
            </w:r>
          </w:p>
        </w:tc>
        <w:tc>
          <w:tcPr>
            <w:tcW w:w="380" w:type="dxa"/>
            <w:vAlign w:val="bottom"/>
            <w:tcBorders>
              <w:bottom w:val="single" w:sz="8" w:color="231F20"/>
            </w:tcBorders>
          </w:tcPr>
          <w:p>
            <w:pPr>
              <w:spacing w:after="0"/>
              <w:rPr>
                <w:sz w:val="23"/>
                <w:szCs w:val="23"/>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-1097915</wp:posOffset>
            </wp:positionV>
            <wp:extent cx="98107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3">
                      <a:extLst>
                        <a:ext uri="{28A0092B-C50C-407E-A947-70E740481C1C}"/>
                      </a:extLst>
                    </a:blip>
                    <a:srcRect/>
                    <a:stretch>
                      <a:fillRect/>
                    </a:stretch>
                  </pic:blipFill>
                  <pic:spPr bwMode="auto">
                    <a:xfrm>
                      <a:off x="0" y="0"/>
                      <a:ext cx="981075" cy="12700"/>
                    </a:xfrm>
                    <a:prstGeom prst="rect">
                      <a:avLst/>
                    </a:prstGeom>
                    <a:noFill/>
                  </pic:spPr>
                </pic:pic>
              </a:graphicData>
            </a:graphic>
          </wp:anchor>
        </w:drawing>
        <w:drawing>
          <wp:anchor simplePos="0" relativeHeight="251657728" behindDoc="1" locked="0" layoutInCell="0" allowOverlap="1">
            <wp:simplePos x="0" y="0"/>
            <wp:positionH relativeFrom="column">
              <wp:posOffset>-370840</wp:posOffset>
            </wp:positionH>
            <wp:positionV relativeFrom="paragraph">
              <wp:posOffset>-193040</wp:posOffset>
            </wp:positionV>
            <wp:extent cx="98107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4">
                      <a:extLst>
                        <a:ext uri="{28A0092B-C50C-407E-A947-70E740481C1C}"/>
                      </a:extLst>
                    </a:blip>
                    <a:srcRect/>
                    <a:stretch>
                      <a:fillRect/>
                    </a:stretch>
                  </pic:blipFill>
                  <pic:spPr bwMode="auto">
                    <a:xfrm>
                      <a:off x="0" y="0"/>
                      <a:ext cx="981075" cy="12700"/>
                    </a:xfrm>
                    <a:prstGeom prst="rect">
                      <a:avLst/>
                    </a:prstGeom>
                    <a:noFill/>
                  </pic:spPr>
                </pic:pic>
              </a:graphicData>
            </a:graphic>
          </wp:anchor>
        </w:drawing>
        <w:drawing>
          <wp:anchor simplePos="0" relativeHeight="251657728" behindDoc="1" locked="0" layoutInCell="0" allowOverlap="1">
            <wp:simplePos x="0" y="0"/>
            <wp:positionH relativeFrom="column">
              <wp:posOffset>-370840</wp:posOffset>
            </wp:positionH>
            <wp:positionV relativeFrom="paragraph">
              <wp:posOffset>-12065</wp:posOffset>
            </wp:positionV>
            <wp:extent cx="98107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5">
                      <a:extLst>
                        <a:ext uri="{28A0092B-C50C-407E-A947-70E740481C1C}"/>
                      </a:extLst>
                    </a:blip>
                    <a:srcRect/>
                    <a:stretch>
                      <a:fillRect/>
                    </a:stretch>
                  </pic:blipFill>
                  <pic:spPr bwMode="auto">
                    <a:xfrm>
                      <a:off x="0" y="0"/>
                      <a:ext cx="981075" cy="12700"/>
                    </a:xfrm>
                    <a:prstGeom prst="rect">
                      <a:avLst/>
                    </a:prstGeom>
                    <a:noFill/>
                  </pic:spPr>
                </pic:pic>
              </a:graphicData>
            </a:graphic>
          </wp:anchor>
        </w:drawing>
      </w:r>
    </w:p>
    <w:p>
      <w:pPr>
        <w:spacing w:after="0" w:line="267" w:lineRule="exact"/>
        <w:rPr>
          <w:sz w:val="20"/>
          <w:szCs w:val="20"/>
          <w:color w:val="auto"/>
        </w:rPr>
      </w:pPr>
    </w:p>
    <w:p>
      <w:pPr>
        <w:ind w:left="2120" w:hanging="1608"/>
        <w:spacing w:after="0"/>
        <w:tabs>
          <w:tab w:leader="none" w:pos="2120"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(553)</w:t>
      </w:r>
    </w:p>
    <w:p>
      <w:pPr>
        <w:spacing w:after="0" w:line="55" w:lineRule="exact"/>
        <w:rPr>
          <w:sz w:val="20"/>
          <w:szCs w:val="20"/>
          <w:color w:val="auto"/>
        </w:rPr>
      </w:pPr>
    </w:p>
    <w:p>
      <w:pPr>
        <w:ind w:left="2120" w:hanging="1608"/>
        <w:spacing w:after="0"/>
        <w:tabs>
          <w:tab w:leader="none" w:pos="2120" w:val="left"/>
        </w:tabs>
        <w:numPr>
          <w:ilvl w:val="0"/>
          <w:numId w:val="5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(161)</w:t>
      </w:r>
    </w:p>
    <w:p>
      <w:pPr>
        <w:spacing w:after="0" w:line="55" w:lineRule="exact"/>
        <w:rPr>
          <w:sz w:val="20"/>
          <w:szCs w:val="20"/>
          <w:color w:val="auto"/>
        </w:rPr>
      </w:pPr>
    </w:p>
    <w:p>
      <w:pPr>
        <w:ind w:left="2220" w:hanging="1608"/>
        <w:spacing w:after="0"/>
        <w:tabs>
          <w:tab w:leader="none" w:pos="2220" w:val="left"/>
        </w:tabs>
        <w:numPr>
          <w:ilvl w:val="0"/>
          <w:numId w:val="5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(92)</w:t>
      </w:r>
    </w:p>
    <w:p>
      <w:pPr>
        <w:spacing w:after="0" w:line="55" w:lineRule="exact"/>
        <w:rPr>
          <w:sz w:val="20"/>
          <w:szCs w:val="20"/>
          <w:color w:val="auto"/>
        </w:rPr>
      </w:pPr>
    </w:p>
    <w:p>
      <w:pPr>
        <w:ind w:left="2220" w:hanging="1608"/>
        <w:spacing w:after="0"/>
        <w:tabs>
          <w:tab w:leader="none" w:pos="2220" w:val="left"/>
        </w:tabs>
        <w:numPr>
          <w:ilvl w:val="0"/>
          <w:numId w:val="5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(95)</w:t>
      </w:r>
    </w:p>
    <w:p>
      <w:pPr>
        <w:spacing w:after="0" w:line="55" w:lineRule="exact"/>
        <w:rPr>
          <w:sz w:val="20"/>
          <w:szCs w:val="20"/>
          <w:color w:val="auto"/>
        </w:rPr>
      </w:pPr>
    </w:p>
    <w:p>
      <w:pPr>
        <w:ind w:left="2120" w:hanging="1608"/>
        <w:spacing w:after="0"/>
        <w:tabs>
          <w:tab w:leader="none" w:pos="2120" w:val="left"/>
        </w:tabs>
        <w:numPr>
          <w:ilvl w:val="0"/>
          <w:numId w:val="5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20955</wp:posOffset>
            </wp:positionV>
            <wp:extent cx="2000250"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6">
                      <a:extLst>
                        <a:ext uri="{28A0092B-C50C-407E-A947-70E740481C1C}"/>
                      </a:extLst>
                    </a:blip>
                    <a:srcRect/>
                    <a:stretch>
                      <a:fillRect/>
                    </a:stretch>
                  </pic:blipFill>
                  <pic:spPr bwMode="auto">
                    <a:xfrm>
                      <a:off x="0" y="0"/>
                      <a:ext cx="2000250" cy="12700"/>
                    </a:xfrm>
                    <a:prstGeom prst="rect">
                      <a:avLst/>
                    </a:prstGeom>
                    <a:noFill/>
                  </pic:spPr>
                </pic:pic>
              </a:graphicData>
            </a:graphic>
          </wp:anchor>
        </w:drawing>
      </w:r>
    </w:p>
    <w:p>
      <w:pPr>
        <w:spacing w:after="0" w:line="35" w:lineRule="exact"/>
        <w:rPr>
          <w:sz w:val="20"/>
          <w:szCs w:val="20"/>
          <w:color w:val="auto"/>
        </w:rPr>
      </w:pPr>
    </w:p>
    <w:p>
      <w:pPr>
        <w:ind w:left="1960" w:hanging="1448"/>
        <w:spacing w:after="0"/>
        <w:tabs>
          <w:tab w:leader="none" w:pos="1960" w:val="left"/>
        </w:tabs>
        <w:numPr>
          <w:ilvl w:val="0"/>
          <w:numId w:val="5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(1,144)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20955</wp:posOffset>
            </wp:positionV>
            <wp:extent cx="2000250"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7">
                      <a:extLst>
                        <a:ext uri="{28A0092B-C50C-407E-A947-70E740481C1C}"/>
                      </a:extLst>
                    </a:blip>
                    <a:srcRect/>
                    <a:stretch>
                      <a:fillRect/>
                    </a:stretch>
                  </pic:blipFill>
                  <pic:spPr bwMode="auto">
                    <a:xfrm>
                      <a:off x="0" y="0"/>
                      <a:ext cx="2000250" cy="12700"/>
                    </a:xfrm>
                    <a:prstGeom prst="rect">
                      <a:avLst/>
                    </a:prstGeom>
                    <a:noFill/>
                  </pic:spPr>
                </pic:pic>
              </a:graphicData>
            </a:graphic>
          </wp:anchor>
        </w:drawing>
      </w:r>
    </w:p>
    <w:p>
      <w:pPr>
        <w:spacing w:after="0" w:line="35" w:lineRule="exact"/>
        <w:rPr>
          <w:sz w:val="20"/>
          <w:szCs w:val="20"/>
          <w:color w:val="auto"/>
        </w:rPr>
      </w:pPr>
    </w:p>
    <w:p>
      <w:pPr>
        <w:ind w:left="580"/>
        <w:spacing w:after="0"/>
        <w:tabs>
          <w:tab w:leader="none" w:pos="1060" w:val="left"/>
          <w:tab w:leader="none" w:pos="2160" w:val="left"/>
        </w:tabs>
        <w:rPr>
          <w:sz w:val="20"/>
          <w:szCs w:val="20"/>
          <w:color w:val="auto"/>
        </w:rPr>
      </w:pPr>
      <w:r>
        <w:rPr>
          <w:rFonts w:ascii="Times New Roman" w:cs="Times New Roman" w:eastAsia="Times New Roman" w:hAnsi="Times New Roman"/>
          <w:sz w:val="20"/>
          <w:szCs w:val="20"/>
          <w:color w:val="231F20"/>
        </w:rPr>
        <w:t>876</w:t>
        <w:tab/>
        <w:t>$</w:t>
      </w:r>
      <w:r>
        <w:rPr>
          <w:sz w:val="20"/>
          <w:szCs w:val="20"/>
          <w:color w:val="auto"/>
        </w:rPr>
        <w:tab/>
      </w:r>
      <w:r>
        <w:rPr>
          <w:rFonts w:ascii="Times New Roman" w:cs="Times New Roman" w:eastAsia="Times New Roman" w:hAnsi="Times New Roman"/>
          <w:sz w:val="20"/>
          <w:szCs w:val="20"/>
          <w:color w:val="231F20"/>
        </w:rPr>
        <w:t>798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8255</wp:posOffset>
            </wp:positionV>
            <wp:extent cx="200025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8">
                      <a:extLst>
                        <a:ext uri="{28A0092B-C50C-407E-A947-70E740481C1C}"/>
                      </a:extLst>
                    </a:blip>
                    <a:srcRect/>
                    <a:stretch>
                      <a:fillRect/>
                    </a:stretch>
                  </pic:blipFill>
                  <pic:spPr bwMode="auto">
                    <a:xfrm>
                      <a:off x="0" y="0"/>
                      <a:ext cx="2000250" cy="381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6700" w:space="440"/>
            <w:col w:w="2580"/>
          </w:cols>
          <w:pgMar w:left="1080" w:top="838"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117</w:t>
      </w:r>
    </w:p>
    <w:p>
      <w:pPr>
        <w:sectPr>
          <w:pgSz w:w="11880" w:h="15480" w:orient="portrait"/>
          <w:cols w:equalWidth="0" w:num="1">
            <w:col w:w="9720"/>
          </w:cols>
          <w:pgMar w:left="1080" w:top="838" w:right="1080" w:bottom="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color w:val="231F20"/>
        </w:rPr>
        <w:t>The following table shows cash flows between us and the Warehouse Credit Facility VIE:</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40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2024</w:t>
            </w:r>
          </w:p>
        </w:tc>
      </w:tr>
    </w:tbl>
    <w:p>
      <w:pPr>
        <w:spacing w:after="0" w:line="1" w:lineRule="exact"/>
        <w:rPr>
          <w:sz w:val="20"/>
          <w:szCs w:val="20"/>
          <w:color w:val="auto"/>
        </w:rPr>
      </w:pPr>
    </w:p>
    <w:p>
      <w:pPr>
        <w:sectPr>
          <w:pgSz w:w="11880" w:h="15480" w:orient="portrait"/>
          <w:cols w:equalWidth="0" w:num="1">
            <w:col w:w="9720"/>
          </w:cols>
          <w:pgMar w:left="1080" w:top="838" w:right="1080" w:bottom="0" w:gutter="0" w:footer="0" w:header="0"/>
        </w:sectPr>
      </w:pPr>
    </w:p>
    <w:p>
      <w:pPr>
        <w:ind w:left="60"/>
        <w:spacing w:after="0"/>
        <w:rPr>
          <w:sz w:val="20"/>
          <w:szCs w:val="20"/>
          <w:color w:val="auto"/>
        </w:rPr>
      </w:pPr>
      <w:r>
        <w:rPr>
          <w:rFonts w:ascii="Times New Roman" w:cs="Times New Roman" w:eastAsia="Times New Roman" w:hAnsi="Times New Roman"/>
          <w:sz w:val="20"/>
          <w:szCs w:val="20"/>
          <w:b w:val="1"/>
          <w:bCs w:val="1"/>
          <w:color w:val="231F20"/>
        </w:rPr>
        <w:t>Cash Inflows</w:t>
      </w:r>
    </w:p>
    <w:p>
      <w:pPr>
        <w:spacing w:after="0" w:line="33" w:lineRule="exact"/>
        <w:rPr>
          <w:sz w:val="20"/>
          <w:szCs w:val="20"/>
          <w:color w:val="auto"/>
        </w:rPr>
      </w:pPr>
    </w:p>
    <w:p>
      <w:pPr>
        <w:ind w:left="160" w:right="300"/>
        <w:spacing w:after="0" w:line="296" w:lineRule="auto"/>
        <w:rPr>
          <w:sz w:val="20"/>
          <w:szCs w:val="20"/>
          <w:color w:val="auto"/>
        </w:rPr>
      </w:pPr>
      <w:r>
        <w:rPr>
          <w:rFonts w:ascii="Times New Roman" w:cs="Times New Roman" w:eastAsia="Times New Roman" w:hAnsi="Times New Roman"/>
          <w:sz w:val="20"/>
          <w:szCs w:val="20"/>
          <w:color w:val="231F20"/>
        </w:rPr>
        <w:t xml:space="preserve">Proceeds from vacation ownership notes receivable securitizations </w:t>
      </w:r>
      <w:r>
        <w:rPr>
          <w:rFonts w:ascii="Times New Roman" w:cs="Times New Roman" w:eastAsia="Times New Roman" w:hAnsi="Times New Roman"/>
          <w:sz w:val="20"/>
          <w:szCs w:val="20"/>
          <w:color w:val="B8BABC"/>
        </w:rPr>
        <w:t>. . . . . . . . . .</w:t>
      </w:r>
      <w:r>
        <w:rPr>
          <w:rFonts w:ascii="Times New Roman" w:cs="Times New Roman" w:eastAsia="Times New Roman" w:hAnsi="Times New Roman"/>
          <w:sz w:val="20"/>
          <w:szCs w:val="20"/>
          <w:color w:val="231F20"/>
        </w:rPr>
        <w:t xml:space="preserve"> $ Principal receipts </w:t>
      </w:r>
      <w:r>
        <w:rPr>
          <w:rFonts w:ascii="Times New Roman" w:cs="Times New Roman" w:eastAsia="Times New Roman" w:hAnsi="Times New Roman"/>
          <w:sz w:val="20"/>
          <w:szCs w:val="20"/>
          <w:color w:val="B8BABC"/>
        </w:rPr>
        <w:t>. . . . . . . . . . . . . . . . . . . . . . . . . . . . . . . . . . . . . . . . . . . . . . . . .</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 xml:space="preserve">Interest receipts </w:t>
      </w:r>
      <w:r>
        <w:rPr>
          <w:rFonts w:ascii="Times New Roman" w:cs="Times New Roman" w:eastAsia="Times New Roman" w:hAnsi="Times New Roman"/>
          <w:sz w:val="20"/>
          <w:szCs w:val="20"/>
          <w:color w:val="B8BABC"/>
        </w:rPr>
        <w:t>. . . . . . . . . . . . . . . . . . . . . . . . . . . . . . . . . . . . . . . . . . . . . . . . . .</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231F20"/>
        </w:rPr>
        <w:t xml:space="preserve">Reserve release </w:t>
      </w:r>
      <w:r>
        <w:rPr>
          <w:rFonts w:ascii="Times New Roman" w:cs="Times New Roman" w:eastAsia="Times New Roman" w:hAnsi="Times New Roman"/>
          <w:sz w:val="20"/>
          <w:szCs w:val="20"/>
          <w:color w:val="B8BABC"/>
        </w:rPr>
        <w:t>. . . . . . . . . . . . . . . . . . . . . . . . . . . . . . . . . . . . . . . . . . . . . . . . . . .</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231F20"/>
        </w:rPr>
        <w:t xml:space="preserve">Total </w:t>
      </w:r>
      <w:r>
        <w:rPr>
          <w:rFonts w:ascii="Times New Roman" w:cs="Times New Roman" w:eastAsia="Times New Roman" w:hAnsi="Times New Roman"/>
          <w:sz w:val="20"/>
          <w:szCs w:val="20"/>
          <w:color w:val="B8BABC"/>
        </w:rPr>
        <w:t>. . . . . . . . . . . . . . . . . . . . . . . . . . . . . . . . . . . . . . . . . . . . . . . . . . . . . . . . .</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Cash Outflows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4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93"/>
              </w:rPr>
              <w:t>477</w:t>
            </w:r>
          </w:p>
        </w:tc>
        <w:tc>
          <w:tcPr>
            <w:tcW w:w="660" w:type="dxa"/>
            <w:vAlign w:val="bottom"/>
          </w:tcPr>
          <w:p>
            <w:pPr>
              <w:jc w:val="right"/>
              <w:ind w:right="420"/>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449</w:t>
            </w:r>
          </w:p>
        </w:tc>
      </w:tr>
      <w:tr>
        <w:trPr>
          <w:trHeight w:val="285"/>
        </w:trPr>
        <w:tc>
          <w:tcPr>
            <w:tcW w:w="4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49</w:t>
            </w:r>
          </w:p>
        </w:tc>
        <w:tc>
          <w:tcPr>
            <w:tcW w:w="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w:t>
            </w:r>
          </w:p>
        </w:tc>
      </w:tr>
      <w:tr>
        <w:trPr>
          <w:trHeight w:val="285"/>
        </w:trPr>
        <w:tc>
          <w:tcPr>
            <w:tcW w:w="4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27</w:t>
            </w:r>
          </w:p>
        </w:tc>
        <w:tc>
          <w:tcPr>
            <w:tcW w:w="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r>
      <w:tr>
        <w:trPr>
          <w:trHeight w:val="288"/>
        </w:trPr>
        <w:tc>
          <w:tcPr>
            <w:tcW w:w="4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16</w:t>
            </w:r>
          </w:p>
        </w:tc>
        <w:tc>
          <w:tcPr>
            <w:tcW w:w="66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w:t>
            </w:r>
          </w:p>
        </w:tc>
      </w:tr>
      <w:tr>
        <w:trPr>
          <w:trHeight w:val="265"/>
        </w:trPr>
        <w:tc>
          <w:tcPr>
            <w:tcW w:w="4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93"/>
              </w:rPr>
              <w:t>569</w:t>
            </w:r>
          </w:p>
        </w:tc>
        <w:tc>
          <w:tcPr>
            <w:tcW w:w="660" w:type="dxa"/>
            <w:vAlign w:val="bottom"/>
            <w:tcBorders>
              <w:bottom w:val="single" w:sz="8" w:color="231F20"/>
            </w:tcBorders>
          </w:tcPr>
          <w:p>
            <w:pPr>
              <w:spacing w:after="0"/>
              <w:rPr>
                <w:sz w:val="23"/>
                <w:szCs w:val="23"/>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-1078865</wp:posOffset>
            </wp:positionV>
            <wp:extent cx="2000250"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9">
                      <a:extLst>
                        <a:ext uri="{28A0092B-C50C-407E-A947-70E740481C1C}"/>
                      </a:extLst>
                    </a:blip>
                    <a:srcRect/>
                    <a:stretch>
                      <a:fillRect/>
                    </a:stretch>
                  </pic:blipFill>
                  <pic:spPr bwMode="auto">
                    <a:xfrm>
                      <a:off x="0" y="0"/>
                      <a:ext cx="2000250" cy="1270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-193040</wp:posOffset>
            </wp:positionV>
            <wp:extent cx="98107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0">
                      <a:extLst>
                        <a:ext uri="{28A0092B-C50C-407E-A947-70E740481C1C}"/>
                      </a:extLst>
                    </a:blip>
                    <a:srcRect/>
                    <a:stretch>
                      <a:fillRect/>
                    </a:stretch>
                  </pic:blipFill>
                  <pic:spPr bwMode="auto">
                    <a:xfrm>
                      <a:off x="0" y="0"/>
                      <a:ext cx="981075" cy="1270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-12065</wp:posOffset>
            </wp:positionV>
            <wp:extent cx="981075"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1">
                      <a:extLst>
                        <a:ext uri="{28A0092B-C50C-407E-A947-70E740481C1C}"/>
                      </a:extLst>
                    </a:blip>
                    <a:srcRect/>
                    <a:stretch>
                      <a:fillRect/>
                    </a:stretch>
                  </pic:blipFill>
                  <pic:spPr bwMode="auto">
                    <a:xfrm>
                      <a:off x="0" y="0"/>
                      <a:ext cx="981075" cy="12700"/>
                    </a:xfrm>
                    <a:prstGeom prst="rect">
                      <a:avLst/>
                    </a:prstGeom>
                    <a:noFill/>
                  </pic:spPr>
                </pic:pic>
              </a:graphicData>
            </a:graphic>
          </wp:anchor>
        </w:drawing>
      </w:r>
    </w:p>
    <w:p>
      <w:pPr>
        <w:spacing w:after="0" w:line="265" w:lineRule="exact"/>
        <w:rPr>
          <w:sz w:val="20"/>
          <w:szCs w:val="20"/>
          <w:color w:val="auto"/>
        </w:rPr>
      </w:pPr>
    </w:p>
    <w:p>
      <w:pPr>
        <w:sectPr>
          <w:pgSz w:w="11880" w:h="15480" w:orient="portrait"/>
          <w:cols w:equalWidth="0" w:num="2">
            <w:col w:w="7020" w:space="720"/>
            <w:col w:w="1980"/>
          </w:cols>
          <w:pgMar w:left="1080" w:top="838" w:right="1080" w:bottom="0" w:gutter="0" w:footer="0" w:header="0"/>
          <w:type w:val="continuous"/>
        </w:sectPr>
      </w:pPr>
    </w:p>
    <w:p>
      <w:pPr>
        <w:jc w:val="right"/>
        <w:ind w:right="427"/>
        <w:spacing w:after="0"/>
        <w:rPr>
          <w:sz w:val="20"/>
          <w:szCs w:val="20"/>
          <w:color w:val="auto"/>
        </w:rPr>
      </w:pPr>
      <w:r>
        <w:rPr>
          <w:rFonts w:ascii="Times New Roman" w:cs="Times New Roman" w:eastAsia="Times New Roman" w:hAnsi="Times New Roman"/>
          <w:sz w:val="20"/>
          <w:szCs w:val="20"/>
          <w:color w:val="231F20"/>
        </w:rPr>
        <w:t xml:space="preserve">Principal payments </w:t>
      </w:r>
      <w:r>
        <w:rPr>
          <w:rFonts w:ascii="Times New Roman" w:cs="Times New Roman" w:eastAsia="Times New Roman" w:hAnsi="Times New Roman"/>
          <w:sz w:val="20"/>
          <w:szCs w:val="20"/>
          <w:color w:val="B8BABC"/>
        </w:rPr>
        <w:t>. . . . . . . . . . . . . . . . . . . . . . . . . . . . . . . . . . . . . . . . . . . . . . . .</w:t>
      </w:r>
    </w:p>
    <w:p>
      <w:pPr>
        <w:spacing w:after="0" w:line="55" w:lineRule="exact"/>
        <w:rPr>
          <w:sz w:val="20"/>
          <w:szCs w:val="20"/>
          <w:color w:val="auto"/>
        </w:rPr>
      </w:pPr>
    </w:p>
    <w:p>
      <w:pPr>
        <w:jc w:val="right"/>
        <w:ind w:right="447"/>
        <w:spacing w:after="0"/>
        <w:rPr>
          <w:sz w:val="20"/>
          <w:szCs w:val="20"/>
          <w:color w:val="auto"/>
        </w:rPr>
      </w:pPr>
      <w:r>
        <w:rPr>
          <w:rFonts w:ascii="Times New Roman" w:cs="Times New Roman" w:eastAsia="Times New Roman" w:hAnsi="Times New Roman"/>
          <w:sz w:val="20"/>
          <w:szCs w:val="20"/>
          <w:color w:val="231F20"/>
        </w:rPr>
        <w:t xml:space="preserve">Voluntary repurchases of defaulted vacation ownership notes receivable  </w:t>
      </w:r>
      <w:r>
        <w:rPr>
          <w:rFonts w:ascii="Times New Roman" w:cs="Times New Roman" w:eastAsia="Times New Roman" w:hAnsi="Times New Roman"/>
          <w:sz w:val="20"/>
          <w:szCs w:val="20"/>
          <w:color w:val="B8BABC"/>
        </w:rPr>
        <w:t>. . . . .</w:t>
      </w:r>
    </w:p>
    <w:p>
      <w:pPr>
        <w:spacing w:after="0" w:line="55" w:lineRule="exact"/>
        <w:rPr>
          <w:sz w:val="20"/>
          <w:szCs w:val="20"/>
          <w:color w:val="auto"/>
        </w:rPr>
      </w:pPr>
    </w:p>
    <w:p>
      <w:pPr>
        <w:jc w:val="right"/>
        <w:ind w:right="427"/>
        <w:spacing w:after="0"/>
        <w:rPr>
          <w:sz w:val="20"/>
          <w:szCs w:val="20"/>
          <w:color w:val="auto"/>
        </w:rPr>
      </w:pPr>
      <w:r>
        <w:rPr>
          <w:rFonts w:ascii="Times New Roman" w:cs="Times New Roman" w:eastAsia="Times New Roman" w:hAnsi="Times New Roman"/>
          <w:sz w:val="20"/>
          <w:szCs w:val="20"/>
          <w:color w:val="231F20"/>
        </w:rPr>
        <w:t xml:space="preserve">Repayment of Warehouse Credit Facility </w:t>
      </w:r>
      <w:r>
        <w:rPr>
          <w:rFonts w:ascii="Times New Roman" w:cs="Times New Roman" w:eastAsia="Times New Roman" w:hAnsi="Times New Roman"/>
          <w:sz w:val="20"/>
          <w:szCs w:val="20"/>
          <w:color w:val="B8BABC"/>
        </w:rPr>
        <w:t>. . . . . . . . . . . . . . . . . . . . . . . . . . . . . .</w:t>
      </w:r>
    </w:p>
    <w:p>
      <w:pPr>
        <w:spacing w:after="0" w:line="55" w:lineRule="exact"/>
        <w:rPr>
          <w:sz w:val="20"/>
          <w:szCs w:val="20"/>
          <w:color w:val="auto"/>
        </w:rPr>
      </w:pPr>
    </w:p>
    <w:p>
      <w:pPr>
        <w:jc w:val="right"/>
        <w:ind w:right="427"/>
        <w:spacing w:after="0"/>
        <w:rPr>
          <w:sz w:val="20"/>
          <w:szCs w:val="20"/>
          <w:color w:val="auto"/>
        </w:rPr>
      </w:pPr>
      <w:r>
        <w:rPr>
          <w:rFonts w:ascii="Times New Roman" w:cs="Times New Roman" w:eastAsia="Times New Roman" w:hAnsi="Times New Roman"/>
          <w:sz w:val="20"/>
          <w:szCs w:val="20"/>
          <w:color w:val="231F20"/>
        </w:rPr>
        <w:t xml:space="preserve">Interest payments </w:t>
      </w:r>
      <w:r>
        <w:rPr>
          <w:rFonts w:ascii="Times New Roman" w:cs="Times New Roman" w:eastAsia="Times New Roman" w:hAnsi="Times New Roman"/>
          <w:sz w:val="20"/>
          <w:szCs w:val="20"/>
          <w:color w:val="B8BABC"/>
        </w:rPr>
        <w:t>. . . . . . . . . . . . . . . . . . . . . . . . . . . . . . . . . . . . . . . . . . . . . . . . .</w:t>
      </w:r>
    </w:p>
    <w:p>
      <w:pPr>
        <w:spacing w:after="0" w:line="55" w:lineRule="exact"/>
        <w:rPr>
          <w:sz w:val="20"/>
          <w:szCs w:val="20"/>
          <w:color w:val="auto"/>
        </w:rPr>
      </w:pPr>
    </w:p>
    <w:p>
      <w:pPr>
        <w:jc w:val="right"/>
        <w:ind w:right="427"/>
        <w:spacing w:after="0"/>
        <w:rPr>
          <w:sz w:val="20"/>
          <w:szCs w:val="20"/>
          <w:color w:val="auto"/>
        </w:rPr>
      </w:pPr>
      <w:r>
        <w:rPr>
          <w:rFonts w:ascii="Times New Roman" w:cs="Times New Roman" w:eastAsia="Times New Roman" w:hAnsi="Times New Roman"/>
          <w:sz w:val="20"/>
          <w:szCs w:val="20"/>
          <w:color w:val="231F20"/>
        </w:rPr>
        <w:t xml:space="preserve">Funding of restricted cash </w:t>
      </w:r>
      <w:r>
        <w:rPr>
          <w:rFonts w:ascii="Times New Roman" w:cs="Times New Roman" w:eastAsia="Times New Roman" w:hAnsi="Times New Roman"/>
          <w:sz w:val="20"/>
          <w:szCs w:val="20"/>
          <w:color w:val="B8BABC"/>
        </w:rPr>
        <w:t>. . . . . . . . . . . . . . . . . . . . . . . . . . . . . . . . . . . . . . . . . .</w:t>
      </w:r>
    </w:p>
    <w:p>
      <w:pPr>
        <w:spacing w:after="0" w:line="55" w:lineRule="exact"/>
        <w:rPr>
          <w:sz w:val="20"/>
          <w:szCs w:val="20"/>
          <w:color w:val="auto"/>
        </w:rPr>
      </w:pPr>
    </w:p>
    <w:p>
      <w:pPr>
        <w:jc w:val="right"/>
        <w:ind w:right="447"/>
        <w:spacing w:after="0"/>
        <w:rPr>
          <w:sz w:val="20"/>
          <w:szCs w:val="20"/>
          <w:color w:val="auto"/>
        </w:rPr>
      </w:pPr>
      <w:r>
        <w:rPr>
          <w:rFonts w:ascii="Times New Roman" w:cs="Times New Roman" w:eastAsia="Times New Roman" w:hAnsi="Times New Roman"/>
          <w:sz w:val="20"/>
          <w:szCs w:val="20"/>
          <w:color w:val="231F20"/>
        </w:rPr>
        <w:t xml:space="preserve">Total </w:t>
      </w:r>
      <w:r>
        <w:rPr>
          <w:rFonts w:ascii="Times New Roman" w:cs="Times New Roman" w:eastAsia="Times New Roman" w:hAnsi="Times New Roman"/>
          <w:sz w:val="20"/>
          <w:szCs w:val="20"/>
          <w:color w:val="B8BABC"/>
        </w:rPr>
        <w:t>. . . . . . . . . . . . . . . . . . . . . . . . . . . . . . . . . . . . . . . . . . . . . . . . . . . . . . . . .</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 xml:space="preserve">Net Cash Flows </w:t>
      </w:r>
      <w:r>
        <w:rPr>
          <w:rFonts w:ascii="Times New Roman" w:cs="Times New Roman" w:eastAsia="Times New Roman" w:hAnsi="Times New Roman"/>
          <w:sz w:val="20"/>
          <w:szCs w:val="20"/>
          <w:b w:val="1"/>
          <w:bCs w:val="1"/>
          <w:color w:val="B8BABC"/>
        </w:rPr>
        <w:t>. . . . . . . . . . . . . . . . . . . . . . . . . . . . . . . . . . . . . . . . . . . . . . . . . . .</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713" w:hanging="1613"/>
        <w:spacing w:after="0"/>
        <w:tabs>
          <w:tab w:leader="none" w:pos="1713" w:val="left"/>
        </w:tabs>
        <w:numPr>
          <w:ilvl w:val="0"/>
          <w:numId w:val="5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(18)</w:t>
      </w:r>
    </w:p>
    <w:p>
      <w:pPr>
        <w:spacing w:after="0" w:line="67" w:lineRule="exact"/>
        <w:rPr>
          <w:sz w:val="20"/>
          <w:szCs w:val="20"/>
          <w:color w:val="auto"/>
        </w:rPr>
      </w:pPr>
    </w:p>
    <w:p>
      <w:pPr>
        <w:ind w:left="193"/>
        <w:spacing w:after="0"/>
        <w:tabs>
          <w:tab w:leader="none" w:pos="1793" w:val="left"/>
        </w:tabs>
        <w:rPr>
          <w:sz w:val="20"/>
          <w:szCs w:val="20"/>
          <w:color w:val="auto"/>
        </w:rPr>
      </w:pPr>
      <w:r>
        <w:rPr>
          <w:rFonts w:ascii="Times New Roman" w:cs="Times New Roman" w:eastAsia="Times New Roman" w:hAnsi="Times New Roman"/>
          <w:sz w:val="18"/>
          <w:szCs w:val="18"/>
          <w:color w:val="231F20"/>
        </w:rPr>
        <w:t>(2)</w:t>
      </w:r>
      <w:r>
        <w:rPr>
          <w:sz w:val="20"/>
          <w:szCs w:val="20"/>
          <w:color w:val="auto"/>
        </w:rPr>
        <w:tab/>
      </w:r>
      <w:r>
        <w:rPr>
          <w:rFonts w:ascii="Times New Roman" w:cs="Times New Roman" w:eastAsia="Times New Roman" w:hAnsi="Times New Roman"/>
          <w:sz w:val="18"/>
          <w:szCs w:val="18"/>
          <w:color w:val="231F20"/>
        </w:rPr>
        <w:t>(3)</w:t>
      </w:r>
    </w:p>
    <w:p>
      <w:pPr>
        <w:spacing w:after="0" w:line="78" w:lineRule="exact"/>
        <w:rPr>
          <w:sz w:val="20"/>
          <w:szCs w:val="20"/>
          <w:color w:val="auto"/>
        </w:rPr>
      </w:pPr>
    </w:p>
    <w:p>
      <w:pPr>
        <w:ind w:left="1613" w:hanging="1613"/>
        <w:spacing w:after="0"/>
        <w:tabs>
          <w:tab w:leader="none" w:pos="1613" w:val="left"/>
        </w:tabs>
        <w:numPr>
          <w:ilvl w:val="0"/>
          <w:numId w:val="5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(455)</w:t>
      </w:r>
    </w:p>
    <w:p>
      <w:pPr>
        <w:spacing w:after="0" w:line="67" w:lineRule="exact"/>
        <w:rPr>
          <w:sz w:val="20"/>
          <w:szCs w:val="20"/>
          <w:color w:val="auto"/>
        </w:rPr>
      </w:pPr>
    </w:p>
    <w:tbl>
      <w:tblPr>
        <w:tblLayout w:type="fixed"/>
        <w:tblInd w:w="93" w:type="dxa"/>
        <w:tblCellMar>
          <w:top w:w="0" w:type="dxa"/>
          <w:left w:w="0" w:type="dxa"/>
          <w:bottom w:w="0" w:type="dxa"/>
          <w:right w:w="0" w:type="dxa"/>
        </w:tblCellMar>
      </w:tblPr>
      <w:tr>
        <w:trPr>
          <w:trHeight w:val="260"/>
        </w:trPr>
        <w:tc>
          <w:tcPr>
            <w:tcW w:w="102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231F20"/>
                <w:w w:val="95"/>
              </w:rPr>
              <w:t>(12)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r>
      <w:tr>
        <w:trPr>
          <w:trHeight w:val="285"/>
        </w:trPr>
        <w:tc>
          <w:tcPr>
            <w:tcW w:w="102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231F20"/>
                <w:w w:val="95"/>
              </w:rPr>
              <w:t>(13)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1905</wp:posOffset>
            </wp:positionV>
            <wp:extent cx="2000250"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2">
                      <a:extLst>
                        <a:ext uri="{28A0092B-C50C-407E-A947-70E740481C1C}"/>
                      </a:extLst>
                    </a:blip>
                    <a:srcRect/>
                    <a:stretch>
                      <a:fillRect/>
                    </a:stretch>
                  </pic:blipFill>
                  <pic:spPr bwMode="auto">
                    <a:xfrm>
                      <a:off x="0" y="0"/>
                      <a:ext cx="2000250" cy="12700"/>
                    </a:xfrm>
                    <a:prstGeom prst="rect">
                      <a:avLst/>
                    </a:prstGeom>
                    <a:noFill/>
                  </pic:spPr>
                </pic:pic>
              </a:graphicData>
            </a:graphic>
          </wp:anchor>
        </w:drawing>
      </w:r>
    </w:p>
    <w:p>
      <w:pPr>
        <w:spacing w:after="0" w:line="5" w:lineRule="exact"/>
        <w:rPr>
          <w:sz w:val="20"/>
          <w:szCs w:val="20"/>
          <w:color w:val="auto"/>
        </w:rPr>
      </w:pPr>
    </w:p>
    <w:p>
      <w:pPr>
        <w:ind w:left="1613" w:hanging="1613"/>
        <w:spacing w:after="0"/>
        <w:tabs>
          <w:tab w:leader="none" w:pos="1613" w:val="left"/>
        </w:tabs>
        <w:numPr>
          <w:ilvl w:val="0"/>
          <w:numId w:val="5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28575</wp:posOffset>
            </wp:positionV>
            <wp:extent cx="2000250"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3">
                      <a:extLst>
                        <a:ext uri="{28A0092B-C50C-407E-A947-70E740481C1C}"/>
                      </a:extLst>
                    </a:blip>
                    <a:srcRect/>
                    <a:stretch>
                      <a:fillRect/>
                    </a:stretch>
                  </pic:blipFill>
                  <pic:spPr bwMode="auto">
                    <a:xfrm>
                      <a:off x="0" y="0"/>
                      <a:ext cx="2000250" cy="12700"/>
                    </a:xfrm>
                    <a:prstGeom prst="rect">
                      <a:avLst/>
                    </a:prstGeom>
                    <a:noFill/>
                  </pic:spPr>
                </pic:pic>
              </a:graphicData>
            </a:graphic>
          </wp:anchor>
        </w:drawing>
      </w:r>
    </w:p>
    <w:p>
      <w:pPr>
        <w:spacing w:after="0" w:line="47" w:lineRule="exact"/>
        <w:rPr>
          <w:sz w:val="20"/>
          <w:szCs w:val="20"/>
          <w:color w:val="auto"/>
        </w:rPr>
      </w:pPr>
    </w:p>
    <w:p>
      <w:pPr>
        <w:ind w:left="93"/>
        <w:spacing w:after="0"/>
        <w:tabs>
          <w:tab w:leader="none" w:pos="1853" w:val="left"/>
        </w:tabs>
        <w:rPr>
          <w:sz w:val="20"/>
          <w:szCs w:val="20"/>
          <w:color w:val="auto"/>
        </w:rPr>
      </w:pPr>
      <w:r>
        <w:rPr>
          <w:rFonts w:ascii="Times New Roman" w:cs="Times New Roman" w:eastAsia="Times New Roman" w:hAnsi="Times New Roman"/>
          <w:sz w:val="20"/>
          <w:szCs w:val="20"/>
          <w:color w:val="231F20"/>
        </w:rPr>
        <w:t>(57) $</w:t>
      </w:r>
      <w:r>
        <w:rPr>
          <w:sz w:val="20"/>
          <w:szCs w:val="20"/>
          <w:color w:val="auto"/>
        </w:rPr>
        <w:tab/>
      </w:r>
      <w:r>
        <w:rPr>
          <w:rFonts w:ascii="Times New Roman" w:cs="Times New Roman" w:eastAsia="Times New Roman" w:hAnsi="Times New Roman"/>
          <w:sz w:val="20"/>
          <w:szCs w:val="20"/>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8255</wp:posOffset>
            </wp:positionV>
            <wp:extent cx="200025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4">
                      <a:extLst>
                        <a:ext uri="{28A0092B-C50C-407E-A947-70E740481C1C}"/>
                      </a:extLst>
                    </a:blip>
                    <a:srcRect/>
                    <a:stretch>
                      <a:fillRect/>
                    </a:stretch>
                  </pic:blipFill>
                  <pic:spPr bwMode="auto">
                    <a:xfrm>
                      <a:off x="0" y="0"/>
                      <a:ext cx="2000250" cy="381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6947" w:space="720"/>
            <w:col w:w="2053"/>
          </w:cols>
          <w:pgMar w:left="1080" w:top="838" w:right="1080" w:bottom="0" w:gutter="0" w:footer="0" w:header="0"/>
          <w:type w:val="continuous"/>
        </w:sectPr>
      </w:pPr>
    </w:p>
    <w:p>
      <w:pPr>
        <w:spacing w:after="0" w:line="2"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9"/>
          <w:szCs w:val="19"/>
          <w:color w:val="231F20"/>
        </w:rPr>
        <w:t>Under the terms of our vacation ownership notes receivable securitizations, we have the right to substitute loans for, or repurchase, defaulted loans at our option, subject to certain limitations. We made voluntary repurchases of defaulted vacation ownership notes receivable of $157 million during 2025, $164 million during 2024 and $123 million during 2023. We also made voluntary repurchases of $731 million, $615 million and $774 million of other non-defaulted vacation ownership notes receivable during 2025, 2024 and 2023, respectively, to retire previous vacation ownership notes receivable securitizations and to repay the Warehouse Credit Facility.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Variable Interest Entities</w:t>
      </w:r>
    </w:p>
    <w:p>
      <w:pPr>
        <w:spacing w:after="0" w:line="13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231F20"/>
        </w:rPr>
        <w:t>We have a commitment to purchase completed vacation ownership units located in Waikiki, Hawaii for $41 million in 2026. The property is held by a VIE for which we are not the primary beneficiary. We do not control the decisions that most significantly impact the economic performance of the entity as we cannot prevent the variable interest entity from selling the property at a higher price. Accordingly, we have not consolidated the VIE. As of December 31, 2025, our Balance Sheet reflected $1 million in Accounts and contracts receivable, net, including a note receivable of less than $1 million and $4 million in Property and equipment, net. We believe that our maximum exposure to loss as a result of our involvement with this VIE is approximately $5 million as of December 31, 2025.</w:t>
      </w:r>
    </w:p>
    <w:p>
      <w:pPr>
        <w:spacing w:after="0" w:line="9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231F20"/>
        </w:rPr>
        <w:t>During the third quarter of 2025, we acquired 48 completed vacation ownership units located at our Marriott Vacation Club, Waikiki property for $82 million. The transaction was accounted for as an asset acquisition with $80 million of the purchase price allocated to Property and Equipment, net, representing the portion of vacation ownership units purchased that are not registered and available for sale in their current form, and the remaining $2 million was allocated to Inventory.</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231F20"/>
        </w:rPr>
        <w:t>During the third quarter of 2024, we acquired 38 completed vacation ownership units located at our Marriott Vacation Club, Waikiki property for $65 million. The transaction was accounted for as an asset acquisition with all of the purchase price allocated to Inventory, as all of the vacation ownership units were registered and available for sale in their current form. Additionally, during the first quarter of 2024, we acquired retail space located at our Marriott Vacation Club, Waikiki property for $48 million. The transaction was accounted for as an asset acquisition and the acquired property is included in Property and Equipment, net on our Balance Sheet as of December 31, 2025.</w:t>
      </w:r>
    </w:p>
    <w:p>
      <w:pPr>
        <w:sectPr>
          <w:pgSz w:w="11880" w:h="15480" w:orient="portrait"/>
          <w:cols w:equalWidth="0" w:num="1">
            <w:col w:w="9720"/>
          </w:cols>
          <w:pgMar w:left="1080" w:top="838"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118</w:t>
      </w:r>
    </w:p>
    <w:p>
      <w:pPr>
        <w:sectPr>
          <w:pgSz w:w="11880" w:h="15480" w:orient="portrait"/>
          <w:cols w:equalWidth="0" w:num="1">
            <w:col w:w="9720"/>
          </w:cols>
          <w:pgMar w:left="1080" w:top="838" w:right="1080" w:bottom="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b w:val="1"/>
          <w:bCs w:val="1"/>
          <w:color w:val="231F20"/>
        </w:rPr>
        <w:t>19. BUSINESS SEGMENTS</w:t>
      </w:r>
    </w:p>
    <w:p>
      <w:pPr>
        <w:spacing w:after="0" w:line="13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231F20"/>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 Vacation Ownership and Exchange &amp; Third-Party Management. These segments are managed independently due to the differing nature of their products and services.</w:t>
      </w:r>
    </w:p>
    <w:p>
      <w:pPr>
        <w:spacing w:after="0" w:line="1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31F20"/>
        </w:rPr>
        <w:t>Vacation Ownership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w:t>
      </w:r>
    </w:p>
    <w:p>
      <w:pPr>
        <w:spacing w:after="0" w:line="15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231F20"/>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231F20"/>
        </w:rPr>
        <w:t>Exchange &amp; Third-Party Management includes an exchange network and membership programs, as well as provision of management services to other resorts and lodging properties. We provide these services through our Interval International and Aqua-Aston businesses. Exchange &amp; Third-Party Management revenue generally is fee-based and derived from membership, exchange, and rental transactions, property and owners’ association management, and other related products and services.</w:t>
      </w:r>
    </w:p>
    <w:p>
      <w:pPr>
        <w:spacing w:after="0" w:line="14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231F20"/>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and amortization,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as our CODM does not use this information to make operating segment resource allocations.</w:t>
      </w:r>
    </w:p>
    <w:p>
      <w:pPr>
        <w:spacing w:after="0" w:line="15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231F20"/>
        </w:rPr>
        <w:t>Our CODM uses Adjusted Earnings before Interest Expense, Taxes, Depreciation and Amortization (“Adjusted EBITDA”) to evaluate the profitability of our operating segments, and the components of net income or loss attributable to common stockholders excluded from Adjusted EBITDA are not separately evaluated. Our CODM reviews budget-to-actual and/or forecast-to-actual variances on a monthly basis using Adjusted EBITDA to make decisions about capital allocation and resource distribution to the segments. Adjusted EBITDA is defined as net income or loss attributable to common stockholders, before interest expense (excluding consumer financing interest expense associated with term securitization transactions), income taxes, depreciation and amortization, excluding share-based compensation expense and amortization of cloud computing software implementation costs, and adjusted for certain items that affect the comparability of our operating performance. We do not report asset information by segment because that information is not used to evaluate performance or allocate resources between segments.</w:t>
      </w:r>
    </w:p>
    <w:p>
      <w:pPr>
        <w:spacing w:after="0" w:line="15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231F20"/>
        </w:rPr>
        <w:t>During the first quarter of 2025, we began excluding Amortization of cloud computing software implementation costs, which are not included in Depreciation and amortization, from Adjusted EBITDA for comparability purposes, to address the considerable variability among companies in the utilization of productive assets, and have reclassified prior year amounts to conform with our current year presentation.</w:t>
      </w:r>
    </w:p>
    <w:p>
      <w:pPr>
        <w:spacing w:after="0" w:line="14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231F20"/>
        </w:rPr>
        <w:t>Additionally, during the year ended December 31, 2025, we reclassified $6 million of certain prior year amounts related to ongoing litigation from General and administrative expense to Litigation charges in order to conform with our current year presentation.</w:t>
      </w:r>
    </w:p>
    <w:p>
      <w:pPr>
        <w:spacing w:after="0" w:line="13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231F20"/>
        </w:rPr>
        <w:t>Our reconciliation of the aggregate amount of Adjusted EBITDA for our reportable segments to consolidated net income or loss attributable to common stockholders is presented below.</w:t>
      </w:r>
    </w:p>
    <w:p>
      <w:pPr>
        <w:sectPr>
          <w:pgSz w:w="11880" w:h="15480" w:orient="portrait"/>
          <w:cols w:equalWidth="0" w:num="1">
            <w:col w:w="9700"/>
          </w:cols>
          <w:pgMar w:left="1080" w:top="831"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119</w:t>
      </w:r>
    </w:p>
    <w:p>
      <w:pPr>
        <w:sectPr>
          <w:pgSz w:w="11880" w:h="15480" w:orient="portrait"/>
          <w:cols w:equalWidth="0" w:num="1">
            <w:col w:w="9700"/>
          </w:cols>
          <w:pgMar w:left="1080" w:top="831" w:right="1100" w:bottom="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i w:val="1"/>
          <w:iCs w:val="1"/>
          <w:color w:val="231F20"/>
        </w:rPr>
        <w:t>Segment Revenues and Adjusted EBITDA</w:t>
      </w:r>
    </w:p>
    <w:p>
      <w:pPr>
        <w:spacing w:after="0" w:line="7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20"/>
          <w:szCs w:val="20"/>
          <w:color w:val="231F20"/>
        </w:rPr>
        <w:t>The table below presents the following for the periods presented: revenues, disaggregated by segment, reconciled to consolidated revenue; segment expenses, including significant expense categories and amounts that align with segment-level information regularly provided to our CODM; and segment Adjusted EBITDA reconciled to Net income or loss attributable to common stockholders.</w:t>
      </w:r>
    </w:p>
    <w:p>
      <w:pPr>
        <w:spacing w:after="0" w:line="14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8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8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401"/>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3940" w:type="dxa"/>
            <w:vAlign w:val="bottom"/>
          </w:tcPr>
          <w:p>
            <w:pPr>
              <w:spacing w:after="0"/>
              <w:rPr>
                <w:sz w:val="3"/>
                <w:szCs w:val="3"/>
                <w:color w:val="auto"/>
              </w:rPr>
            </w:pPr>
          </w:p>
        </w:tc>
        <w:tc>
          <w:tcPr>
            <w:tcW w:w="980" w:type="dxa"/>
            <w:vAlign w:val="bottom"/>
            <w:tcBorders>
              <w:bottom w:val="single" w:sz="8" w:color="231F20"/>
            </w:tcBorders>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1160" w:type="dxa"/>
            <w:vAlign w:val="bottom"/>
            <w:tcBorders>
              <w:bottom w:val="single" w:sz="8" w:color="231F20"/>
            </w:tcBorders>
            <w:gridSpan w:val="2"/>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1160" w:type="dxa"/>
            <w:vAlign w:val="bottom"/>
            <w:tcBorders>
              <w:bottom w:val="single" w:sz="8" w:color="231F20"/>
            </w:tcBorders>
            <w:gridSpan w:val="2"/>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720" w:type="dxa"/>
            <w:vAlign w:val="bottom"/>
            <w:tcBorders>
              <w:bottom w:val="single" w:sz="8" w:color="231F20"/>
            </w:tcBorders>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1180" w:type="dxa"/>
            <w:vAlign w:val="bottom"/>
            <w:tcBorders>
              <w:bottom w:val="single" w:sz="8" w:color="231F20"/>
            </w:tcBorders>
            <w:gridSpan w:val="2"/>
          </w:tcPr>
          <w:p>
            <w:pPr>
              <w:spacing w:after="0"/>
              <w:rPr>
                <w:sz w:val="3"/>
                <w:szCs w:val="3"/>
                <w:color w:val="auto"/>
              </w:rPr>
            </w:pPr>
          </w:p>
        </w:tc>
        <w:tc>
          <w:tcPr>
            <w:tcW w:w="60" w:type="dxa"/>
            <w:vAlign w:val="bottom"/>
            <w:tcBorders>
              <w:bottom w:val="single" w:sz="8" w:color="231F20"/>
            </w:tcBorders>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980" w:type="dxa"/>
            <w:vAlign w:val="bottom"/>
            <w:vMerge w:val="restart"/>
          </w:tcPr>
          <w:p>
            <w:pPr>
              <w:jc w:val="right"/>
              <w:ind w:right="42"/>
              <w:spacing w:after="0"/>
              <w:rPr>
                <w:sz w:val="20"/>
                <w:szCs w:val="20"/>
                <w:color w:val="auto"/>
              </w:rPr>
            </w:pPr>
            <w:r>
              <w:rPr>
                <w:rFonts w:ascii="Times New Roman" w:cs="Times New Roman" w:eastAsia="Times New Roman" w:hAnsi="Times New Roman"/>
                <w:sz w:val="18"/>
                <w:szCs w:val="18"/>
                <w:b w:val="1"/>
                <w:bCs w:val="1"/>
                <w:color w:val="231F20"/>
              </w:rPr>
              <w:t>Vacation</w:t>
            </w:r>
          </w:p>
        </w:tc>
        <w:tc>
          <w:tcPr>
            <w:tcW w:w="60" w:type="dxa"/>
            <w:vAlign w:val="bottom"/>
          </w:tcPr>
          <w:p>
            <w:pPr>
              <w:spacing w:after="0"/>
              <w:rPr>
                <w:sz w:val="15"/>
                <w:szCs w:val="15"/>
                <w:color w:val="auto"/>
              </w:rPr>
            </w:pPr>
          </w:p>
        </w:tc>
        <w:tc>
          <w:tcPr>
            <w:tcW w:w="11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231F20"/>
                <w:w w:val="99"/>
              </w:rPr>
              <w:t>Exchange &amp;</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Vacation</w:t>
            </w:r>
          </w:p>
        </w:tc>
        <w:tc>
          <w:tcPr>
            <w:tcW w:w="60" w:type="dxa"/>
            <w:vAlign w:val="bottom"/>
          </w:tcPr>
          <w:p>
            <w:pPr>
              <w:spacing w:after="0"/>
              <w:rPr>
                <w:sz w:val="15"/>
                <w:szCs w:val="15"/>
                <w:color w:val="auto"/>
              </w:rPr>
            </w:pPr>
          </w:p>
        </w:tc>
        <w:tc>
          <w:tcPr>
            <w:tcW w:w="11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231F20"/>
                <w:w w:val="99"/>
              </w:rPr>
              <w:t>Exchange &amp;</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Vacation</w:t>
            </w:r>
          </w:p>
        </w:tc>
        <w:tc>
          <w:tcPr>
            <w:tcW w:w="60" w:type="dxa"/>
            <w:vAlign w:val="bottom"/>
          </w:tcPr>
          <w:p>
            <w:pPr>
              <w:spacing w:after="0"/>
              <w:rPr>
                <w:sz w:val="15"/>
                <w:szCs w:val="15"/>
                <w:color w:val="auto"/>
              </w:rPr>
            </w:pPr>
          </w:p>
        </w:tc>
        <w:tc>
          <w:tcPr>
            <w:tcW w:w="11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231F20"/>
                <w:w w:val="99"/>
              </w:rPr>
              <w:t>Exchange &amp;</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Third-Party</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ind w:right="81"/>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Third-Party</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81"/>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231F20"/>
                <w:w w:val="99"/>
              </w:rPr>
              <w:t>Third-Party</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81"/>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0" w:type="dxa"/>
            <w:vAlign w:val="bottom"/>
          </w:tcPr>
          <w:p>
            <w:pPr>
              <w:spacing w:after="0"/>
              <w:rPr>
                <w:sz w:val="1"/>
                <w:szCs w:val="1"/>
                <w:color w:val="auto"/>
              </w:rPr>
            </w:pPr>
          </w:p>
        </w:tc>
      </w:tr>
      <w:tr>
        <w:trPr>
          <w:trHeight w:val="239"/>
        </w:trPr>
        <w:tc>
          <w:tcPr>
            <w:tcW w:w="3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Ownership</w:t>
            </w:r>
          </w:p>
        </w:tc>
        <w:tc>
          <w:tcPr>
            <w:tcW w:w="60" w:type="dxa"/>
            <w:vAlign w:val="bottom"/>
          </w:tcPr>
          <w:p>
            <w:pPr>
              <w:spacing w:after="0"/>
              <w:rPr>
                <w:sz w:val="20"/>
                <w:szCs w:val="20"/>
                <w:color w:val="auto"/>
              </w:rPr>
            </w:pPr>
          </w:p>
        </w:tc>
        <w:tc>
          <w:tcPr>
            <w:tcW w:w="116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rPr>
              <w:t>Management</w:t>
            </w:r>
          </w:p>
        </w:tc>
        <w:tc>
          <w:tcPr>
            <w:tcW w:w="60" w:type="dxa"/>
            <w:vAlign w:val="bottom"/>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Ownership</w:t>
            </w:r>
          </w:p>
        </w:tc>
        <w:tc>
          <w:tcPr>
            <w:tcW w:w="60" w:type="dxa"/>
            <w:vAlign w:val="bottom"/>
          </w:tcPr>
          <w:p>
            <w:pPr>
              <w:spacing w:after="0"/>
              <w:rPr>
                <w:sz w:val="20"/>
                <w:szCs w:val="20"/>
                <w:color w:val="auto"/>
              </w:rPr>
            </w:pPr>
          </w:p>
        </w:tc>
        <w:tc>
          <w:tcPr>
            <w:tcW w:w="116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rPr>
              <w:t>Management</w:t>
            </w:r>
          </w:p>
        </w:tc>
        <w:tc>
          <w:tcPr>
            <w:tcW w:w="8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Borders>
              <w:bottom w:val="single" w:sz="8" w:color="231F20"/>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231F20"/>
              </w:rPr>
              <w:t>Ownership</w:t>
            </w:r>
          </w:p>
        </w:tc>
        <w:tc>
          <w:tcPr>
            <w:tcW w:w="60" w:type="dxa"/>
            <w:vAlign w:val="bottom"/>
          </w:tcPr>
          <w:p>
            <w:pPr>
              <w:spacing w:after="0"/>
              <w:rPr>
                <w:sz w:val="20"/>
                <w:szCs w:val="20"/>
                <w:color w:val="auto"/>
              </w:rPr>
            </w:pPr>
          </w:p>
        </w:tc>
        <w:tc>
          <w:tcPr>
            <w:tcW w:w="118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231F20"/>
              </w:rPr>
              <w:t>Management</w:t>
            </w:r>
          </w:p>
        </w:tc>
        <w:tc>
          <w:tcPr>
            <w:tcW w:w="6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w:t>
            </w:r>
            <w:r>
              <w:rPr>
                <w:rFonts w:ascii="Times New Roman" w:cs="Times New Roman" w:eastAsia="Times New Roman" w:hAnsi="Times New Roman"/>
                <w:sz w:val="20"/>
                <w:szCs w:val="20"/>
                <w:color w:val="231F20"/>
              </w:rPr>
              <w:t>Revenuesfromexternalcustomers</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4,805</w:t>
            </w:r>
          </w:p>
        </w:tc>
        <w:tc>
          <w:tcPr>
            <w:tcW w:w="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213</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5,018</w:t>
            </w:r>
          </w:p>
        </w:tc>
        <w:tc>
          <w:tcPr>
            <w:tcW w:w="60" w:type="dxa"/>
            <w:vAlign w:val="bottom"/>
          </w:tcPr>
          <w:p>
            <w:pPr>
              <w:spacing w:after="0"/>
              <w:rPr>
                <w:sz w:val="21"/>
                <w:szCs w:val="21"/>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4,730</w:t>
            </w:r>
          </w:p>
        </w:tc>
        <w:tc>
          <w:tcPr>
            <w:tcW w:w="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231</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4,961</w:t>
            </w:r>
          </w:p>
        </w:tc>
        <w:tc>
          <w:tcPr>
            <w:tcW w:w="60" w:type="dxa"/>
            <w:vAlign w:val="bottom"/>
          </w:tcPr>
          <w:p>
            <w:pPr>
              <w:spacing w:after="0"/>
              <w:rPr>
                <w:sz w:val="21"/>
                <w:szCs w:val="21"/>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4,468</w:t>
            </w:r>
          </w:p>
        </w:tc>
        <w:tc>
          <w:tcPr>
            <w:tcW w:w="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262</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4,730</w:t>
            </w:r>
          </w:p>
        </w:tc>
        <w:tc>
          <w:tcPr>
            <w:tcW w:w="0" w:type="dxa"/>
            <w:vAlign w:val="bottom"/>
          </w:tcPr>
          <w:p>
            <w:pPr>
              <w:spacing w:after="0"/>
              <w:rPr>
                <w:sz w:val="1"/>
                <w:szCs w:val="1"/>
                <w:color w:val="auto"/>
              </w:rPr>
            </w:pPr>
          </w:p>
        </w:tc>
      </w:tr>
      <w:tr>
        <w:trPr>
          <w:trHeight w:val="260"/>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231F20"/>
              </w:rPr>
              <w:t>Reconciliation of revenues</w:t>
            </w: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Corporate and other</w:t>
            </w:r>
            <w:r>
              <w:rPr>
                <w:rFonts w:ascii="Times New Roman" w:cs="Times New Roman" w:eastAsia="Times New Roman" w:hAnsi="Times New Roman"/>
                <w:sz w:val="26"/>
                <w:szCs w:val="26"/>
                <w:color w:val="231F20"/>
                <w:vertAlign w:val="superscript"/>
              </w:rPr>
              <w:t>(1)</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 . .</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4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w:t>
            </w:r>
            <w:r>
              <w:rPr>
                <w:rFonts w:ascii="Times New Roman" w:cs="Times New Roman" w:eastAsia="Times New Roman" w:hAnsi="Times New Roman"/>
                <w:sz w:val="20"/>
                <w:szCs w:val="20"/>
                <w:color w:val="231F20"/>
              </w:rPr>
              <w:t>Totalconsolidatedrevenues</w:t>
            </w: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5,032</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4,967</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4,727</w:t>
            </w:r>
          </w:p>
        </w:tc>
        <w:tc>
          <w:tcPr>
            <w:tcW w:w="0" w:type="dxa"/>
            <w:vAlign w:val="bottom"/>
          </w:tcPr>
          <w:p>
            <w:pPr>
              <w:spacing w:after="0"/>
              <w:rPr>
                <w:sz w:val="1"/>
                <w:szCs w:val="1"/>
                <w:color w:val="auto"/>
              </w:rPr>
            </w:pPr>
          </w:p>
        </w:tc>
      </w:tr>
      <w:tr>
        <w:trPr>
          <w:trHeight w:val="20"/>
        </w:trPr>
        <w:tc>
          <w:tcPr>
            <w:tcW w:w="3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 xml:space="preserve">Cost of vacation ownership products </w:t>
            </w:r>
            <w:r>
              <w:rPr>
                <w:rFonts w:ascii="Times New Roman" w:cs="Times New Roman" w:eastAsia="Times New Roman" w:hAnsi="Times New Roman"/>
                <w:sz w:val="20"/>
                <w:szCs w:val="20"/>
                <w:color w:val="B8BABC"/>
              </w:rPr>
              <w:t>. . . . . . .</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(184)</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(200)</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(224)</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394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Marketing and sales </w:t>
            </w:r>
            <w:r>
              <w:rPr>
                <w:rFonts w:ascii="Times New Roman" w:cs="Times New Roman" w:eastAsia="Times New Roman" w:hAnsi="Times New Roman"/>
                <w:sz w:val="20"/>
                <w:szCs w:val="20"/>
                <w:color w:val="B8BABC"/>
              </w:rPr>
              <w:t>.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(943)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Management and exchange </w:t>
            </w:r>
            <w:r>
              <w:rPr>
                <w:rFonts w:ascii="Times New Roman" w:cs="Times New Roman" w:eastAsia="Times New Roman" w:hAnsi="Times New Roman"/>
                <w:sz w:val="20"/>
                <w:szCs w:val="20"/>
                <w:color w:val="B8BABC"/>
              </w:rPr>
              <w:t>.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Rental </w:t>
            </w:r>
            <w:r>
              <w:rPr>
                <w:rFonts w:ascii="Times New Roman" w:cs="Times New Roman" w:eastAsia="Times New Roman" w:hAnsi="Times New Roman"/>
                <w:sz w:val="20"/>
                <w:szCs w:val="20"/>
                <w:color w:val="B8BABC"/>
              </w:rPr>
              <w:t>. . . . .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Financing </w:t>
            </w:r>
            <w:r>
              <w:rPr>
                <w:rFonts w:ascii="Times New Roman" w:cs="Times New Roman" w:eastAsia="Times New Roman" w:hAnsi="Times New Roman"/>
                <w:sz w:val="20"/>
                <w:szCs w:val="20"/>
                <w:color w:val="B8BABC"/>
              </w:rPr>
              <w:t>. .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Royalty fee </w:t>
            </w:r>
            <w:r>
              <w:rPr>
                <w:rFonts w:ascii="Times New Roman" w:cs="Times New Roman" w:eastAsia="Times New Roman" w:hAnsi="Times New Roman"/>
                <w:sz w:val="20"/>
                <w:szCs w:val="20"/>
                <w:color w:val="B8BABC"/>
              </w:rPr>
              <w:t>. . . . . . . . . . .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Other segment items</w:t>
            </w:r>
            <w:r>
              <w:rPr>
                <w:rFonts w:ascii="Times New Roman" w:cs="Times New Roman" w:eastAsia="Times New Roman" w:hAnsi="Times New Roman"/>
                <w:sz w:val="26"/>
                <w:szCs w:val="26"/>
                <w:color w:val="231F20"/>
                <w:vertAlign w:val="superscript"/>
              </w:rPr>
              <w:t>(2)(3)</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B8BABC"/>
              </w:rPr>
              <w:t>. . . . . . . . . . . . . . . . .</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(1,719)</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62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(1,712)</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8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2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(1,572)</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6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6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w:t>
            </w:r>
            <w:r>
              <w:rPr>
                <w:rFonts w:ascii="Times New Roman" w:cs="Times New Roman" w:eastAsia="Times New Roman" w:hAnsi="Times New Roman"/>
                <w:sz w:val="20"/>
                <w:szCs w:val="20"/>
                <w:color w:val="231F20"/>
              </w:rPr>
              <w:t>SegmentAdjustedEBITDA</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231F20"/>
              </w:rPr>
              <w:t>130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1,013</w:t>
            </w:r>
          </w:p>
        </w:tc>
        <w:tc>
          <w:tcPr>
            <w:tcW w:w="0" w:type="dxa"/>
            <w:vAlign w:val="bottom"/>
          </w:tcPr>
          <w:p>
            <w:pPr>
              <w:spacing w:after="0"/>
              <w:rPr>
                <w:sz w:val="1"/>
                <w:szCs w:val="1"/>
                <w:color w:val="auto"/>
              </w:rPr>
            </w:pPr>
          </w:p>
        </w:tc>
      </w:tr>
      <w:tr>
        <w:trPr>
          <w:trHeight w:val="285"/>
        </w:trPr>
        <w:tc>
          <w:tcPr>
            <w:tcW w:w="3940" w:type="dxa"/>
            <w:vAlign w:val="bottom"/>
          </w:tcPr>
          <w:p>
            <w:pPr>
              <w:jc w:val="right"/>
              <w:spacing w:after="0" w:line="285" w:lineRule="exact"/>
              <w:rPr>
                <w:sz w:val="20"/>
                <w:szCs w:val="20"/>
                <w:color w:val="auto"/>
              </w:rPr>
            </w:pPr>
            <w:r>
              <w:rPr>
                <w:rFonts w:ascii="Times New Roman" w:cs="Times New Roman" w:eastAsia="Times New Roman" w:hAnsi="Times New Roman"/>
                <w:sz w:val="20"/>
                <w:szCs w:val="20"/>
                <w:color w:val="231F20"/>
                <w:w w:val="97"/>
              </w:rPr>
              <w:t>Corporate and other</w:t>
            </w:r>
            <w:r>
              <w:rPr>
                <w:rFonts w:ascii="Times New Roman" w:cs="Times New Roman" w:eastAsia="Times New Roman" w:hAnsi="Times New Roman"/>
                <w:sz w:val="26"/>
                <w:szCs w:val="26"/>
                <w:color w:val="231F20"/>
                <w:w w:val="97"/>
                <w:vertAlign w:val="superscript"/>
              </w:rPr>
              <w:t>(1)(3)</w:t>
            </w:r>
            <w:r>
              <w:rPr>
                <w:rFonts w:ascii="Times New Roman" w:cs="Times New Roman" w:eastAsia="Times New Roman" w:hAnsi="Times New Roman"/>
                <w:sz w:val="20"/>
                <w:szCs w:val="20"/>
                <w:color w:val="231F20"/>
                <w:w w:val="97"/>
              </w:rPr>
              <w:t xml:space="preserve">  </w:t>
            </w:r>
            <w:r>
              <w:rPr>
                <w:rFonts w:ascii="Times New Roman" w:cs="Times New Roman" w:eastAsia="Times New Roman" w:hAnsi="Times New Roman"/>
                <w:sz w:val="20"/>
                <w:szCs w:val="20"/>
                <w:color w:val="B8BABC"/>
                <w:w w:val="97"/>
              </w:rPr>
              <w:t>. . . . . . . . . . . . . . . . . . .</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(252)</w:t>
            </w:r>
          </w:p>
        </w:tc>
        <w:tc>
          <w:tcPr>
            <w:tcW w:w="0" w:type="dxa"/>
            <w:vAlign w:val="bottom"/>
          </w:tcPr>
          <w:p>
            <w:pPr>
              <w:spacing w:after="0"/>
              <w:rPr>
                <w:sz w:val="1"/>
                <w:szCs w:val="1"/>
                <w:color w:val="auto"/>
              </w:rPr>
            </w:pPr>
          </w:p>
        </w:tc>
      </w:tr>
      <w:tr>
        <w:trPr>
          <w:trHeight w:val="260"/>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Interest expense, net </w:t>
            </w:r>
            <w:r>
              <w:rPr>
                <w:rFonts w:ascii="Times New Roman" w:cs="Times New Roman" w:eastAsia="Times New Roman" w:hAnsi="Times New Roman"/>
                <w:sz w:val="20"/>
                <w:szCs w:val="20"/>
                <w:color w:val="B8BABC"/>
              </w:rPr>
              <w:t>. . . . . . . . . . . . . . . . . . . . . .</w:t>
            </w: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w:t>
            </w:r>
          </w:p>
        </w:tc>
        <w:tc>
          <w:tcPr>
            <w:tcW w:w="0" w:type="dxa"/>
            <w:vAlign w:val="bottom"/>
          </w:tcPr>
          <w:p>
            <w:pPr>
              <w:spacing w:after="0"/>
              <w:rPr>
                <w:sz w:val="1"/>
                <w:szCs w:val="1"/>
                <w:color w:val="auto"/>
              </w:rPr>
            </w:pPr>
          </w:p>
        </w:tc>
      </w:tr>
      <w:tr>
        <w:trPr>
          <w:trHeight w:val="28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Depreciation and amortization </w:t>
            </w:r>
            <w:r>
              <w:rPr>
                <w:rFonts w:ascii="Times New Roman" w:cs="Times New Roman" w:eastAsia="Times New Roman" w:hAnsi="Times New Roman"/>
                <w:sz w:val="20"/>
                <w:szCs w:val="20"/>
                <w:color w:val="B8BABC"/>
              </w:rPr>
              <w:t>. . . . . . . . . . . . . .</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0" w:type="dxa"/>
            <w:vAlign w:val="bottom"/>
          </w:tcPr>
          <w:p>
            <w:pPr>
              <w:spacing w:after="0"/>
              <w:rPr>
                <w:sz w:val="1"/>
                <w:szCs w:val="1"/>
                <w:color w:val="auto"/>
              </w:rPr>
            </w:pPr>
          </w:p>
        </w:tc>
      </w:tr>
      <w:tr>
        <w:trPr>
          <w:trHeight w:val="285"/>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Share-based compensation expense </w:t>
            </w:r>
            <w:r>
              <w:rPr>
                <w:rFonts w:ascii="Times New Roman" w:cs="Times New Roman" w:eastAsia="Times New Roman" w:hAnsi="Times New Roman"/>
                <w:sz w:val="20"/>
                <w:szCs w:val="20"/>
                <w:color w:val="B8BABC"/>
              </w:rPr>
              <w:t>. . . . . . . . . .</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231F20"/>
              </w:rPr>
              <w:t>Amortization of cloud computing software</w:t>
            </w: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7"/>
        </w:trPr>
        <w:tc>
          <w:tcPr>
            <w:tcW w:w="3940" w:type="dxa"/>
            <w:vAlign w:val="bottom"/>
          </w:tcPr>
          <w:p>
            <w:pPr>
              <w:jc w:val="right"/>
              <w:spacing w:after="0" w:line="247" w:lineRule="exact"/>
              <w:rPr>
                <w:sz w:val="20"/>
                <w:szCs w:val="20"/>
                <w:color w:val="auto"/>
              </w:rPr>
            </w:pPr>
            <w:r>
              <w:rPr>
                <w:rFonts w:ascii="Times New Roman" w:cs="Times New Roman" w:eastAsia="Times New Roman" w:hAnsi="Times New Roman"/>
                <w:sz w:val="20"/>
                <w:szCs w:val="20"/>
                <w:color w:val="231F20"/>
                <w:w w:val="97"/>
              </w:rPr>
              <w:t>implementation costs</w:t>
            </w:r>
            <w:r>
              <w:rPr>
                <w:rFonts w:ascii="Times New Roman" w:cs="Times New Roman" w:eastAsia="Times New Roman" w:hAnsi="Times New Roman"/>
                <w:sz w:val="26"/>
                <w:szCs w:val="26"/>
                <w:color w:val="231F20"/>
                <w:w w:val="97"/>
                <w:vertAlign w:val="superscript"/>
              </w:rPr>
              <w:t>(3)</w:t>
            </w:r>
            <w:r>
              <w:rPr>
                <w:rFonts w:ascii="Times New Roman" w:cs="Times New Roman" w:eastAsia="Times New Roman" w:hAnsi="Times New Roman"/>
                <w:sz w:val="20"/>
                <w:szCs w:val="20"/>
                <w:color w:val="231F20"/>
                <w:w w:val="97"/>
              </w:rPr>
              <w:t xml:space="preserve">  </w:t>
            </w:r>
            <w:r>
              <w:rPr>
                <w:rFonts w:ascii="Times New Roman" w:cs="Times New Roman" w:eastAsia="Times New Roman" w:hAnsi="Times New Roman"/>
                <w:sz w:val="20"/>
                <w:szCs w:val="20"/>
                <w:color w:val="B8BABC"/>
                <w:w w:val="97"/>
              </w:rPr>
              <w:t>. . . . . . . . . . . . . . . . . . . .</w:t>
            </w: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3940" w:type="dxa"/>
            <w:vAlign w:val="bottom"/>
          </w:tcPr>
          <w:p>
            <w:pPr>
              <w:jc w:val="right"/>
              <w:spacing w:after="0" w:line="285" w:lineRule="exact"/>
              <w:rPr>
                <w:sz w:val="20"/>
                <w:szCs w:val="20"/>
                <w:color w:val="auto"/>
              </w:rPr>
            </w:pPr>
            <w:r>
              <w:rPr>
                <w:rFonts w:ascii="Times New Roman" w:cs="Times New Roman" w:eastAsia="Times New Roman" w:hAnsi="Times New Roman"/>
                <w:sz w:val="20"/>
                <w:szCs w:val="20"/>
                <w:color w:val="231F20"/>
                <w:w w:val="98"/>
              </w:rPr>
              <w:t>Certain items</w:t>
            </w:r>
            <w:r>
              <w:rPr>
                <w:rFonts w:ascii="Times New Roman" w:cs="Times New Roman" w:eastAsia="Times New Roman" w:hAnsi="Times New Roman"/>
                <w:sz w:val="26"/>
                <w:szCs w:val="26"/>
                <w:color w:val="231F20"/>
                <w:w w:val="98"/>
                <w:vertAlign w:val="superscript"/>
              </w:rPr>
              <w:t>(3)</w:t>
            </w:r>
            <w:r>
              <w:rPr>
                <w:rFonts w:ascii="Times New Roman" w:cs="Times New Roman" w:eastAsia="Times New Roman" w:hAnsi="Times New Roman"/>
                <w:sz w:val="20"/>
                <w:szCs w:val="20"/>
                <w:color w:val="231F20"/>
                <w:w w:val="98"/>
              </w:rPr>
              <w:t xml:space="preserve">  </w:t>
            </w:r>
            <w:r>
              <w:rPr>
                <w:rFonts w:ascii="Times New Roman" w:cs="Times New Roman" w:eastAsia="Times New Roman" w:hAnsi="Times New Roman"/>
                <w:sz w:val="20"/>
                <w:szCs w:val="20"/>
                <w:color w:val="B8BABC"/>
                <w:w w:val="98"/>
              </w:rPr>
              <w:t>. . . . . . . . . . . . . . . . . . . . . . . . . .</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w:t>
            </w:r>
          </w:p>
        </w:tc>
        <w:tc>
          <w:tcPr>
            <w:tcW w:w="0" w:type="dxa"/>
            <w:vAlign w:val="bottom"/>
          </w:tcPr>
          <w:p>
            <w:pPr>
              <w:spacing w:after="0"/>
              <w:rPr>
                <w:sz w:val="1"/>
                <w:szCs w:val="1"/>
                <w:color w:val="auto"/>
              </w:rPr>
            </w:pPr>
          </w:p>
        </w:tc>
      </w:tr>
      <w:tr>
        <w:trPr>
          <w:trHeight w:val="260"/>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Provision for income taxes </w:t>
            </w:r>
            <w:r>
              <w:rPr>
                <w:rFonts w:ascii="Times New Roman" w:cs="Times New Roman" w:eastAsia="Times New Roman" w:hAnsi="Times New Roman"/>
                <w:sz w:val="20"/>
                <w:szCs w:val="20"/>
                <w:color w:val="B8BABC"/>
              </w:rPr>
              <w:t>. . . . . . . . . . . . . . . . .</w:t>
            </w: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(146)</w:t>
            </w:r>
          </w:p>
        </w:tc>
        <w:tc>
          <w:tcPr>
            <w:tcW w:w="0" w:type="dxa"/>
            <w:vAlign w:val="bottom"/>
          </w:tcPr>
          <w:p>
            <w:pPr>
              <w:spacing w:after="0"/>
              <w:rPr>
                <w:sz w:val="1"/>
                <w:szCs w:val="1"/>
                <w:color w:val="auto"/>
              </w:rPr>
            </w:pPr>
          </w:p>
        </w:tc>
      </w:tr>
      <w:tr>
        <w:trPr>
          <w:trHeight w:val="41"/>
        </w:trPr>
        <w:tc>
          <w:tcPr>
            <w:tcW w:w="39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Net (loss) income attributable to common</w:t>
            </w: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94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(308)</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218</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254</w:t>
            </w:r>
          </w:p>
        </w:tc>
        <w:tc>
          <w:tcPr>
            <w:tcW w:w="0" w:type="dxa"/>
            <w:vAlign w:val="bottom"/>
          </w:tcPr>
          <w:p>
            <w:pPr>
              <w:spacing w:after="0"/>
              <w:rPr>
                <w:sz w:val="1"/>
                <w:szCs w:val="1"/>
                <w:color w:val="auto"/>
              </w:rPr>
            </w:pPr>
          </w:p>
        </w:tc>
      </w:tr>
      <w:tr>
        <w:trPr>
          <w:trHeight w:val="243"/>
        </w:trPr>
        <w:tc>
          <w:tcPr>
            <w:tcW w:w="3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stockholders </w:t>
            </w:r>
            <w:r>
              <w:rPr>
                <w:rFonts w:ascii="Times New Roman" w:cs="Times New Roman" w:eastAsia="Times New Roman" w:hAnsi="Times New Roman"/>
                <w:sz w:val="20"/>
                <w:szCs w:val="20"/>
                <w:color w:val="B8BABC"/>
              </w:rPr>
              <w:t>. . . . . . . . . . . . . . . . . . . . . . . . . . . .</w:t>
            </w: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360" w:right="100" w:hanging="360"/>
        <w:spacing w:after="0" w:line="234" w:lineRule="auto"/>
        <w:tabs>
          <w:tab w:leader="none" w:pos="360" w:val="left"/>
        </w:tabs>
        <w:numPr>
          <w:ilvl w:val="0"/>
          <w:numId w:val="60"/>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Corporate and Other consists of results that are not allocable to our segments, including company-wide general and administrative expenses, and transaction and integration costs. In addition, Corporate and Other includes revenues and expenses from Consolidated Property Owners’ Associations. Our CODM does not use this information for operating segment resource allocations.</w:t>
      </w:r>
    </w:p>
    <w:p>
      <w:pPr>
        <w:spacing w:after="0" w:line="1" w:lineRule="exact"/>
        <w:rPr>
          <w:rFonts w:ascii="Times New Roman" w:cs="Times New Roman" w:eastAsia="Times New Roman" w:hAnsi="Times New Roman"/>
          <w:sz w:val="26"/>
          <w:szCs w:val="26"/>
          <w:color w:val="231F20"/>
          <w:vertAlign w:val="superscript"/>
        </w:rPr>
      </w:pPr>
    </w:p>
    <w:p>
      <w:pPr>
        <w:ind w:left="360" w:hanging="360"/>
        <w:spacing w:after="0"/>
        <w:tabs>
          <w:tab w:leader="none" w:pos="360" w:val="left"/>
        </w:tabs>
        <w:numPr>
          <w:ilvl w:val="0"/>
          <w:numId w:val="60"/>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20"/>
          <w:szCs w:val="20"/>
          <w:color w:val="231F20"/>
        </w:rPr>
        <w:t>Other segment items include cost reimbursements, share-based compensation, amortization of cloud computing software implementation costs, and other.</w:t>
      </w:r>
    </w:p>
    <w:p>
      <w:pPr>
        <w:spacing w:after="0" w:line="99" w:lineRule="exact"/>
        <w:rPr>
          <w:rFonts w:ascii="Times New Roman" w:cs="Times New Roman" w:eastAsia="Times New Roman" w:hAnsi="Times New Roman"/>
          <w:sz w:val="26"/>
          <w:szCs w:val="26"/>
          <w:color w:val="231F20"/>
          <w:vertAlign w:val="superscript"/>
        </w:rPr>
      </w:pPr>
    </w:p>
    <w:p>
      <w:pPr>
        <w:ind w:left="360" w:hanging="360"/>
        <w:spacing w:after="0" w:line="181" w:lineRule="auto"/>
        <w:tabs>
          <w:tab w:leader="none" w:pos="360" w:val="left"/>
        </w:tabs>
        <w:numPr>
          <w:ilvl w:val="0"/>
          <w:numId w:val="60"/>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Prior year amounts have been reclassified to conform with our current year presentation.</w:t>
      </w:r>
    </w:p>
    <w:p>
      <w:pPr>
        <w:sectPr>
          <w:pgSz w:w="15480" w:h="11880" w:orient="landscape"/>
          <w:cols w:equalWidth="0" w:num="1">
            <w:col w:w="13300"/>
          </w:cols>
          <w:pgMar w:left="1080" w:top="797" w:right="110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120</w:t>
      </w:r>
    </w:p>
    <w:p>
      <w:pPr>
        <w:sectPr>
          <w:pgSz w:w="15480" w:h="11880" w:orient="landscape"/>
          <w:cols w:equalWidth="0" w:num="1">
            <w:col w:w="13300"/>
          </w:cols>
          <w:pgMar w:left="1080" w:top="797" w:right="1100" w:bottom="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i w:val="1"/>
          <w:iCs w:val="1"/>
          <w:color w:val="231F20"/>
        </w:rPr>
        <w:t>Depreciation and Amortization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8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62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ind w:right="402"/>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18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1200" w:type="dxa"/>
            <w:vAlign w:val="bottom"/>
            <w:tcBorders>
              <w:bottom w:val="single" w:sz="8" w:color="231F20"/>
            </w:tcBorders>
          </w:tcPr>
          <w:p>
            <w:pPr>
              <w:jc w:val="right"/>
              <w:ind w:right="46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582"/>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0" w:type="dxa"/>
            <w:vAlign w:val="bottom"/>
          </w:tcPr>
          <w:p>
            <w:pPr>
              <w:spacing w:after="0"/>
              <w:rPr>
                <w:sz w:val="1"/>
                <w:szCs w:val="1"/>
                <w:color w:val="auto"/>
              </w:rPr>
            </w:pPr>
          </w:p>
        </w:tc>
      </w:tr>
      <w:tr>
        <w:trPr>
          <w:trHeight w:val="262"/>
        </w:trPr>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w:t>
            </w:r>
            <w:r>
              <w:rPr>
                <w:rFonts w:ascii="Times New Roman" w:cs="Times New Roman" w:eastAsia="Times New Roman" w:hAnsi="Times New Roman"/>
                <w:sz w:val="20"/>
                <w:szCs w:val="20"/>
                <w:color w:val="231F20"/>
              </w:rPr>
              <w:t>VacationOwnership</w:t>
            </w:r>
          </w:p>
        </w:tc>
        <w:tc>
          <w:tcPr>
            <w:tcW w:w="6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106</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100</w:t>
            </w:r>
          </w:p>
        </w:tc>
        <w:tc>
          <w:tcPr>
            <w:tcW w:w="5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93</w:t>
            </w:r>
          </w:p>
        </w:tc>
        <w:tc>
          <w:tcPr>
            <w:tcW w:w="0" w:type="dxa"/>
            <w:vAlign w:val="bottom"/>
          </w:tcPr>
          <w:p>
            <w:pPr>
              <w:spacing w:after="0"/>
              <w:rPr>
                <w:sz w:val="1"/>
                <w:szCs w:val="1"/>
                <w:color w:val="auto"/>
              </w:rPr>
            </w:pPr>
          </w:p>
        </w:tc>
      </w:tr>
      <w:tr>
        <w:trPr>
          <w:trHeight w:val="288"/>
        </w:trPr>
        <w:tc>
          <w:tcPr>
            <w:tcW w:w="43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Exchange &amp; Third-Party Management </w:t>
            </w:r>
            <w:r>
              <w:rPr>
                <w:rFonts w:ascii="Times New Roman" w:cs="Times New Roman" w:eastAsia="Times New Roman" w:hAnsi="Times New Roman"/>
                <w:sz w:val="20"/>
                <w:szCs w:val="20"/>
                <w:color w:val="B8BABC"/>
              </w:rPr>
              <w:t>. . . . . . . . . . . .</w:t>
            </w:r>
          </w:p>
        </w:tc>
        <w:tc>
          <w:tcPr>
            <w:tcW w:w="62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26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28</w:t>
            </w:r>
          </w:p>
        </w:tc>
        <w:tc>
          <w:tcPr>
            <w:tcW w:w="6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31</w:t>
            </w:r>
          </w:p>
        </w:tc>
        <w:tc>
          <w:tcPr>
            <w:tcW w:w="0" w:type="dxa"/>
            <w:vAlign w:val="bottom"/>
          </w:tcPr>
          <w:p>
            <w:pPr>
              <w:spacing w:after="0"/>
              <w:rPr>
                <w:sz w:val="1"/>
                <w:szCs w:val="1"/>
                <w:color w:val="auto"/>
              </w:rPr>
            </w:pPr>
          </w:p>
        </w:tc>
      </w:tr>
      <w:tr>
        <w:trPr>
          <w:trHeight w:val="262"/>
        </w:trPr>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Total segment depreciation and amortization </w:t>
            </w:r>
            <w:r>
              <w:rPr>
                <w:rFonts w:ascii="Times New Roman" w:cs="Times New Roman" w:eastAsia="Times New Roman" w:hAnsi="Times New Roman"/>
                <w:sz w:val="20"/>
                <w:szCs w:val="20"/>
                <w:color w:val="B8BABC"/>
              </w:rPr>
              <w:t>. . . .</w:t>
            </w:r>
          </w:p>
        </w:tc>
        <w:tc>
          <w:tcPr>
            <w:tcW w:w="62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130</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128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w:t>
            </w:r>
          </w:p>
        </w:tc>
        <w:tc>
          <w:tcPr>
            <w:tcW w:w="0" w:type="dxa"/>
            <w:vAlign w:val="bottom"/>
          </w:tcPr>
          <w:p>
            <w:pPr>
              <w:spacing w:after="0"/>
              <w:rPr>
                <w:sz w:val="1"/>
                <w:szCs w:val="1"/>
                <w:color w:val="auto"/>
              </w:rPr>
            </w:pPr>
          </w:p>
        </w:tc>
      </w:tr>
      <w:tr>
        <w:trPr>
          <w:trHeight w:val="288"/>
        </w:trPr>
        <w:tc>
          <w:tcPr>
            <w:tcW w:w="43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Corporate and other </w:t>
            </w:r>
            <w:r>
              <w:rPr>
                <w:rFonts w:ascii="Times New Roman" w:cs="Times New Roman" w:eastAsia="Times New Roman" w:hAnsi="Times New Roman"/>
                <w:sz w:val="20"/>
                <w:szCs w:val="20"/>
                <w:color w:val="B8BABC"/>
              </w:rPr>
              <w:t>. . . . . . . . . . . . . . . . . . . . . . . . . .</w:t>
            </w:r>
          </w:p>
        </w:tc>
        <w:tc>
          <w:tcPr>
            <w:tcW w:w="62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19</w:t>
            </w: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26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18</w:t>
            </w:r>
          </w:p>
        </w:tc>
        <w:tc>
          <w:tcPr>
            <w:tcW w:w="6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6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149</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146</w:t>
            </w:r>
          </w:p>
        </w:tc>
        <w:tc>
          <w:tcPr>
            <w:tcW w:w="5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231F20"/>
              </w:rPr>
              <w:t>Capital Expenditures (including inventory)</w:t>
            </w: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3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38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62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ind w:right="402"/>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18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200" w:type="dxa"/>
            <w:vAlign w:val="bottom"/>
            <w:tcBorders>
              <w:bottom w:val="single" w:sz="8" w:color="231F20"/>
            </w:tcBorders>
          </w:tcPr>
          <w:p>
            <w:pPr>
              <w:jc w:val="right"/>
              <w:ind w:right="46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ind w:right="582"/>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0" w:type="dxa"/>
            <w:vAlign w:val="bottom"/>
          </w:tcPr>
          <w:p>
            <w:pPr>
              <w:spacing w:after="0"/>
              <w:rPr>
                <w:sz w:val="1"/>
                <w:szCs w:val="1"/>
                <w:color w:val="auto"/>
              </w:rPr>
            </w:pPr>
          </w:p>
        </w:tc>
      </w:tr>
      <w:tr>
        <w:trPr>
          <w:trHeight w:val="262"/>
        </w:trPr>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 . . . . . . . . . . . . . .</w:t>
            </w:r>
            <w:r>
              <w:rPr>
                <w:rFonts w:ascii="Times New Roman" w:cs="Times New Roman" w:eastAsia="Times New Roman" w:hAnsi="Times New Roman"/>
                <w:sz w:val="20"/>
                <w:szCs w:val="20"/>
                <w:color w:val="231F20"/>
              </w:rPr>
              <w:t>VacationOwnership</w:t>
            </w:r>
          </w:p>
        </w:tc>
        <w:tc>
          <w:tcPr>
            <w:tcW w:w="6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302</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237</w:t>
            </w:r>
          </w:p>
        </w:tc>
        <w:tc>
          <w:tcPr>
            <w:tcW w:w="5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w:t>
            </w:r>
          </w:p>
        </w:tc>
        <w:tc>
          <w:tcPr>
            <w:tcW w:w="0" w:type="dxa"/>
            <w:vAlign w:val="bottom"/>
          </w:tcPr>
          <w:p>
            <w:pPr>
              <w:spacing w:after="0"/>
              <w:rPr>
                <w:sz w:val="1"/>
                <w:szCs w:val="1"/>
                <w:color w:val="auto"/>
              </w:rPr>
            </w:pPr>
          </w:p>
        </w:tc>
      </w:tr>
      <w:tr>
        <w:trPr>
          <w:trHeight w:val="288"/>
        </w:trPr>
        <w:tc>
          <w:tcPr>
            <w:tcW w:w="43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Exchange &amp; Third-Party Management </w:t>
            </w:r>
            <w:r>
              <w:rPr>
                <w:rFonts w:ascii="Times New Roman" w:cs="Times New Roman" w:eastAsia="Times New Roman" w:hAnsi="Times New Roman"/>
                <w:sz w:val="20"/>
                <w:szCs w:val="20"/>
                <w:color w:val="B8BABC"/>
              </w:rPr>
              <w:t>. . . . . . . . . . . .</w:t>
            </w:r>
          </w:p>
        </w:tc>
        <w:tc>
          <w:tcPr>
            <w:tcW w:w="62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26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2"/>
        </w:trPr>
        <w:tc>
          <w:tcPr>
            <w:tcW w:w="438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 . . .</w:t>
            </w:r>
            <w:r>
              <w:rPr>
                <w:rFonts w:ascii="Times New Roman" w:cs="Times New Roman" w:eastAsia="Times New Roman" w:hAnsi="Times New Roman"/>
                <w:sz w:val="20"/>
                <w:szCs w:val="20"/>
                <w:color w:val="231F20"/>
              </w:rPr>
              <w:t>Totalsegmentcapitalexpenditures</w:t>
            </w:r>
          </w:p>
        </w:tc>
        <w:tc>
          <w:tcPr>
            <w:tcW w:w="62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302</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239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w:t>
            </w:r>
          </w:p>
        </w:tc>
        <w:tc>
          <w:tcPr>
            <w:tcW w:w="0" w:type="dxa"/>
            <w:vAlign w:val="bottom"/>
          </w:tcPr>
          <w:p>
            <w:pPr>
              <w:spacing w:after="0"/>
              <w:rPr>
                <w:sz w:val="1"/>
                <w:szCs w:val="1"/>
                <w:color w:val="auto"/>
              </w:rPr>
            </w:pPr>
          </w:p>
        </w:tc>
      </w:tr>
      <w:tr>
        <w:trPr>
          <w:trHeight w:val="288"/>
        </w:trPr>
        <w:tc>
          <w:tcPr>
            <w:tcW w:w="43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Corporate and other </w:t>
            </w:r>
            <w:r>
              <w:rPr>
                <w:rFonts w:ascii="Times New Roman" w:cs="Times New Roman" w:eastAsia="Times New Roman" w:hAnsi="Times New Roman"/>
                <w:sz w:val="20"/>
                <w:szCs w:val="20"/>
                <w:color w:val="B8BABC"/>
              </w:rPr>
              <w:t>. . . . . . . . . . . . . . . . . . . . . . . . . .</w:t>
            </w:r>
          </w:p>
        </w:tc>
        <w:tc>
          <w:tcPr>
            <w:tcW w:w="62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4</w:t>
            </w: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26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11</w:t>
            </w:r>
          </w:p>
        </w:tc>
        <w:tc>
          <w:tcPr>
            <w:tcW w:w="6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63</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6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306</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250</w:t>
            </w:r>
          </w:p>
        </w:tc>
        <w:tc>
          <w:tcPr>
            <w:tcW w:w="5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234</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Revenues Excluding Cost Reimbursements</w:t>
            </w: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3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38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62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tcBorders>
          </w:tcPr>
          <w:p>
            <w:pPr>
              <w:jc w:val="right"/>
              <w:ind w:right="402"/>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18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200" w:type="dxa"/>
            <w:vAlign w:val="bottom"/>
            <w:tcBorders>
              <w:bottom w:val="single" w:sz="8" w:color="231F20"/>
            </w:tcBorders>
          </w:tcPr>
          <w:p>
            <w:pPr>
              <w:jc w:val="right"/>
              <w:ind w:right="462"/>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ind w:right="582"/>
              <w:spacing w:after="0"/>
              <w:rPr>
                <w:sz w:val="20"/>
                <w:szCs w:val="20"/>
                <w:color w:val="auto"/>
              </w:rPr>
            </w:pPr>
            <w:r>
              <w:rPr>
                <w:rFonts w:ascii="Times New Roman" w:cs="Times New Roman" w:eastAsia="Times New Roman" w:hAnsi="Times New Roman"/>
                <w:sz w:val="18"/>
                <w:szCs w:val="18"/>
                <w:b w:val="1"/>
                <w:bCs w:val="1"/>
                <w:color w:val="231F20"/>
              </w:rPr>
              <w:t>2023</w:t>
            </w:r>
          </w:p>
        </w:tc>
        <w:tc>
          <w:tcPr>
            <w:tcW w:w="0" w:type="dxa"/>
            <w:vAlign w:val="bottom"/>
          </w:tcPr>
          <w:p>
            <w:pPr>
              <w:spacing w:after="0"/>
              <w:rPr>
                <w:sz w:val="1"/>
                <w:szCs w:val="1"/>
                <w:color w:val="auto"/>
              </w:rPr>
            </w:pPr>
          </w:p>
        </w:tc>
      </w:tr>
      <w:tr>
        <w:trPr>
          <w:trHeight w:val="277"/>
        </w:trPr>
        <w:tc>
          <w:tcPr>
            <w:tcW w:w="43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United States </w:t>
            </w:r>
            <w:r>
              <w:rPr>
                <w:rFonts w:ascii="Times New Roman" w:cs="Times New Roman" w:eastAsia="Times New Roman" w:hAnsi="Times New Roman"/>
                <w:sz w:val="20"/>
                <w:szCs w:val="20"/>
                <w:color w:val="B8BABC"/>
              </w:rPr>
              <w:t>. . . . . . . . . . . . . . . . . . . . . . . . . . . . . . . .</w:t>
            </w:r>
          </w:p>
        </w:tc>
        <w:tc>
          <w:tcPr>
            <w:tcW w:w="6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2,855</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2,797</w:t>
            </w:r>
          </w:p>
        </w:tc>
        <w:tc>
          <w:tcPr>
            <w:tcW w:w="5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2,722</w:t>
            </w:r>
          </w:p>
        </w:tc>
        <w:tc>
          <w:tcPr>
            <w:tcW w:w="0" w:type="dxa"/>
            <w:vAlign w:val="bottom"/>
          </w:tcPr>
          <w:p>
            <w:pPr>
              <w:spacing w:after="0"/>
              <w:rPr>
                <w:sz w:val="1"/>
                <w:szCs w:val="1"/>
                <w:color w:val="auto"/>
              </w:rPr>
            </w:pPr>
          </w:p>
        </w:tc>
      </w:tr>
      <w:tr>
        <w:trPr>
          <w:trHeight w:val="303"/>
        </w:trPr>
        <w:tc>
          <w:tcPr>
            <w:tcW w:w="43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 xml:space="preserve">All other countries </w:t>
            </w:r>
            <w:r>
              <w:rPr>
                <w:rFonts w:ascii="Times New Roman" w:cs="Times New Roman" w:eastAsia="Times New Roman" w:hAnsi="Times New Roman"/>
                <w:sz w:val="20"/>
                <w:szCs w:val="20"/>
                <w:color w:val="B8BABC"/>
              </w:rPr>
              <w:t>. . . . . . . . . . . . . . . . . . . . . . . . . . .</w:t>
            </w:r>
          </w:p>
        </w:tc>
        <w:tc>
          <w:tcPr>
            <w:tcW w:w="62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479</w:t>
            </w: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26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481</w:t>
            </w:r>
          </w:p>
        </w:tc>
        <w:tc>
          <w:tcPr>
            <w:tcW w:w="6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444</w:t>
            </w:r>
          </w:p>
        </w:tc>
        <w:tc>
          <w:tcPr>
            <w:tcW w:w="0" w:type="dxa"/>
            <w:vAlign w:val="bottom"/>
          </w:tcPr>
          <w:p>
            <w:pPr>
              <w:spacing w:after="0"/>
              <w:rPr>
                <w:sz w:val="1"/>
                <w:szCs w:val="1"/>
                <w:color w:val="auto"/>
              </w:rPr>
            </w:pPr>
          </w:p>
        </w:tc>
      </w:tr>
      <w:tr>
        <w:trPr>
          <w:trHeight w:val="260"/>
        </w:trPr>
        <w:tc>
          <w:tcPr>
            <w:tcW w:w="4380" w:type="dxa"/>
            <w:vAlign w:val="bottom"/>
          </w:tcPr>
          <w:p>
            <w:pPr>
              <w:spacing w:after="0"/>
              <w:rPr>
                <w:sz w:val="22"/>
                <w:szCs w:val="22"/>
                <w:color w:val="auto"/>
              </w:rPr>
            </w:pPr>
          </w:p>
        </w:tc>
        <w:tc>
          <w:tcPr>
            <w:tcW w:w="6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3,334</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3,278</w:t>
            </w:r>
          </w:p>
        </w:tc>
        <w:tc>
          <w:tcPr>
            <w:tcW w:w="5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3,166</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231F20"/>
              </w:rPr>
              <w:t>Property and Equipment, net</w:t>
            </w:r>
          </w:p>
        </w:tc>
        <w:tc>
          <w:tcPr>
            <w:tcW w:w="62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3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38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60" w:type="dxa"/>
            <w:vAlign w:val="bottom"/>
            <w:tcBorders>
              <w:bottom w:val="single" w:sz="8" w:color="231F20"/>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231F20"/>
              </w:rPr>
              <w:t>At December 31, 2025</w:t>
            </w:r>
          </w:p>
        </w:tc>
        <w:tc>
          <w:tcPr>
            <w:tcW w:w="60" w:type="dxa"/>
            <w:vAlign w:val="bottom"/>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180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231F20"/>
              </w:rPr>
              <w:t>At December 31, 2024</w:t>
            </w:r>
          </w:p>
        </w:tc>
        <w:tc>
          <w:tcPr>
            <w:tcW w:w="0" w:type="dxa"/>
            <w:vAlign w:val="bottom"/>
          </w:tcPr>
          <w:p>
            <w:pPr>
              <w:spacing w:after="0"/>
              <w:rPr>
                <w:sz w:val="1"/>
                <w:szCs w:val="1"/>
                <w:color w:val="auto"/>
              </w:rPr>
            </w:pPr>
          </w:p>
        </w:tc>
      </w:tr>
      <w:tr>
        <w:trPr>
          <w:trHeight w:val="277"/>
        </w:trPr>
        <w:tc>
          <w:tcPr>
            <w:tcW w:w="50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rPr>
              <w:t xml:space="preserve">United States </w:t>
            </w:r>
            <w:r>
              <w:rPr>
                <w:rFonts w:ascii="Times New Roman" w:cs="Times New Roman" w:eastAsia="Times New Roman" w:hAnsi="Times New Roman"/>
                <w:sz w:val="20"/>
                <w:szCs w:val="20"/>
                <w:color w:val="B8BABC"/>
              </w:rPr>
              <w:t>. . . . . . . . . . . . . . . . . . . . . . . . . . . . . . . . . . . . .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B8BABC"/>
              </w:rPr>
              <w:t xml:space="preserve">. . . . . . . . . </w:t>
            </w: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870</w:t>
            </w:r>
          </w:p>
        </w:tc>
        <w:tc>
          <w:tcPr>
            <w:tcW w:w="60" w:type="dxa"/>
            <w:vAlign w:val="bottom"/>
          </w:tcPr>
          <w:p>
            <w:pPr>
              <w:spacing w:after="0"/>
              <w:rPr>
                <w:sz w:val="24"/>
                <w:szCs w:val="24"/>
                <w:color w:val="auto"/>
              </w:rPr>
            </w:pPr>
          </w:p>
        </w:tc>
        <w:tc>
          <w:tcPr>
            <w:tcW w:w="54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1,033</w:t>
            </w:r>
          </w:p>
        </w:tc>
        <w:tc>
          <w:tcPr>
            <w:tcW w:w="0" w:type="dxa"/>
            <w:vAlign w:val="bottom"/>
          </w:tcPr>
          <w:p>
            <w:pPr>
              <w:spacing w:after="0"/>
              <w:rPr>
                <w:sz w:val="1"/>
                <w:szCs w:val="1"/>
                <w:color w:val="auto"/>
              </w:rPr>
            </w:pPr>
          </w:p>
        </w:tc>
      </w:tr>
      <w:tr>
        <w:trPr>
          <w:trHeight w:val="303"/>
        </w:trPr>
        <w:tc>
          <w:tcPr>
            <w:tcW w:w="50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rPr>
              <w:t xml:space="preserve">All other countries </w:t>
            </w:r>
            <w:r>
              <w:rPr>
                <w:rFonts w:ascii="Times New Roman" w:cs="Times New Roman" w:eastAsia="Times New Roman" w:hAnsi="Times New Roman"/>
                <w:sz w:val="20"/>
                <w:szCs w:val="20"/>
                <w:color w:val="B8BABC"/>
              </w:rPr>
              <w:t>. . . . . . . .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B8BABC"/>
              </w:rPr>
              <w:t>. . . . . . . . .</w:t>
            </w:r>
          </w:p>
        </w:tc>
        <w:tc>
          <w:tcPr>
            <w:tcW w:w="18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60" w:type="dxa"/>
            <w:vAlign w:val="bottom"/>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137</w:t>
            </w:r>
          </w:p>
        </w:tc>
        <w:tc>
          <w:tcPr>
            <w:tcW w:w="0" w:type="dxa"/>
            <w:vAlign w:val="bottom"/>
          </w:tcPr>
          <w:p>
            <w:pPr>
              <w:spacing w:after="0"/>
              <w:rPr>
                <w:sz w:val="1"/>
                <w:szCs w:val="1"/>
                <w:color w:val="auto"/>
              </w:rPr>
            </w:pPr>
          </w:p>
        </w:tc>
      </w:tr>
      <w:tr>
        <w:trPr>
          <w:trHeight w:val="260"/>
        </w:trPr>
        <w:tc>
          <w:tcPr>
            <w:tcW w:w="4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950</w:t>
            </w:r>
          </w:p>
        </w:tc>
        <w:tc>
          <w:tcPr>
            <w:tcW w:w="60" w:type="dxa"/>
            <w:vAlign w:val="bottom"/>
          </w:tcPr>
          <w:p>
            <w:pPr>
              <w:spacing w:after="0"/>
              <w:rPr>
                <w:sz w:val="22"/>
                <w:szCs w:val="22"/>
                <w:color w:val="auto"/>
              </w:rPr>
            </w:pPr>
          </w:p>
        </w:tc>
        <w:tc>
          <w:tcPr>
            <w:tcW w:w="54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1,170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20. RESTRUCTURING AND IMPAIRMENT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Restructuring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2025 Asia Pacific Strategy Change</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231F20"/>
        </w:rPr>
        <w:t>In the fourth quarter of 2025 we reassessed the strategy for our Asia Pacific vacation ownership business as part of our initiatives to drive strong profitability and improve cash flow. As a result, we scaled back growth expectations and right</w:t>
      </w:r>
      <w:r>
        <w:rPr>
          <w:rFonts w:ascii="Arial" w:cs="Arial" w:eastAsia="Arial" w:hAnsi="Arial"/>
          <w:sz w:val="20"/>
          <w:szCs w:val="20"/>
          <w:color w:val="231F20"/>
        </w:rPr>
        <w:t>-</w:t>
      </w:r>
      <w:r>
        <w:rPr>
          <w:rFonts w:ascii="Times New Roman" w:cs="Times New Roman" w:eastAsia="Times New Roman" w:hAnsi="Times New Roman"/>
          <w:sz w:val="20"/>
          <w:szCs w:val="20"/>
          <w:color w:val="231F20"/>
        </w:rPr>
        <w:t>sized our business in the region. This includes reducing tours for first</w:t>
      </w:r>
      <w:r>
        <w:rPr>
          <w:rFonts w:ascii="Arial" w:cs="Arial" w:eastAsia="Arial" w:hAnsi="Arial"/>
          <w:sz w:val="20"/>
          <w:szCs w:val="20"/>
          <w:color w:val="231F20"/>
        </w:rPr>
        <w:t>-</w:t>
      </w:r>
      <w:r>
        <w:rPr>
          <w:rFonts w:ascii="Times New Roman" w:cs="Times New Roman" w:eastAsia="Times New Roman" w:hAnsi="Times New Roman"/>
          <w:sz w:val="20"/>
          <w:szCs w:val="20"/>
          <w:color w:val="231F20"/>
        </w:rPr>
        <w:t>time buyers in select countries in the region where our borrowers have higher default rates, reducing headcount in the region, deferring the purchase of inventory and canceling a purchase commitment for inventory. As a result, we incurred restructuring costs in 2025, all of which related to the Asia Pacific strategy change, as follows:</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267"/>
        </w:trPr>
        <w:tc>
          <w:tcPr>
            <w:tcW w:w="76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480" w:type="dxa"/>
            <w:vAlign w:val="bottom"/>
            <w:tcBorders>
              <w:bottom w:val="single" w:sz="8" w:color="231F20"/>
            </w:tcBorders>
          </w:tcPr>
          <w:p>
            <w:pPr>
              <w:spacing w:after="0"/>
              <w:rPr>
                <w:sz w:val="23"/>
                <w:szCs w:val="23"/>
                <w:color w:val="auto"/>
              </w:rPr>
            </w:pPr>
          </w:p>
        </w:tc>
        <w:tc>
          <w:tcPr>
            <w:tcW w:w="1520" w:type="dxa"/>
            <w:vAlign w:val="bottom"/>
            <w:tcBorders>
              <w:bottom w:val="single" w:sz="8" w:color="231F20"/>
            </w:tcBorders>
          </w:tcPr>
          <w:p>
            <w:pPr>
              <w:jc w:val="right"/>
              <w:ind w:right="700"/>
              <w:spacing w:after="0"/>
              <w:rPr>
                <w:sz w:val="20"/>
                <w:szCs w:val="20"/>
                <w:color w:val="auto"/>
              </w:rPr>
            </w:pPr>
            <w:r>
              <w:rPr>
                <w:rFonts w:ascii="Times New Roman" w:cs="Times New Roman" w:eastAsia="Times New Roman" w:hAnsi="Times New Roman"/>
                <w:sz w:val="20"/>
                <w:szCs w:val="20"/>
                <w:b w:val="1"/>
                <w:bCs w:val="1"/>
                <w:color w:val="231F20"/>
              </w:rPr>
              <w:t>2025</w:t>
            </w:r>
          </w:p>
        </w:tc>
      </w:tr>
      <w:tr>
        <w:trPr>
          <w:trHeight w:val="262"/>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Severance  </w:t>
            </w:r>
            <w:r>
              <w:rPr>
                <w:rFonts w:ascii="Times New Roman" w:cs="Times New Roman" w:eastAsia="Times New Roman" w:hAnsi="Times New Roman"/>
                <w:sz w:val="20"/>
                <w:szCs w:val="20"/>
                <w:color w:val="B8BABC"/>
              </w:rPr>
              <w:t>. . . . . . . . . . . . . . . . . . . . . . . . . . . . . . . . . . . . . . . . . . . . . . . . . . . . . . . . . . . . . . . . . . .</w:t>
            </w:r>
          </w:p>
        </w:tc>
        <w:tc>
          <w:tcPr>
            <w:tcW w:w="4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r>
      <w:tr>
        <w:trPr>
          <w:trHeight w:val="288"/>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Cancellation of purchase commitment for inventory </w:t>
            </w:r>
            <w:r>
              <w:rPr>
                <w:rFonts w:ascii="Times New Roman" w:cs="Times New Roman" w:eastAsia="Times New Roman" w:hAnsi="Times New Roman"/>
                <w:sz w:val="20"/>
                <w:szCs w:val="20"/>
                <w:color w:val="B8BABC"/>
              </w:rPr>
              <w:t>. . . . . . . . . . . . . . . . . . . . . . . . . . . . . . . . . .</w:t>
            </w:r>
          </w:p>
        </w:tc>
        <w:tc>
          <w:tcPr>
            <w:tcW w:w="480" w:type="dxa"/>
            <w:vAlign w:val="bottom"/>
            <w:tcBorders>
              <w:bottom w:val="single" w:sz="8" w:color="231F20"/>
            </w:tcBorders>
          </w:tcPr>
          <w:p>
            <w:pPr>
              <w:spacing w:after="0"/>
              <w:rPr>
                <w:sz w:val="24"/>
                <w:szCs w:val="24"/>
                <w:color w:val="auto"/>
              </w:rPr>
            </w:pPr>
          </w:p>
        </w:tc>
        <w:tc>
          <w:tcPr>
            <w:tcW w:w="1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w:t>
            </w:r>
          </w:p>
        </w:tc>
      </w:tr>
      <w:tr>
        <w:trPr>
          <w:trHeight w:val="245"/>
        </w:trPr>
        <w:tc>
          <w:tcPr>
            <w:tcW w:w="7660" w:type="dxa"/>
            <w:vAlign w:val="bottom"/>
          </w:tcPr>
          <w:p>
            <w:pPr>
              <w:spacing w:after="0"/>
              <w:rPr>
                <w:sz w:val="21"/>
                <w:szCs w:val="21"/>
                <w:color w:val="auto"/>
              </w:rPr>
            </w:pPr>
          </w:p>
        </w:tc>
        <w:tc>
          <w:tcPr>
            <w:tcW w:w="480" w:type="dxa"/>
            <w:vAlign w:val="bottom"/>
            <w:tcBorders>
              <w:bottom w:val="single" w:sz="8" w:color="231F20"/>
            </w:tcBorders>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w:t>
            </w:r>
          </w:p>
        </w:tc>
      </w:tr>
      <w:tr>
        <w:trPr>
          <w:trHeight w:val="20"/>
        </w:trPr>
        <w:tc>
          <w:tcPr>
            <w:tcW w:w="766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1520" w:type="dxa"/>
            <w:vAlign w:val="bottom"/>
            <w:tcBorders>
              <w:bottom w:val="single" w:sz="8" w:color="231F20"/>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2024 and 2023</w:t>
      </w:r>
    </w:p>
    <w:p>
      <w:pPr>
        <w:spacing w:after="0" w:line="134"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20"/>
          <w:szCs w:val="20"/>
          <w:color w:val="231F20"/>
        </w:rPr>
        <w:t>Additionally during each of the years ended December 31, 2024 and December 31, 2023, we incurred $6 million of restructuring charges relating to severance.</w:t>
      </w:r>
    </w:p>
    <w:p>
      <w:pPr>
        <w:sectPr>
          <w:pgSz w:w="11880" w:h="15480" w:orient="portrait"/>
          <w:cols w:equalWidth="0" w:num="1">
            <w:col w:w="9720"/>
          </w:cols>
          <w:pgMar w:left="1080" w:top="829"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121</w:t>
      </w:r>
    </w:p>
    <w:p>
      <w:pPr>
        <w:sectPr>
          <w:pgSz w:w="11880" w:h="15480" w:orient="portrait"/>
          <w:cols w:equalWidth="0" w:num="1">
            <w:col w:w="9720"/>
          </w:cols>
          <w:pgMar w:left="1080" w:top="829" w:right="1080" w:bottom="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i w:val="1"/>
          <w:iCs w:val="1"/>
          <w:color w:val="231F20"/>
        </w:rPr>
        <w:t>Impairment Charges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incurred impairment charges during 2025, 2024, and 2023 as follows: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320" w:type="dxa"/>
            <w:vAlign w:val="bottom"/>
          </w:tcPr>
          <w:p>
            <w:pPr>
              <w:jc w:val="right"/>
              <w:ind w:right="3302"/>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42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58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58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60" w:type="dxa"/>
            <w:vAlign w:val="bottom"/>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581"/>
              <w:spacing w:after="0"/>
              <w:rPr>
                <w:sz w:val="20"/>
                <w:szCs w:val="20"/>
                <w:color w:val="auto"/>
              </w:rPr>
            </w:pPr>
            <w:r>
              <w:rPr>
                <w:rFonts w:ascii="Times New Roman" w:cs="Times New Roman" w:eastAsia="Times New Roman" w:hAnsi="Times New Roman"/>
                <w:sz w:val="18"/>
                <w:szCs w:val="18"/>
                <w:b w:val="1"/>
                <w:bCs w:val="1"/>
                <w:color w:val="231F20"/>
              </w:rPr>
              <w:t>2023</w:t>
            </w:r>
          </w:p>
        </w:tc>
      </w:tr>
      <w:tr>
        <w:trPr>
          <w:trHeight w:val="262"/>
        </w:trPr>
        <w:tc>
          <w:tcPr>
            <w:tcW w:w="4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Property, equipment, and other assets </w:t>
            </w:r>
            <w:r>
              <w:rPr>
                <w:rFonts w:ascii="Times New Roman" w:cs="Times New Roman" w:eastAsia="Times New Roman" w:hAnsi="Times New Roman"/>
                <w:sz w:val="20"/>
                <w:szCs w:val="20"/>
                <w:color w:val="B8BABC"/>
              </w:rPr>
              <w:t>. . . . . . . . . . . .</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160</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r>
      <w:tr>
        <w:trPr>
          <w:trHeight w:val="285"/>
        </w:trPr>
        <w:tc>
          <w:tcPr>
            <w:tcW w:w="4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Future phases of existing resorts </w:t>
            </w:r>
            <w:r>
              <w:rPr>
                <w:rFonts w:ascii="Times New Roman" w:cs="Times New Roman" w:eastAsia="Times New Roman" w:hAnsi="Times New Roman"/>
                <w:sz w:val="20"/>
                <w:szCs w:val="20"/>
                <w:color w:val="B8BABC"/>
              </w:rPr>
              <w:t>. . . . . . . . . . . . . . . .</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85"/>
        </w:trPr>
        <w:tc>
          <w:tcPr>
            <w:tcW w:w="4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Legacy-Welk inventory </w:t>
            </w:r>
            <w:r>
              <w:rPr>
                <w:rFonts w:ascii="Times New Roman" w:cs="Times New Roman" w:eastAsia="Times New Roman" w:hAnsi="Times New Roman"/>
                <w:sz w:val="20"/>
                <w:szCs w:val="20"/>
                <w:color w:val="B8BABC"/>
              </w:rPr>
              <w:t>. . . . . . . . . . . . . . . . . . . . . . .</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85"/>
        </w:trPr>
        <w:tc>
          <w:tcPr>
            <w:tcW w:w="4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Khao Lak, Thailand inventory </w:t>
            </w:r>
            <w:r>
              <w:rPr>
                <w:rFonts w:ascii="Times New Roman" w:cs="Times New Roman" w:eastAsia="Times New Roman" w:hAnsi="Times New Roman"/>
                <w:sz w:val="20"/>
                <w:szCs w:val="20"/>
                <w:color w:val="B8BABC"/>
              </w:rPr>
              <w:t>. . . . . . . . . . . . . . . . . .</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85"/>
        </w:trPr>
        <w:tc>
          <w:tcPr>
            <w:tcW w:w="43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Leases </w:t>
            </w:r>
            <w:r>
              <w:rPr>
                <w:rFonts w:ascii="Times New Roman" w:cs="Times New Roman" w:eastAsia="Times New Roman" w:hAnsi="Times New Roman"/>
                <w:sz w:val="20"/>
                <w:szCs w:val="20"/>
                <w:color w:val="B8BABC"/>
                <w:w w:val="99"/>
              </w:rPr>
              <w:t>. . . . . . . . . . . . . . . . . . . . . . . . . . . . . . . . . . . . .</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r>
      <w:tr>
        <w:trPr>
          <w:trHeight w:val="285"/>
        </w:trPr>
        <w:tc>
          <w:tcPr>
            <w:tcW w:w="4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Equity method investment </w:t>
            </w:r>
            <w:r>
              <w:rPr>
                <w:rFonts w:ascii="Times New Roman" w:cs="Times New Roman" w:eastAsia="Times New Roman" w:hAnsi="Times New Roman"/>
                <w:sz w:val="20"/>
                <w:szCs w:val="20"/>
                <w:color w:val="B8BABC"/>
              </w:rPr>
              <w:t>. . . . . . . . . . . . . . . . . . . . .</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w:t>
            </w:r>
          </w:p>
        </w:tc>
      </w:tr>
      <w:tr>
        <w:trPr>
          <w:trHeight w:val="285"/>
        </w:trPr>
        <w:tc>
          <w:tcPr>
            <w:tcW w:w="43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Investment in management contract </w:t>
            </w:r>
            <w:r>
              <w:rPr>
                <w:rFonts w:ascii="Times New Roman" w:cs="Times New Roman" w:eastAsia="Times New Roman" w:hAnsi="Times New Roman"/>
                <w:sz w:val="20"/>
                <w:szCs w:val="20"/>
                <w:color w:val="B8BABC"/>
                <w:w w:val="99"/>
              </w:rPr>
              <w:t>. . . . . . . . . . . . . .</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r>
      <w:tr>
        <w:trPr>
          <w:trHeight w:val="285"/>
        </w:trPr>
        <w:tc>
          <w:tcPr>
            <w:tcW w:w="43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 xml:space="preserve">Goodwill </w:t>
            </w:r>
            <w:r>
              <w:rPr>
                <w:rFonts w:ascii="Times New Roman" w:cs="Times New Roman" w:eastAsia="Times New Roman" w:hAnsi="Times New Roman"/>
                <w:sz w:val="20"/>
                <w:szCs w:val="20"/>
                <w:color w:val="B8BABC"/>
                <w:w w:val="99"/>
              </w:rPr>
              <w:t>. . . . . . . . . . . . . . . . . . . . . . . . . . . . . . . . . . .</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159</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88"/>
        </w:trPr>
        <w:tc>
          <w:tcPr>
            <w:tcW w:w="4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Trade names </w:t>
            </w:r>
            <w:r>
              <w:rPr>
                <w:rFonts w:ascii="Times New Roman" w:cs="Times New Roman" w:eastAsia="Times New Roman" w:hAnsi="Times New Roman"/>
                <w:sz w:val="20"/>
                <w:szCs w:val="20"/>
                <w:color w:val="B8BABC"/>
              </w:rPr>
              <w:t>. . . . . . . . . . . . . . . . . . . . . . . . . . . . . . . .</w:t>
            </w:r>
          </w:p>
        </w:tc>
        <w:tc>
          <w:tcPr>
            <w:tcW w:w="42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45"/>
        </w:trPr>
        <w:tc>
          <w:tcPr>
            <w:tcW w:w="4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 xml:space="preserve">Total Impairment charges </w:t>
            </w:r>
            <w:r>
              <w:rPr>
                <w:rFonts w:ascii="Times New Roman" w:cs="Times New Roman" w:eastAsia="Times New Roman" w:hAnsi="Times New Roman"/>
                <w:sz w:val="20"/>
                <w:szCs w:val="20"/>
                <w:color w:val="B8BABC"/>
              </w:rPr>
              <w:t>. . . . . . . . . . . . . . . . . . .</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577</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w:t>
            </w:r>
          </w:p>
        </w:tc>
      </w:tr>
      <w:tr>
        <w:trPr>
          <w:trHeight w:val="20"/>
        </w:trPr>
        <w:tc>
          <w:tcPr>
            <w:tcW w:w="432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r>
    </w:tbl>
    <w:p>
      <w:pPr>
        <w:spacing w:after="0" w:line="24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231F20"/>
        </w:rPr>
        <w:t>During the fourth quarter of 2025, as part of our broader financial strategic review, we conducted a comprehensive review to assess the strategic alignment of inventory and property and equipment within our North America vacation ownership business. This review focused on assessing inventory needs in light of our current inventory holdings and identifying opportunities to monetize certain non-core assets. The conclusions drawn from the strategic review identified indicators of impairment for certain assets. As a result of our impairment analyses, we recorded a non</w:t>
      </w:r>
      <w:r>
        <w:rPr>
          <w:rFonts w:ascii="Arial" w:cs="Arial" w:eastAsia="Arial" w:hAnsi="Arial"/>
          <w:sz w:val="20"/>
          <w:szCs w:val="20"/>
          <w:color w:val="231F20"/>
        </w:rPr>
        <w:t>-</w:t>
      </w:r>
      <w:r>
        <w:rPr>
          <w:rFonts w:ascii="Times New Roman" w:cs="Times New Roman" w:eastAsia="Times New Roman" w:hAnsi="Times New Roman"/>
          <w:sz w:val="20"/>
          <w:szCs w:val="20"/>
          <w:color w:val="231F20"/>
        </w:rPr>
        <w:t>cash impairment related to assets associated with future phases of our existing resorts. The carrying values of the assets associated with these resorts exceeded their estimated fair values because the carrying values included historical allocations of common infrastructure costs incurred when we built the resorts. In addition, we recorded a non-cash impairment related to certain property and equipment identified for disposition including a hotel in Cancun, Mexico, which was classified as a component of Other assets as it was held for sale and ultimately disposed of in January 2026.</w:t>
      </w:r>
    </w:p>
    <w:p>
      <w:pPr>
        <w:spacing w:after="0" w:line="9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231F20"/>
        </w:rPr>
        <w:t>For assets where fair value was determined using the sales-comparison method of the market approach, Level 3 inputs were applied in the valuation process. The fair value measurement was based on analyses of sales and offerings of comparable properties and adjusted to reflect the differences between the asset being valued and the comparable assets, such as market conditions, location, size, physical characteristics, zoning, density and site conditions.</w:t>
      </w:r>
    </w:p>
    <w:p>
      <w:pPr>
        <w:spacing w:after="0" w:line="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231F20"/>
        </w:rPr>
        <w:t>For assets where fair value was determined utilizing the income approach, Level 3 inputs were applied in the valuation process. The fair value measurement was based on discounted cash flow analyses and consideration was given to potential alternative uses of the assets in accordance with the highest and best use requirements outlined in ASC 820. Level 3 inputs utilized in the valuation process included projections of revenue, expense and the estimated discount rates applied.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Property, Equipment, and Other Assets Identified for Disposition</w:t>
      </w:r>
    </w:p>
    <w:p>
      <w:pPr>
        <w:spacing w:after="0" w:line="13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231F20"/>
        </w:rPr>
        <w:t>A $160 million non-cash impairment was recognized for certain non-core Property and equipment and Other assets identified for disposition. We estimated the fair value of the assets using the sales-comparison method of the market approach, which in certain instances also considered brokers’ opinion of value and our own transaction history, Level 3 inputs, or in the case of our hotel located in Cancun, Mexico, was based on a binding sales contract with a third party, which is a Level 3 input.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Future Phases of Existing Resorts</w:t>
      </w:r>
    </w:p>
    <w:p>
      <w:pPr>
        <w:spacing w:after="0" w:line="13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231F20"/>
        </w:rPr>
        <w:t>During 2025, we recorded non-cash impairment charges of $131 million as a result of decisions to forgo build out of future phases of existing resorts which were classified as a component of Property and equipment, net. We estimated the fair value of these assets using the sales-comparison method of the market approach. We also considered other inputs, including a non-binding letter of intent, Level 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Legacy-Welk Inventory</w:t>
      </w:r>
    </w:p>
    <w:p>
      <w:pPr>
        <w:spacing w:after="0" w:line="13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231F20"/>
        </w:rPr>
        <w:t>During 2025 and 2024, we recorded non-cash impairment charges of $75 million and $28 million, respectively, related to Legacy-Welk inventory. The 2024 impairment reflected an elongated pace of sales at a higher marketing and selling cost than the estimates used in purchase accounting</w:t>
      </w:r>
      <w:r>
        <w:rPr>
          <w:rFonts w:ascii="Times New Roman" w:cs="Times New Roman" w:eastAsia="Times New Roman" w:hAnsi="Times New Roman"/>
          <w:sz w:val="20"/>
          <w:szCs w:val="20"/>
          <w:color w:val="7A7B7E"/>
        </w:rPr>
        <w:t>.</w:t>
      </w:r>
      <w:r>
        <w:rPr>
          <w:rFonts w:ascii="Times New Roman" w:cs="Times New Roman" w:eastAsia="Times New Roman" w:hAnsi="Times New Roman"/>
          <w:sz w:val="20"/>
          <w:szCs w:val="20"/>
          <w:color w:val="231F20"/>
        </w:rPr>
        <w:t xml:space="preserve"> The 2025 impairment reflected a further elongated pace of sales at a higher marketing and selling cost as the Hyatt-branded vacation ownership business continues to underperform</w:t>
      </w:r>
    </w:p>
    <w:p>
      <w:pPr>
        <w:sectPr>
          <w:pgSz w:w="11880" w:h="15480" w:orient="portrait"/>
          <w:cols w:equalWidth="0" w:num="1">
            <w:col w:w="9720"/>
          </w:cols>
          <w:pgMar w:left="1080" w:top="829" w:right="108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122</w:t>
      </w:r>
    </w:p>
    <w:p>
      <w:pPr>
        <w:sectPr>
          <w:pgSz w:w="11880" w:h="15480" w:orient="portrait"/>
          <w:cols w:equalWidth="0" w:num="1">
            <w:col w:w="9720"/>
          </w:cols>
          <w:pgMar w:left="1080" w:top="829" w:right="1080" w:bottom="0" w:gutter="0" w:footer="0" w:header="0"/>
          <w:type w:val="continuous"/>
        </w:sectPr>
      </w:pPr>
    </w:p>
    <w:bookmarkStart w:id="126" w:name="page127"/>
    <w:bookmarkEnd w:id="126"/>
    <w:p>
      <w:pPr>
        <w:ind w:right="420"/>
        <w:spacing w:after="0" w:line="281" w:lineRule="auto"/>
        <w:rPr>
          <w:sz w:val="20"/>
          <w:szCs w:val="20"/>
          <w:color w:val="auto"/>
        </w:rPr>
      </w:pPr>
      <w:r>
        <w:rPr>
          <w:rFonts w:ascii="Times New Roman" w:cs="Times New Roman" w:eastAsia="Times New Roman" w:hAnsi="Times New Roman"/>
          <w:sz w:val="20"/>
          <w:szCs w:val="20"/>
          <w:color w:val="231F20"/>
        </w:rPr>
        <w:t>expectations. We used the income approach to estimate the fair value of the assets less costs to sell in both 2025 and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Khao Lak, Thailand Inventory</w:t>
      </w:r>
    </w:p>
    <w:p>
      <w:pPr>
        <w:spacing w:after="0" w:line="1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231F20"/>
        </w:rPr>
        <w:t>We recorded a $27 million non-cash impairment for vacation ownership units classified in Inventory due to the strategy change in Asia Pacific which elongated the pace of sales and changed our marketing approach. We used the income approach to estimate the fair value less costs to sell of the inventory.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Leases</w:t>
      </w:r>
    </w:p>
    <w:p>
      <w:pPr>
        <w:spacing w:after="0" w:line="13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20"/>
          <w:szCs w:val="20"/>
          <w:color w:val="231F20"/>
        </w:rPr>
        <w:t>During 2025, we recorded a $2 million impairment related to an operating lease and related assets in our Exchange &amp; Third-Party Management segment.</w:t>
      </w:r>
    </w:p>
    <w:p>
      <w:pPr>
        <w:spacing w:after="0" w:line="61"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20"/>
          <w:szCs w:val="20"/>
          <w:color w:val="231F20"/>
        </w:rPr>
        <w:t>Upon our relocation to our new corporate headquarters during the fourth quarter of 2023, we recorded a non-cash impairment charge of $16 million to the right-to-use asset related to the operating leases for our previous corporate headquarters as we did not expect proceeds from subleasing these spaces to exceed our future obligations under the operating leases.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Goodwill and Trade Names</w:t>
      </w:r>
    </w:p>
    <w:p>
      <w:pPr>
        <w:spacing w:after="0" w:line="13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20"/>
          <w:szCs w:val="20"/>
          <w:color w:val="231F20"/>
        </w:rPr>
        <w:t>See Footnote 10 “Goodwill” and Footnote 11 “Intangible Assets” for information on the impairments of goodwill and trade names recorded during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21. MODERNIZATION</w:t>
      </w:r>
    </w:p>
    <w:p>
      <w:pPr>
        <w:spacing w:after="0" w:line="137"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0"/>
          <w:szCs w:val="20"/>
          <w:color w:val="231F20"/>
        </w:rPr>
        <w:t>In November 2024, we announced the creation of a Strategic Business Operations office focused on accelerating our growth and driving operating efficiencies in all areas of our business while increasing organizational agility. The Strategic Business Operations office was created to modernize and optimize our processes and systems, including through advanced technology and automation; increase sales efficiency and inventory optimization; and capture significant savings from initiatives related to procurement and corporate overhead.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shows the composition of our Modernization expense for 2025 and 2024:</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6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231F20"/>
              </w:rPr>
              <w:t>($ in millions)</w:t>
            </w:r>
          </w:p>
        </w:tc>
        <w:tc>
          <w:tcPr>
            <w:tcW w:w="42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582"/>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60" w:type="dxa"/>
            <w:vAlign w:val="bottom"/>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582"/>
              <w:spacing w:after="0"/>
              <w:rPr>
                <w:sz w:val="20"/>
                <w:szCs w:val="20"/>
                <w:color w:val="auto"/>
              </w:rPr>
            </w:pPr>
            <w:r>
              <w:rPr>
                <w:rFonts w:ascii="Times New Roman" w:cs="Times New Roman" w:eastAsia="Times New Roman" w:hAnsi="Times New Roman"/>
                <w:sz w:val="18"/>
                <w:szCs w:val="18"/>
                <w:b w:val="1"/>
                <w:bCs w:val="1"/>
                <w:color w:val="231F20"/>
              </w:rPr>
              <w:t>2024</w:t>
            </w:r>
          </w:p>
        </w:tc>
      </w:tr>
      <w:tr>
        <w:trPr>
          <w:trHeight w:val="292"/>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Advisory </w:t>
            </w:r>
            <w:r>
              <w:rPr>
                <w:rFonts w:ascii="Times New Roman" w:cs="Times New Roman" w:eastAsia="Times New Roman" w:hAnsi="Times New Roman"/>
                <w:sz w:val="20"/>
                <w:szCs w:val="20"/>
                <w:color w:val="B8BABC"/>
              </w:rPr>
              <w:t>. . . . . . . . . . . . . . . . . . . . . . . . . . . . . . . . . . . . . . . . . . . . . . . . . . . . .</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r>
      <w:tr>
        <w:trPr>
          <w:trHeight w:val="315"/>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Transition Costs </w:t>
            </w:r>
            <w:r>
              <w:rPr>
                <w:rFonts w:ascii="Times New Roman" w:cs="Times New Roman" w:eastAsia="Times New Roman" w:hAnsi="Times New Roman"/>
                <w:sz w:val="20"/>
                <w:szCs w:val="20"/>
                <w:color w:val="B8BABC"/>
              </w:rPr>
              <w:t>. . . . . . . . . . . . . . . . . . . . . . . . . . . . . . . . . . . . . . . . . . . . . . .</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15"/>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Technology </w:t>
            </w:r>
            <w:r>
              <w:rPr>
                <w:rFonts w:ascii="Times New Roman" w:cs="Times New Roman" w:eastAsia="Times New Roman" w:hAnsi="Times New Roman"/>
                <w:sz w:val="20"/>
                <w:szCs w:val="20"/>
                <w:color w:val="B8BABC"/>
              </w:rPr>
              <w:t>. . . . . . . . . . . . . . . . . . . . . . . . . . . . . . . . . . . . . . . . . . . . . . . . . . .</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318"/>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231F20"/>
              </w:rPr>
              <w:t xml:space="preserve">Other </w:t>
            </w:r>
            <w:r>
              <w:rPr>
                <w:rFonts w:ascii="Times New Roman" w:cs="Times New Roman" w:eastAsia="Times New Roman" w:hAnsi="Times New Roman"/>
                <w:sz w:val="20"/>
                <w:szCs w:val="20"/>
                <w:color w:val="B8BABC"/>
              </w:rPr>
              <w:t>. . . . . . . . . . . . . . . . . . . . . . . . . . . . . . . . . . . . . . . . . . . . . . . . . . . . . . . .</w:t>
            </w:r>
          </w:p>
        </w:tc>
        <w:tc>
          <w:tcPr>
            <w:tcW w:w="42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75"/>
        </w:trPr>
        <w:tc>
          <w:tcPr>
            <w:tcW w:w="6120" w:type="dxa"/>
            <w:vAlign w:val="bottom"/>
          </w:tcPr>
          <w:p>
            <w:pPr>
              <w:spacing w:after="0"/>
              <w:rPr>
                <w:sz w:val="23"/>
                <w:szCs w:val="23"/>
                <w:color w:val="auto"/>
              </w:rPr>
            </w:pP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w:t>
            </w:r>
          </w:p>
        </w:tc>
      </w:tr>
      <w:tr>
        <w:trPr>
          <w:trHeight w:val="20"/>
        </w:trPr>
        <w:tc>
          <w:tcPr>
            <w:tcW w:w="612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presents the activity for this accrual on our Balance Sheet related to our Modernization efforts.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7720" w:type="dxa"/>
            <w:vAlign w:val="bottom"/>
          </w:tcPr>
          <w:p>
            <w:pPr>
              <w:jc w:val="right"/>
              <w:ind w:right="6704"/>
              <w:spacing w:after="0"/>
              <w:rPr>
                <w:sz w:val="20"/>
                <w:szCs w:val="20"/>
                <w:color w:val="auto"/>
              </w:rPr>
            </w:pPr>
            <w:r>
              <w:rPr>
                <w:rFonts w:ascii="Times New Roman" w:cs="Times New Roman" w:eastAsia="Times New Roman" w:hAnsi="Times New Roman"/>
                <w:sz w:val="16"/>
                <w:szCs w:val="16"/>
                <w:b w:val="1"/>
                <w:bCs w:val="1"/>
                <w:i w:val="1"/>
                <w:iCs w:val="1"/>
                <w:color w:val="231F20"/>
                <w:w w:val="96"/>
              </w:rPr>
              <w:t>($ in millions)</w:t>
            </w:r>
          </w:p>
        </w:tc>
        <w:tc>
          <w:tcPr>
            <w:tcW w:w="280" w:type="dxa"/>
            <w:vAlign w:val="bottom"/>
            <w:tcBorders>
              <w:bottom w:val="single" w:sz="8" w:color="231F20"/>
            </w:tcBorders>
          </w:tcPr>
          <w:p>
            <w:pPr>
              <w:spacing w:after="0"/>
              <w:rPr>
                <w:sz w:val="21"/>
                <w:szCs w:val="21"/>
                <w:color w:val="auto"/>
              </w:rPr>
            </w:pPr>
          </w:p>
        </w:tc>
        <w:tc>
          <w:tcPr>
            <w:tcW w:w="1660" w:type="dxa"/>
            <w:vAlign w:val="bottom"/>
            <w:tcBorders>
              <w:bottom w:val="single" w:sz="8" w:color="231F20"/>
            </w:tcBorders>
          </w:tcPr>
          <w:p>
            <w:pPr>
              <w:jc w:val="right"/>
              <w:ind w:right="282"/>
              <w:spacing w:after="0"/>
              <w:rPr>
                <w:sz w:val="20"/>
                <w:szCs w:val="20"/>
                <w:color w:val="auto"/>
              </w:rPr>
            </w:pPr>
            <w:r>
              <w:rPr>
                <w:rFonts w:ascii="Times New Roman" w:cs="Times New Roman" w:eastAsia="Times New Roman" w:hAnsi="Times New Roman"/>
                <w:sz w:val="18"/>
                <w:szCs w:val="18"/>
                <w:b w:val="1"/>
                <w:bCs w:val="1"/>
                <w:color w:val="231F20"/>
              </w:rPr>
              <w:t>SBO Initiatives</w:t>
            </w:r>
          </w:p>
        </w:tc>
      </w:tr>
      <w:tr>
        <w:trPr>
          <w:trHeight w:val="292"/>
        </w:trPr>
        <w:tc>
          <w:tcPr>
            <w:tcW w:w="772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 xml:space="preserve">Balance at December 31, 2024 </w:t>
            </w:r>
            <w:r>
              <w:rPr>
                <w:rFonts w:ascii="Times New Roman" w:cs="Times New Roman" w:eastAsia="Times New Roman" w:hAnsi="Times New Roman"/>
                <w:sz w:val="20"/>
                <w:szCs w:val="20"/>
                <w:color w:val="B8BABC"/>
              </w:rPr>
              <w:t>. . . . . . . . . . . . . . . . . . . . . . . . . . . . . . . . . . . . . . . . . . . . . . . . . . .</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r>
      <w:tr>
        <w:trPr>
          <w:trHeight w:val="315"/>
        </w:trPr>
        <w:tc>
          <w:tcPr>
            <w:tcW w:w="772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 xml:space="preserve">Modernization charges </w:t>
            </w:r>
            <w:r>
              <w:rPr>
                <w:rFonts w:ascii="Times New Roman" w:cs="Times New Roman" w:eastAsia="Times New Roman" w:hAnsi="Times New Roman"/>
                <w:sz w:val="20"/>
                <w:szCs w:val="20"/>
                <w:color w:val="B8BABC"/>
              </w:rPr>
              <w:t>. . . . . . . . . . . . . . . . . . . . . . . . . . . . . . . . . . . . . . . . . . . . . . . . . . . . . . . .</w:t>
            </w:r>
          </w:p>
        </w:tc>
        <w:tc>
          <w:tcPr>
            <w:tcW w:w="2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w:t>
            </w:r>
          </w:p>
        </w:tc>
      </w:tr>
      <w:tr>
        <w:trPr>
          <w:trHeight w:val="318"/>
        </w:trPr>
        <w:tc>
          <w:tcPr>
            <w:tcW w:w="772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 xml:space="preserve">Cash payments </w:t>
            </w:r>
            <w:r>
              <w:rPr>
                <w:rFonts w:ascii="Times New Roman" w:cs="Times New Roman" w:eastAsia="Times New Roman" w:hAnsi="Times New Roman"/>
                <w:sz w:val="20"/>
                <w:szCs w:val="20"/>
                <w:color w:val="B8BABC"/>
              </w:rPr>
              <w:t>. . . . . . . . . . . . . . . . . . . . . . . . . . . . . . . . . . . . . . . . . . . . . . . . . . . . . . . . . . . . . .</w:t>
            </w:r>
          </w:p>
        </w:tc>
        <w:tc>
          <w:tcPr>
            <w:tcW w:w="280" w:type="dxa"/>
            <w:vAlign w:val="bottom"/>
            <w:tcBorders>
              <w:bottom w:val="single" w:sz="8" w:color="231F20"/>
            </w:tcBorders>
          </w:tcPr>
          <w:p>
            <w:pPr>
              <w:spacing w:after="0"/>
              <w:rPr>
                <w:sz w:val="24"/>
                <w:szCs w:val="24"/>
                <w:color w:val="auto"/>
              </w:rPr>
            </w:pPr>
          </w:p>
        </w:tc>
        <w:tc>
          <w:tcPr>
            <w:tcW w:w="1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(97)</w:t>
            </w:r>
          </w:p>
        </w:tc>
      </w:tr>
      <w:tr>
        <w:trPr>
          <w:trHeight w:val="275"/>
        </w:trPr>
        <w:tc>
          <w:tcPr>
            <w:tcW w:w="772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231F20"/>
              </w:rPr>
              <w:t xml:space="preserve">Balance at December 31, 2025 </w:t>
            </w:r>
            <w:r>
              <w:rPr>
                <w:rFonts w:ascii="Times New Roman" w:cs="Times New Roman" w:eastAsia="Times New Roman" w:hAnsi="Times New Roman"/>
                <w:sz w:val="20"/>
                <w:szCs w:val="20"/>
                <w:color w:val="B8BABC"/>
              </w:rPr>
              <w:t>. . . . . . . . . . . . . . . . . . . . . . . . . . . . . . . . . . . . . . . . . . . . . . . . . . .</w:t>
            </w:r>
          </w:p>
        </w:tc>
        <w:tc>
          <w:tcPr>
            <w:tcW w:w="28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26</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660" w:type="dxa"/>
            <w:vAlign w:val="bottom"/>
            <w:tcBorders>
              <w:bottom w:val="single" w:sz="8" w:color="231F20"/>
            </w:tcBorders>
          </w:tcPr>
          <w:p>
            <w:pPr>
              <w:spacing w:after="0" w:line="20" w:lineRule="exact"/>
              <w:rPr>
                <w:sz w:val="1"/>
                <w:szCs w:val="1"/>
                <w:color w:val="auto"/>
              </w:rPr>
            </w:pPr>
          </w:p>
        </w:tc>
      </w:tr>
    </w:tbl>
    <w:p>
      <w:pPr>
        <w:spacing w:after="0" w:line="1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During the third quarter of 2025, we entered into outsourced service arrangements and completed the transition of a portion of certain corporate overhead functions to outsourced service providers. The arrangements are for terms of five to six years, and are cancellable for convenience subject to a termination penalty. As of December 31, 2025,our aggregate expected obligation under these arrangements is $142 million, of which $42 million, $27 million, $26 million, $26 million, $18 million, and $3 million is expected to be paid in 2026, 2027, 2028, 2029, 2030, and thereafter, respectively, and the total penalties for early termination were $17 million.</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123</w:t>
      </w:r>
    </w:p>
    <w:p>
      <w:pPr>
        <w:sectPr>
          <w:pgSz w:w="11880" w:h="15480" w:orient="portrait"/>
          <w:cols w:equalWidth="0" w:num="1">
            <w:col w:w="9720"/>
          </w:cols>
          <w:pgMar w:left="1080" w:top="838" w:right="1080" w:bottom="0" w:gutter="0" w:footer="0" w:header="0"/>
          <w:type w:val="continuous"/>
        </w:sectPr>
      </w:pPr>
    </w:p>
    <w:bookmarkStart w:id="127" w:name="page128"/>
    <w:bookmarkEnd w:id="127"/>
    <w:p>
      <w:pPr>
        <w:ind w:left="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9.</w:t>
      </w:r>
      <w:r>
        <w:rPr>
          <w:sz w:val="20"/>
          <w:szCs w:val="20"/>
          <w:color w:val="auto"/>
        </w:rPr>
        <w:tab/>
      </w:r>
      <w:r>
        <w:rPr>
          <w:rFonts w:ascii="Times New Roman" w:cs="Times New Roman" w:eastAsia="Times New Roman" w:hAnsi="Times New Roman"/>
          <w:sz w:val="19"/>
          <w:szCs w:val="19"/>
          <w:b w:val="1"/>
          <w:bCs w:val="1"/>
          <w:color w:val="231F20"/>
        </w:rPr>
        <w:t>Changes in and Disagreements with Accountants on Accounting and Financial Disclosure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175"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9A.</w:t>
      </w:r>
      <w:r>
        <w:rPr>
          <w:sz w:val="20"/>
          <w:szCs w:val="20"/>
          <w:color w:val="auto"/>
        </w:rPr>
        <w:tab/>
      </w:r>
      <w:r>
        <w:rPr>
          <w:rFonts w:ascii="Times New Roman" w:cs="Times New Roman" w:eastAsia="Times New Roman" w:hAnsi="Times New Roman"/>
          <w:sz w:val="19"/>
          <w:szCs w:val="19"/>
          <w:b w:val="1"/>
          <w:bCs w:val="1"/>
          <w:color w:val="231F20"/>
        </w:rPr>
        <w:t>Controls and Procedures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Disclosure Controls and Procedures</w:t>
      </w:r>
    </w:p>
    <w:p>
      <w:pPr>
        <w:spacing w:after="0" w:line="1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As of the end of the period covered by this Annual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December 31, 2025,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Internal Control Over Financial Reporting</w:t>
      </w:r>
    </w:p>
    <w:p>
      <w:pPr>
        <w:spacing w:after="0" w:line="134"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9"/>
          <w:szCs w:val="19"/>
          <w:color w:val="231F20"/>
        </w:rPr>
        <w:t>Our management is responsible for establishing and maintaining adequate internal control over financial reporting, as defined in Exchange Act Rule 13a-15(f). We have set forth management’s annual report on internal control over financial reporting and the independent registered public accounting firm’s report on the effectiveness of our internal control over financial reporting in Part II, Item 8 of this Annual Report, and we incorporate those reports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Changes in Internal Control Over Financial Reporting</w:t>
      </w:r>
    </w:p>
    <w:p>
      <w:pPr>
        <w:spacing w:after="0" w:line="134" w:lineRule="exact"/>
        <w:rPr>
          <w:sz w:val="20"/>
          <w:szCs w:val="20"/>
          <w:color w:val="auto"/>
        </w:rPr>
      </w:pPr>
    </w:p>
    <w:p>
      <w:pPr>
        <w:ind w:right="820"/>
        <w:spacing w:after="0" w:line="309" w:lineRule="auto"/>
        <w:rPr>
          <w:sz w:val="20"/>
          <w:szCs w:val="20"/>
          <w:color w:val="auto"/>
        </w:rPr>
      </w:pPr>
      <w:r>
        <w:rPr>
          <w:rFonts w:ascii="Times New Roman" w:cs="Times New Roman" w:eastAsia="Times New Roman" w:hAnsi="Times New Roman"/>
          <w:sz w:val="19"/>
          <w:szCs w:val="19"/>
          <w:color w:val="231F20"/>
        </w:rPr>
        <w:t>We made no changes in our internal control over financial reporting during the fourth quarter of 2025 that have materially affected, or are reasonably likely to materially affect, our internal control over financial reporting.</w:t>
      </w:r>
    </w:p>
    <w:p>
      <w:pPr>
        <w:spacing w:after="0" w:line="203"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9B.</w:t>
      </w:r>
      <w:r>
        <w:rPr>
          <w:sz w:val="20"/>
          <w:szCs w:val="20"/>
          <w:color w:val="auto"/>
        </w:rPr>
        <w:tab/>
      </w:r>
      <w:r>
        <w:rPr>
          <w:rFonts w:ascii="Times New Roman" w:cs="Times New Roman" w:eastAsia="Times New Roman" w:hAnsi="Times New Roman"/>
          <w:sz w:val="19"/>
          <w:szCs w:val="19"/>
          <w:b w:val="1"/>
          <w:bCs w:val="1"/>
          <w:color w:val="231F20"/>
        </w:rPr>
        <w:t>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 Trading Plans</w:t>
      </w:r>
    </w:p>
    <w:p>
      <w:pPr>
        <w:spacing w:after="0" w:line="13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231F20"/>
        </w:rPr>
        <w:t>During the quarter ended December 31, 2025, no director or Section 16 officer adopted or terminated any Rule 10b5-1 trading arrangements or non-Rule 10b5-1 trading arrangements (in each case, as defined in Item 408(a) of Regulation S-K).</w:t>
      </w:r>
    </w:p>
    <w:p>
      <w:pPr>
        <w:spacing w:after="0" w:line="241"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9C.</w:t>
      </w:r>
      <w:r>
        <w:rPr>
          <w:sz w:val="20"/>
          <w:szCs w:val="20"/>
          <w:color w:val="auto"/>
        </w:rPr>
        <w:tab/>
      </w:r>
      <w:r>
        <w:rPr>
          <w:rFonts w:ascii="Times New Roman" w:cs="Times New Roman" w:eastAsia="Times New Roman" w:hAnsi="Times New Roman"/>
          <w:sz w:val="19"/>
          <w:szCs w:val="19"/>
          <w:b w:val="1"/>
          <w:bCs w:val="1"/>
          <w:color w:val="231F20"/>
        </w:rPr>
        <w:t>Disclosure Regarding Foreign Jurisdictions that Prevent Inspections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137"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20"/>
          <w:szCs w:val="20"/>
          <w:color w:val="231F20"/>
        </w:rPr>
        <w:t>As described below, we incorporate by reference in this Annual Report certain information appearing in the Proxy Statement that we will furnish to our stockholders for our 2026 Annual Meeting of Stockholders (the “Proxy Statement”).</w:t>
      </w:r>
    </w:p>
    <w:p>
      <w:pPr>
        <w:spacing w:after="0" w:line="121"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10.</w:t>
      </w:r>
      <w:r>
        <w:rPr>
          <w:sz w:val="20"/>
          <w:szCs w:val="20"/>
          <w:color w:val="auto"/>
        </w:rPr>
        <w:tab/>
      </w:r>
      <w:r>
        <w:rPr>
          <w:rFonts w:ascii="Times New Roman" w:cs="Times New Roman" w:eastAsia="Times New Roman" w:hAnsi="Times New Roman"/>
          <w:sz w:val="19"/>
          <w:szCs w:val="19"/>
          <w:b w:val="1"/>
          <w:bCs w:val="1"/>
          <w:color w:val="231F20"/>
        </w:rPr>
        <w:t>Directors, Executive Officers and Corporate Governance</w:t>
      </w:r>
    </w:p>
    <w:p>
      <w:pPr>
        <w:spacing w:after="0" w:line="23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9"/>
          <w:szCs w:val="19"/>
          <w:color w:val="231F20"/>
        </w:rPr>
        <w:t>Our Proxy Statement will be filed with the SEC in connection with our 2026 Annual Meeting of Stockholders. Information regarding executive officers is included in Part I of this Form 10-K as permitted by General Instruction G(3) to Form 10-K. Information required by Item 10 of Form 10-K relating to directors is incorporated by reference to the material captioned “Report on the Board of Directors and its Committees” and information relating to insider trading is incorporated by reference to the material captioned “Insider Trading, Pledging, Hedging, and Derivative Transactions” in</w:t>
      </w:r>
    </w:p>
    <w:p>
      <w:pPr>
        <w:sectPr>
          <w:pgSz w:w="11880" w:h="15480" w:orient="portrait"/>
          <w:cols w:equalWidth="0" w:num="1">
            <w:col w:w="9720"/>
          </w:cols>
          <w:pgMar w:left="1080" w:top="88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124</w:t>
      </w:r>
    </w:p>
    <w:p>
      <w:pPr>
        <w:sectPr>
          <w:pgSz w:w="11880" w:h="15480" w:orient="portrait"/>
          <w:cols w:equalWidth="0" w:num="1">
            <w:col w:w="9720"/>
          </w:cols>
          <w:pgMar w:left="1080" w:top="883" w:right="1080" w:bottom="0" w:gutter="0" w:footer="0" w:header="0"/>
          <w:type w:val="continuous"/>
        </w:sectPr>
      </w:pPr>
    </w:p>
    <w:bookmarkStart w:id="128" w:name="page129"/>
    <w:bookmarkEnd w:id="128"/>
    <w:p>
      <w:pPr>
        <w:ind w:right="20"/>
        <w:spacing w:after="0" w:line="258" w:lineRule="auto"/>
        <w:rPr>
          <w:sz w:val="20"/>
          <w:szCs w:val="20"/>
          <w:color w:val="auto"/>
        </w:rPr>
      </w:pPr>
      <w:r>
        <w:rPr>
          <w:rFonts w:ascii="Times New Roman" w:cs="Times New Roman" w:eastAsia="Times New Roman" w:hAnsi="Times New Roman"/>
          <w:sz w:val="20"/>
          <w:szCs w:val="20"/>
          <w:color w:val="231F20"/>
        </w:rPr>
        <w:t>our Proxy Statement. The section entitled, “Delinquent Section 16(a) Reports” in our Proxy Statement is incorporated by reference. The Company has adopted a securities trading policy (the “Insider Trading Policy”), which governs the purchase, sale and other dispositions of our securities by directors, officers and employees (including, as applicable, their family members and controlled entities, in each case, as defined in the Insider Trading Policy) and the Company. The Insider Trading Policy is filed as an exhibit to this Annual Report on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Code of Conduct</w:t>
      </w:r>
    </w:p>
    <w:p>
      <w:pPr>
        <w:spacing w:after="0" w:line="13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231F20"/>
        </w:rPr>
        <w:t>Our Board of Directors has adopted a code of conduct, our Business Conduct Guide, that applies to all of our directors, officers, and associates, including our Principal Executive Officer, Principal Financial Officer, and Principal Accounting Officer. Our Business Conduct Guide is available in the Investor Relations section of our website (marriottvacationsworldwide.com) and is accessible by clicking on “Corporate Governance.” Any amendments to our Business Conduct Guide and any grant of a waiver from a provision of our Business Conduct Guide requiring disclosure under applicable SEC rules may be disclosed at the same location as the Business Conduct Guide in the Investor Relations section in the Investor Relations section of our website within four business days following the date of the amendment or waiver or on a Current Report on Form 8-K.</w:t>
      </w:r>
    </w:p>
    <w:p>
      <w:pPr>
        <w:spacing w:after="0" w:line="138"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11.</w:t>
      </w:r>
      <w:r>
        <w:rPr>
          <w:sz w:val="20"/>
          <w:szCs w:val="20"/>
          <w:color w:val="auto"/>
        </w:rPr>
        <w:tab/>
      </w:r>
      <w:r>
        <w:rPr>
          <w:rFonts w:ascii="Times New Roman" w:cs="Times New Roman" w:eastAsia="Times New Roman" w:hAnsi="Times New Roman"/>
          <w:sz w:val="19"/>
          <w:szCs w:val="19"/>
          <w:b w:val="1"/>
          <w:bCs w:val="1"/>
          <w:color w:val="231F20"/>
        </w:rPr>
        <w:t>Executive Compensation</w:t>
      </w:r>
    </w:p>
    <w:p>
      <w:pPr>
        <w:spacing w:after="0" w:line="130"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20"/>
          <w:szCs w:val="20"/>
          <w:color w:val="231F20"/>
        </w:rPr>
        <w:t>We incorporate this information by reference to the “Executive and Director Compensation” and “Compensation Committee Interlocks and Insider Participation” sections of our Proxy Statement.</w:t>
      </w:r>
    </w:p>
    <w:p>
      <w:pPr>
        <w:spacing w:after="0" w:line="107" w:lineRule="exact"/>
        <w:rPr>
          <w:sz w:val="20"/>
          <w:szCs w:val="20"/>
          <w:color w:val="auto"/>
        </w:rPr>
      </w:pPr>
    </w:p>
    <w:p>
      <w:pPr>
        <w:ind w:left="1260" w:right="520" w:hanging="1199"/>
        <w:spacing w:after="0" w:line="244" w:lineRule="auto"/>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12.</w:t>
      </w:r>
      <w:r>
        <w:rPr>
          <w:sz w:val="20"/>
          <w:szCs w:val="20"/>
          <w:color w:val="auto"/>
        </w:rPr>
        <w:tab/>
      </w:r>
      <w:r>
        <w:rPr>
          <w:rFonts w:ascii="Times New Roman" w:cs="Times New Roman" w:eastAsia="Times New Roman" w:hAnsi="Times New Roman"/>
          <w:sz w:val="20"/>
          <w:szCs w:val="20"/>
          <w:b w:val="1"/>
          <w:bCs w:val="1"/>
          <w:color w:val="231F20"/>
        </w:rPr>
        <w:t>Security Ownership of Certain Beneficial Owners and Management and Related Stockholder Matters</w:t>
      </w:r>
    </w:p>
    <w:p>
      <w:pPr>
        <w:spacing w:after="0" w:line="72"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231F20"/>
        </w:rPr>
        <w:t>We incorporate this information by reference to the “Securities Authorized for Issuance Under Equity Compensation Plans” and “Stock Ownership” sections of our Proxy Statement.</w:t>
      </w:r>
    </w:p>
    <w:p>
      <w:pPr>
        <w:spacing w:after="0" w:line="107"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13.</w:t>
      </w:r>
      <w:r>
        <w:rPr>
          <w:sz w:val="20"/>
          <w:szCs w:val="20"/>
          <w:color w:val="auto"/>
        </w:rPr>
        <w:tab/>
      </w:r>
      <w:r>
        <w:rPr>
          <w:rFonts w:ascii="Times New Roman" w:cs="Times New Roman" w:eastAsia="Times New Roman" w:hAnsi="Times New Roman"/>
          <w:sz w:val="19"/>
          <w:szCs w:val="19"/>
          <w:b w:val="1"/>
          <w:bCs w:val="1"/>
          <w:color w:val="231F20"/>
        </w:rPr>
        <w:t>Certain Relationships and Related Transactions, and Director Independence</w:t>
      </w:r>
    </w:p>
    <w:p>
      <w:pPr>
        <w:spacing w:after="0" w:line="130"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20"/>
          <w:szCs w:val="20"/>
          <w:color w:val="231F20"/>
        </w:rPr>
        <w:t>We incorporate this information by reference to the “Transactions with Related Persons” and “Director Independence” sections of our Proxy Statement.</w:t>
      </w:r>
    </w:p>
    <w:p>
      <w:pPr>
        <w:spacing w:after="0" w:line="107"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14.</w:t>
      </w:r>
      <w:r>
        <w:rPr>
          <w:sz w:val="20"/>
          <w:szCs w:val="20"/>
          <w:color w:val="auto"/>
        </w:rPr>
        <w:tab/>
      </w:r>
      <w:r>
        <w:rPr>
          <w:rFonts w:ascii="Times New Roman" w:cs="Times New Roman" w:eastAsia="Times New Roman" w:hAnsi="Times New Roman"/>
          <w:sz w:val="19"/>
          <w:szCs w:val="19"/>
          <w:b w:val="1"/>
          <w:bCs w:val="1"/>
          <w:color w:val="231F20"/>
        </w:rPr>
        <w:t>Principal Accountant Fees and Services</w:t>
      </w:r>
    </w:p>
    <w:p>
      <w:pPr>
        <w:spacing w:after="0" w:line="13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231F20"/>
        </w:rPr>
        <w:t>We incorporate this information by reference to the “Independent Registered Public Accounting Firm Fee Disclosure” and “Pre-Approval of Independent Auditor Fees and Services Policy” sections of our Proxy Statement.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183" w:lineRule="exact"/>
        <w:rPr>
          <w:sz w:val="20"/>
          <w:szCs w:val="20"/>
          <w:color w:val="auto"/>
        </w:rPr>
      </w:pPr>
    </w:p>
    <w:p>
      <w:pPr>
        <w:ind w:left="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231F20"/>
        </w:rPr>
        <w:t>Item 15.</w:t>
      </w:r>
      <w:r>
        <w:rPr>
          <w:sz w:val="20"/>
          <w:szCs w:val="20"/>
          <w:color w:val="auto"/>
        </w:rPr>
        <w:tab/>
      </w:r>
      <w:r>
        <w:rPr>
          <w:rFonts w:ascii="Times New Roman" w:cs="Times New Roman" w:eastAsia="Times New Roman" w:hAnsi="Times New Roman"/>
          <w:sz w:val="19"/>
          <w:szCs w:val="19"/>
          <w:b w:val="1"/>
          <w:bCs w:val="1"/>
          <w:color w:val="231F20"/>
        </w:rPr>
        <w:t>Exhibits and Financial Statement Schedules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are filed as part of this Annual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 Financial Statements</w:t>
      </w:r>
    </w:p>
    <w:p>
      <w:pPr>
        <w:spacing w:after="0" w:line="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We include this portion of Item 15 under Part II, Item 8 of this Annual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(2) Financial Statement Schedules</w:t>
      </w:r>
    </w:p>
    <w:p>
      <w:pPr>
        <w:spacing w:after="0" w:line="70" w:lineRule="exact"/>
        <w:rPr>
          <w:sz w:val="20"/>
          <w:szCs w:val="20"/>
          <w:color w:val="auto"/>
        </w:rPr>
      </w:pPr>
    </w:p>
    <w:p>
      <w:pPr>
        <w:ind w:left="720" w:right="120"/>
        <w:spacing w:after="0" w:line="296" w:lineRule="auto"/>
        <w:rPr>
          <w:sz w:val="20"/>
          <w:szCs w:val="20"/>
          <w:color w:val="auto"/>
        </w:rPr>
      </w:pPr>
      <w:r>
        <w:rPr>
          <w:rFonts w:ascii="Times New Roman" w:cs="Times New Roman" w:eastAsia="Times New Roman" w:hAnsi="Times New Roman"/>
          <w:sz w:val="19"/>
          <w:szCs w:val="19"/>
          <w:color w:val="231F20"/>
        </w:rPr>
        <w:t>We include the financial statement schedules required by the applicable accounting regulations of the SEC in the notes to our consolidated financial statements and incorporate that information in this Item 15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(3) Exhibits</w:t>
      </w:r>
    </w:p>
    <w:p>
      <w:pPr>
        <w:spacing w:after="0" w:line="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All documents referenced below are being filed as a part of this Annual Report, unless otherwise noted.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Exhibit</w:t>
            </w:r>
          </w:p>
        </w:tc>
        <w:tc>
          <w:tcPr>
            <w:tcW w:w="80" w:type="dxa"/>
            <w:vAlign w:val="bottom"/>
          </w:tcPr>
          <w:p>
            <w:pPr>
              <w:spacing w:after="0"/>
              <w:rPr>
                <w:sz w:val="18"/>
                <w:szCs w:val="18"/>
                <w:color w:val="auto"/>
              </w:rPr>
            </w:pPr>
          </w:p>
        </w:tc>
        <w:tc>
          <w:tcPr>
            <w:tcW w:w="502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b w:val="1"/>
                <w:bCs w:val="1"/>
                <w:color w:val="231F20"/>
              </w:rPr>
              <w:t>Description</w:t>
            </w:r>
          </w:p>
        </w:tc>
        <w:tc>
          <w:tcPr>
            <w:tcW w:w="6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231F20"/>
                <w:w w:val="97"/>
              </w:rPr>
              <w:t>Filed</w:t>
            </w:r>
          </w:p>
        </w:tc>
        <w:tc>
          <w:tcPr>
            <w:tcW w:w="27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231F20"/>
              </w:rPr>
              <w:t>Incorporation By Reference From</w:t>
            </w:r>
          </w:p>
        </w:tc>
        <w:tc>
          <w:tcPr>
            <w:tcW w:w="0" w:type="dxa"/>
            <w:vAlign w:val="bottom"/>
          </w:tcPr>
          <w:p>
            <w:pPr>
              <w:spacing w:after="0"/>
              <w:rPr>
                <w:sz w:val="1"/>
                <w:szCs w:val="1"/>
                <w:color w:val="auto"/>
              </w:rPr>
            </w:pPr>
          </w:p>
        </w:tc>
      </w:tr>
      <w:tr>
        <w:trPr>
          <w:trHeight w:val="27"/>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Number</w:t>
            </w:r>
          </w:p>
        </w:tc>
        <w:tc>
          <w:tcPr>
            <w:tcW w:w="80" w:type="dxa"/>
            <w:vAlign w:val="bottom"/>
            <w:vMerge w:val="restart"/>
          </w:tcPr>
          <w:p>
            <w:pPr>
              <w:spacing w:after="0"/>
              <w:rPr>
                <w:sz w:val="2"/>
                <w:szCs w:val="2"/>
                <w:color w:val="auto"/>
              </w:rPr>
            </w:pPr>
          </w:p>
        </w:tc>
        <w:tc>
          <w:tcPr>
            <w:tcW w:w="50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231F20"/>
                <w:w w:val="99"/>
              </w:rPr>
              <w:t>Herewith</w:t>
            </w:r>
          </w:p>
        </w:tc>
        <w:tc>
          <w:tcPr>
            <w:tcW w:w="68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8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50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Form</w:t>
            </w:r>
          </w:p>
        </w:tc>
        <w:tc>
          <w:tcPr>
            <w:tcW w:w="60" w:type="dxa"/>
            <w:vAlign w:val="bottom"/>
          </w:tcPr>
          <w:p>
            <w:pPr>
              <w:spacing w:after="0"/>
              <w:rPr>
                <w:sz w:val="8"/>
                <w:szCs w:val="8"/>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rPr>
              <w:t>Exhibit</w:t>
            </w:r>
          </w:p>
        </w:tc>
        <w:tc>
          <w:tcPr>
            <w:tcW w:w="80" w:type="dxa"/>
            <w:vAlign w:val="bottom"/>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Date Filed</w:t>
            </w:r>
          </w:p>
        </w:tc>
        <w:tc>
          <w:tcPr>
            <w:tcW w:w="0" w:type="dxa"/>
            <w:vAlign w:val="bottom"/>
          </w:tcPr>
          <w:p>
            <w:pPr>
              <w:spacing w:after="0"/>
              <w:rPr>
                <w:sz w:val="1"/>
                <w:szCs w:val="1"/>
                <w:color w:val="auto"/>
              </w:rPr>
            </w:pPr>
          </w:p>
        </w:tc>
      </w:tr>
      <w:tr>
        <w:trPr>
          <w:trHeight w:val="138"/>
        </w:trPr>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880" w:type="dxa"/>
            <w:vAlign w:val="bottom"/>
            <w:tcBorders>
              <w:top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tcBorders>
              <w:top w:val="single" w:sz="8" w:color="231F20"/>
            </w:tcBorders>
          </w:tcPr>
          <w:p>
            <w:pPr>
              <w:ind w:left="60"/>
              <w:spacing w:after="0" w:line="217" w:lineRule="exact"/>
              <w:rPr>
                <w:sz w:val="20"/>
                <w:szCs w:val="20"/>
                <w:color w:val="auto"/>
              </w:rPr>
            </w:pPr>
            <w:r>
              <w:rPr>
                <w:rFonts w:ascii="Times New Roman" w:cs="Times New Roman" w:eastAsia="Times New Roman" w:hAnsi="Times New Roman"/>
                <w:sz w:val="20"/>
                <w:szCs w:val="20"/>
                <w:color w:val="231F20"/>
              </w:rPr>
              <w:t>Separation and Distribution Agreement, entered into on</w:t>
            </w:r>
          </w:p>
        </w:tc>
        <w:tc>
          <w:tcPr>
            <w:tcW w:w="60" w:type="dxa"/>
            <w:vAlign w:val="bottom"/>
          </w:tcPr>
          <w:p>
            <w:pPr>
              <w:spacing w:after="0"/>
              <w:rPr>
                <w:sz w:val="18"/>
                <w:szCs w:val="18"/>
                <w:color w:val="auto"/>
              </w:rPr>
            </w:pPr>
          </w:p>
        </w:tc>
        <w:tc>
          <w:tcPr>
            <w:tcW w:w="860" w:type="dxa"/>
            <w:vAlign w:val="bottom"/>
            <w:tcBorders>
              <w:top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top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231F20"/>
              </w:rPr>
              <w:t>November 17, 2011, among Marriott International, Inc.,</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88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color w:val="231F20"/>
                <w:w w:val="95"/>
              </w:rPr>
              <w:t>2.1</w:t>
            </w:r>
          </w:p>
        </w:tc>
        <w:tc>
          <w:tcPr>
            <w:tcW w:w="80" w:type="dxa"/>
            <w:vAlign w:val="bottom"/>
          </w:tcPr>
          <w:p>
            <w:pPr>
              <w:spacing w:after="0"/>
              <w:rPr>
                <w:sz w:val="22"/>
                <w:szCs w:val="22"/>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Marriott Vacations Worldwide Corporation, Marriott</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right"/>
              <w:ind w:right="210"/>
              <w:spacing w:after="0" w:line="222" w:lineRule="exact"/>
              <w:rPr>
                <w:sz w:val="20"/>
                <w:szCs w:val="20"/>
                <w:color w:val="auto"/>
              </w:rPr>
            </w:pPr>
            <w:r>
              <w:rPr>
                <w:rFonts w:ascii="Times New Roman" w:cs="Times New Roman" w:eastAsia="Times New Roman" w:hAnsi="Times New Roman"/>
                <w:sz w:val="20"/>
                <w:szCs w:val="20"/>
                <w:color w:val="231F20"/>
              </w:rPr>
              <w:t>2.1</w:t>
            </w:r>
          </w:p>
        </w:tc>
        <w:tc>
          <w:tcPr>
            <w:tcW w:w="1140" w:type="dxa"/>
            <w:vAlign w:val="bottom"/>
            <w:gridSpan w:val="2"/>
          </w:tcPr>
          <w:p>
            <w:pPr>
              <w:jc w:val="right"/>
              <w:spacing w:after="0" w:line="222" w:lineRule="exact"/>
              <w:rPr>
                <w:sz w:val="20"/>
                <w:szCs w:val="20"/>
                <w:color w:val="auto"/>
              </w:rPr>
            </w:pPr>
            <w:r>
              <w:rPr>
                <w:rFonts w:ascii="Times New Roman" w:cs="Times New Roman" w:eastAsia="Times New Roman" w:hAnsi="Times New Roman"/>
                <w:sz w:val="20"/>
                <w:szCs w:val="20"/>
                <w:color w:val="231F20"/>
              </w:rPr>
              <w:t>11/22/2011</w:t>
            </w:r>
          </w:p>
        </w:tc>
        <w:tc>
          <w:tcPr>
            <w:tcW w:w="0" w:type="dxa"/>
            <w:vAlign w:val="bottom"/>
          </w:tcPr>
          <w:p>
            <w:pPr>
              <w:spacing w:after="0"/>
              <w:rPr>
                <w:sz w:val="1"/>
                <w:szCs w:val="1"/>
                <w:color w:val="auto"/>
              </w:rPr>
            </w:pPr>
          </w:p>
        </w:tc>
      </w:tr>
    </w:tbl>
    <w:p>
      <w:pPr>
        <w:ind w:left="1020" w:right="3840"/>
        <w:spacing w:after="0" w:line="208" w:lineRule="auto"/>
        <w:rPr>
          <w:sz w:val="20"/>
          <w:szCs w:val="20"/>
          <w:color w:val="auto"/>
        </w:rPr>
      </w:pPr>
      <w:r>
        <w:rPr>
          <w:rFonts w:ascii="Times New Roman" w:cs="Times New Roman" w:eastAsia="Times New Roman" w:hAnsi="Times New Roman"/>
          <w:sz w:val="20"/>
          <w:szCs w:val="20"/>
          <w:color w:val="231F20"/>
        </w:rPr>
        <w:t>Ownership Resorts, Inc., Marriott Resorts Hospitality Corporation, MVCI Asia Pacific Pte. Ltd. and MVCO Series LLC</w:t>
      </w:r>
    </w:p>
    <w:p>
      <w:pPr>
        <w:sectPr>
          <w:pgSz w:w="11880" w:h="15480" w:orient="portrait"/>
          <w:cols w:equalWidth="0" w:num="1">
            <w:col w:w="9720"/>
          </w:cols>
          <w:pgMar w:left="1080" w:top="8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125</w:t>
      </w:r>
    </w:p>
    <w:p>
      <w:pPr>
        <w:sectPr>
          <w:pgSz w:w="11880" w:h="15480" w:orient="portrait"/>
          <w:cols w:equalWidth="0" w:num="1">
            <w:col w:w="9720"/>
          </w:cols>
          <w:pgMar w:left="1080" w:top="838" w:right="1080" w:bottom="0" w:gutter="0" w:footer="0" w:header="0"/>
          <w:type w:val="continuous"/>
        </w:sectPr>
      </w:pPr>
    </w:p>
    <w:bookmarkStart w:id="129" w:name="page130"/>
    <w:bookmarkEnd w:id="129"/>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31F20"/>
        </w:rPr>
        <w:t>Exhibit</w:t>
      </w:r>
    </w:p>
    <w:p>
      <w:pPr>
        <w:spacing w:after="0"/>
        <w:rPr>
          <w:sz w:val="20"/>
          <w:szCs w:val="20"/>
          <w:color w:val="auto"/>
        </w:rPr>
      </w:pPr>
      <w:r>
        <w:rPr>
          <w:rFonts w:ascii="Times New Roman" w:cs="Times New Roman" w:eastAsia="Times New Roman" w:hAnsi="Times New Roman"/>
          <w:sz w:val="18"/>
          <w:szCs w:val="18"/>
          <w:b w:val="1"/>
          <w:bCs w:val="1"/>
          <w:color w:val="231F20"/>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35560</wp:posOffset>
            </wp:positionV>
            <wp:extent cx="56197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5">
                      <a:extLst>
                        <a:ext uri="{28A0092B-C50C-407E-A947-70E740481C1C}"/>
                      </a:extLst>
                    </a:blip>
                    <a:srcRect/>
                    <a:stretch>
                      <a:fillRect/>
                    </a:stretch>
                  </pic:blipFill>
                  <pic:spPr bwMode="auto">
                    <a:xfrm>
                      <a:off x="0" y="0"/>
                      <a:ext cx="561975" cy="12700"/>
                    </a:xfrm>
                    <a:prstGeom prst="rect">
                      <a:avLst/>
                    </a:prstGeom>
                    <a:noFill/>
                  </pic:spPr>
                </pic:pic>
              </a:graphicData>
            </a:graphic>
          </wp:anchor>
        </w:drawing>
      </w:r>
    </w:p>
    <w:p>
      <w:pPr>
        <w:spacing w:after="0" w:line="3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231F20"/>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231F20"/>
        </w:rPr>
        <w:t>2.3</w:t>
      </w:r>
    </w:p>
    <w:p>
      <w:pPr>
        <w:spacing w:after="0" w:line="200" w:lineRule="exact"/>
        <w:rPr>
          <w:sz w:val="20"/>
          <w:szCs w:val="20"/>
          <w:color w:val="auto"/>
        </w:rPr>
      </w:pPr>
    </w:p>
    <w:p>
      <w:pPr>
        <w:spacing w:after="0" w:line="3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231F20"/>
        </w:rPr>
        <w:t>3.1</w:t>
      </w: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231F20"/>
        </w:rPr>
        <w:t>3.2</w:t>
      </w:r>
    </w:p>
    <w:p>
      <w:pPr>
        <w:spacing w:after="0" w:line="4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231F20"/>
        </w:rPr>
        <w:t>4.1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231F20"/>
        </w:rPr>
        <w:t>4.2</w:t>
      </w:r>
    </w:p>
    <w:p>
      <w:pPr>
        <w:spacing w:after="0" w:line="200" w:lineRule="exact"/>
        <w:rPr>
          <w:sz w:val="20"/>
          <w:szCs w:val="20"/>
          <w:color w:val="auto"/>
        </w:rPr>
      </w:pPr>
    </w:p>
    <w:p>
      <w:pPr>
        <w:spacing w:after="0" w:line="3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231F20"/>
        </w:rPr>
        <w:t>4.3</w:t>
      </w: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231F20"/>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231F20"/>
        </w:rPr>
        <w:t>4.5</w:t>
      </w:r>
    </w:p>
    <w:p>
      <w:pPr>
        <w:spacing w:after="0" w:line="200" w:lineRule="exact"/>
        <w:rPr>
          <w:sz w:val="20"/>
          <w:szCs w:val="20"/>
          <w:color w:val="auto"/>
        </w:rPr>
      </w:pPr>
    </w:p>
    <w:p>
      <w:pPr>
        <w:spacing w:after="0" w:line="3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231F20"/>
        </w:rPr>
        <w:t>4.6</w:t>
      </w:r>
    </w:p>
    <w:p>
      <w:pPr>
        <w:spacing w:after="0" w:line="200" w:lineRule="exact"/>
        <w:rPr>
          <w:sz w:val="20"/>
          <w:szCs w:val="20"/>
          <w:color w:val="auto"/>
        </w:rPr>
      </w:pPr>
    </w:p>
    <w:p>
      <w:pPr>
        <w:spacing w:after="0" w:line="3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231F20"/>
        </w:rPr>
        <w:t>4.7</w:t>
      </w:r>
    </w:p>
    <w:p>
      <w:pPr>
        <w:spacing w:after="0" w:line="200" w:lineRule="exact"/>
        <w:rPr>
          <w:sz w:val="20"/>
          <w:szCs w:val="20"/>
          <w:color w:val="auto"/>
        </w:rPr>
      </w:pPr>
    </w:p>
    <w:p>
      <w:pPr>
        <w:spacing w:after="0" w:line="3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231F20"/>
        </w:rPr>
        <w:t>4.8</w:t>
      </w:r>
    </w:p>
    <w:p>
      <w:pPr>
        <w:spacing w:after="0" w:line="200" w:lineRule="exact"/>
        <w:rPr>
          <w:sz w:val="20"/>
          <w:szCs w:val="20"/>
          <w:color w:val="auto"/>
        </w:rPr>
      </w:pPr>
    </w:p>
    <w:p>
      <w:pPr>
        <w:spacing w:after="0" w:line="3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231F20"/>
        </w:rPr>
        <w:t>4.9</w:t>
      </w:r>
    </w:p>
    <w:p>
      <w:pPr>
        <w:spacing w:after="0" w:line="200" w:lineRule="exact"/>
        <w:rPr>
          <w:sz w:val="20"/>
          <w:szCs w:val="20"/>
          <w:color w:val="auto"/>
        </w:rPr>
      </w:pPr>
    </w:p>
    <w:p>
      <w:pPr>
        <w:spacing w:after="0" w:line="3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231F20"/>
        </w:rPr>
        <w:t>4.10</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231F20"/>
        </w:rPr>
        <w:t>4.11</w:t>
      </w:r>
    </w:p>
    <w:p>
      <w:pPr>
        <w:spacing w:after="0" w:line="200" w:lineRule="exact"/>
        <w:rPr>
          <w:sz w:val="20"/>
          <w:szCs w:val="20"/>
          <w:color w:val="auto"/>
        </w:rPr>
      </w:pPr>
    </w:p>
    <w:p>
      <w:pPr>
        <w:spacing w:after="0" w:line="2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231F20"/>
        </w:rPr>
        <w:t>4.12</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107950</wp:posOffset>
            </wp:positionV>
            <wp:extent cx="3181350"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6">
                      <a:extLst>
                        <a:ext uri="{28A0092B-C50C-407E-A947-70E740481C1C}"/>
                      </a:extLst>
                    </a:blip>
                    <a:srcRect/>
                    <a:stretch>
                      <a:fillRect/>
                    </a:stretch>
                  </pic:blipFill>
                  <pic:spPr bwMode="auto">
                    <a:xfrm>
                      <a:off x="0" y="0"/>
                      <a:ext cx="3181350" cy="12700"/>
                    </a:xfrm>
                    <a:prstGeom prst="rect">
                      <a:avLst/>
                    </a:prstGeom>
                    <a:noFill/>
                  </pic:spPr>
                </pic:pic>
              </a:graphicData>
            </a:graphic>
          </wp:anchor>
        </w:drawing>
      </w:r>
    </w:p>
    <w:p>
      <w:pPr>
        <w:spacing w:after="0" w:line="191" w:lineRule="exact"/>
        <w:rPr>
          <w:sz w:val="20"/>
          <w:szCs w:val="20"/>
          <w:color w:val="auto"/>
        </w:rPr>
      </w:pPr>
    </w:p>
    <w:p>
      <w:pPr>
        <w:ind w:right="160"/>
        <w:spacing w:after="0" w:line="224" w:lineRule="auto"/>
        <w:rPr>
          <w:sz w:val="20"/>
          <w:szCs w:val="20"/>
          <w:color w:val="auto"/>
        </w:rPr>
      </w:pPr>
      <w:r>
        <w:rPr>
          <w:rFonts w:ascii="Times New Roman" w:cs="Times New Roman" w:eastAsia="Times New Roman" w:hAnsi="Times New Roman"/>
          <w:sz w:val="20"/>
          <w:szCs w:val="20"/>
          <w:color w:val="231F20"/>
        </w:rPr>
        <w:t>Agreement and Plan of Merger, dated as of April 30, 2018, by and among Marriott Vacations Worldwide Corporation, ILG, Inc., Ignite Holdco, Inc., Ignite Holdco Subsidiary, Inc., Volt Merger Sub LLC</w:t>
      </w:r>
      <w:r>
        <w:rPr>
          <w:rFonts w:ascii="Times New Roman" w:cs="Times New Roman" w:eastAsia="Times New Roman" w:hAnsi="Times New Roman"/>
          <w:sz w:val="10"/>
          <w:szCs w:val="10"/>
          <w:color w:val="231F20"/>
        </w:rPr>
        <w:t>(1)</w:t>
      </w:r>
    </w:p>
    <w:p>
      <w:pPr>
        <w:spacing w:after="0" w:line="76"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20"/>
          <w:szCs w:val="20"/>
          <w:color w:val="231F20"/>
        </w:rPr>
        <w:t>Agreement and Plan of Merger by and among Marriott Vacations Worldwide Corporation, Sommelier Acquisition Corp., Champagne Resorts, Inc., Welk Hospitality Group, Inc. and the Shareholder Representative, dated as of January 26, 2021</w:t>
      </w:r>
    </w:p>
    <w:p>
      <w:pPr>
        <w:spacing w:after="0" w:line="66" w:lineRule="exact"/>
        <w:rPr>
          <w:sz w:val="20"/>
          <w:szCs w:val="20"/>
          <w:color w:val="auto"/>
        </w:rPr>
      </w:pPr>
    </w:p>
    <w:p>
      <w:pPr>
        <w:ind w:right="380"/>
        <w:spacing w:after="0"/>
        <w:rPr>
          <w:sz w:val="20"/>
          <w:szCs w:val="20"/>
          <w:color w:val="auto"/>
        </w:rPr>
      </w:pPr>
      <w:r>
        <w:rPr>
          <w:rFonts w:ascii="Times New Roman" w:cs="Times New Roman" w:eastAsia="Times New Roman" w:hAnsi="Times New Roman"/>
          <w:sz w:val="20"/>
          <w:szCs w:val="20"/>
          <w:color w:val="231F20"/>
        </w:rPr>
        <w:t>Second Restated Certificate of Incorporation of Marriott Vacations Worldwide Corporation</w:t>
      </w:r>
    </w:p>
    <w:p>
      <w:pPr>
        <w:spacing w:after="0" w:line="65" w:lineRule="exact"/>
        <w:rPr>
          <w:sz w:val="20"/>
          <w:szCs w:val="20"/>
          <w:color w:val="auto"/>
        </w:rPr>
      </w:pPr>
    </w:p>
    <w:p>
      <w:pPr>
        <w:ind w:right="820"/>
        <w:spacing w:after="0"/>
        <w:rPr>
          <w:sz w:val="20"/>
          <w:szCs w:val="20"/>
          <w:color w:val="auto"/>
        </w:rPr>
      </w:pPr>
      <w:r>
        <w:rPr>
          <w:rFonts w:ascii="Times New Roman" w:cs="Times New Roman" w:eastAsia="Times New Roman" w:hAnsi="Times New Roman"/>
          <w:sz w:val="20"/>
          <w:szCs w:val="20"/>
          <w:color w:val="231F20"/>
        </w:rPr>
        <w:t>Restated Bylaws of Marriott Vacations Worldwide Corporation (effective May 12, 2023)</w:t>
      </w:r>
    </w:p>
    <w:p>
      <w:pPr>
        <w:spacing w:after="0" w:line="70"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0"/>
          <w:szCs w:val="20"/>
          <w:color w:val="231F20"/>
        </w:rPr>
        <w:t>Form of certificate representing shares of common stock, par value $0.01 per share, of Marriott Vacations Worldwide Corporation</w:t>
      </w:r>
    </w:p>
    <w:p>
      <w:pPr>
        <w:spacing w:after="0" w:line="72"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20"/>
          <w:szCs w:val="20"/>
          <w:color w:val="231F20"/>
        </w:rPr>
        <w:t>Indenture, dated as of October 1, 2019, by and among Marriott Ownership Resorts, Inc., Marriott Vacations Worldwide Corporation, as guarantor, the other guarantors party thereto and The Bank of New York Mellon Trust Company, N.A., as trustee</w:t>
      </w:r>
    </w:p>
    <w:p>
      <w:pPr>
        <w:spacing w:after="0" w:line="6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231F20"/>
        </w:rPr>
        <w:t>Form of 4.750% Senior Notes due 2028 (included as Exhibit A to Exhibit 4.2 above)</w:t>
      </w:r>
    </w:p>
    <w:p>
      <w:pPr>
        <w:spacing w:after="0" w:line="75"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9"/>
          <w:szCs w:val="19"/>
          <w:color w:val="231F20"/>
        </w:rPr>
        <w:t>Registration Rights Agreement, dated as of October 1, 2019, by and among Marriott Ownership Resorts, Inc., Marriott Vacations Worldwide Corporation, as guarantor, the other guarantors party thereto and J.P. Morgan Securities LLC</w:t>
      </w:r>
    </w:p>
    <w:p>
      <w:pPr>
        <w:spacing w:after="0" w:line="76"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20"/>
          <w:szCs w:val="20"/>
          <w:color w:val="231F20"/>
        </w:rPr>
        <w:t>Indenture, dated as of February 2, 2021, by and among Marriott Vacations Worldwide Corporation, Marriott Ownership Resorts, Inc. and the other guarantors party thereto and The Bank of New York Mellon Trust Company, N.A., as trustee</w:t>
      </w:r>
    </w:p>
    <w:p>
      <w:pPr>
        <w:spacing w:after="0" w:line="66"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231F20"/>
        </w:rPr>
        <w:t>Form of 0.00% Convertible Senior Note due 2026 (included as Exhibit A to Exhibit 4.5 above)</w:t>
      </w:r>
    </w:p>
    <w:p>
      <w:pPr>
        <w:spacing w:after="0" w:line="65"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231F20"/>
        </w:rPr>
        <w:t>Indenture, dated as of June 21, 2021, by and among Marriott Ownership Resorts, Inc., Marriott Vacations Worldwide Corporation, as guarantor, the other guarantors party thereto and The Bank of New York Mellon Trust Company, N.A., as trustee</w:t>
      </w:r>
    </w:p>
    <w:p>
      <w:pPr>
        <w:spacing w:after="0" w:line="6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231F20"/>
        </w:rPr>
        <w:t>Form of 4.500% Senior Notes due 2029 (included as Exhibit A to Exhibit 4.7 above)</w:t>
      </w:r>
    </w:p>
    <w:p>
      <w:pPr>
        <w:spacing w:after="0" w:line="65"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20"/>
          <w:szCs w:val="20"/>
          <w:color w:val="231F20"/>
        </w:rPr>
        <w:t>Indenture, dated as of December 8, 2022, by and among Marriott Vacations Worldwide Corporation, as issuer, Marriott Ownership Resorts, Inc. and the other guarantors party thereto from time to time and The New York Bank of Mellon Trust Company, N.A., as trustee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of 3.25% Convertible Senior Notes due 2027 (included as Exhibit A to Exhibit 4.9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Description of Registered Securities</w:t>
      </w:r>
    </w:p>
    <w:p>
      <w:pPr>
        <w:spacing w:after="0" w:line="90"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20"/>
          <w:szCs w:val="20"/>
          <w:color w:val="231F20"/>
        </w:rPr>
        <w:t>Indenture, dated as of September 18, 2025, by and among Marriott Ownership Resorts, Inc., Marriott Vacations Worldwide Corporation, as guarantor, the other guarantors party thereto and The Bank of New York Mellon Trust Company, N.A., as trustee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231F20"/>
                <w:w w:val="97"/>
              </w:rPr>
              <w:t>Filed</w:t>
            </w:r>
          </w:p>
        </w:tc>
        <w:tc>
          <w:tcPr>
            <w:tcW w:w="27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231F20"/>
              </w:rPr>
              <w:t>Incorporation By Reference From</w:t>
            </w:r>
          </w:p>
        </w:tc>
        <w:tc>
          <w:tcPr>
            <w:tcW w:w="0" w:type="dxa"/>
            <w:vAlign w:val="bottom"/>
          </w:tcPr>
          <w:p>
            <w:pPr>
              <w:spacing w:after="0"/>
              <w:rPr>
                <w:sz w:val="1"/>
                <w:szCs w:val="1"/>
                <w:color w:val="auto"/>
              </w:rPr>
            </w:pPr>
          </w:p>
        </w:tc>
      </w:tr>
      <w:tr>
        <w:trPr>
          <w:trHeight w:val="27"/>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Herewith</w:t>
            </w:r>
          </w:p>
        </w:tc>
        <w:tc>
          <w:tcPr>
            <w:tcW w:w="80" w:type="dxa"/>
            <w:vAlign w:val="bottom"/>
            <w:vMerge w:val="restart"/>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60" w:type="dxa"/>
            <w:vAlign w:val="bottom"/>
            <w:tcBorders>
              <w:bottom w:val="single" w:sz="8" w:color="231F20"/>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6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Form</w:t>
            </w:r>
          </w:p>
        </w:tc>
        <w:tc>
          <w:tcPr>
            <w:tcW w:w="60" w:type="dxa"/>
            <w:vAlign w:val="bottom"/>
          </w:tcPr>
          <w:p>
            <w:pPr>
              <w:spacing w:after="0"/>
              <w:rPr>
                <w:sz w:val="20"/>
                <w:szCs w:val="20"/>
                <w:color w:val="auto"/>
              </w:rPr>
            </w:pPr>
          </w:p>
        </w:tc>
        <w:tc>
          <w:tcPr>
            <w:tcW w:w="860" w:type="dxa"/>
            <w:vAlign w:val="bottom"/>
            <w:tcBorders>
              <w:bottom w:val="single" w:sz="8" w:color="231F20"/>
            </w:tcBorders>
          </w:tcPr>
          <w:p>
            <w:pPr>
              <w:ind w:left="140"/>
              <w:spacing w:after="0"/>
              <w:rPr>
                <w:sz w:val="20"/>
                <w:szCs w:val="20"/>
                <w:color w:val="auto"/>
              </w:rPr>
            </w:pPr>
            <w:r>
              <w:rPr>
                <w:rFonts w:ascii="Times New Roman" w:cs="Times New Roman" w:eastAsia="Times New Roman" w:hAnsi="Times New Roman"/>
                <w:sz w:val="18"/>
                <w:szCs w:val="18"/>
                <w:b w:val="1"/>
                <w:bCs w:val="1"/>
                <w:color w:val="231F20"/>
              </w:rPr>
              <w:t>Exhibit</w:t>
            </w:r>
          </w:p>
        </w:tc>
        <w:tc>
          <w:tcPr>
            <w:tcW w:w="80" w:type="dxa"/>
            <w:vAlign w:val="bottom"/>
          </w:tcPr>
          <w:p>
            <w:pPr>
              <w:spacing w:after="0"/>
              <w:rPr>
                <w:sz w:val="20"/>
                <w:szCs w:val="20"/>
                <w:color w:val="auto"/>
              </w:rPr>
            </w:pPr>
          </w:p>
        </w:tc>
        <w:tc>
          <w:tcPr>
            <w:tcW w:w="1060" w:type="dxa"/>
            <w:vAlign w:val="bottom"/>
            <w:tcBorders>
              <w:bottom w:val="single" w:sz="8" w:color="231F20"/>
            </w:tcBorders>
          </w:tcPr>
          <w:p>
            <w:pPr>
              <w:ind w:left="140"/>
              <w:spacing w:after="0"/>
              <w:rPr>
                <w:sz w:val="20"/>
                <w:szCs w:val="20"/>
                <w:color w:val="auto"/>
              </w:rPr>
            </w:pPr>
            <w:r>
              <w:rPr>
                <w:rFonts w:ascii="Times New Roman" w:cs="Times New Roman" w:eastAsia="Times New Roman" w:hAnsi="Times New Roman"/>
                <w:sz w:val="18"/>
                <w:szCs w:val="18"/>
                <w:b w:val="1"/>
                <w:bCs w:val="1"/>
                <w:color w:val="231F20"/>
              </w:rPr>
              <w:t>Date Filed</w:t>
            </w:r>
          </w:p>
        </w:tc>
        <w:tc>
          <w:tcPr>
            <w:tcW w:w="0" w:type="dxa"/>
            <w:vAlign w:val="bottom"/>
          </w:tcPr>
          <w:p>
            <w:pPr>
              <w:spacing w:after="0"/>
              <w:rPr>
                <w:sz w:val="1"/>
                <w:szCs w:val="1"/>
                <w:color w:val="auto"/>
              </w:rPr>
            </w:pPr>
          </w:p>
        </w:tc>
      </w:tr>
      <w:tr>
        <w:trPr>
          <w:trHeight w:val="582"/>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2.1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5/1/2018</w:t>
            </w:r>
          </w:p>
        </w:tc>
        <w:tc>
          <w:tcPr>
            <w:tcW w:w="0" w:type="dxa"/>
            <w:vAlign w:val="bottom"/>
          </w:tcPr>
          <w:p>
            <w:pPr>
              <w:spacing w:after="0"/>
              <w:rPr>
                <w:sz w:val="1"/>
                <w:szCs w:val="1"/>
                <w:color w:val="auto"/>
              </w:rPr>
            </w:pPr>
          </w:p>
        </w:tc>
      </w:tr>
      <w:tr>
        <w:trPr>
          <w:trHeight w:val="103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2.1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1/26/2021</w:t>
            </w:r>
          </w:p>
        </w:tc>
        <w:tc>
          <w:tcPr>
            <w:tcW w:w="0" w:type="dxa"/>
            <w:vAlign w:val="bottom"/>
          </w:tcPr>
          <w:p>
            <w:pPr>
              <w:spacing w:after="0"/>
              <w:rPr>
                <w:sz w:val="1"/>
                <w:szCs w:val="1"/>
                <w:color w:val="auto"/>
              </w:rPr>
            </w:pPr>
          </w:p>
        </w:tc>
      </w:tr>
      <w:tr>
        <w:trPr>
          <w:trHeight w:val="82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3.2</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5/15/2023</w:t>
            </w:r>
          </w:p>
        </w:tc>
        <w:tc>
          <w:tcPr>
            <w:tcW w:w="0" w:type="dxa"/>
            <w:vAlign w:val="bottom"/>
          </w:tcPr>
          <w:p>
            <w:pPr>
              <w:spacing w:after="0"/>
              <w:rPr>
                <w:sz w:val="1"/>
                <w:szCs w:val="1"/>
                <w:color w:val="auto"/>
              </w:rPr>
            </w:pPr>
          </w:p>
        </w:tc>
      </w:tr>
      <w:tr>
        <w:trPr>
          <w:trHeight w:val="52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3.3</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8/4/2023</w:t>
            </w:r>
          </w:p>
        </w:tc>
        <w:tc>
          <w:tcPr>
            <w:tcW w:w="0" w:type="dxa"/>
            <w:vAlign w:val="bottom"/>
          </w:tcPr>
          <w:p>
            <w:pPr>
              <w:spacing w:after="0"/>
              <w:rPr>
                <w:sz w:val="1"/>
                <w:szCs w:val="1"/>
                <w:color w:val="auto"/>
              </w:rPr>
            </w:pPr>
          </w:p>
        </w:tc>
      </w:tr>
      <w:tr>
        <w:trPr>
          <w:trHeight w:val="630"/>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10</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4.1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10/14/2011</w:t>
            </w:r>
          </w:p>
        </w:tc>
        <w:tc>
          <w:tcPr>
            <w:tcW w:w="0" w:type="dxa"/>
            <w:vAlign w:val="bottom"/>
          </w:tcPr>
          <w:p>
            <w:pPr>
              <w:spacing w:after="0"/>
              <w:rPr>
                <w:sz w:val="1"/>
                <w:szCs w:val="1"/>
                <w:color w:val="auto"/>
              </w:rPr>
            </w:pPr>
          </w:p>
        </w:tc>
      </w:tr>
      <w:tr>
        <w:trPr>
          <w:trHeight w:val="930"/>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4.1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10/1/2019</w:t>
            </w:r>
          </w:p>
        </w:tc>
        <w:tc>
          <w:tcPr>
            <w:tcW w:w="0" w:type="dxa"/>
            <w:vAlign w:val="bottom"/>
          </w:tcPr>
          <w:p>
            <w:pPr>
              <w:spacing w:after="0"/>
              <w:rPr>
                <w:sz w:val="1"/>
                <w:szCs w:val="1"/>
                <w:color w:val="auto"/>
              </w:rPr>
            </w:pPr>
          </w:p>
        </w:tc>
      </w:tr>
      <w:tr>
        <w:trPr>
          <w:trHeight w:val="82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4.2</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10/1/2019</w:t>
            </w:r>
          </w:p>
        </w:tc>
        <w:tc>
          <w:tcPr>
            <w:tcW w:w="0" w:type="dxa"/>
            <w:vAlign w:val="bottom"/>
          </w:tcPr>
          <w:p>
            <w:pPr>
              <w:spacing w:after="0"/>
              <w:rPr>
                <w:sz w:val="1"/>
                <w:szCs w:val="1"/>
                <w:color w:val="auto"/>
              </w:rPr>
            </w:pPr>
          </w:p>
        </w:tc>
      </w:tr>
      <w:tr>
        <w:trPr>
          <w:trHeight w:val="73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4.3</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10/1/2019</w:t>
            </w:r>
          </w:p>
        </w:tc>
        <w:tc>
          <w:tcPr>
            <w:tcW w:w="0" w:type="dxa"/>
            <w:vAlign w:val="bottom"/>
          </w:tcPr>
          <w:p>
            <w:pPr>
              <w:spacing w:after="0"/>
              <w:rPr>
                <w:sz w:val="1"/>
                <w:szCs w:val="1"/>
                <w:color w:val="auto"/>
              </w:rPr>
            </w:pPr>
          </w:p>
        </w:tc>
      </w:tr>
      <w:tr>
        <w:trPr>
          <w:trHeight w:val="103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4.1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2/3/2021</w:t>
            </w:r>
          </w:p>
        </w:tc>
        <w:tc>
          <w:tcPr>
            <w:tcW w:w="0" w:type="dxa"/>
            <w:vAlign w:val="bottom"/>
          </w:tcPr>
          <w:p>
            <w:pPr>
              <w:spacing w:after="0"/>
              <w:rPr>
                <w:sz w:val="1"/>
                <w:szCs w:val="1"/>
                <w:color w:val="auto"/>
              </w:rPr>
            </w:pPr>
          </w:p>
        </w:tc>
      </w:tr>
      <w:tr>
        <w:trPr>
          <w:trHeight w:val="82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4.1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2/3/2021</w:t>
            </w:r>
          </w:p>
        </w:tc>
        <w:tc>
          <w:tcPr>
            <w:tcW w:w="0" w:type="dxa"/>
            <w:vAlign w:val="bottom"/>
          </w:tcPr>
          <w:p>
            <w:pPr>
              <w:spacing w:after="0"/>
              <w:rPr>
                <w:sz w:val="1"/>
                <w:szCs w:val="1"/>
                <w:color w:val="auto"/>
              </w:rPr>
            </w:pPr>
          </w:p>
        </w:tc>
      </w:tr>
      <w:tr>
        <w:trPr>
          <w:trHeight w:val="82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4.1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6/22/2021</w:t>
            </w:r>
          </w:p>
        </w:tc>
        <w:tc>
          <w:tcPr>
            <w:tcW w:w="0" w:type="dxa"/>
            <w:vAlign w:val="bottom"/>
          </w:tcPr>
          <w:p>
            <w:pPr>
              <w:spacing w:after="0"/>
              <w:rPr>
                <w:sz w:val="1"/>
                <w:szCs w:val="1"/>
                <w:color w:val="auto"/>
              </w:rPr>
            </w:pPr>
          </w:p>
        </w:tc>
      </w:tr>
      <w:tr>
        <w:trPr>
          <w:trHeight w:val="82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4.2</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6/22/2021</w:t>
            </w:r>
          </w:p>
        </w:tc>
        <w:tc>
          <w:tcPr>
            <w:tcW w:w="0" w:type="dxa"/>
            <w:vAlign w:val="bottom"/>
          </w:tcPr>
          <w:p>
            <w:pPr>
              <w:spacing w:after="0"/>
              <w:rPr>
                <w:sz w:val="1"/>
                <w:szCs w:val="1"/>
                <w:color w:val="auto"/>
              </w:rPr>
            </w:pPr>
          </w:p>
        </w:tc>
      </w:tr>
      <w:tr>
        <w:trPr>
          <w:trHeight w:val="82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4.1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12/8/2022</w:t>
            </w:r>
          </w:p>
        </w:tc>
        <w:tc>
          <w:tcPr>
            <w:tcW w:w="0" w:type="dxa"/>
            <w:vAlign w:val="bottom"/>
          </w:tcPr>
          <w:p>
            <w:pPr>
              <w:spacing w:after="0"/>
              <w:rPr>
                <w:sz w:val="1"/>
                <w:szCs w:val="1"/>
                <w:color w:val="auto"/>
              </w:rPr>
            </w:pPr>
          </w:p>
        </w:tc>
      </w:tr>
      <w:tr>
        <w:trPr>
          <w:trHeight w:val="82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4.2</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12/8/2022</w:t>
            </w:r>
          </w:p>
        </w:tc>
        <w:tc>
          <w:tcPr>
            <w:tcW w:w="0" w:type="dxa"/>
            <w:vAlign w:val="bottom"/>
          </w:tcPr>
          <w:p>
            <w:pPr>
              <w:spacing w:after="0"/>
              <w:rPr>
                <w:sz w:val="1"/>
                <w:szCs w:val="1"/>
                <w:color w:val="auto"/>
              </w:rPr>
            </w:pPr>
          </w:p>
        </w:tc>
      </w:tr>
      <w:tr>
        <w:trPr>
          <w:trHeight w:val="450"/>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4.16</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3/2/2020</w:t>
            </w:r>
          </w:p>
        </w:tc>
        <w:tc>
          <w:tcPr>
            <w:tcW w:w="0" w:type="dxa"/>
            <w:vAlign w:val="bottom"/>
          </w:tcPr>
          <w:p>
            <w:pPr>
              <w:spacing w:after="0"/>
              <w:rPr>
                <w:sz w:val="1"/>
                <w:szCs w:val="1"/>
                <w:color w:val="auto"/>
              </w:rPr>
            </w:pPr>
          </w:p>
        </w:tc>
      </w:tr>
      <w:tr>
        <w:trPr>
          <w:trHeight w:val="720"/>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4.1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9/19/2025</w:t>
            </w:r>
          </w:p>
        </w:tc>
        <w:tc>
          <w:tcPr>
            <w:tcW w:w="0" w:type="dxa"/>
            <w:vAlign w:val="bottom"/>
          </w:tcPr>
          <w:p>
            <w:pPr>
              <w:spacing w:after="0"/>
              <w:rPr>
                <w:sz w:val="1"/>
                <w:szCs w:val="1"/>
                <w:color w:val="auto"/>
              </w:rPr>
            </w:pPr>
          </w:p>
        </w:tc>
      </w:tr>
    </w:tbl>
    <w:p>
      <w:pPr>
        <w:spacing w:after="0" w:line="598" w:lineRule="exact"/>
        <w:rPr>
          <w:sz w:val="20"/>
          <w:szCs w:val="20"/>
          <w:color w:val="auto"/>
        </w:rPr>
      </w:pPr>
    </w:p>
    <w:p>
      <w:pPr>
        <w:sectPr>
          <w:pgSz w:w="11880" w:h="15480" w:orient="portrait"/>
          <w:cols w:equalWidth="0" w:num="3">
            <w:col w:w="640" w:space="260"/>
            <w:col w:w="4880" w:space="140"/>
            <w:col w:w="3680"/>
          </w:cols>
          <w:pgMar w:left="1200" w:top="901" w:right="108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231F20"/>
        </w:rPr>
        <w:t>126</w:t>
      </w:r>
    </w:p>
    <w:p>
      <w:pPr>
        <w:sectPr>
          <w:pgSz w:w="11880" w:h="15480" w:orient="portrait"/>
          <w:cols w:equalWidth="0" w:num="1">
            <w:col w:w="9600"/>
          </w:cols>
          <w:pgMar w:left="1200" w:top="901" w:right="1080" w:bottom="0" w:gutter="0" w:footer="0" w:header="0"/>
          <w:type w:val="continuous"/>
        </w:sectPr>
      </w:pPr>
    </w:p>
    <w:bookmarkStart w:id="130" w:name="page131"/>
    <w:bookmarkEnd w:id="130"/>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31F20"/>
        </w:rPr>
        <w:t>Exhibit</w:t>
      </w:r>
    </w:p>
    <w:p>
      <w:pPr>
        <w:spacing w:after="0"/>
        <w:rPr>
          <w:sz w:val="20"/>
          <w:szCs w:val="20"/>
          <w:color w:val="auto"/>
        </w:rPr>
      </w:pPr>
      <w:r>
        <w:rPr>
          <w:rFonts w:ascii="Times New Roman" w:cs="Times New Roman" w:eastAsia="Times New Roman" w:hAnsi="Times New Roman"/>
          <w:sz w:val="18"/>
          <w:szCs w:val="18"/>
          <w:b w:val="1"/>
          <w:bCs w:val="1"/>
          <w:color w:val="231F20"/>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35560</wp:posOffset>
            </wp:positionV>
            <wp:extent cx="56197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7">
                      <a:extLst>
                        <a:ext uri="{28A0092B-C50C-407E-A947-70E740481C1C}"/>
                      </a:extLst>
                    </a:blip>
                    <a:srcRect/>
                    <a:stretch>
                      <a:fillRect/>
                    </a:stretch>
                  </pic:blipFill>
                  <pic:spPr bwMode="auto">
                    <a:xfrm>
                      <a:off x="0" y="0"/>
                      <a:ext cx="561975" cy="12700"/>
                    </a:xfrm>
                    <a:prstGeom prst="rect">
                      <a:avLst/>
                    </a:prstGeom>
                    <a:noFill/>
                  </pic:spPr>
                </pic:pic>
              </a:graphicData>
            </a:graphic>
          </wp:anchor>
        </w:drawing>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231F20"/>
        </w:rPr>
        <w:t>4.13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231F20"/>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231F20"/>
        </w:rPr>
        <w:t>10.2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231F20"/>
        </w:rPr>
        <w:t>10.3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231F20"/>
        </w:rPr>
        <w:t>10.4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231F20"/>
        </w:rPr>
        <w:t>10.5</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231F20"/>
        </w:rPr>
        <w:t>10.6</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231F20"/>
        </w:rPr>
        <w:t>10.7</w:t>
      </w: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231F20"/>
        </w:rPr>
        <w:t>10.8</w:t>
      </w:r>
    </w:p>
    <w:p>
      <w:pPr>
        <w:spacing w:after="0" w:line="200" w:lineRule="exact"/>
        <w:rPr>
          <w:sz w:val="20"/>
          <w:szCs w:val="20"/>
          <w:color w:val="auto"/>
        </w:rPr>
      </w:pP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231F20"/>
        </w:rPr>
        <w:t>10.9</w:t>
      </w: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10.10</w:t>
      </w: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10.11</w:t>
      </w: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10.12</w:t>
      </w:r>
    </w:p>
    <w:p>
      <w:pPr>
        <w:spacing w:after="0" w:line="3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10.13</w:t>
      </w:r>
    </w:p>
    <w:p>
      <w:pPr>
        <w:spacing w:after="0" w:line="2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10.14</w:t>
      </w:r>
    </w:p>
    <w:p>
      <w:pPr>
        <w:spacing w:after="0" w:line="3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10.15</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107950</wp:posOffset>
            </wp:positionV>
            <wp:extent cx="3181350"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8">
                      <a:extLst>
                        <a:ext uri="{28A0092B-C50C-407E-A947-70E740481C1C}"/>
                      </a:extLst>
                    </a:blip>
                    <a:srcRect/>
                    <a:stretch>
                      <a:fillRect/>
                    </a:stretch>
                  </pic:blipFill>
                  <pic:spPr bwMode="auto">
                    <a:xfrm>
                      <a:off x="0" y="0"/>
                      <a:ext cx="3181350" cy="12700"/>
                    </a:xfrm>
                    <a:prstGeom prst="rect">
                      <a:avLst/>
                    </a:prstGeom>
                    <a:noFill/>
                  </pic:spPr>
                </pic:pic>
              </a:graphicData>
            </a:graphic>
          </wp:anchor>
        </w:drawing>
      </w:r>
    </w:p>
    <w:p>
      <w:pPr>
        <w:spacing w:after="0" w:line="181"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231F20"/>
        </w:rPr>
        <w:t>Form of 6.500% Senior Notes due 2033 (included at Exhibit A to Exhibit 4.12 above)</w:t>
      </w:r>
    </w:p>
    <w:p>
      <w:pPr>
        <w:spacing w:after="0" w:line="65" w:lineRule="exact"/>
        <w:rPr>
          <w:sz w:val="20"/>
          <w:szCs w:val="20"/>
          <w:color w:val="auto"/>
        </w:rPr>
      </w:pPr>
    </w:p>
    <w:p>
      <w:pPr>
        <w:ind w:right="60"/>
        <w:spacing w:after="0" w:line="216" w:lineRule="auto"/>
        <w:rPr>
          <w:sz w:val="20"/>
          <w:szCs w:val="20"/>
          <w:color w:val="auto"/>
        </w:rPr>
      </w:pPr>
      <w:r>
        <w:rPr>
          <w:rFonts w:ascii="Times New Roman" w:cs="Times New Roman" w:eastAsia="Times New Roman" w:hAnsi="Times New Roman"/>
          <w:sz w:val="20"/>
          <w:szCs w:val="20"/>
          <w:color w:val="231F20"/>
        </w:rPr>
        <w:t>Amended and Restated License, Services and Development Agreement between Marriott International, Inc. and Marriott Worldwide Corporation and Marriott Vacations Worldwide Corporation for Marriott Vacation Club, Sheraton Vacation Club, Westin Vacation Club, Grand Residences by Marriott, The Specified Fractional Projects and the Licensed Unbranded Projects executed on September 20, 2024 and effective as of January 1, 2024</w:t>
      </w:r>
    </w:p>
    <w:p>
      <w:pPr>
        <w:spacing w:after="0" w:line="79"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color w:val="231F20"/>
        </w:rPr>
        <w:t>License, Services, and Development Agreement, entered into on November 17, 2011, among The Ritz-Carlton Hotel Company, L.L.C., Marriott Vacations Worldwide Corporation and the other signatories thereto</w:t>
      </w:r>
    </w:p>
    <w:p>
      <w:pPr>
        <w:spacing w:after="0" w:line="86"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20"/>
          <w:szCs w:val="20"/>
          <w:color w:val="231F20"/>
        </w:rPr>
        <w:t>First Amendment to License, Services, and Development Agreement, dated as of February 26, 2018, among The Ritz-Carlton Hotel Company, L.L.C., Marriott Vacations Worldwide Corporation and the other signatures thereto</w:t>
      </w:r>
    </w:p>
    <w:p>
      <w:pPr>
        <w:spacing w:after="0" w:line="86" w:lineRule="exact"/>
        <w:rPr>
          <w:sz w:val="20"/>
          <w:szCs w:val="20"/>
          <w:color w:val="auto"/>
        </w:rPr>
      </w:pPr>
    </w:p>
    <w:p>
      <w:pPr>
        <w:ind w:right="140"/>
        <w:spacing w:after="0" w:line="224" w:lineRule="auto"/>
        <w:rPr>
          <w:sz w:val="20"/>
          <w:szCs w:val="20"/>
          <w:color w:val="auto"/>
        </w:rPr>
      </w:pPr>
      <w:r>
        <w:rPr>
          <w:rFonts w:ascii="Times New Roman" w:cs="Times New Roman" w:eastAsia="Times New Roman" w:hAnsi="Times New Roman"/>
          <w:sz w:val="20"/>
          <w:szCs w:val="20"/>
          <w:color w:val="231F20"/>
        </w:rPr>
        <w:t>Employee Benefits and Other Employment Matters Allocation Agreement, entered into on November 17, 2011, between Marriott International, Inc. and Marriott Vacations Worldwide Corporation</w:t>
      </w:r>
    </w:p>
    <w:p>
      <w:pPr>
        <w:spacing w:after="0" w:line="81"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20"/>
          <w:szCs w:val="20"/>
          <w:color w:val="231F20"/>
        </w:rPr>
        <w:t>Tax Sharing and Indemnification Agreement, entered into on November 17, 2011, between Marriott International, Inc. and Marriott Vacations Worldwide Corporation</w:t>
      </w:r>
    </w:p>
    <w:p>
      <w:pPr>
        <w:spacing w:after="0" w:line="82" w:lineRule="exact"/>
        <w:rPr>
          <w:sz w:val="20"/>
          <w:szCs w:val="20"/>
          <w:color w:val="auto"/>
        </w:rPr>
      </w:pPr>
    </w:p>
    <w:p>
      <w:pPr>
        <w:jc w:val="both"/>
        <w:ind w:right="620"/>
        <w:spacing w:after="0" w:line="224" w:lineRule="auto"/>
        <w:rPr>
          <w:sz w:val="20"/>
          <w:szCs w:val="20"/>
          <w:color w:val="auto"/>
        </w:rPr>
      </w:pPr>
      <w:r>
        <w:rPr>
          <w:rFonts w:ascii="Times New Roman" w:cs="Times New Roman" w:eastAsia="Times New Roman" w:hAnsi="Times New Roman"/>
          <w:sz w:val="20"/>
          <w:szCs w:val="20"/>
          <w:color w:val="231F20"/>
        </w:rPr>
        <w:t>Amendment, dated August 2, 2012, between Marriott International, Inc. and Marriott Vacations Worldwide Corporation, to the Tax Sharing and Indemnification Agreement</w:t>
      </w:r>
    </w:p>
    <w:p>
      <w:pPr>
        <w:spacing w:after="0" w:line="86"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9"/>
          <w:szCs w:val="19"/>
          <w:color w:val="231F20"/>
        </w:rPr>
        <w:t>Marriott Bonvoy Affiliation Agreement, dated as of November 10, 2021, by and among Marriott International, Inc., Marriott Rewards, LLC, Marriott Vacations Worldwide Corporation and Marriott Ownership Resorts, Inc.</w:t>
      </w:r>
    </w:p>
    <w:p>
      <w:pPr>
        <w:spacing w:after="0" w:line="106"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20"/>
          <w:szCs w:val="20"/>
          <w:color w:val="231F20"/>
        </w:rPr>
        <w:t>Marriott Vacations Worldwide Corporation Amended and Restated Stock and Cash Incentive Plan*</w:t>
      </w:r>
    </w:p>
    <w:p>
      <w:pPr>
        <w:spacing w:after="0" w:line="100"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20"/>
          <w:szCs w:val="20"/>
          <w:color w:val="231F20"/>
        </w:rPr>
        <w:t>Form of Restricted Stock Unit Agreement – Marriott Vacations Worldwide Corporation Stock and Cash Incentive Plan*</w:t>
      </w:r>
    </w:p>
    <w:p>
      <w:pPr>
        <w:spacing w:after="0" w:line="77"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20"/>
          <w:szCs w:val="20"/>
          <w:color w:val="231F20"/>
        </w:rPr>
        <w:t>Form of Stock Appreciation Right Agreement – Marriott Vacations Worldwide Corporation Stock and Cash Incentive Plan*</w:t>
      </w:r>
    </w:p>
    <w:p>
      <w:pPr>
        <w:spacing w:after="0" w:line="77"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20"/>
          <w:szCs w:val="20"/>
          <w:color w:val="231F20"/>
        </w:rPr>
        <w:t>Form of Performance Unit Award Agreement – Marriott Vacations Worldwide Corporation Stock and Cash Incentive Plan*</w:t>
      </w:r>
    </w:p>
    <w:p>
      <w:pPr>
        <w:spacing w:after="0" w:line="82" w:lineRule="exact"/>
        <w:rPr>
          <w:sz w:val="20"/>
          <w:szCs w:val="20"/>
          <w:color w:val="auto"/>
        </w:rPr>
      </w:pPr>
    </w:p>
    <w:p>
      <w:pPr>
        <w:ind w:right="1180"/>
        <w:spacing w:after="0" w:line="281" w:lineRule="auto"/>
        <w:rPr>
          <w:sz w:val="20"/>
          <w:szCs w:val="20"/>
          <w:color w:val="auto"/>
        </w:rPr>
      </w:pPr>
      <w:r>
        <w:rPr>
          <w:rFonts w:ascii="Times New Roman" w:cs="Times New Roman" w:eastAsia="Times New Roman" w:hAnsi="Times New Roman"/>
          <w:sz w:val="20"/>
          <w:szCs w:val="20"/>
          <w:color w:val="231F20"/>
        </w:rPr>
        <w:t>Form of Non-Employee Director Share Award Confirmation*</w:t>
      </w:r>
    </w:p>
    <w:p>
      <w:pPr>
        <w:spacing w:after="0" w:line="4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231F20"/>
        </w:rPr>
        <w:t>Form of Non-Employee Director Stock Appreciation Right Award Agreement*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Form of Director Stock Unit Agreement*</w:t>
      </w:r>
    </w:p>
    <w:p>
      <w:pPr>
        <w:spacing w:after="0" w:line="125" w:lineRule="exact"/>
        <w:rPr>
          <w:sz w:val="20"/>
          <w:szCs w:val="20"/>
          <w:color w:val="auto"/>
        </w:rPr>
      </w:pPr>
    </w:p>
    <w:p>
      <w:pPr>
        <w:ind w:right="320"/>
        <w:spacing w:after="0" w:line="229" w:lineRule="auto"/>
        <w:rPr>
          <w:sz w:val="20"/>
          <w:szCs w:val="20"/>
          <w:color w:val="auto"/>
        </w:rPr>
      </w:pPr>
      <w:r>
        <w:rPr>
          <w:rFonts w:ascii="Times New Roman" w:cs="Times New Roman" w:eastAsia="Times New Roman" w:hAnsi="Times New Roman"/>
          <w:sz w:val="20"/>
          <w:szCs w:val="20"/>
          <w:color w:val="231F20"/>
        </w:rPr>
        <w:t>Form of Stock Appreciation Right Agreement - Marriott Vacations Worldwide Corporation 2020 Equity Incentive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231F20"/>
                <w:w w:val="97"/>
              </w:rPr>
              <w:t>Filed</w:t>
            </w:r>
          </w:p>
        </w:tc>
        <w:tc>
          <w:tcPr>
            <w:tcW w:w="27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231F20"/>
              </w:rPr>
              <w:t>Incorporation By Reference From</w:t>
            </w:r>
          </w:p>
        </w:tc>
        <w:tc>
          <w:tcPr>
            <w:tcW w:w="0" w:type="dxa"/>
            <w:vAlign w:val="bottom"/>
          </w:tcPr>
          <w:p>
            <w:pPr>
              <w:spacing w:after="0"/>
              <w:rPr>
                <w:sz w:val="1"/>
                <w:szCs w:val="1"/>
                <w:color w:val="auto"/>
              </w:rPr>
            </w:pPr>
          </w:p>
        </w:tc>
      </w:tr>
      <w:tr>
        <w:trPr>
          <w:trHeight w:val="27"/>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Herewith</w:t>
            </w:r>
          </w:p>
        </w:tc>
        <w:tc>
          <w:tcPr>
            <w:tcW w:w="80" w:type="dxa"/>
            <w:vAlign w:val="bottom"/>
            <w:vMerge w:val="restart"/>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60" w:type="dxa"/>
            <w:vAlign w:val="bottom"/>
            <w:tcBorders>
              <w:bottom w:val="single" w:sz="8" w:color="231F20"/>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6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Form</w:t>
            </w:r>
          </w:p>
        </w:tc>
        <w:tc>
          <w:tcPr>
            <w:tcW w:w="60" w:type="dxa"/>
            <w:vAlign w:val="bottom"/>
          </w:tcPr>
          <w:p>
            <w:pPr>
              <w:spacing w:after="0"/>
              <w:rPr>
                <w:sz w:val="20"/>
                <w:szCs w:val="20"/>
                <w:color w:val="auto"/>
              </w:rPr>
            </w:pPr>
          </w:p>
        </w:tc>
        <w:tc>
          <w:tcPr>
            <w:tcW w:w="860" w:type="dxa"/>
            <w:vAlign w:val="bottom"/>
            <w:tcBorders>
              <w:bottom w:val="single" w:sz="8" w:color="231F20"/>
            </w:tcBorders>
          </w:tcPr>
          <w:p>
            <w:pPr>
              <w:ind w:left="140"/>
              <w:spacing w:after="0"/>
              <w:rPr>
                <w:sz w:val="20"/>
                <w:szCs w:val="20"/>
                <w:color w:val="auto"/>
              </w:rPr>
            </w:pPr>
            <w:r>
              <w:rPr>
                <w:rFonts w:ascii="Times New Roman" w:cs="Times New Roman" w:eastAsia="Times New Roman" w:hAnsi="Times New Roman"/>
                <w:sz w:val="18"/>
                <w:szCs w:val="18"/>
                <w:b w:val="1"/>
                <w:bCs w:val="1"/>
                <w:color w:val="231F20"/>
              </w:rPr>
              <w:t>Exhibit</w:t>
            </w:r>
          </w:p>
        </w:tc>
        <w:tc>
          <w:tcPr>
            <w:tcW w:w="80" w:type="dxa"/>
            <w:vAlign w:val="bottom"/>
          </w:tcPr>
          <w:p>
            <w:pPr>
              <w:spacing w:after="0"/>
              <w:rPr>
                <w:sz w:val="20"/>
                <w:szCs w:val="20"/>
                <w:color w:val="auto"/>
              </w:rPr>
            </w:pPr>
          </w:p>
        </w:tc>
        <w:tc>
          <w:tcPr>
            <w:tcW w:w="1060" w:type="dxa"/>
            <w:vAlign w:val="bottom"/>
            <w:tcBorders>
              <w:bottom w:val="single" w:sz="8" w:color="231F20"/>
            </w:tcBorders>
          </w:tcPr>
          <w:p>
            <w:pPr>
              <w:ind w:left="140"/>
              <w:spacing w:after="0"/>
              <w:rPr>
                <w:sz w:val="20"/>
                <w:szCs w:val="20"/>
                <w:color w:val="auto"/>
              </w:rPr>
            </w:pPr>
            <w:r>
              <w:rPr>
                <w:rFonts w:ascii="Times New Roman" w:cs="Times New Roman" w:eastAsia="Times New Roman" w:hAnsi="Times New Roman"/>
                <w:sz w:val="18"/>
                <w:szCs w:val="18"/>
                <w:b w:val="1"/>
                <w:bCs w:val="1"/>
                <w:color w:val="231F20"/>
              </w:rPr>
              <w:t>Date Filed</w:t>
            </w:r>
          </w:p>
        </w:tc>
        <w:tc>
          <w:tcPr>
            <w:tcW w:w="0" w:type="dxa"/>
            <w:vAlign w:val="bottom"/>
          </w:tcPr>
          <w:p>
            <w:pPr>
              <w:spacing w:after="0"/>
              <w:rPr>
                <w:sz w:val="1"/>
                <w:szCs w:val="1"/>
                <w:color w:val="auto"/>
              </w:rPr>
            </w:pPr>
          </w:p>
        </w:tc>
      </w:tr>
      <w:tr>
        <w:trPr>
          <w:trHeight w:val="372"/>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4.2</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9/19/2025</w:t>
            </w:r>
          </w:p>
        </w:tc>
        <w:tc>
          <w:tcPr>
            <w:tcW w:w="0" w:type="dxa"/>
            <w:vAlign w:val="bottom"/>
          </w:tcPr>
          <w:p>
            <w:pPr>
              <w:spacing w:after="0"/>
              <w:rPr>
                <w:sz w:val="1"/>
                <w:szCs w:val="1"/>
                <w:color w:val="auto"/>
              </w:rPr>
            </w:pPr>
          </w:p>
        </w:tc>
      </w:tr>
      <w:tr>
        <w:trPr>
          <w:trHeight w:val="112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10.7</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11/7/2024</w:t>
            </w:r>
          </w:p>
        </w:tc>
        <w:tc>
          <w:tcPr>
            <w:tcW w:w="0" w:type="dxa"/>
            <w:vAlign w:val="bottom"/>
          </w:tcPr>
          <w:p>
            <w:pPr>
              <w:spacing w:after="0"/>
              <w:rPr>
                <w:sz w:val="1"/>
                <w:szCs w:val="1"/>
                <w:color w:val="auto"/>
              </w:rPr>
            </w:pPr>
          </w:p>
        </w:tc>
      </w:tr>
      <w:tr>
        <w:trPr>
          <w:trHeight w:val="133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10.2</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11/22/2011</w:t>
            </w:r>
          </w:p>
        </w:tc>
        <w:tc>
          <w:tcPr>
            <w:tcW w:w="0" w:type="dxa"/>
            <w:vAlign w:val="bottom"/>
          </w:tcPr>
          <w:p>
            <w:pPr>
              <w:spacing w:after="0"/>
              <w:rPr>
                <w:sz w:val="1"/>
                <w:szCs w:val="1"/>
                <w:color w:val="auto"/>
              </w:rPr>
            </w:pPr>
          </w:p>
        </w:tc>
      </w:tr>
      <w:tr>
        <w:trPr>
          <w:trHeight w:val="94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10.7</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2/27/2018</w:t>
            </w:r>
          </w:p>
        </w:tc>
        <w:tc>
          <w:tcPr>
            <w:tcW w:w="0" w:type="dxa"/>
            <w:vAlign w:val="bottom"/>
          </w:tcPr>
          <w:p>
            <w:pPr>
              <w:spacing w:after="0"/>
              <w:rPr>
                <w:sz w:val="1"/>
                <w:szCs w:val="1"/>
                <w:color w:val="auto"/>
              </w:rPr>
            </w:pPr>
          </w:p>
        </w:tc>
      </w:tr>
      <w:tr>
        <w:trPr>
          <w:trHeight w:val="94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10.3</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11/22/2011</w:t>
            </w:r>
          </w:p>
        </w:tc>
        <w:tc>
          <w:tcPr>
            <w:tcW w:w="0" w:type="dxa"/>
            <w:vAlign w:val="bottom"/>
          </w:tcPr>
          <w:p>
            <w:pPr>
              <w:spacing w:after="0"/>
              <w:rPr>
                <w:sz w:val="1"/>
                <w:szCs w:val="1"/>
                <w:color w:val="auto"/>
              </w:rPr>
            </w:pPr>
          </w:p>
        </w:tc>
      </w:tr>
      <w:tr>
        <w:trPr>
          <w:trHeight w:val="840"/>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10.4</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11/22/2011</w:t>
            </w:r>
          </w:p>
        </w:tc>
        <w:tc>
          <w:tcPr>
            <w:tcW w:w="0" w:type="dxa"/>
            <w:vAlign w:val="bottom"/>
          </w:tcPr>
          <w:p>
            <w:pPr>
              <w:spacing w:after="0"/>
              <w:rPr>
                <w:sz w:val="1"/>
                <w:szCs w:val="1"/>
                <w:color w:val="auto"/>
              </w:rPr>
            </w:pPr>
          </w:p>
        </w:tc>
      </w:tr>
      <w:tr>
        <w:trPr>
          <w:trHeight w:val="840"/>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10/18/2012</w:t>
            </w:r>
          </w:p>
        </w:tc>
        <w:tc>
          <w:tcPr>
            <w:tcW w:w="0" w:type="dxa"/>
            <w:vAlign w:val="bottom"/>
          </w:tcPr>
          <w:p>
            <w:pPr>
              <w:spacing w:after="0"/>
              <w:rPr>
                <w:sz w:val="1"/>
                <w:szCs w:val="1"/>
                <w:color w:val="auto"/>
              </w:rPr>
            </w:pPr>
          </w:p>
        </w:tc>
      </w:tr>
      <w:tr>
        <w:trPr>
          <w:trHeight w:val="94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10.14</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3/1/2022</w:t>
            </w:r>
          </w:p>
        </w:tc>
        <w:tc>
          <w:tcPr>
            <w:tcW w:w="0" w:type="dxa"/>
            <w:vAlign w:val="bottom"/>
          </w:tcPr>
          <w:p>
            <w:pPr>
              <w:spacing w:after="0"/>
              <w:rPr>
                <w:sz w:val="1"/>
                <w:szCs w:val="1"/>
                <w:color w:val="auto"/>
              </w:rPr>
            </w:pPr>
          </w:p>
        </w:tc>
      </w:tr>
      <w:tr>
        <w:trPr>
          <w:trHeight w:val="76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10.14</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2/23/2017</w:t>
            </w:r>
          </w:p>
        </w:tc>
        <w:tc>
          <w:tcPr>
            <w:tcW w:w="0" w:type="dxa"/>
            <w:vAlign w:val="bottom"/>
          </w:tcPr>
          <w:p>
            <w:pPr>
              <w:spacing w:after="0"/>
              <w:rPr>
                <w:sz w:val="1"/>
                <w:szCs w:val="1"/>
                <w:color w:val="auto"/>
              </w:rPr>
            </w:pPr>
          </w:p>
        </w:tc>
      </w:tr>
      <w:tr>
        <w:trPr>
          <w:trHeight w:val="660"/>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12/9/2011</w:t>
            </w:r>
          </w:p>
        </w:tc>
        <w:tc>
          <w:tcPr>
            <w:tcW w:w="0" w:type="dxa"/>
            <w:vAlign w:val="bottom"/>
          </w:tcPr>
          <w:p>
            <w:pPr>
              <w:spacing w:after="0"/>
              <w:rPr>
                <w:sz w:val="1"/>
                <w:szCs w:val="1"/>
                <w:color w:val="auto"/>
              </w:rPr>
            </w:pPr>
          </w:p>
        </w:tc>
      </w:tr>
      <w:tr>
        <w:trPr>
          <w:trHeight w:val="73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10.2</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12/9/2011</w:t>
            </w:r>
          </w:p>
        </w:tc>
        <w:tc>
          <w:tcPr>
            <w:tcW w:w="0" w:type="dxa"/>
            <w:vAlign w:val="bottom"/>
          </w:tcPr>
          <w:p>
            <w:pPr>
              <w:spacing w:after="0"/>
              <w:rPr>
                <w:sz w:val="1"/>
                <w:szCs w:val="1"/>
                <w:color w:val="auto"/>
              </w:rPr>
            </w:pPr>
          </w:p>
        </w:tc>
      </w:tr>
      <w:tr>
        <w:trPr>
          <w:trHeight w:val="73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3/16/2012</w:t>
            </w:r>
          </w:p>
        </w:tc>
        <w:tc>
          <w:tcPr>
            <w:tcW w:w="0" w:type="dxa"/>
            <w:vAlign w:val="bottom"/>
          </w:tcPr>
          <w:p>
            <w:pPr>
              <w:spacing w:after="0"/>
              <w:rPr>
                <w:sz w:val="1"/>
                <w:szCs w:val="1"/>
                <w:color w:val="auto"/>
              </w:rPr>
            </w:pPr>
          </w:p>
        </w:tc>
      </w:tr>
      <w:tr>
        <w:trPr>
          <w:trHeight w:val="660"/>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10.3</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8/4/2023</w:t>
            </w:r>
          </w:p>
        </w:tc>
        <w:tc>
          <w:tcPr>
            <w:tcW w:w="0" w:type="dxa"/>
            <w:vAlign w:val="bottom"/>
          </w:tcPr>
          <w:p>
            <w:pPr>
              <w:spacing w:after="0"/>
              <w:rPr>
                <w:sz w:val="1"/>
                <w:szCs w:val="1"/>
                <w:color w:val="auto"/>
              </w:rPr>
            </w:pPr>
          </w:p>
        </w:tc>
      </w:tr>
      <w:tr>
        <w:trPr>
          <w:trHeight w:val="58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10.4</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8/4/2023</w:t>
            </w:r>
          </w:p>
        </w:tc>
        <w:tc>
          <w:tcPr>
            <w:tcW w:w="0" w:type="dxa"/>
            <w:vAlign w:val="bottom"/>
          </w:tcPr>
          <w:p>
            <w:pPr>
              <w:spacing w:after="0"/>
              <w:rPr>
                <w:sz w:val="1"/>
                <w:szCs w:val="1"/>
                <w:color w:val="auto"/>
              </w:rPr>
            </w:pPr>
          </w:p>
        </w:tc>
      </w:tr>
      <w:tr>
        <w:trPr>
          <w:trHeight w:val="480"/>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10.5</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8/4/2023</w:t>
            </w:r>
          </w:p>
        </w:tc>
        <w:tc>
          <w:tcPr>
            <w:tcW w:w="0" w:type="dxa"/>
            <w:vAlign w:val="bottom"/>
          </w:tcPr>
          <w:p>
            <w:pPr>
              <w:spacing w:after="0"/>
              <w:rPr>
                <w:sz w:val="1"/>
                <w:szCs w:val="1"/>
                <w:color w:val="auto"/>
              </w:rPr>
            </w:pPr>
          </w:p>
        </w:tc>
      </w:tr>
      <w:tr>
        <w:trPr>
          <w:trHeight w:val="55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10.22</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2/27/2023</w:t>
            </w:r>
          </w:p>
        </w:tc>
        <w:tc>
          <w:tcPr>
            <w:tcW w:w="0" w:type="dxa"/>
            <w:vAlign w:val="bottom"/>
          </w:tcPr>
          <w:p>
            <w:pPr>
              <w:spacing w:after="0"/>
              <w:rPr>
                <w:sz w:val="1"/>
                <w:szCs w:val="1"/>
                <w:color w:val="auto"/>
              </w:rPr>
            </w:pPr>
          </w:p>
        </w:tc>
      </w:tr>
    </w:tbl>
    <w:p>
      <w:pPr>
        <w:spacing w:after="0" w:line="398" w:lineRule="exact"/>
        <w:rPr>
          <w:sz w:val="20"/>
          <w:szCs w:val="20"/>
          <w:color w:val="auto"/>
        </w:rPr>
      </w:pPr>
    </w:p>
    <w:p>
      <w:pPr>
        <w:sectPr>
          <w:pgSz w:w="11880" w:h="15480" w:orient="portrait"/>
          <w:cols w:equalWidth="0" w:num="3">
            <w:col w:w="640" w:space="260"/>
            <w:col w:w="4900" w:space="120"/>
            <w:col w:w="3680"/>
          </w:cols>
          <w:pgMar w:left="1200" w:top="901" w:right="108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231F20"/>
        </w:rPr>
        <w:t>127</w:t>
      </w:r>
    </w:p>
    <w:p>
      <w:pPr>
        <w:sectPr>
          <w:pgSz w:w="11880" w:h="15480" w:orient="portrait"/>
          <w:cols w:equalWidth="0" w:num="1">
            <w:col w:w="9600"/>
          </w:cols>
          <w:pgMar w:left="1200" w:top="901" w:right="1080" w:bottom="0" w:gutter="0" w:footer="0" w:header="0"/>
          <w:type w:val="continuous"/>
        </w:sectPr>
      </w:pPr>
    </w:p>
    <w:bookmarkStart w:id="131" w:name="page132"/>
    <w:bookmarkEnd w:id="131"/>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31F20"/>
        </w:rPr>
        <w:t>Exhibit</w:t>
      </w:r>
    </w:p>
    <w:p>
      <w:pPr>
        <w:spacing w:after="0"/>
        <w:rPr>
          <w:sz w:val="20"/>
          <w:szCs w:val="20"/>
          <w:color w:val="auto"/>
        </w:rPr>
      </w:pPr>
      <w:r>
        <w:rPr>
          <w:rFonts w:ascii="Times New Roman" w:cs="Times New Roman" w:eastAsia="Times New Roman" w:hAnsi="Times New Roman"/>
          <w:sz w:val="18"/>
          <w:szCs w:val="18"/>
          <w:b w:val="1"/>
          <w:bCs w:val="1"/>
          <w:color w:val="231F20"/>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35560</wp:posOffset>
            </wp:positionV>
            <wp:extent cx="56197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9">
                      <a:extLst>
                        <a:ext uri="{28A0092B-C50C-407E-A947-70E740481C1C}"/>
                      </a:extLst>
                    </a:blip>
                    <a:srcRect/>
                    <a:stretch>
                      <a:fillRect/>
                    </a:stretch>
                  </pic:blipFill>
                  <pic:spPr bwMode="auto">
                    <a:xfrm>
                      <a:off x="0" y="0"/>
                      <a:ext cx="561975" cy="12700"/>
                    </a:xfrm>
                    <a:prstGeom prst="rect">
                      <a:avLst/>
                    </a:prstGeom>
                    <a:noFill/>
                  </pic:spPr>
                </pic:pic>
              </a:graphicData>
            </a:graphic>
          </wp:anchor>
        </w:drawing>
      </w:r>
    </w:p>
    <w:p>
      <w:pPr>
        <w:spacing w:after="0" w:line="2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10.16</w:t>
      </w:r>
    </w:p>
    <w:p>
      <w:pPr>
        <w:spacing w:after="0" w:line="4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10.17</w:t>
      </w:r>
    </w:p>
    <w:p>
      <w:pPr>
        <w:spacing w:after="0" w:line="2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10.18</w:t>
      </w:r>
    </w:p>
    <w:p>
      <w:pPr>
        <w:spacing w:after="0" w:line="2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10.19</w:t>
      </w:r>
    </w:p>
    <w:p>
      <w:pPr>
        <w:spacing w:after="0" w:line="2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10.20</w:t>
      </w:r>
    </w:p>
    <w:p>
      <w:pPr>
        <w:spacing w:after="0" w:line="2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10.21</w:t>
      </w:r>
    </w:p>
    <w:p>
      <w:pPr>
        <w:spacing w:after="0" w:line="3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10.22</w:t>
      </w:r>
    </w:p>
    <w:p>
      <w:pPr>
        <w:spacing w:after="0" w:line="200" w:lineRule="exact"/>
        <w:rPr>
          <w:sz w:val="20"/>
          <w:szCs w:val="20"/>
          <w:color w:val="auto"/>
        </w:rPr>
      </w:pPr>
    </w:p>
    <w:p>
      <w:pPr>
        <w:spacing w:after="0" w:line="3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10.28</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10.29</w:t>
      </w: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10.30</w:t>
      </w: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10.31</w:t>
      </w:r>
    </w:p>
    <w:p>
      <w:pPr>
        <w:spacing w:after="0" w:line="4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10.32</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8"/>
          <w:szCs w:val="18"/>
          <w:b w:val="1"/>
          <w:bCs w:val="1"/>
          <w:color w:val="231F20"/>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107950</wp:posOffset>
            </wp:positionV>
            <wp:extent cx="3181350"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0">
                      <a:extLst>
                        <a:ext uri="{28A0092B-C50C-407E-A947-70E740481C1C}"/>
                      </a:extLst>
                    </a:blip>
                    <a:srcRect/>
                    <a:stretch>
                      <a:fillRect/>
                    </a:stretch>
                  </pic:blipFill>
                  <pic:spPr bwMode="auto">
                    <a:xfrm>
                      <a:off x="0" y="0"/>
                      <a:ext cx="3181350" cy="12700"/>
                    </a:xfrm>
                    <a:prstGeom prst="rect">
                      <a:avLst/>
                    </a:prstGeom>
                    <a:noFill/>
                  </pic:spPr>
                </pic:pic>
              </a:graphicData>
            </a:graphic>
          </wp:anchor>
        </w:drawing>
      </w:r>
    </w:p>
    <w:p>
      <w:pPr>
        <w:spacing w:after="0" w:line="186"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20"/>
          <w:szCs w:val="20"/>
          <w:color w:val="231F20"/>
        </w:rPr>
        <w:t>Form of Restricted Stock Unit Agreement - Marriott Vacations Worldwide Corporation 2020 Equity Incentive Plan*</w:t>
      </w:r>
    </w:p>
    <w:p>
      <w:pPr>
        <w:spacing w:after="0" w:line="7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9"/>
          <w:szCs w:val="19"/>
          <w:color w:val="231F20"/>
        </w:rPr>
        <w:t>Form of Performance Unit Agreement - Marriott Vacations Worldwide Corporation 2020 Equity Incentive Plan*</w:t>
      </w:r>
    </w:p>
    <w:p>
      <w:pPr>
        <w:spacing w:after="0" w:line="43" w:lineRule="exact"/>
        <w:rPr>
          <w:sz w:val="20"/>
          <w:szCs w:val="20"/>
          <w:color w:val="auto"/>
        </w:rPr>
      </w:pPr>
    </w:p>
    <w:p>
      <w:pPr>
        <w:ind w:right="520"/>
        <w:spacing w:after="0"/>
        <w:rPr>
          <w:sz w:val="20"/>
          <w:szCs w:val="20"/>
          <w:color w:val="auto"/>
        </w:rPr>
      </w:pPr>
      <w:r>
        <w:rPr>
          <w:rFonts w:ascii="Times New Roman" w:cs="Times New Roman" w:eastAsia="Times New Roman" w:hAnsi="Times New Roman"/>
          <w:sz w:val="20"/>
          <w:szCs w:val="20"/>
          <w:color w:val="231F20"/>
        </w:rPr>
        <w:t>Marriott Vacations Worldwide Corporation Change in Control Severance Plan*</w:t>
      </w:r>
    </w:p>
    <w:p>
      <w:pPr>
        <w:spacing w:after="0" w:line="65" w:lineRule="exact"/>
        <w:rPr>
          <w:sz w:val="20"/>
          <w:szCs w:val="20"/>
          <w:color w:val="auto"/>
        </w:rPr>
      </w:pPr>
    </w:p>
    <w:p>
      <w:pPr>
        <w:ind w:right="400"/>
        <w:spacing w:after="0"/>
        <w:rPr>
          <w:sz w:val="20"/>
          <w:szCs w:val="20"/>
          <w:color w:val="auto"/>
        </w:rPr>
      </w:pPr>
      <w:r>
        <w:rPr>
          <w:rFonts w:ascii="Times New Roman" w:cs="Times New Roman" w:eastAsia="Times New Roman" w:hAnsi="Times New Roman"/>
          <w:sz w:val="20"/>
          <w:szCs w:val="20"/>
          <w:color w:val="231F20"/>
        </w:rPr>
        <w:t>Form of Participation Agreement for Change in Control Severance Plan*</w:t>
      </w:r>
    </w:p>
    <w:p>
      <w:pPr>
        <w:spacing w:after="0" w:line="65" w:lineRule="exact"/>
        <w:rPr>
          <w:sz w:val="20"/>
          <w:szCs w:val="20"/>
          <w:color w:val="auto"/>
        </w:rPr>
      </w:pPr>
    </w:p>
    <w:p>
      <w:pPr>
        <w:ind w:right="620"/>
        <w:spacing w:after="0" w:line="265" w:lineRule="auto"/>
        <w:rPr>
          <w:sz w:val="20"/>
          <w:szCs w:val="20"/>
          <w:color w:val="auto"/>
        </w:rPr>
      </w:pPr>
      <w:r>
        <w:rPr>
          <w:rFonts w:ascii="Times New Roman" w:cs="Times New Roman" w:eastAsia="Times New Roman" w:hAnsi="Times New Roman"/>
          <w:sz w:val="19"/>
          <w:szCs w:val="19"/>
          <w:color w:val="231F20"/>
        </w:rPr>
        <w:t>Marriott Vacations Worldwide Corporation Deferred Compensation Plan Revised July 29, 2022*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Marriott Vacations Worldwide Corporation Executive Long-Term Disability Plan*</w:t>
      </w:r>
    </w:p>
    <w:p>
      <w:pPr>
        <w:spacing w:after="0" w:line="7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231F20"/>
        </w:rPr>
        <w:t>Marriott Vacations Worldwide Corporation Employee Stock Purchase Plan*</w:t>
      </w:r>
    </w:p>
    <w:p>
      <w:pPr>
        <w:spacing w:after="0" w:line="83" w:lineRule="exact"/>
        <w:rPr>
          <w:sz w:val="20"/>
          <w:szCs w:val="20"/>
          <w:color w:val="auto"/>
        </w:rPr>
      </w:pPr>
    </w:p>
    <w:p>
      <w:pPr>
        <w:ind w:right="440"/>
        <w:spacing w:after="0" w:line="236" w:lineRule="auto"/>
        <w:rPr>
          <w:sz w:val="20"/>
          <w:szCs w:val="20"/>
          <w:color w:val="auto"/>
        </w:rPr>
      </w:pPr>
      <w:r>
        <w:rPr>
          <w:rFonts w:ascii="Times New Roman" w:cs="Times New Roman" w:eastAsia="Times New Roman" w:hAnsi="Times New Roman"/>
          <w:sz w:val="19"/>
          <w:szCs w:val="19"/>
          <w:color w:val="231F20"/>
        </w:rPr>
        <w:t>Credit Agreement, dated as of August 31, 2018, among Marriott Vacations Worldwide Corporation, Marriott Ownership Resorts, Inc., the lenders party thereto and JPMorgan Chase Bank, N.A., as administrative agent</w:t>
      </w:r>
    </w:p>
    <w:p>
      <w:pPr>
        <w:spacing w:after="0" w:line="76"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20"/>
          <w:szCs w:val="20"/>
          <w:color w:val="231F20"/>
        </w:rPr>
        <w:t>Amendment No. 1 to Credit Agreement, dated as of December 3, 2019, among Marriott Vacations Worldwide Corporation, Marriott Ownership Resorts, Inc., Interval Acquisition Corp., the lenders party thereto and JPMorgan Chase Bank, N.A., as administrative agent</w:t>
      </w:r>
    </w:p>
    <w:p>
      <w:pPr>
        <w:spacing w:after="0" w:line="7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231F20"/>
        </w:rPr>
        <w:t>Amendment No. 2 to Credit Agreement dated as of April 27, 2023, among Marriott Vacations Worldwide Corporation, Marriott Ownership Resorts, Inc., and JPMorgan Chase Bank, N.A., as administrative agent and collateral agent</w:t>
      </w:r>
    </w:p>
    <w:p>
      <w:pPr>
        <w:spacing w:after="0" w:line="76"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9"/>
          <w:szCs w:val="19"/>
          <w:color w:val="231F20"/>
        </w:rPr>
        <w:t>Incremental Facility Amendment, dated as of March 31, 2022, by and among Marriott Vacations Worldwide Corporation, Marriott Ownership Resorts, Inc., as borrower, JPMorgan Chase Bank, N.A., as administrative agent and collateral agent, and the incremental lenders party thereto</w:t>
      </w:r>
    </w:p>
    <w:p>
      <w:pPr>
        <w:spacing w:after="0" w:line="74" w:lineRule="exact"/>
        <w:rPr>
          <w:sz w:val="20"/>
          <w:szCs w:val="20"/>
          <w:color w:val="auto"/>
        </w:rPr>
      </w:pPr>
    </w:p>
    <w:p>
      <w:pPr>
        <w:ind w:right="80"/>
        <w:spacing w:after="0" w:line="219" w:lineRule="auto"/>
        <w:rPr>
          <w:sz w:val="20"/>
          <w:szCs w:val="20"/>
          <w:color w:val="auto"/>
        </w:rPr>
      </w:pPr>
      <w:r>
        <w:rPr>
          <w:rFonts w:ascii="Times New Roman" w:cs="Times New Roman" w:eastAsia="Times New Roman" w:hAnsi="Times New Roman"/>
          <w:sz w:val="20"/>
          <w:szCs w:val="20"/>
          <w:color w:val="231F20"/>
        </w:rPr>
        <w:t>Incremental Facility Amendment and Amendment No. 3, dated as of April 1, 2024, by and among Marriott Vacations Worldwide Corporation, Marriott Ownership Resorts, Inc., as borrower, the subsidiary guarantors party thereto, JPMorgan Chase Bank, N.A., as administrative agent and collateral agent, and the lenders party thereto</w:t>
      </w:r>
    </w:p>
    <w:p>
      <w:pPr>
        <w:spacing w:after="0" w:line="76" w:lineRule="exact"/>
        <w:rPr>
          <w:sz w:val="20"/>
          <w:szCs w:val="20"/>
          <w:color w:val="auto"/>
        </w:rPr>
      </w:pPr>
    </w:p>
    <w:p>
      <w:pPr>
        <w:ind w:right="240"/>
        <w:spacing w:after="0" w:line="230" w:lineRule="auto"/>
        <w:rPr>
          <w:sz w:val="20"/>
          <w:szCs w:val="20"/>
          <w:color w:val="auto"/>
        </w:rPr>
      </w:pPr>
      <w:r>
        <w:rPr>
          <w:rFonts w:ascii="Times New Roman" w:cs="Times New Roman" w:eastAsia="Times New Roman" w:hAnsi="Times New Roman"/>
          <w:sz w:val="19"/>
          <w:szCs w:val="19"/>
          <w:color w:val="231F20"/>
        </w:rPr>
        <w:t>Incremental Facility Amendment and Amendment No. 4, dated as of March 24, 2025, by and among Marriott Vacations Worldwide Corporation, Marriott Ownership Resorts, Inc., as borrower, the subsidiary guarantors party thereto, JPMorgan Chase Bank, N.A., as administrative agent and collateral agent, and the lenders party thereto</w:t>
      </w:r>
    </w:p>
    <w:p>
      <w:pPr>
        <w:spacing w:after="0" w:line="7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9"/>
          <w:szCs w:val="19"/>
          <w:color w:val="231F20"/>
        </w:rPr>
        <w:t>Joinder Agreement, dated as of September 1, 2018, among Interval Acquisition Corp. and JPMorgan Chase Bank, N.A.</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Deferred Compensation Plan for Non-Employee Directors*</w:t>
      </w:r>
    </w:p>
    <w:p>
      <w:pPr>
        <w:spacing w:after="0" w:line="105" w:lineRule="exact"/>
        <w:rPr>
          <w:sz w:val="20"/>
          <w:szCs w:val="20"/>
          <w:color w:val="auto"/>
        </w:rPr>
      </w:pPr>
    </w:p>
    <w:p>
      <w:pPr>
        <w:ind w:right="540"/>
        <w:spacing w:after="0"/>
        <w:rPr>
          <w:sz w:val="20"/>
          <w:szCs w:val="20"/>
          <w:color w:val="auto"/>
        </w:rPr>
      </w:pPr>
      <w:r>
        <w:rPr>
          <w:rFonts w:ascii="Times New Roman" w:cs="Times New Roman" w:eastAsia="Times New Roman" w:hAnsi="Times New Roman"/>
          <w:sz w:val="20"/>
          <w:szCs w:val="20"/>
          <w:color w:val="231F20"/>
        </w:rPr>
        <w:t>Interval Leisure Group, Inc. 2013 Stock and Incentive Compensation Plan, as amended*</w:t>
      </w:r>
    </w:p>
    <w:p>
      <w:pPr>
        <w:spacing w:after="0" w:line="70" w:lineRule="exact"/>
        <w:rPr>
          <w:sz w:val="20"/>
          <w:szCs w:val="20"/>
          <w:color w:val="auto"/>
        </w:rPr>
      </w:pPr>
    </w:p>
    <w:p>
      <w:pPr>
        <w:ind w:right="360"/>
        <w:spacing w:after="0" w:line="229" w:lineRule="auto"/>
        <w:rPr>
          <w:sz w:val="20"/>
          <w:szCs w:val="20"/>
          <w:color w:val="auto"/>
        </w:rPr>
      </w:pPr>
      <w:r>
        <w:rPr>
          <w:rFonts w:ascii="Times New Roman" w:cs="Times New Roman" w:eastAsia="Times New Roman" w:hAnsi="Times New Roman"/>
          <w:sz w:val="20"/>
          <w:szCs w:val="20"/>
          <w:color w:val="231F20"/>
        </w:rPr>
        <w:t>Form of Terms and Conditions for Annual RSU Awards under the Interval Leisure Group, Inc. 2013 Stock and Incentive Compensation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231F20"/>
                <w:w w:val="97"/>
              </w:rPr>
              <w:t>Filed</w:t>
            </w:r>
          </w:p>
        </w:tc>
        <w:tc>
          <w:tcPr>
            <w:tcW w:w="27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231F20"/>
              </w:rPr>
              <w:t>Incorporation By Reference From</w:t>
            </w:r>
          </w:p>
        </w:tc>
        <w:tc>
          <w:tcPr>
            <w:tcW w:w="0" w:type="dxa"/>
            <w:vAlign w:val="bottom"/>
          </w:tcPr>
          <w:p>
            <w:pPr>
              <w:spacing w:after="0"/>
              <w:rPr>
                <w:sz w:val="1"/>
                <w:szCs w:val="1"/>
                <w:color w:val="auto"/>
              </w:rPr>
            </w:pPr>
          </w:p>
        </w:tc>
      </w:tr>
      <w:tr>
        <w:trPr>
          <w:trHeight w:val="27"/>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Herewith</w:t>
            </w:r>
          </w:p>
        </w:tc>
        <w:tc>
          <w:tcPr>
            <w:tcW w:w="80" w:type="dxa"/>
            <w:vAlign w:val="bottom"/>
            <w:vMerge w:val="restart"/>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60" w:type="dxa"/>
            <w:vAlign w:val="bottom"/>
            <w:tcBorders>
              <w:bottom w:val="single" w:sz="8" w:color="231F20"/>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6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Form</w:t>
            </w:r>
          </w:p>
        </w:tc>
        <w:tc>
          <w:tcPr>
            <w:tcW w:w="60" w:type="dxa"/>
            <w:vAlign w:val="bottom"/>
          </w:tcPr>
          <w:p>
            <w:pPr>
              <w:spacing w:after="0"/>
              <w:rPr>
                <w:sz w:val="20"/>
                <w:szCs w:val="20"/>
                <w:color w:val="auto"/>
              </w:rPr>
            </w:pPr>
          </w:p>
        </w:tc>
        <w:tc>
          <w:tcPr>
            <w:tcW w:w="860" w:type="dxa"/>
            <w:vAlign w:val="bottom"/>
            <w:tcBorders>
              <w:bottom w:val="single" w:sz="8" w:color="231F20"/>
            </w:tcBorders>
          </w:tcPr>
          <w:p>
            <w:pPr>
              <w:ind w:left="140"/>
              <w:spacing w:after="0"/>
              <w:rPr>
                <w:sz w:val="20"/>
                <w:szCs w:val="20"/>
                <w:color w:val="auto"/>
              </w:rPr>
            </w:pPr>
            <w:r>
              <w:rPr>
                <w:rFonts w:ascii="Times New Roman" w:cs="Times New Roman" w:eastAsia="Times New Roman" w:hAnsi="Times New Roman"/>
                <w:sz w:val="18"/>
                <w:szCs w:val="18"/>
                <w:b w:val="1"/>
                <w:bCs w:val="1"/>
                <w:color w:val="231F20"/>
              </w:rPr>
              <w:t>Exhibit</w:t>
            </w:r>
          </w:p>
        </w:tc>
        <w:tc>
          <w:tcPr>
            <w:tcW w:w="80" w:type="dxa"/>
            <w:vAlign w:val="bottom"/>
          </w:tcPr>
          <w:p>
            <w:pPr>
              <w:spacing w:after="0"/>
              <w:rPr>
                <w:sz w:val="20"/>
                <w:szCs w:val="20"/>
                <w:color w:val="auto"/>
              </w:rPr>
            </w:pPr>
          </w:p>
        </w:tc>
        <w:tc>
          <w:tcPr>
            <w:tcW w:w="1060" w:type="dxa"/>
            <w:vAlign w:val="bottom"/>
            <w:tcBorders>
              <w:bottom w:val="single" w:sz="8" w:color="231F20"/>
            </w:tcBorders>
          </w:tcPr>
          <w:p>
            <w:pPr>
              <w:ind w:left="140"/>
              <w:spacing w:after="0"/>
              <w:rPr>
                <w:sz w:val="20"/>
                <w:szCs w:val="20"/>
                <w:color w:val="auto"/>
              </w:rPr>
            </w:pPr>
            <w:r>
              <w:rPr>
                <w:rFonts w:ascii="Times New Roman" w:cs="Times New Roman" w:eastAsia="Times New Roman" w:hAnsi="Times New Roman"/>
                <w:sz w:val="18"/>
                <w:szCs w:val="18"/>
                <w:b w:val="1"/>
                <w:bCs w:val="1"/>
                <w:color w:val="231F20"/>
              </w:rPr>
              <w:t>Date Filed</w:t>
            </w:r>
          </w:p>
        </w:tc>
        <w:tc>
          <w:tcPr>
            <w:tcW w:w="0" w:type="dxa"/>
            <w:vAlign w:val="bottom"/>
          </w:tcPr>
          <w:p>
            <w:pPr>
              <w:spacing w:after="0"/>
              <w:rPr>
                <w:sz w:val="1"/>
                <w:szCs w:val="1"/>
                <w:color w:val="auto"/>
              </w:rPr>
            </w:pPr>
          </w:p>
        </w:tc>
      </w:tr>
      <w:tr>
        <w:trPr>
          <w:trHeight w:val="477"/>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10.23</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2/27/2023</w:t>
            </w:r>
          </w:p>
        </w:tc>
        <w:tc>
          <w:tcPr>
            <w:tcW w:w="0" w:type="dxa"/>
            <w:vAlign w:val="bottom"/>
          </w:tcPr>
          <w:p>
            <w:pPr>
              <w:spacing w:after="0"/>
              <w:rPr>
                <w:sz w:val="1"/>
                <w:szCs w:val="1"/>
                <w:color w:val="auto"/>
              </w:rPr>
            </w:pPr>
          </w:p>
        </w:tc>
      </w:tr>
      <w:tr>
        <w:trPr>
          <w:trHeight w:val="630"/>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10.24</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2/27/2023</w:t>
            </w:r>
          </w:p>
        </w:tc>
        <w:tc>
          <w:tcPr>
            <w:tcW w:w="0" w:type="dxa"/>
            <w:vAlign w:val="bottom"/>
          </w:tcPr>
          <w:p>
            <w:pPr>
              <w:spacing w:after="0"/>
              <w:rPr>
                <w:sz w:val="1"/>
                <w:szCs w:val="1"/>
                <w:color w:val="auto"/>
              </w:rPr>
            </w:pPr>
          </w:p>
        </w:tc>
      </w:tr>
      <w:tr>
        <w:trPr>
          <w:trHeight w:val="52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10.18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2/28/2025</w:t>
            </w:r>
          </w:p>
        </w:tc>
        <w:tc>
          <w:tcPr>
            <w:tcW w:w="0" w:type="dxa"/>
            <w:vAlign w:val="bottom"/>
          </w:tcPr>
          <w:p>
            <w:pPr>
              <w:spacing w:after="0"/>
              <w:rPr>
                <w:sz w:val="1"/>
                <w:szCs w:val="1"/>
                <w:color w:val="auto"/>
              </w:rPr>
            </w:pPr>
          </w:p>
        </w:tc>
      </w:tr>
      <w:tr>
        <w:trPr>
          <w:trHeight w:val="52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10.26</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2/27/2023</w:t>
            </w:r>
          </w:p>
        </w:tc>
        <w:tc>
          <w:tcPr>
            <w:tcW w:w="0" w:type="dxa"/>
            <w:vAlign w:val="bottom"/>
          </w:tcPr>
          <w:p>
            <w:pPr>
              <w:spacing w:after="0"/>
              <w:rPr>
                <w:sz w:val="1"/>
                <w:szCs w:val="1"/>
                <w:color w:val="auto"/>
              </w:rPr>
            </w:pPr>
          </w:p>
        </w:tc>
      </w:tr>
      <w:tr>
        <w:trPr>
          <w:trHeight w:val="52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10-Q</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10.4</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8/9/2022</w:t>
            </w:r>
          </w:p>
        </w:tc>
        <w:tc>
          <w:tcPr>
            <w:tcW w:w="0" w:type="dxa"/>
            <w:vAlign w:val="bottom"/>
          </w:tcPr>
          <w:p>
            <w:pPr>
              <w:spacing w:after="0"/>
              <w:rPr>
                <w:sz w:val="1"/>
                <w:szCs w:val="1"/>
                <w:color w:val="auto"/>
              </w:rPr>
            </w:pPr>
          </w:p>
        </w:tc>
      </w:tr>
      <w:tr>
        <w:trPr>
          <w:trHeight w:val="52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10.21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2/26/2015</w:t>
            </w:r>
          </w:p>
        </w:tc>
        <w:tc>
          <w:tcPr>
            <w:tcW w:w="0" w:type="dxa"/>
            <w:vAlign w:val="bottom"/>
          </w:tcPr>
          <w:p>
            <w:pPr>
              <w:spacing w:after="0"/>
              <w:rPr>
                <w:sz w:val="1"/>
                <w:szCs w:val="1"/>
                <w:color w:val="auto"/>
              </w:rPr>
            </w:pPr>
          </w:p>
        </w:tc>
      </w:tr>
      <w:tr>
        <w:trPr>
          <w:trHeight w:val="532"/>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6/11/2015</w:t>
            </w:r>
          </w:p>
        </w:tc>
        <w:tc>
          <w:tcPr>
            <w:tcW w:w="0" w:type="dxa"/>
            <w:vAlign w:val="bottom"/>
          </w:tcPr>
          <w:p>
            <w:pPr>
              <w:spacing w:after="0"/>
              <w:rPr>
                <w:sz w:val="1"/>
                <w:szCs w:val="1"/>
                <w:color w:val="auto"/>
              </w:rPr>
            </w:pPr>
          </w:p>
        </w:tc>
      </w:tr>
      <w:tr>
        <w:trPr>
          <w:trHeight w:val="743"/>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4.9</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9/5/2018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60"/>
        <w:spacing w:after="0"/>
        <w:tabs>
          <w:tab w:leader="none" w:pos="1860" w:val="left"/>
          <w:tab w:leader="none" w:pos="2780" w:val="left"/>
        </w:tabs>
        <w:rPr>
          <w:sz w:val="20"/>
          <w:szCs w:val="20"/>
          <w:color w:val="auto"/>
        </w:rPr>
      </w:pPr>
      <w:r>
        <w:rPr>
          <w:rFonts w:ascii="Times New Roman" w:cs="Times New Roman" w:eastAsia="Times New Roman" w:hAnsi="Times New Roman"/>
          <w:sz w:val="20"/>
          <w:szCs w:val="20"/>
          <w:color w:val="231F20"/>
        </w:rPr>
        <w:t>10-K</w:t>
      </w:r>
      <w:r>
        <w:rPr>
          <w:sz w:val="20"/>
          <w:szCs w:val="20"/>
          <w:color w:val="auto"/>
        </w:rPr>
        <w:tab/>
      </w:r>
      <w:r>
        <w:rPr>
          <w:rFonts w:ascii="Times New Roman" w:cs="Times New Roman" w:eastAsia="Times New Roman" w:hAnsi="Times New Roman"/>
          <w:sz w:val="20"/>
          <w:szCs w:val="20"/>
          <w:color w:val="231F20"/>
        </w:rPr>
        <w:t>10.38</w:t>
      </w:r>
      <w:r>
        <w:rPr>
          <w:sz w:val="20"/>
          <w:szCs w:val="20"/>
          <w:color w:val="auto"/>
        </w:rPr>
        <w:tab/>
      </w:r>
      <w:r>
        <w:rPr>
          <w:rFonts w:ascii="Times New Roman" w:cs="Times New Roman" w:eastAsia="Times New Roman" w:hAnsi="Times New Roman"/>
          <w:sz w:val="19"/>
          <w:szCs w:val="19"/>
          <w:color w:val="231F20"/>
        </w:rPr>
        <w:t>3/2/2020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60"/>
        <w:spacing w:after="0"/>
        <w:tabs>
          <w:tab w:leader="none" w:pos="1920" w:val="left"/>
          <w:tab w:leader="none" w:pos="2780" w:val="left"/>
        </w:tabs>
        <w:rPr>
          <w:sz w:val="20"/>
          <w:szCs w:val="20"/>
          <w:color w:val="auto"/>
        </w:rPr>
      </w:pPr>
      <w:r>
        <w:rPr>
          <w:rFonts w:ascii="Times New Roman" w:cs="Times New Roman" w:eastAsia="Times New Roman" w:hAnsi="Times New Roman"/>
          <w:sz w:val="20"/>
          <w:szCs w:val="20"/>
          <w:color w:val="231F20"/>
        </w:rPr>
        <w:t>10-Q</w:t>
      </w:r>
      <w:r>
        <w:rPr>
          <w:sz w:val="20"/>
          <w:szCs w:val="20"/>
          <w:color w:val="auto"/>
        </w:rPr>
        <w:tab/>
      </w:r>
      <w:r>
        <w:rPr>
          <w:rFonts w:ascii="Times New Roman" w:cs="Times New Roman" w:eastAsia="Times New Roman" w:hAnsi="Times New Roman"/>
          <w:sz w:val="20"/>
          <w:szCs w:val="20"/>
          <w:color w:val="231F20"/>
        </w:rPr>
        <w:t>10.2</w:t>
      </w:r>
      <w:r>
        <w:rPr>
          <w:sz w:val="20"/>
          <w:szCs w:val="20"/>
          <w:color w:val="auto"/>
        </w:rPr>
        <w:tab/>
      </w:r>
      <w:r>
        <w:rPr>
          <w:rFonts w:ascii="Times New Roman" w:cs="Times New Roman" w:eastAsia="Times New Roman" w:hAnsi="Times New Roman"/>
          <w:sz w:val="19"/>
          <w:szCs w:val="19"/>
          <w:color w:val="231F20"/>
        </w:rPr>
        <w:t>8/4/2023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20"/>
        <w:spacing w:after="0"/>
        <w:tabs>
          <w:tab w:leader="none" w:pos="1920" w:val="left"/>
          <w:tab w:leader="none" w:pos="2780" w:val="left"/>
        </w:tabs>
        <w:rPr>
          <w:sz w:val="20"/>
          <w:szCs w:val="20"/>
          <w:color w:val="auto"/>
        </w:rPr>
      </w:pPr>
      <w:r>
        <w:rPr>
          <w:rFonts w:ascii="Times New Roman" w:cs="Times New Roman" w:eastAsia="Times New Roman" w:hAnsi="Times New Roman"/>
          <w:sz w:val="20"/>
          <w:szCs w:val="20"/>
          <w:color w:val="231F20"/>
        </w:rPr>
        <w:t>8-K</w:t>
      </w:r>
      <w:r>
        <w:rPr>
          <w:sz w:val="20"/>
          <w:szCs w:val="20"/>
          <w:color w:val="auto"/>
        </w:rPr>
        <w:tab/>
      </w:r>
      <w:r>
        <w:rPr>
          <w:rFonts w:ascii="Times New Roman" w:cs="Times New Roman" w:eastAsia="Times New Roman" w:hAnsi="Times New Roman"/>
          <w:sz w:val="20"/>
          <w:szCs w:val="20"/>
          <w:color w:val="231F20"/>
        </w:rPr>
        <w:t>10.1</w:t>
      </w:r>
      <w:r>
        <w:rPr>
          <w:sz w:val="20"/>
          <w:szCs w:val="20"/>
          <w:color w:val="auto"/>
        </w:rPr>
        <w:tab/>
      </w:r>
      <w:r>
        <w:rPr>
          <w:rFonts w:ascii="Times New Roman" w:cs="Times New Roman" w:eastAsia="Times New Roman" w:hAnsi="Times New Roman"/>
          <w:sz w:val="19"/>
          <w:szCs w:val="19"/>
          <w:color w:val="231F20"/>
        </w:rPr>
        <w:t>4/6/2022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120"/>
        <w:spacing w:after="0"/>
        <w:tabs>
          <w:tab w:leader="none" w:pos="1920" w:val="left"/>
          <w:tab w:leader="none" w:pos="2780" w:val="left"/>
        </w:tabs>
        <w:rPr>
          <w:sz w:val="20"/>
          <w:szCs w:val="20"/>
          <w:color w:val="auto"/>
        </w:rPr>
      </w:pPr>
      <w:r>
        <w:rPr>
          <w:rFonts w:ascii="Times New Roman" w:cs="Times New Roman" w:eastAsia="Times New Roman" w:hAnsi="Times New Roman"/>
          <w:sz w:val="20"/>
          <w:szCs w:val="20"/>
          <w:color w:val="231F20"/>
        </w:rPr>
        <w:t>8-K</w:t>
      </w:r>
      <w:r>
        <w:rPr>
          <w:sz w:val="20"/>
          <w:szCs w:val="20"/>
          <w:color w:val="auto"/>
        </w:rPr>
        <w:tab/>
      </w:r>
      <w:r>
        <w:rPr>
          <w:rFonts w:ascii="Times New Roman" w:cs="Times New Roman" w:eastAsia="Times New Roman" w:hAnsi="Times New Roman"/>
          <w:sz w:val="20"/>
          <w:szCs w:val="20"/>
          <w:color w:val="231F20"/>
        </w:rPr>
        <w:t>10.1</w:t>
      </w:r>
      <w:r>
        <w:rPr>
          <w:sz w:val="20"/>
          <w:szCs w:val="20"/>
          <w:color w:val="auto"/>
        </w:rPr>
        <w:tab/>
      </w:r>
      <w:r>
        <w:rPr>
          <w:rFonts w:ascii="Times New Roman" w:cs="Times New Roman" w:eastAsia="Times New Roman" w:hAnsi="Times New Roman"/>
          <w:sz w:val="19"/>
          <w:szCs w:val="19"/>
          <w:color w:val="231F20"/>
        </w:rPr>
        <w:t>4/2/2024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020" w:type="dxa"/>
        <w:tblCellMar>
          <w:top w:w="0" w:type="dxa"/>
          <w:left w:w="0" w:type="dxa"/>
          <w:bottom w:w="0" w:type="dxa"/>
          <w:right w:w="0" w:type="dxa"/>
        </w:tblCellMar>
      </w:tblPr>
      <w:tr>
        <w:trPr>
          <w:trHeight w:val="260"/>
        </w:trPr>
        <w:tc>
          <w:tcPr>
            <w:tcW w:w="68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231F20"/>
                <w:w w:val="96"/>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102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231F20"/>
              </w:rPr>
              <w:t>3/27/2025</w:t>
            </w:r>
          </w:p>
        </w:tc>
      </w:tr>
      <w:tr>
        <w:trPr>
          <w:trHeight w:val="930"/>
        </w:trPr>
        <w:tc>
          <w:tcPr>
            <w:tcW w:w="68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231F20"/>
                <w:w w:val="96"/>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4.10</w:t>
            </w:r>
          </w:p>
        </w:tc>
        <w:tc>
          <w:tcPr>
            <w:tcW w:w="102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231F20"/>
                <w:w w:val="98"/>
              </w:rPr>
              <w:t>9/5/2018</w:t>
            </w:r>
          </w:p>
        </w:tc>
      </w:tr>
      <w:tr>
        <w:trPr>
          <w:trHeight w:val="435"/>
        </w:trPr>
        <w:tc>
          <w:tcPr>
            <w:tcW w:w="68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231F20"/>
              </w:rPr>
              <w:t>S-1</w:t>
            </w:r>
            <w:r>
              <w:rPr>
                <w:rFonts w:ascii="Times New Roman" w:cs="Times New Roman" w:eastAsia="Times New Roman" w:hAnsi="Times New Roman"/>
                <w:sz w:val="11"/>
                <w:szCs w:val="11"/>
                <w:color w:val="231F20"/>
              </w:rPr>
              <w:t>(2)</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10.12</w:t>
            </w:r>
          </w:p>
        </w:tc>
        <w:tc>
          <w:tcPr>
            <w:tcW w:w="102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231F20"/>
                <w:w w:val="98"/>
              </w:rPr>
              <w:t>8/1/2018</w:t>
            </w:r>
          </w:p>
        </w:tc>
      </w:tr>
      <w:tr>
        <w:trPr>
          <w:trHeight w:val="435"/>
        </w:trPr>
        <w:tc>
          <w:tcPr>
            <w:tcW w:w="680" w:type="dxa"/>
            <w:vAlign w:val="bottom"/>
          </w:tcPr>
          <w:p>
            <w:pPr>
              <w:jc w:val="center"/>
              <w:ind w:right="82"/>
              <w:spacing w:after="0"/>
              <w:rPr>
                <w:sz w:val="20"/>
                <w:szCs w:val="20"/>
                <w:color w:val="auto"/>
              </w:rPr>
            </w:pPr>
            <w:r>
              <w:rPr>
                <w:rFonts w:ascii="Times New Roman" w:cs="Times New Roman" w:eastAsia="Times New Roman" w:hAnsi="Times New Roman"/>
                <w:sz w:val="20"/>
                <w:szCs w:val="20"/>
                <w:color w:val="231F20"/>
              </w:rPr>
              <w:t>S-8</w:t>
            </w:r>
            <w:r>
              <w:rPr>
                <w:rFonts w:ascii="Times New Roman" w:cs="Times New Roman" w:eastAsia="Times New Roman" w:hAnsi="Times New Roman"/>
                <w:sz w:val="11"/>
                <w:szCs w:val="11"/>
                <w:color w:val="231F20"/>
              </w:rPr>
              <w:t>(2)</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102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231F20"/>
                <w:w w:val="98"/>
              </w:rPr>
              <w:t>8/5/2016</w:t>
            </w:r>
          </w:p>
        </w:tc>
      </w:tr>
      <w:tr>
        <w:trPr>
          <w:trHeight w:val="699"/>
        </w:trPr>
        <w:tc>
          <w:tcPr>
            <w:tcW w:w="680" w:type="dxa"/>
            <w:vAlign w:val="bottom"/>
          </w:tcPr>
          <w:p>
            <w:pPr>
              <w:jc w:val="center"/>
              <w:ind w:right="82"/>
              <w:spacing w:after="0"/>
              <w:rPr>
                <w:sz w:val="20"/>
                <w:szCs w:val="20"/>
                <w:color w:val="auto"/>
              </w:rPr>
            </w:pPr>
            <w:r>
              <w:rPr>
                <w:rFonts w:ascii="Times New Roman" w:cs="Times New Roman" w:eastAsia="Times New Roman" w:hAnsi="Times New Roman"/>
                <w:sz w:val="18"/>
                <w:szCs w:val="18"/>
                <w:color w:val="231F20"/>
                <w:w w:val="91"/>
              </w:rPr>
              <w:t>10-Q</w:t>
            </w:r>
            <w:r>
              <w:rPr>
                <w:rFonts w:ascii="Times New Roman" w:cs="Times New Roman" w:eastAsia="Times New Roman" w:hAnsi="Times New Roman"/>
                <w:sz w:val="23"/>
                <w:szCs w:val="23"/>
                <w:color w:val="231F20"/>
                <w:w w:val="91"/>
                <w:vertAlign w:val="superscript"/>
              </w:rPr>
              <w:t>(2)</w:t>
            </w: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102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231F20"/>
                <w:w w:val="98"/>
              </w:rPr>
              <w:t>5/8/2014</w:t>
            </w:r>
          </w:p>
        </w:tc>
      </w:tr>
    </w:tbl>
    <w:p>
      <w:pPr>
        <w:spacing w:after="0" w:line="328" w:lineRule="exact"/>
        <w:rPr>
          <w:sz w:val="20"/>
          <w:szCs w:val="20"/>
          <w:color w:val="auto"/>
        </w:rPr>
      </w:pPr>
    </w:p>
    <w:p>
      <w:pPr>
        <w:sectPr>
          <w:pgSz w:w="11880" w:h="15480" w:orient="portrait"/>
          <w:cols w:equalWidth="0" w:num="3">
            <w:col w:w="640" w:space="260"/>
            <w:col w:w="4860" w:space="160"/>
            <w:col w:w="3680"/>
          </w:cols>
          <w:pgMar w:left="1200" w:top="901" w:right="1080"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231F20"/>
        </w:rPr>
        <w:t>128</w:t>
      </w:r>
    </w:p>
    <w:p>
      <w:pPr>
        <w:sectPr>
          <w:pgSz w:w="11880" w:h="15480" w:orient="portrait"/>
          <w:cols w:equalWidth="0" w:num="1">
            <w:col w:w="9600"/>
          </w:cols>
          <w:pgMar w:left="1200" w:top="901" w:right="1080" w:bottom="0" w:gutter="0" w:footer="0" w:header="0"/>
          <w:type w:val="continuous"/>
        </w:sectPr>
      </w:pPr>
    </w:p>
    <w:bookmarkStart w:id="132" w:name="page133"/>
    <w:bookmarkEnd w:id="132"/>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31F20"/>
        </w:rPr>
        <w:t>Exhibit</w:t>
      </w:r>
    </w:p>
    <w:p>
      <w:pPr>
        <w:spacing w:after="0"/>
        <w:rPr>
          <w:sz w:val="20"/>
          <w:szCs w:val="20"/>
          <w:color w:val="auto"/>
        </w:rPr>
      </w:pPr>
      <w:r>
        <w:rPr>
          <w:rFonts w:ascii="Times New Roman" w:cs="Times New Roman" w:eastAsia="Times New Roman" w:hAnsi="Times New Roman"/>
          <w:sz w:val="18"/>
          <w:szCs w:val="18"/>
          <w:b w:val="1"/>
          <w:bCs w:val="1"/>
          <w:color w:val="231F20"/>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35560</wp:posOffset>
            </wp:positionV>
            <wp:extent cx="56197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1">
                      <a:extLst>
                        <a:ext uri="{28A0092B-C50C-407E-A947-70E740481C1C}"/>
                      </a:extLst>
                    </a:blip>
                    <a:srcRect/>
                    <a:stretch>
                      <a:fillRect/>
                    </a:stretch>
                  </pic:blipFill>
                  <pic:spPr bwMode="auto">
                    <a:xfrm>
                      <a:off x="0" y="0"/>
                      <a:ext cx="561975" cy="12700"/>
                    </a:xfrm>
                    <a:prstGeom prst="rect">
                      <a:avLst/>
                    </a:prstGeom>
                    <a:noFill/>
                  </pic:spPr>
                </pic:pic>
              </a:graphicData>
            </a:graphic>
          </wp:anchor>
        </w:drawing>
      </w:r>
    </w:p>
    <w:p>
      <w:pPr>
        <w:spacing w:after="0" w:line="3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10.33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10.34</w:t>
      </w: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10.35</w:t>
      </w: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10.36</w:t>
      </w:r>
    </w:p>
    <w:p>
      <w:pPr>
        <w:spacing w:after="0" w:line="4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10.37</w:t>
      </w:r>
    </w:p>
    <w:p>
      <w:pPr>
        <w:spacing w:after="0" w:line="2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10.38</w:t>
      </w: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10.39</w:t>
      </w:r>
    </w:p>
    <w:p>
      <w:pPr>
        <w:spacing w:after="0" w:line="1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10.40</w:t>
      </w:r>
    </w:p>
    <w:p>
      <w:pPr>
        <w:spacing w:after="0" w:line="1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10.41</w:t>
      </w:r>
    </w:p>
    <w:p>
      <w:pPr>
        <w:spacing w:after="0" w:line="1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10.42</w:t>
      </w:r>
    </w:p>
    <w:p>
      <w:pPr>
        <w:spacing w:after="0" w:line="3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10.43</w:t>
      </w: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10.44</w:t>
      </w: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10.45</w:t>
      </w: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10.46</w:t>
      </w: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10.47</w:t>
      </w:r>
    </w:p>
    <w:p>
      <w:pPr>
        <w:spacing w:after="0" w:line="200" w:lineRule="exact"/>
        <w:rPr>
          <w:sz w:val="20"/>
          <w:szCs w:val="20"/>
          <w:color w:val="auto"/>
        </w:rPr>
      </w:pP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10.48</w:t>
      </w:r>
    </w:p>
    <w:p>
      <w:pPr>
        <w:spacing w:after="0" w:line="3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10.49</w:t>
      </w:r>
    </w:p>
    <w:p>
      <w:pPr>
        <w:spacing w:after="0" w:line="2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10.50</w:t>
      </w:r>
    </w:p>
    <w:p>
      <w:pPr>
        <w:spacing w:after="0" w:line="3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10.51</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10.52</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231F20"/>
        </w:rPr>
        <w:t>10.53</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8"/>
          <w:szCs w:val="18"/>
          <w:b w:val="1"/>
          <w:bCs w:val="1"/>
          <w:color w:val="231F20"/>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107950</wp:posOffset>
            </wp:positionV>
            <wp:extent cx="3181350"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2">
                      <a:extLst>
                        <a:ext uri="{28A0092B-C50C-407E-A947-70E740481C1C}"/>
                      </a:extLst>
                    </a:blip>
                    <a:srcRect/>
                    <a:stretch>
                      <a:fillRect/>
                    </a:stretch>
                  </pic:blipFill>
                  <pic:spPr bwMode="auto">
                    <a:xfrm>
                      <a:off x="0" y="0"/>
                      <a:ext cx="3181350" cy="12700"/>
                    </a:xfrm>
                    <a:prstGeom prst="rect">
                      <a:avLst/>
                    </a:prstGeom>
                    <a:noFill/>
                  </pic:spPr>
                </pic:pic>
              </a:graphicData>
            </a:graphic>
          </wp:anchor>
        </w:drawing>
      </w:r>
    </w:p>
    <w:p>
      <w:pPr>
        <w:spacing w:after="0" w:line="191"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20"/>
          <w:szCs w:val="20"/>
          <w:color w:val="231F20"/>
        </w:rPr>
        <w:t>Employee Matters Agreement, dated as of October 27, 2015 among Interval Leisure Group, Inc., Starwood Hotels &amp; Resorts Worldwide, Inc. and Vistana Signature Experiences, Inc., as amended</w:t>
      </w:r>
    </w:p>
    <w:p>
      <w:pPr>
        <w:spacing w:after="0" w:line="81"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9"/>
          <w:szCs w:val="19"/>
          <w:color w:val="231F20"/>
        </w:rPr>
        <w:t>Tax Matters Agreement, dated as of May 11, 2016, among Interval Leisure Group, Inc., Starwood Hotels &amp; Resorts Worldwide, Inc. and Vistana Signature Experiences, Inc.</w:t>
      </w:r>
    </w:p>
    <w:p>
      <w:pPr>
        <w:spacing w:after="0" w:line="74" w:lineRule="exact"/>
        <w:rPr>
          <w:sz w:val="20"/>
          <w:szCs w:val="20"/>
          <w:color w:val="auto"/>
        </w:rPr>
      </w:pPr>
    </w:p>
    <w:p>
      <w:pPr>
        <w:jc w:val="both"/>
        <w:ind w:right="80"/>
        <w:spacing w:after="0" w:line="229" w:lineRule="auto"/>
        <w:rPr>
          <w:sz w:val="20"/>
          <w:szCs w:val="20"/>
          <w:color w:val="auto"/>
        </w:rPr>
      </w:pPr>
      <w:r>
        <w:rPr>
          <w:rFonts w:ascii="Times New Roman" w:cs="Times New Roman" w:eastAsia="Times New Roman" w:hAnsi="Times New Roman"/>
          <w:sz w:val="20"/>
          <w:szCs w:val="20"/>
          <w:color w:val="231F20"/>
        </w:rPr>
        <w:t>Amendment No. 2 to the Interval Leisure Group, Inc. 2013 Stock and Incentive Compensation Plan, dated February 25, 2018*</w:t>
      </w:r>
    </w:p>
    <w:p>
      <w:pPr>
        <w:spacing w:after="0" w:line="77" w:lineRule="exact"/>
        <w:rPr>
          <w:sz w:val="20"/>
          <w:szCs w:val="20"/>
          <w:color w:val="auto"/>
        </w:rPr>
      </w:pPr>
    </w:p>
    <w:p>
      <w:pPr>
        <w:ind w:right="360"/>
        <w:spacing w:after="0" w:line="229" w:lineRule="auto"/>
        <w:rPr>
          <w:sz w:val="20"/>
          <w:szCs w:val="20"/>
          <w:color w:val="auto"/>
        </w:rPr>
      </w:pPr>
      <w:r>
        <w:rPr>
          <w:rFonts w:ascii="Times New Roman" w:cs="Times New Roman" w:eastAsia="Times New Roman" w:hAnsi="Times New Roman"/>
          <w:sz w:val="20"/>
          <w:szCs w:val="20"/>
          <w:color w:val="231F20"/>
        </w:rPr>
        <w:t>2020 Amended and Restated Employment Agreement between Marriott Vacations Worldwide Corporation and Jeanette E. Marbert*</w:t>
      </w:r>
    </w:p>
    <w:p>
      <w:pPr>
        <w:spacing w:after="0" w:line="7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9"/>
          <w:szCs w:val="19"/>
          <w:color w:val="231F20"/>
        </w:rPr>
        <w:t>2020 Salary Reduction Agreement between Marriott Vacations Worldwide Corporation and Jeanette E. Marbert*</w:t>
      </w:r>
    </w:p>
    <w:p>
      <w:pPr>
        <w:spacing w:after="0" w:line="43" w:lineRule="exact"/>
        <w:rPr>
          <w:sz w:val="20"/>
          <w:szCs w:val="20"/>
          <w:color w:val="auto"/>
        </w:rPr>
      </w:pPr>
    </w:p>
    <w:p>
      <w:pPr>
        <w:ind w:right="520"/>
        <w:spacing w:after="0"/>
        <w:rPr>
          <w:sz w:val="20"/>
          <w:szCs w:val="20"/>
          <w:color w:val="auto"/>
        </w:rPr>
      </w:pPr>
      <w:r>
        <w:rPr>
          <w:rFonts w:ascii="Times New Roman" w:cs="Times New Roman" w:eastAsia="Times New Roman" w:hAnsi="Times New Roman"/>
          <w:sz w:val="20"/>
          <w:szCs w:val="20"/>
          <w:color w:val="231F20"/>
        </w:rPr>
        <w:t>Amended and Restated Marriott Vacations Worldwide Corporation 2020 Equity Incentive Plan*</w:t>
      </w:r>
    </w:p>
    <w:p>
      <w:pPr>
        <w:spacing w:after="0" w:line="75" w:lineRule="exact"/>
        <w:rPr>
          <w:sz w:val="20"/>
          <w:szCs w:val="20"/>
          <w:color w:val="auto"/>
        </w:rPr>
      </w:pPr>
    </w:p>
    <w:p>
      <w:pPr>
        <w:ind w:right="1120"/>
        <w:spacing w:after="0" w:line="360" w:lineRule="auto"/>
        <w:rPr>
          <w:sz w:val="20"/>
          <w:szCs w:val="20"/>
          <w:color w:val="auto"/>
        </w:rPr>
      </w:pPr>
      <w:r>
        <w:rPr>
          <w:rFonts w:ascii="Times New Roman" w:cs="Times New Roman" w:eastAsia="Times New Roman" w:hAnsi="Times New Roman"/>
          <w:sz w:val="20"/>
          <w:szCs w:val="20"/>
          <w:color w:val="231F20"/>
        </w:rPr>
        <w:t>Form of Call Option Transaction Confirmation Form of Warrant Confirmation</w:t>
      </w:r>
    </w:p>
    <w:p>
      <w:pPr>
        <w:ind w:right="700"/>
        <w:spacing w:after="0" w:line="357" w:lineRule="auto"/>
        <w:rPr>
          <w:sz w:val="20"/>
          <w:szCs w:val="20"/>
          <w:color w:val="auto"/>
        </w:rPr>
      </w:pPr>
      <w:r>
        <w:rPr>
          <w:rFonts w:ascii="Times New Roman" w:cs="Times New Roman" w:eastAsia="Times New Roman" w:hAnsi="Times New Roman"/>
          <w:sz w:val="20"/>
          <w:szCs w:val="20"/>
          <w:color w:val="231F20"/>
        </w:rPr>
        <w:t>Form of Base Call Option Transaction Confirmation Form of Base Warrant Confirmation</w:t>
      </w:r>
    </w:p>
    <w:p>
      <w:pPr>
        <w:spacing w:after="0" w:line="1" w:lineRule="exact"/>
        <w:rPr>
          <w:sz w:val="20"/>
          <w:szCs w:val="20"/>
          <w:color w:val="auto"/>
        </w:rPr>
      </w:pPr>
    </w:p>
    <w:p>
      <w:pPr>
        <w:jc w:val="both"/>
        <w:ind w:right="300"/>
        <w:spacing w:after="0" w:line="229" w:lineRule="auto"/>
        <w:rPr>
          <w:sz w:val="20"/>
          <w:szCs w:val="20"/>
          <w:color w:val="auto"/>
        </w:rPr>
      </w:pPr>
      <w:r>
        <w:rPr>
          <w:rFonts w:ascii="Times New Roman" w:cs="Times New Roman" w:eastAsia="Times New Roman" w:hAnsi="Times New Roman"/>
          <w:sz w:val="20"/>
          <w:szCs w:val="20"/>
          <w:color w:val="231F20"/>
        </w:rPr>
        <w:t>Form of Stock Appreciation Right Agreement - Marriott Vacations Worldwide Corporation 2020 Equity Incentive Plan*</w:t>
      </w:r>
    </w:p>
    <w:p>
      <w:pPr>
        <w:spacing w:after="0" w:line="77" w:lineRule="exact"/>
        <w:rPr>
          <w:sz w:val="20"/>
          <w:szCs w:val="20"/>
          <w:color w:val="auto"/>
        </w:rPr>
      </w:pPr>
    </w:p>
    <w:p>
      <w:pPr>
        <w:ind w:right="300"/>
        <w:spacing w:after="0" w:line="229" w:lineRule="auto"/>
        <w:rPr>
          <w:sz w:val="20"/>
          <w:szCs w:val="20"/>
          <w:color w:val="auto"/>
        </w:rPr>
      </w:pPr>
      <w:r>
        <w:rPr>
          <w:rFonts w:ascii="Times New Roman" w:cs="Times New Roman" w:eastAsia="Times New Roman" w:hAnsi="Times New Roman"/>
          <w:sz w:val="20"/>
          <w:szCs w:val="20"/>
          <w:color w:val="231F20"/>
        </w:rPr>
        <w:t>Form of Restricted Stock Unit Agreement - Marriott Vacations Worldwide Corporation 2020 Equity Incentive Plan*</w:t>
      </w:r>
    </w:p>
    <w:p>
      <w:pPr>
        <w:spacing w:after="0" w:line="7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9"/>
          <w:szCs w:val="19"/>
          <w:color w:val="231F20"/>
        </w:rPr>
        <w:t>Form of Performance Unit Agreement - Marriott Vacations Worldwide Corporation 2020 Equity Incentive Plan*</w:t>
      </w:r>
    </w:p>
    <w:p>
      <w:pPr>
        <w:spacing w:after="0" w:line="55" w:lineRule="exact"/>
        <w:rPr>
          <w:sz w:val="20"/>
          <w:szCs w:val="20"/>
          <w:color w:val="auto"/>
        </w:rPr>
      </w:pPr>
    </w:p>
    <w:p>
      <w:pPr>
        <w:jc w:val="both"/>
        <w:ind w:right="300"/>
        <w:spacing w:after="0" w:line="229" w:lineRule="auto"/>
        <w:rPr>
          <w:sz w:val="20"/>
          <w:szCs w:val="20"/>
          <w:color w:val="auto"/>
        </w:rPr>
      </w:pPr>
      <w:r>
        <w:rPr>
          <w:rFonts w:ascii="Times New Roman" w:cs="Times New Roman" w:eastAsia="Times New Roman" w:hAnsi="Times New Roman"/>
          <w:sz w:val="20"/>
          <w:szCs w:val="20"/>
          <w:color w:val="231F20"/>
        </w:rPr>
        <w:t>Form of Stock Appreciation Right Agreement - Marriott Vacations Worldwide Corporation 2020 Equity Incentive Plan*</w:t>
      </w:r>
    </w:p>
    <w:p>
      <w:pPr>
        <w:spacing w:after="0" w:line="77" w:lineRule="exact"/>
        <w:rPr>
          <w:sz w:val="20"/>
          <w:szCs w:val="20"/>
          <w:color w:val="auto"/>
        </w:rPr>
      </w:pPr>
    </w:p>
    <w:p>
      <w:pPr>
        <w:ind w:right="300"/>
        <w:spacing w:after="0" w:line="229" w:lineRule="auto"/>
        <w:rPr>
          <w:sz w:val="20"/>
          <w:szCs w:val="20"/>
          <w:color w:val="auto"/>
        </w:rPr>
      </w:pPr>
      <w:r>
        <w:rPr>
          <w:rFonts w:ascii="Times New Roman" w:cs="Times New Roman" w:eastAsia="Times New Roman" w:hAnsi="Times New Roman"/>
          <w:sz w:val="20"/>
          <w:szCs w:val="20"/>
          <w:color w:val="231F20"/>
        </w:rPr>
        <w:t>Form of Restricted Stock Unit Agreement - Marriott Vacations Worldwide Corporation 2020 Equity Incentive Plan*</w:t>
      </w:r>
    </w:p>
    <w:p>
      <w:pPr>
        <w:spacing w:after="0" w:line="7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9"/>
          <w:szCs w:val="19"/>
          <w:color w:val="231F20"/>
        </w:rPr>
        <w:t>Form of Performance Unit Agreement - Marriott Vacations Worldwide Corporation 2020 Equity Incentive Plan*</w:t>
      </w:r>
    </w:p>
    <w:p>
      <w:pPr>
        <w:spacing w:after="0" w:line="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color w:val="231F20"/>
        </w:rPr>
        <w:t>Support Agreement, dated May 27, 2025, between Impactive Capital LP and Marriott Vacations Worldwide Corporation</w:t>
      </w:r>
    </w:p>
    <w:p>
      <w:pPr>
        <w:spacing w:after="0" w:line="2" w:lineRule="exact"/>
        <w:rPr>
          <w:sz w:val="20"/>
          <w:szCs w:val="20"/>
          <w:color w:val="auto"/>
        </w:rPr>
      </w:pPr>
    </w:p>
    <w:p>
      <w:pPr>
        <w:ind w:right="580"/>
        <w:spacing w:after="0"/>
        <w:rPr>
          <w:sz w:val="20"/>
          <w:szCs w:val="20"/>
          <w:color w:val="auto"/>
        </w:rPr>
      </w:pPr>
      <w:r>
        <w:rPr>
          <w:rFonts w:ascii="Times New Roman" w:cs="Times New Roman" w:eastAsia="Times New Roman" w:hAnsi="Times New Roman"/>
          <w:sz w:val="20"/>
          <w:szCs w:val="20"/>
          <w:color w:val="231F20"/>
        </w:rPr>
        <w:t>John E. Geller, Jr. Separation Agreement and General Release of Claims</w:t>
      </w:r>
    </w:p>
    <w:p>
      <w:pPr>
        <w:spacing w:after="0" w:line="10"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20"/>
          <w:szCs w:val="20"/>
          <w:color w:val="231F20"/>
        </w:rPr>
        <w:t>Offer Letter Employment Agreement between Marriott Ownership Resorts, Inc. and Matthew E. Avril, dated as of November 9, 2025*</w:t>
      </w:r>
    </w:p>
    <w:p>
      <w:pPr>
        <w:spacing w:after="0" w:line="17"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20"/>
          <w:szCs w:val="20"/>
          <w:color w:val="231F20"/>
        </w:rPr>
        <w:t>Stock Appreciation Right Agreement between Marriott Vacations Worldwide Corporation and Matthew E. Avril, dated as of November 13, 2025*</w:t>
      </w:r>
    </w:p>
    <w:p>
      <w:pPr>
        <w:spacing w:after="0" w:line="17"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20"/>
          <w:szCs w:val="20"/>
          <w:color w:val="231F20"/>
        </w:rPr>
        <w:t>Restricted Stock Unit Agreement between Marriott Vacations Worldwide Corporation and Matthew E. Avril, dated as of November 13,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231F20"/>
                <w:w w:val="97"/>
              </w:rPr>
              <w:t>Filed</w:t>
            </w:r>
          </w:p>
        </w:tc>
        <w:tc>
          <w:tcPr>
            <w:tcW w:w="27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231F20"/>
              </w:rPr>
              <w:t>Incorporation By Reference From</w:t>
            </w:r>
          </w:p>
        </w:tc>
        <w:tc>
          <w:tcPr>
            <w:tcW w:w="0" w:type="dxa"/>
            <w:vAlign w:val="bottom"/>
          </w:tcPr>
          <w:p>
            <w:pPr>
              <w:spacing w:after="0"/>
              <w:rPr>
                <w:sz w:val="1"/>
                <w:szCs w:val="1"/>
                <w:color w:val="auto"/>
              </w:rPr>
            </w:pPr>
          </w:p>
        </w:tc>
      </w:tr>
      <w:tr>
        <w:trPr>
          <w:trHeight w:val="27"/>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Herewith</w:t>
            </w:r>
          </w:p>
        </w:tc>
        <w:tc>
          <w:tcPr>
            <w:tcW w:w="80" w:type="dxa"/>
            <w:vAlign w:val="bottom"/>
            <w:vMerge w:val="restart"/>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60" w:type="dxa"/>
            <w:vAlign w:val="bottom"/>
            <w:tcBorders>
              <w:bottom w:val="single" w:sz="8" w:color="231F20"/>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680" w:type="dxa"/>
            <w:vAlign w:val="bottom"/>
            <w:tcBorders>
              <w:bottom w:val="single" w:sz="8" w:color="231F20"/>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Form</w:t>
            </w:r>
          </w:p>
        </w:tc>
        <w:tc>
          <w:tcPr>
            <w:tcW w:w="60" w:type="dxa"/>
            <w:vAlign w:val="bottom"/>
          </w:tcPr>
          <w:p>
            <w:pPr>
              <w:spacing w:after="0"/>
              <w:rPr>
                <w:sz w:val="20"/>
                <w:szCs w:val="20"/>
                <w:color w:val="auto"/>
              </w:rPr>
            </w:pPr>
          </w:p>
        </w:tc>
        <w:tc>
          <w:tcPr>
            <w:tcW w:w="860" w:type="dxa"/>
            <w:vAlign w:val="bottom"/>
            <w:tcBorders>
              <w:bottom w:val="single" w:sz="8" w:color="231F20"/>
            </w:tcBorders>
          </w:tcPr>
          <w:p>
            <w:pPr>
              <w:ind w:left="140"/>
              <w:spacing w:after="0"/>
              <w:rPr>
                <w:sz w:val="20"/>
                <w:szCs w:val="20"/>
                <w:color w:val="auto"/>
              </w:rPr>
            </w:pPr>
            <w:r>
              <w:rPr>
                <w:rFonts w:ascii="Times New Roman" w:cs="Times New Roman" w:eastAsia="Times New Roman" w:hAnsi="Times New Roman"/>
                <w:sz w:val="18"/>
                <w:szCs w:val="18"/>
                <w:b w:val="1"/>
                <w:bCs w:val="1"/>
                <w:color w:val="231F20"/>
              </w:rPr>
              <w:t>Exhibit</w:t>
            </w:r>
          </w:p>
        </w:tc>
        <w:tc>
          <w:tcPr>
            <w:tcW w:w="80" w:type="dxa"/>
            <w:vAlign w:val="bottom"/>
          </w:tcPr>
          <w:p>
            <w:pPr>
              <w:spacing w:after="0"/>
              <w:rPr>
                <w:sz w:val="20"/>
                <w:szCs w:val="20"/>
                <w:color w:val="auto"/>
              </w:rPr>
            </w:pPr>
          </w:p>
        </w:tc>
        <w:tc>
          <w:tcPr>
            <w:tcW w:w="1060" w:type="dxa"/>
            <w:vAlign w:val="bottom"/>
            <w:tcBorders>
              <w:bottom w:val="single" w:sz="8" w:color="231F20"/>
            </w:tcBorders>
          </w:tcPr>
          <w:p>
            <w:pPr>
              <w:ind w:left="140"/>
              <w:spacing w:after="0"/>
              <w:rPr>
                <w:sz w:val="20"/>
                <w:szCs w:val="20"/>
                <w:color w:val="auto"/>
              </w:rPr>
            </w:pPr>
            <w:r>
              <w:rPr>
                <w:rFonts w:ascii="Times New Roman" w:cs="Times New Roman" w:eastAsia="Times New Roman" w:hAnsi="Times New Roman"/>
                <w:sz w:val="18"/>
                <w:szCs w:val="18"/>
                <w:b w:val="1"/>
                <w:bCs w:val="1"/>
                <w:color w:val="231F20"/>
              </w:rPr>
              <w:t>Date Filed</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1040"/>
        <w:spacing w:after="0"/>
        <w:tabs>
          <w:tab w:leader="none" w:pos="1920" w:val="left"/>
          <w:tab w:leader="none" w:pos="2720" w:val="left"/>
        </w:tabs>
        <w:rPr>
          <w:sz w:val="20"/>
          <w:szCs w:val="20"/>
          <w:color w:val="auto"/>
        </w:rPr>
      </w:pPr>
      <w:r>
        <w:rPr>
          <w:rFonts w:ascii="Times New Roman" w:cs="Times New Roman" w:eastAsia="Times New Roman" w:hAnsi="Times New Roman"/>
          <w:sz w:val="20"/>
          <w:szCs w:val="20"/>
          <w:color w:val="231F20"/>
        </w:rPr>
        <w:t>8-K</w:t>
      </w:r>
      <w:r>
        <w:rPr>
          <w:rFonts w:ascii="Times New Roman" w:cs="Times New Roman" w:eastAsia="Times New Roman" w:hAnsi="Times New Roman"/>
          <w:sz w:val="11"/>
          <w:szCs w:val="11"/>
          <w:color w:val="231F20"/>
        </w:rPr>
        <w:t>(2)</w:t>
      </w:r>
      <w:r>
        <w:rPr>
          <w:sz w:val="20"/>
          <w:szCs w:val="20"/>
          <w:color w:val="auto"/>
        </w:rPr>
        <w:tab/>
      </w:r>
      <w:r>
        <w:rPr>
          <w:rFonts w:ascii="Times New Roman" w:cs="Times New Roman" w:eastAsia="Times New Roman" w:hAnsi="Times New Roman"/>
          <w:sz w:val="20"/>
          <w:szCs w:val="20"/>
          <w:color w:val="231F20"/>
        </w:rPr>
        <w:t>10.6</w:t>
      </w:r>
      <w:r>
        <w:rPr>
          <w:sz w:val="20"/>
          <w:szCs w:val="20"/>
          <w:color w:val="auto"/>
        </w:rPr>
        <w:tab/>
      </w:r>
      <w:r>
        <w:rPr>
          <w:rFonts w:ascii="Times New Roman" w:cs="Times New Roman" w:eastAsia="Times New Roman" w:hAnsi="Times New Roman"/>
          <w:sz w:val="20"/>
          <w:szCs w:val="20"/>
          <w:color w:val="231F20"/>
        </w:rPr>
        <w:t>5/12/2016</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00" w:type="dxa"/>
        <w:tblCellMar>
          <w:top w:w="0" w:type="dxa"/>
          <w:left w:w="0" w:type="dxa"/>
          <w:bottom w:w="0" w:type="dxa"/>
          <w:right w:w="0" w:type="dxa"/>
        </w:tblCellMar>
      </w:tblPr>
      <w:tr>
        <w:trPr>
          <w:trHeight w:val="334"/>
        </w:trPr>
        <w:tc>
          <w:tcPr>
            <w:tcW w:w="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w w:val="93"/>
              </w:rPr>
              <w:t>8-K</w:t>
            </w:r>
            <w:r>
              <w:rPr>
                <w:rFonts w:ascii="Times New Roman" w:cs="Times New Roman" w:eastAsia="Times New Roman" w:hAnsi="Times New Roman"/>
                <w:sz w:val="23"/>
                <w:szCs w:val="23"/>
                <w:color w:val="231F20"/>
                <w:w w:val="93"/>
                <w:vertAlign w:val="superscript"/>
              </w:rPr>
              <w:t>(2)</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10.3</w:t>
            </w: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5/12/2016</w:t>
            </w:r>
          </w:p>
        </w:tc>
      </w:tr>
      <w:tr>
        <w:trPr>
          <w:trHeight w:val="661"/>
        </w:trPr>
        <w:tc>
          <w:tcPr>
            <w:tcW w:w="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rPr>
              <w:t>10-Q</w:t>
            </w:r>
            <w:r>
              <w:rPr>
                <w:rFonts w:ascii="Times New Roman" w:cs="Times New Roman" w:eastAsia="Times New Roman" w:hAnsi="Times New Roman"/>
                <w:sz w:val="11"/>
                <w:szCs w:val="11"/>
                <w:color w:val="231F20"/>
              </w:rPr>
              <w:t>(2)</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10.2</w:t>
            </w: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w w:val="98"/>
              </w:rPr>
              <w:t>5/4/2018</w:t>
            </w:r>
          </w:p>
        </w:tc>
      </w:tr>
      <w:tr>
        <w:trPr>
          <w:trHeight w:val="735"/>
        </w:trPr>
        <w:tc>
          <w:tcPr>
            <w:tcW w:w="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10.44</w:t>
            </w: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2/27/2024</w:t>
            </w:r>
          </w:p>
        </w:tc>
      </w:tr>
      <w:tr>
        <w:trPr>
          <w:trHeight w:val="630"/>
        </w:trPr>
        <w:tc>
          <w:tcPr>
            <w:tcW w:w="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10.45</w:t>
            </w: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2/27/2024</w:t>
            </w:r>
          </w:p>
        </w:tc>
      </w:tr>
      <w:tr>
        <w:trPr>
          <w:trHeight w:val="525"/>
        </w:trPr>
        <w:tc>
          <w:tcPr>
            <w:tcW w:w="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rPr>
              <w:t>10-Q</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10.6</w:t>
            </w: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w w:val="98"/>
              </w:rPr>
              <w:t>8/2/2024</w:t>
            </w:r>
          </w:p>
        </w:tc>
      </w:tr>
      <w:tr>
        <w:trPr>
          <w:trHeight w:val="435"/>
        </w:trPr>
        <w:tc>
          <w:tcPr>
            <w:tcW w:w="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w w:val="96"/>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w w:val="98"/>
              </w:rPr>
              <w:t>2/3/2021</w:t>
            </w:r>
          </w:p>
        </w:tc>
      </w:tr>
      <w:tr>
        <w:trPr>
          <w:trHeight w:val="345"/>
        </w:trPr>
        <w:tc>
          <w:tcPr>
            <w:tcW w:w="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w w:val="96"/>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10.2</w:t>
            </w: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w w:val="98"/>
              </w:rPr>
              <w:t>2/3/2021</w:t>
            </w:r>
          </w:p>
        </w:tc>
      </w:tr>
      <w:tr>
        <w:trPr>
          <w:trHeight w:val="345"/>
        </w:trPr>
        <w:tc>
          <w:tcPr>
            <w:tcW w:w="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w w:val="96"/>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12/8/2022</w:t>
            </w:r>
          </w:p>
        </w:tc>
      </w:tr>
      <w:tr>
        <w:trPr>
          <w:trHeight w:val="345"/>
        </w:trPr>
        <w:tc>
          <w:tcPr>
            <w:tcW w:w="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w w:val="96"/>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10.2</w:t>
            </w: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12/8/2022</w:t>
            </w:r>
          </w:p>
        </w:tc>
      </w:tr>
      <w:tr>
        <w:trPr>
          <w:trHeight w:val="540"/>
        </w:trPr>
        <w:tc>
          <w:tcPr>
            <w:tcW w:w="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10.52</w:t>
            </w: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2/27/2024</w:t>
            </w:r>
          </w:p>
        </w:tc>
      </w:tr>
      <w:tr>
        <w:trPr>
          <w:trHeight w:val="735"/>
        </w:trPr>
        <w:tc>
          <w:tcPr>
            <w:tcW w:w="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10.53</w:t>
            </w: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2/27/2024</w:t>
            </w:r>
          </w:p>
        </w:tc>
      </w:tr>
      <w:tr>
        <w:trPr>
          <w:trHeight w:val="637"/>
        </w:trPr>
        <w:tc>
          <w:tcPr>
            <w:tcW w:w="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rPr>
              <w:t>10-K</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10.54</w:t>
            </w: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2/27/2024</w:t>
            </w:r>
          </w:p>
        </w:tc>
      </w:tr>
      <w:tr>
        <w:trPr>
          <w:trHeight w:val="638"/>
        </w:trPr>
        <w:tc>
          <w:tcPr>
            <w:tcW w:w="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rPr>
              <w:t>10-Q</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10.3</w:t>
            </w: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w w:val="98"/>
              </w:rPr>
              <w:t>5/7/2024</w:t>
            </w:r>
          </w:p>
        </w:tc>
      </w:tr>
      <w:tr>
        <w:trPr>
          <w:trHeight w:val="735"/>
        </w:trPr>
        <w:tc>
          <w:tcPr>
            <w:tcW w:w="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rPr>
              <w:t>10-Q</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10.4</w:t>
            </w: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w w:val="98"/>
              </w:rPr>
              <w:t>5/7/2024</w:t>
            </w:r>
          </w:p>
        </w:tc>
      </w:tr>
      <w:tr>
        <w:trPr>
          <w:trHeight w:val="637"/>
        </w:trPr>
        <w:tc>
          <w:tcPr>
            <w:tcW w:w="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rPr>
              <w:t>10-Q</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10.5</w:t>
            </w: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w w:val="98"/>
              </w:rPr>
              <w:t>5/7/2024</w:t>
            </w:r>
          </w:p>
        </w:tc>
      </w:tr>
      <w:tr>
        <w:trPr>
          <w:trHeight w:val="533"/>
        </w:trPr>
        <w:tc>
          <w:tcPr>
            <w:tcW w:w="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w w:val="96"/>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rPr>
              <w:t>5/27/2025</w:t>
            </w:r>
          </w:p>
        </w:tc>
      </w:tr>
      <w:tr>
        <w:trPr>
          <w:trHeight w:val="495"/>
        </w:trPr>
        <w:tc>
          <w:tcPr>
            <w:tcW w:w="72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231F20"/>
                <w:w w:val="96"/>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108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231F20"/>
                <w:w w:val="98"/>
              </w:rPr>
              <w:t>11/10/2025</w:t>
            </w:r>
          </w:p>
        </w:tc>
      </w:tr>
    </w:tbl>
    <w:p>
      <w:pPr>
        <w:spacing w:after="0" w:line="3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X</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X</w:t>
      </w: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X</w:t>
      </w:r>
    </w:p>
    <w:p>
      <w:pPr>
        <w:spacing w:after="0" w:line="428" w:lineRule="exact"/>
        <w:rPr>
          <w:sz w:val="20"/>
          <w:szCs w:val="20"/>
          <w:color w:val="auto"/>
        </w:rPr>
      </w:pPr>
    </w:p>
    <w:p>
      <w:pPr>
        <w:sectPr>
          <w:pgSz w:w="11880" w:h="15480" w:orient="portrait"/>
          <w:cols w:equalWidth="0" w:num="3">
            <w:col w:w="640" w:space="260"/>
            <w:col w:w="4880" w:space="140"/>
            <w:col w:w="3680"/>
          </w:cols>
          <w:pgMar w:left="1200" w:top="90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231F20"/>
        </w:rPr>
        <w:t>129</w:t>
      </w:r>
    </w:p>
    <w:p>
      <w:pPr>
        <w:sectPr>
          <w:pgSz w:w="11880" w:h="15480" w:orient="portrait"/>
          <w:cols w:equalWidth="0" w:num="1">
            <w:col w:w="9600"/>
          </w:cols>
          <w:pgMar w:left="1200" w:top="901" w:right="1080" w:bottom="0" w:gutter="0" w:footer="0" w:header="0"/>
          <w:type w:val="continuous"/>
        </w:sectPr>
      </w:pPr>
    </w:p>
    <w:bookmarkStart w:id="133" w:name="page134"/>
    <w:bookmarkEnd w:id="133"/>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31F20"/>
                <w:w w:val="98"/>
              </w:rPr>
              <w:t>Exhibit</w:t>
            </w:r>
          </w:p>
        </w:tc>
        <w:tc>
          <w:tcPr>
            <w:tcW w:w="80" w:type="dxa"/>
            <w:vAlign w:val="bottom"/>
          </w:tcPr>
          <w:p>
            <w:pPr>
              <w:spacing w:after="0"/>
              <w:rPr>
                <w:sz w:val="17"/>
                <w:szCs w:val="17"/>
                <w:color w:val="auto"/>
              </w:rPr>
            </w:pPr>
          </w:p>
        </w:tc>
        <w:tc>
          <w:tcPr>
            <w:tcW w:w="502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b w:val="1"/>
                <w:bCs w:val="1"/>
                <w:color w:val="231F20"/>
              </w:rPr>
              <w:t>Description</w:t>
            </w:r>
          </w:p>
        </w:tc>
        <w:tc>
          <w:tcPr>
            <w:tcW w:w="0" w:type="dxa"/>
            <w:vAlign w:val="bottom"/>
          </w:tcPr>
          <w:p>
            <w:pPr>
              <w:spacing w:after="0"/>
              <w:rPr>
                <w:sz w:val="1"/>
                <w:szCs w:val="1"/>
                <w:color w:val="auto"/>
              </w:rPr>
            </w:pPr>
          </w:p>
        </w:tc>
      </w:tr>
      <w:tr>
        <w:trPr>
          <w:trHeight w:val="14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Number</w:t>
            </w:r>
          </w:p>
        </w:tc>
        <w:tc>
          <w:tcPr>
            <w:tcW w:w="80" w:type="dxa"/>
            <w:vAlign w:val="bottom"/>
          </w:tcPr>
          <w:p>
            <w:pPr>
              <w:spacing w:after="0"/>
              <w:rPr>
                <w:sz w:val="12"/>
                <w:szCs w:val="12"/>
                <w:color w:val="auto"/>
              </w:rPr>
            </w:pPr>
          </w:p>
        </w:tc>
        <w:tc>
          <w:tcPr>
            <w:tcW w:w="5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8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8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502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7"/>
              </w:rPr>
              <w:t>10.54</w:t>
            </w:r>
          </w:p>
        </w:tc>
        <w:tc>
          <w:tcPr>
            <w:tcW w:w="80" w:type="dxa"/>
            <w:vAlign w:val="bottom"/>
          </w:tcPr>
          <w:p>
            <w:pPr>
              <w:spacing w:after="0"/>
              <w:rPr>
                <w:sz w:val="15"/>
                <w:szCs w:val="15"/>
                <w:color w:val="auto"/>
              </w:rPr>
            </w:pPr>
          </w:p>
        </w:tc>
        <w:tc>
          <w:tcPr>
            <w:tcW w:w="5020" w:type="dxa"/>
            <w:vAlign w:val="bottom"/>
          </w:tcPr>
          <w:p>
            <w:pPr>
              <w:ind w:left="60"/>
              <w:spacing w:after="0" w:line="182" w:lineRule="exact"/>
              <w:rPr>
                <w:sz w:val="20"/>
                <w:szCs w:val="20"/>
                <w:color w:val="auto"/>
              </w:rPr>
            </w:pPr>
            <w:r>
              <w:rPr>
                <w:rFonts w:ascii="Times New Roman" w:cs="Times New Roman" w:eastAsia="Times New Roman" w:hAnsi="Times New Roman"/>
                <w:sz w:val="20"/>
                <w:szCs w:val="20"/>
                <w:color w:val="231F20"/>
              </w:rPr>
              <w:t>CEO Employment Agreement, dated February 16, 2026</w:t>
            </w:r>
          </w:p>
        </w:tc>
        <w:tc>
          <w:tcPr>
            <w:tcW w:w="0" w:type="dxa"/>
            <w:vAlign w:val="bottom"/>
          </w:tcPr>
          <w:p>
            <w:pPr>
              <w:spacing w:after="0"/>
              <w:rPr>
                <w:sz w:val="1"/>
                <w:szCs w:val="1"/>
                <w:color w:val="auto"/>
              </w:rPr>
            </w:pPr>
          </w:p>
        </w:tc>
      </w:tr>
      <w:tr>
        <w:trPr>
          <w:trHeight w:val="160"/>
        </w:trPr>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231F20"/>
              </w:rPr>
              <w:t>between the Company and Matthew Avril*</w:t>
            </w:r>
          </w:p>
        </w:tc>
        <w:tc>
          <w:tcPr>
            <w:tcW w:w="0" w:type="dxa"/>
            <w:vAlign w:val="bottom"/>
          </w:tcPr>
          <w:p>
            <w:pPr>
              <w:spacing w:after="0"/>
              <w:rPr>
                <w:sz w:val="1"/>
                <w:szCs w:val="1"/>
                <w:color w:val="auto"/>
              </w:rPr>
            </w:pPr>
          </w:p>
        </w:tc>
      </w:tr>
      <w:tr>
        <w:trPr>
          <w:trHeight w:val="100"/>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w w:val="97"/>
              </w:rPr>
              <w:t>10.55</w:t>
            </w:r>
          </w:p>
        </w:tc>
        <w:tc>
          <w:tcPr>
            <w:tcW w:w="80" w:type="dxa"/>
            <w:vAlign w:val="bottom"/>
          </w:tcPr>
          <w:p>
            <w:pPr>
              <w:spacing w:after="0"/>
              <w:rPr>
                <w:sz w:val="17"/>
                <w:szCs w:val="17"/>
                <w:color w:val="auto"/>
              </w:rPr>
            </w:pPr>
          </w:p>
        </w:tc>
        <w:tc>
          <w:tcPr>
            <w:tcW w:w="5020" w:type="dxa"/>
            <w:vAlign w:val="bottom"/>
          </w:tcPr>
          <w:p>
            <w:pPr>
              <w:ind w:left="60"/>
              <w:spacing w:after="0" w:line="205" w:lineRule="exact"/>
              <w:rPr>
                <w:sz w:val="20"/>
                <w:szCs w:val="20"/>
                <w:color w:val="auto"/>
              </w:rPr>
            </w:pPr>
            <w:r>
              <w:rPr>
                <w:rFonts w:ascii="Times New Roman" w:cs="Times New Roman" w:eastAsia="Times New Roman" w:hAnsi="Times New Roman"/>
                <w:sz w:val="20"/>
                <w:szCs w:val="20"/>
                <w:color w:val="231F20"/>
              </w:rPr>
              <w:t>President and COO Employment Agreement, dated February</w:t>
            </w:r>
          </w:p>
        </w:tc>
        <w:tc>
          <w:tcPr>
            <w:tcW w:w="0" w:type="dxa"/>
            <w:vAlign w:val="bottom"/>
          </w:tcPr>
          <w:p>
            <w:pPr>
              <w:spacing w:after="0"/>
              <w:rPr>
                <w:sz w:val="1"/>
                <w:szCs w:val="1"/>
                <w:color w:val="auto"/>
              </w:rPr>
            </w:pPr>
          </w:p>
        </w:tc>
      </w:tr>
      <w:tr>
        <w:trPr>
          <w:trHeight w:val="160"/>
        </w:trPr>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231F20"/>
              </w:rPr>
              <w:t>16, 2026 between the Company and Michael Flaskey*</w:t>
            </w:r>
          </w:p>
        </w:tc>
        <w:tc>
          <w:tcPr>
            <w:tcW w:w="0" w:type="dxa"/>
            <w:vAlign w:val="bottom"/>
          </w:tcPr>
          <w:p>
            <w:pPr>
              <w:spacing w:after="0"/>
              <w:rPr>
                <w:sz w:val="1"/>
                <w:szCs w:val="1"/>
                <w:color w:val="auto"/>
              </w:rPr>
            </w:pPr>
          </w:p>
        </w:tc>
      </w:tr>
      <w:tr>
        <w:trPr>
          <w:trHeight w:val="100"/>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19.1</w:t>
            </w:r>
          </w:p>
        </w:tc>
        <w:tc>
          <w:tcPr>
            <w:tcW w:w="80" w:type="dxa"/>
            <w:vAlign w:val="bottom"/>
          </w:tcPr>
          <w:p>
            <w:pPr>
              <w:spacing w:after="0"/>
              <w:rPr>
                <w:sz w:val="24"/>
                <w:szCs w:val="24"/>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Insider trading policies and procedures</w:t>
            </w:r>
          </w:p>
        </w:tc>
        <w:tc>
          <w:tcPr>
            <w:tcW w:w="0" w:type="dxa"/>
            <w:vAlign w:val="bottom"/>
          </w:tcPr>
          <w:p>
            <w:pPr>
              <w:spacing w:after="0"/>
              <w:rPr>
                <w:sz w:val="1"/>
                <w:szCs w:val="1"/>
                <w:color w:val="auto"/>
              </w:rPr>
            </w:pPr>
          </w:p>
        </w:tc>
      </w:tr>
      <w:tr>
        <w:trPr>
          <w:trHeight w:val="345"/>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21.1</w:t>
            </w:r>
          </w:p>
        </w:tc>
        <w:tc>
          <w:tcPr>
            <w:tcW w:w="80" w:type="dxa"/>
            <w:vAlign w:val="bottom"/>
          </w:tcPr>
          <w:p>
            <w:pPr>
              <w:spacing w:after="0"/>
              <w:rPr>
                <w:sz w:val="24"/>
                <w:szCs w:val="24"/>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Subsidiaries of Marriott Vacations Worldwide Corporation</w:t>
            </w:r>
          </w:p>
        </w:tc>
        <w:tc>
          <w:tcPr>
            <w:tcW w:w="0" w:type="dxa"/>
            <w:vAlign w:val="bottom"/>
          </w:tcPr>
          <w:p>
            <w:pPr>
              <w:spacing w:after="0"/>
              <w:rPr>
                <w:sz w:val="1"/>
                <w:szCs w:val="1"/>
                <w:color w:val="auto"/>
              </w:rPr>
            </w:pPr>
          </w:p>
        </w:tc>
      </w:tr>
      <w:tr>
        <w:trPr>
          <w:trHeight w:val="345"/>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22.1</w:t>
            </w:r>
          </w:p>
        </w:tc>
        <w:tc>
          <w:tcPr>
            <w:tcW w:w="80" w:type="dxa"/>
            <w:vAlign w:val="bottom"/>
          </w:tcPr>
          <w:p>
            <w:pPr>
              <w:spacing w:after="0"/>
              <w:rPr>
                <w:sz w:val="24"/>
                <w:szCs w:val="24"/>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List of the Issuer and its Guarantor Subsidiaries</w:t>
            </w:r>
          </w:p>
        </w:tc>
        <w:tc>
          <w:tcPr>
            <w:tcW w:w="0" w:type="dxa"/>
            <w:vAlign w:val="bottom"/>
          </w:tcPr>
          <w:p>
            <w:pPr>
              <w:spacing w:after="0"/>
              <w:rPr>
                <w:sz w:val="1"/>
                <w:szCs w:val="1"/>
                <w:color w:val="auto"/>
              </w:rPr>
            </w:pPr>
          </w:p>
        </w:tc>
      </w:tr>
      <w:tr>
        <w:trPr>
          <w:trHeight w:val="345"/>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23.1</w:t>
            </w:r>
          </w:p>
        </w:tc>
        <w:tc>
          <w:tcPr>
            <w:tcW w:w="80" w:type="dxa"/>
            <w:vAlign w:val="bottom"/>
          </w:tcPr>
          <w:p>
            <w:pPr>
              <w:spacing w:after="0"/>
              <w:rPr>
                <w:sz w:val="24"/>
                <w:szCs w:val="24"/>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Consent of Ernst &amp; Young LLP</w:t>
            </w:r>
          </w:p>
        </w:tc>
        <w:tc>
          <w:tcPr>
            <w:tcW w:w="0" w:type="dxa"/>
            <w:vAlign w:val="bottom"/>
          </w:tcPr>
          <w:p>
            <w:pPr>
              <w:spacing w:after="0"/>
              <w:rPr>
                <w:sz w:val="1"/>
                <w:szCs w:val="1"/>
                <w:color w:val="auto"/>
              </w:rPr>
            </w:pPr>
          </w:p>
        </w:tc>
      </w:tr>
      <w:tr>
        <w:trPr>
          <w:trHeight w:val="345"/>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24.1</w:t>
            </w:r>
          </w:p>
        </w:tc>
        <w:tc>
          <w:tcPr>
            <w:tcW w:w="80" w:type="dxa"/>
            <w:vAlign w:val="bottom"/>
          </w:tcPr>
          <w:p>
            <w:pPr>
              <w:spacing w:after="0"/>
              <w:rPr>
                <w:sz w:val="24"/>
                <w:szCs w:val="24"/>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Powers of Attorney (included on the signature pages hereto)</w:t>
            </w:r>
          </w:p>
        </w:tc>
        <w:tc>
          <w:tcPr>
            <w:tcW w:w="0" w:type="dxa"/>
            <w:vAlign w:val="bottom"/>
          </w:tcPr>
          <w:p>
            <w:pPr>
              <w:spacing w:after="0"/>
              <w:rPr>
                <w:sz w:val="1"/>
                <w:szCs w:val="1"/>
                <w:color w:val="auto"/>
              </w:rPr>
            </w:pPr>
          </w:p>
        </w:tc>
      </w:tr>
      <w:tr>
        <w:trPr>
          <w:trHeight w:val="275"/>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31.1</w:t>
            </w:r>
          </w:p>
        </w:tc>
        <w:tc>
          <w:tcPr>
            <w:tcW w:w="80" w:type="dxa"/>
            <w:vAlign w:val="bottom"/>
          </w:tcPr>
          <w:p>
            <w:pPr>
              <w:spacing w:after="0"/>
              <w:rPr>
                <w:sz w:val="23"/>
                <w:szCs w:val="23"/>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Certification of Chief Executive Officer pursuant to</w:t>
            </w:r>
          </w:p>
        </w:tc>
        <w:tc>
          <w:tcPr>
            <w:tcW w:w="0" w:type="dxa"/>
            <w:vAlign w:val="bottom"/>
          </w:tcPr>
          <w:p>
            <w:pPr>
              <w:spacing w:after="0"/>
              <w:rPr>
                <w:sz w:val="1"/>
                <w:szCs w:val="1"/>
                <w:color w:val="auto"/>
              </w:rPr>
            </w:pPr>
          </w:p>
        </w:tc>
      </w:tr>
      <w:tr>
        <w:trPr>
          <w:trHeight w:val="160"/>
        </w:trPr>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231F20"/>
              </w:rPr>
              <w:t>Rule 13a-14(a) of the Securities Exchange Act of 1934</w:t>
            </w:r>
          </w:p>
        </w:tc>
        <w:tc>
          <w:tcPr>
            <w:tcW w:w="0" w:type="dxa"/>
            <w:vAlign w:val="bottom"/>
          </w:tcPr>
          <w:p>
            <w:pPr>
              <w:spacing w:after="0"/>
              <w:rPr>
                <w:sz w:val="1"/>
                <w:szCs w:val="1"/>
                <w:color w:val="auto"/>
              </w:rPr>
            </w:pPr>
          </w:p>
        </w:tc>
      </w:tr>
      <w:tr>
        <w:trPr>
          <w:trHeight w:val="100"/>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31.2</w:t>
            </w:r>
          </w:p>
        </w:tc>
        <w:tc>
          <w:tcPr>
            <w:tcW w:w="80" w:type="dxa"/>
            <w:vAlign w:val="bottom"/>
          </w:tcPr>
          <w:p>
            <w:pPr>
              <w:spacing w:after="0"/>
              <w:rPr>
                <w:sz w:val="23"/>
                <w:szCs w:val="23"/>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Certification of Chief Financial Officer pursuant to</w:t>
            </w:r>
          </w:p>
        </w:tc>
        <w:tc>
          <w:tcPr>
            <w:tcW w:w="0" w:type="dxa"/>
            <w:vAlign w:val="bottom"/>
          </w:tcPr>
          <w:p>
            <w:pPr>
              <w:spacing w:after="0"/>
              <w:rPr>
                <w:sz w:val="1"/>
                <w:szCs w:val="1"/>
                <w:color w:val="auto"/>
              </w:rPr>
            </w:pPr>
          </w:p>
        </w:tc>
      </w:tr>
      <w:tr>
        <w:trPr>
          <w:trHeight w:val="160"/>
        </w:trPr>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231F20"/>
              </w:rPr>
              <w:t>Rule 13a-14(a) of the Securities Exchange Act of 1934</w:t>
            </w:r>
          </w:p>
        </w:tc>
        <w:tc>
          <w:tcPr>
            <w:tcW w:w="0" w:type="dxa"/>
            <w:vAlign w:val="bottom"/>
          </w:tcPr>
          <w:p>
            <w:pPr>
              <w:spacing w:after="0"/>
              <w:rPr>
                <w:sz w:val="1"/>
                <w:szCs w:val="1"/>
                <w:color w:val="auto"/>
              </w:rPr>
            </w:pPr>
          </w:p>
        </w:tc>
      </w:tr>
      <w:tr>
        <w:trPr>
          <w:trHeight w:val="100"/>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32.1</w:t>
            </w:r>
          </w:p>
        </w:tc>
        <w:tc>
          <w:tcPr>
            <w:tcW w:w="80" w:type="dxa"/>
            <w:vAlign w:val="bottom"/>
          </w:tcPr>
          <w:p>
            <w:pPr>
              <w:spacing w:after="0"/>
              <w:rPr>
                <w:sz w:val="23"/>
                <w:szCs w:val="23"/>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Certification by Chief Executive Officer Pursuant to 18</w:t>
            </w:r>
          </w:p>
        </w:tc>
        <w:tc>
          <w:tcPr>
            <w:tcW w:w="0" w:type="dxa"/>
            <w:vAlign w:val="bottom"/>
          </w:tcPr>
          <w:p>
            <w:pPr>
              <w:spacing w:after="0"/>
              <w:rPr>
                <w:sz w:val="1"/>
                <w:szCs w:val="1"/>
                <w:color w:val="auto"/>
              </w:rPr>
            </w:pPr>
          </w:p>
        </w:tc>
      </w:tr>
      <w:tr>
        <w:trPr>
          <w:trHeight w:val="200"/>
        </w:trPr>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231F20"/>
              </w:rPr>
              <w:t>U.S.C. Section 1350, as adopted pursuant to Section 906 of</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the Sarbanes-Oxley Act of 2002</w:t>
            </w:r>
          </w:p>
        </w:tc>
        <w:tc>
          <w:tcPr>
            <w:tcW w:w="0" w:type="dxa"/>
            <w:vAlign w:val="bottom"/>
          </w:tcPr>
          <w:p>
            <w:pPr>
              <w:spacing w:after="0"/>
              <w:rPr>
                <w:sz w:val="1"/>
                <w:szCs w:val="1"/>
                <w:color w:val="auto"/>
              </w:rPr>
            </w:pPr>
          </w:p>
        </w:tc>
      </w:tr>
      <w:tr>
        <w:trPr>
          <w:trHeight w:val="275"/>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32.2</w:t>
            </w:r>
          </w:p>
        </w:tc>
        <w:tc>
          <w:tcPr>
            <w:tcW w:w="80" w:type="dxa"/>
            <w:vAlign w:val="bottom"/>
          </w:tcPr>
          <w:p>
            <w:pPr>
              <w:spacing w:after="0"/>
              <w:rPr>
                <w:sz w:val="23"/>
                <w:szCs w:val="23"/>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Certification by Chief Financial Officer Pursuant to 18</w:t>
            </w:r>
          </w:p>
        </w:tc>
        <w:tc>
          <w:tcPr>
            <w:tcW w:w="0" w:type="dxa"/>
            <w:vAlign w:val="bottom"/>
          </w:tcPr>
          <w:p>
            <w:pPr>
              <w:spacing w:after="0"/>
              <w:rPr>
                <w:sz w:val="1"/>
                <w:szCs w:val="1"/>
                <w:color w:val="auto"/>
              </w:rPr>
            </w:pPr>
          </w:p>
        </w:tc>
      </w:tr>
      <w:tr>
        <w:trPr>
          <w:trHeight w:val="200"/>
        </w:trPr>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2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231F20"/>
              </w:rPr>
              <w:t>U.S.C. Section 1350, as adopted pursuant to Section 906 of</w:t>
            </w: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2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231F20"/>
                <w:w w:val="97"/>
              </w:rPr>
              <w:t>Filed</w:t>
            </w:r>
          </w:p>
        </w:tc>
        <w:tc>
          <w:tcPr>
            <w:tcW w:w="27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231F20"/>
              </w:rPr>
              <w:t>Incorporation By Reference From</w:t>
            </w:r>
          </w:p>
        </w:tc>
        <w:tc>
          <w:tcPr>
            <w:tcW w:w="0" w:type="dxa"/>
            <w:vAlign w:val="bottom"/>
          </w:tcPr>
          <w:p>
            <w:pPr>
              <w:spacing w:after="0"/>
              <w:rPr>
                <w:sz w:val="1"/>
                <w:szCs w:val="1"/>
                <w:color w:val="auto"/>
              </w:rPr>
            </w:pPr>
          </w:p>
        </w:tc>
      </w:tr>
      <w:tr>
        <w:trPr>
          <w:trHeight w:val="27"/>
        </w:trPr>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Herewith</w:t>
            </w:r>
          </w:p>
        </w:tc>
        <w:tc>
          <w:tcPr>
            <w:tcW w:w="80" w:type="dxa"/>
            <w:vAlign w:val="bottom"/>
            <w:vMerge w:val="restart"/>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60" w:type="dxa"/>
            <w:vAlign w:val="bottom"/>
            <w:tcBorders>
              <w:bottom w:val="single" w:sz="8" w:color="231F20"/>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6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Form</w:t>
            </w:r>
          </w:p>
        </w:tc>
        <w:tc>
          <w:tcPr>
            <w:tcW w:w="60" w:type="dxa"/>
            <w:vAlign w:val="bottom"/>
          </w:tcPr>
          <w:p>
            <w:pPr>
              <w:spacing w:after="0"/>
              <w:rPr>
                <w:sz w:val="20"/>
                <w:szCs w:val="20"/>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Exhibit</w:t>
            </w:r>
          </w:p>
        </w:tc>
        <w:tc>
          <w:tcPr>
            <w:tcW w:w="80" w:type="dxa"/>
            <w:vAlign w:val="bottom"/>
          </w:tcPr>
          <w:p>
            <w:pPr>
              <w:spacing w:after="0"/>
              <w:rPr>
                <w:sz w:val="20"/>
                <w:szCs w:val="20"/>
                <w:color w:val="auto"/>
              </w:rPr>
            </w:pPr>
          </w:p>
        </w:tc>
        <w:tc>
          <w:tcPr>
            <w:tcW w:w="1060" w:type="dxa"/>
            <w:vAlign w:val="bottom"/>
            <w:tcBorders>
              <w:bottom w:val="single" w:sz="8" w:color="231F20"/>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31F20"/>
              </w:rPr>
              <w:t>Date Filed</w:t>
            </w:r>
          </w:p>
        </w:tc>
        <w:tc>
          <w:tcPr>
            <w:tcW w:w="0" w:type="dxa"/>
            <w:vAlign w:val="bottom"/>
          </w:tcPr>
          <w:p>
            <w:pPr>
              <w:spacing w:after="0"/>
              <w:rPr>
                <w:sz w:val="1"/>
                <w:szCs w:val="1"/>
                <w:color w:val="auto"/>
              </w:rPr>
            </w:pPr>
          </w:p>
        </w:tc>
      </w:tr>
      <w:tr>
        <w:trPr>
          <w:trHeight w:val="342"/>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10.1</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231F20"/>
              </w:rPr>
              <w:t>2/17/2026</w:t>
            </w:r>
          </w:p>
        </w:tc>
        <w:tc>
          <w:tcPr>
            <w:tcW w:w="0" w:type="dxa"/>
            <w:vAlign w:val="bottom"/>
          </w:tcPr>
          <w:p>
            <w:pPr>
              <w:spacing w:after="0"/>
              <w:rPr>
                <w:sz w:val="1"/>
                <w:szCs w:val="1"/>
                <w:color w:val="auto"/>
              </w:rPr>
            </w:pPr>
          </w:p>
        </w:tc>
      </w:tr>
      <w:tr>
        <w:trPr>
          <w:trHeight w:val="465"/>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6"/>
              </w:rPr>
              <w:t>8-K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7"/>
              </w:rPr>
              <w:t>10.2</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231F20"/>
              </w:rPr>
              <w:t>2/17/2026</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X</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X</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X</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X</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X</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X</w:t>
      </w:r>
    </w:p>
    <w:p>
      <w:pPr>
        <w:spacing w:after="0" w:line="2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231F20"/>
        </w:rPr>
        <w:t>X</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Furnished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Furnished</w:t>
      </w:r>
    </w:p>
    <w:p>
      <w:pPr>
        <w:spacing w:after="0" w:line="270" w:lineRule="exact"/>
        <w:rPr>
          <w:sz w:val="20"/>
          <w:szCs w:val="20"/>
          <w:color w:val="auto"/>
        </w:rPr>
      </w:pPr>
    </w:p>
    <w:p>
      <w:pPr>
        <w:sectPr>
          <w:pgSz w:w="11880" w:h="15480" w:orient="portrait"/>
          <w:cols w:equalWidth="0" w:num="2">
            <w:col w:w="5980" w:space="60"/>
            <w:col w:w="3680"/>
          </w:cols>
          <w:pgMar w:left="1080" w:top="901" w:right="1080" w:bottom="0" w:gutter="0" w:footer="0" w:header="0"/>
        </w:sectPr>
      </w:pPr>
    </w:p>
    <w:tbl>
      <w:tblPr>
        <w:tblLayout w:type="fixed"/>
        <w:tblInd w:w="260" w:type="dxa"/>
        <w:tblCellMar>
          <w:top w:w="0" w:type="dxa"/>
          <w:left w:w="0" w:type="dxa"/>
          <w:bottom w:w="0" w:type="dxa"/>
          <w:right w:w="0" w:type="dxa"/>
        </w:tblCellMar>
      </w:tblPr>
      <w:tr>
        <w:trPr>
          <w:trHeight w:val="230"/>
        </w:trPr>
        <w:tc>
          <w:tcPr>
            <w:tcW w:w="56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231F20"/>
                <w:w w:val="97"/>
              </w:rPr>
              <w:t>97.1</w:t>
            </w:r>
          </w:p>
        </w:tc>
        <w:tc>
          <w:tcPr>
            <w:tcW w:w="53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Policy Relating to Recovery of Erroneously Awarded</w:t>
            </w:r>
          </w:p>
        </w:tc>
        <w:tc>
          <w:tcPr>
            <w:tcW w:w="1540" w:type="dxa"/>
            <w:vAlign w:val="bottom"/>
            <w:vMerge w:val="restart"/>
          </w:tcPr>
          <w:p>
            <w:pPr>
              <w:ind w:left="900"/>
              <w:spacing w:after="0"/>
              <w:rPr>
                <w:sz w:val="20"/>
                <w:szCs w:val="20"/>
                <w:color w:val="auto"/>
              </w:rPr>
            </w:pPr>
            <w:r>
              <w:rPr>
                <w:rFonts w:ascii="Times New Roman" w:cs="Times New Roman" w:eastAsia="Times New Roman" w:hAnsi="Times New Roman"/>
                <w:sz w:val="20"/>
                <w:szCs w:val="20"/>
                <w:color w:val="231F20"/>
              </w:rPr>
              <w:t>10-K</w:t>
            </w:r>
          </w:p>
        </w:tc>
        <w:tc>
          <w:tcPr>
            <w:tcW w:w="82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231F20"/>
              </w:rPr>
              <w:t>97.1</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2/28/2025</w:t>
            </w:r>
          </w:p>
        </w:tc>
        <w:tc>
          <w:tcPr>
            <w:tcW w:w="0" w:type="dxa"/>
            <w:vAlign w:val="bottom"/>
          </w:tcPr>
          <w:p>
            <w:pPr>
              <w:spacing w:after="0"/>
              <w:rPr>
                <w:sz w:val="1"/>
                <w:szCs w:val="1"/>
                <w:color w:val="auto"/>
              </w:rPr>
            </w:pPr>
          </w:p>
        </w:tc>
      </w:tr>
      <w:tr>
        <w:trPr>
          <w:trHeight w:val="160"/>
        </w:trPr>
        <w:tc>
          <w:tcPr>
            <w:tcW w:w="560" w:type="dxa"/>
            <w:vAlign w:val="bottom"/>
            <w:vMerge w:val="continue"/>
          </w:tcPr>
          <w:p>
            <w:pPr>
              <w:spacing w:after="0"/>
              <w:rPr>
                <w:sz w:val="13"/>
                <w:szCs w:val="13"/>
                <w:color w:val="auto"/>
              </w:rPr>
            </w:pPr>
          </w:p>
        </w:tc>
        <w:tc>
          <w:tcPr>
            <w:tcW w:w="53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231F20"/>
              </w:rPr>
              <w:t>Compensation</w:t>
            </w:r>
          </w:p>
        </w:tc>
        <w:tc>
          <w:tcPr>
            <w:tcW w:w="15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560" w:type="dxa"/>
            <w:vAlign w:val="bottom"/>
          </w:tcPr>
          <w:p>
            <w:pPr>
              <w:spacing w:after="0"/>
              <w:rPr>
                <w:sz w:val="8"/>
                <w:szCs w:val="8"/>
                <w:color w:val="auto"/>
              </w:rPr>
            </w:pPr>
          </w:p>
        </w:tc>
        <w:tc>
          <w:tcPr>
            <w:tcW w:w="538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020" w:right="120"/>
        <w:spacing w:after="0" w:line="231" w:lineRule="auto"/>
        <w:rPr>
          <w:sz w:val="20"/>
          <w:szCs w:val="20"/>
          <w:color w:val="auto"/>
        </w:rPr>
      </w:pPr>
      <w:r>
        <w:rPr>
          <w:rFonts w:ascii="Times New Roman" w:cs="Times New Roman" w:eastAsia="Times New Roman" w:hAnsi="Times New Roman"/>
          <w:sz w:val="19"/>
          <w:szCs w:val="19"/>
          <w:color w:val="231F20"/>
        </w:rPr>
        <w:t>The following financial information from the Company’s Annual Report on Form 10-K for the year ended December 31, 2025, formatted in Inline Extensible Business Reporting Language (iXBRL) includes: (i) the</w:t>
      </w:r>
    </w:p>
    <w:p>
      <w:pPr>
        <w:spacing w:after="0" w:line="1" w:lineRule="exact"/>
        <w:rPr>
          <w:sz w:val="20"/>
          <w:szCs w:val="20"/>
          <w:color w:val="auto"/>
        </w:rPr>
      </w:pPr>
    </w:p>
    <w:p>
      <w:pPr>
        <w:ind w:left="1020" w:right="320" w:hanging="728"/>
        <w:spacing w:after="0" w:line="222" w:lineRule="auto"/>
        <w:tabs>
          <w:tab w:leader="none" w:pos="1020" w:val="left"/>
        </w:tabs>
        <w:numPr>
          <w:ilvl w:val="0"/>
          <w:numId w:val="6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Consolidated Statements of Income, (ii) the Consolidated Statements of Comprehensive Income, (iii) the Consolidated Balance Sheets, (iv) the Consolidated Statements of Cash Flows, (v) the Consolidated Statements of Stockholders’ Equity, and (vi) the Notes to Consolidated Financial Statements</w:t>
      </w:r>
    </w:p>
    <w:p>
      <w:pPr>
        <w:spacing w:after="0" w:line="75" w:lineRule="exact"/>
        <w:rPr>
          <w:sz w:val="20"/>
          <w:szCs w:val="20"/>
          <w:color w:val="auto"/>
        </w:rPr>
      </w:pPr>
    </w:p>
    <w:p>
      <w:pPr>
        <w:ind w:left="1020" w:hanging="728"/>
        <w:spacing w:after="0"/>
        <w:tabs>
          <w:tab w:leader="none" w:pos="1020" w:val="left"/>
        </w:tabs>
        <w:numPr>
          <w:ilvl w:val="1"/>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Cover Page Interactive Data File (embedded within the Inline XBRL document)</w:t>
      </w:r>
    </w:p>
    <w:p>
      <w:pPr>
        <w:spacing w:after="0" w:line="234" w:lineRule="exact"/>
        <w:rPr>
          <w:rFonts w:ascii="Times New Roman" w:cs="Times New Roman" w:eastAsia="Times New Roman" w:hAnsi="Times New Roman"/>
          <w:sz w:val="20"/>
          <w:szCs w:val="20"/>
          <w:color w:val="231F20"/>
        </w:rPr>
      </w:pPr>
    </w:p>
    <w:p>
      <w:pPr>
        <w:ind w:left="460" w:hanging="308"/>
        <w:spacing w:after="0"/>
        <w:tabs>
          <w:tab w:leader="none" w:pos="460" w:val="left"/>
        </w:tabs>
        <w:numPr>
          <w:ilvl w:val="0"/>
          <w:numId w:val="6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Management contract or compensatory plan or arrangement.</w:t>
      </w:r>
    </w:p>
    <w:p>
      <w:pPr>
        <w:spacing w:after="0" w:line="55" w:lineRule="exact"/>
        <w:rPr>
          <w:sz w:val="20"/>
          <w:szCs w:val="20"/>
          <w:color w:val="auto"/>
        </w:rPr>
      </w:pPr>
    </w:p>
    <w:p>
      <w:pPr>
        <w:ind w:left="460" w:right="620" w:hanging="351"/>
        <w:spacing w:after="0"/>
        <w:tabs>
          <w:tab w:leader="none" w:pos="46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20"/>
          <w:szCs w:val="20"/>
          <w:color w:val="231F20"/>
        </w:rPr>
        <w:t>Schedules have been omitted pursuant to Item 601(b)(2) of Regulation S-K. The Company agrees to furnish supplemental copies to the SEC of any omitted schedule upon request by the SEC.</w:t>
      </w:r>
    </w:p>
    <w:p>
      <w:pPr>
        <w:spacing w:after="0" w:line="5" w:lineRule="exact"/>
        <w:rPr>
          <w:rFonts w:ascii="Times New Roman" w:cs="Times New Roman" w:eastAsia="Times New Roman" w:hAnsi="Times New Roman"/>
          <w:sz w:val="16"/>
          <w:szCs w:val="16"/>
          <w:color w:val="231F20"/>
        </w:rPr>
      </w:pPr>
    </w:p>
    <w:p>
      <w:pPr>
        <w:ind w:left="460" w:hanging="351"/>
        <w:spacing w:after="0"/>
        <w:tabs>
          <w:tab w:leader="none" w:pos="46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20"/>
          <w:szCs w:val="20"/>
          <w:color w:val="231F20"/>
        </w:rPr>
        <w:t>Filing made by ILG, LLC under SEC File No. 001-34062.</w:t>
      </w:r>
    </w:p>
    <w:p>
      <w:pPr>
        <w:spacing w:after="0" w:line="268" w:lineRule="exact"/>
        <w:rPr>
          <w:sz w:val="20"/>
          <w:szCs w:val="20"/>
          <w:color w:val="auto"/>
        </w:rPr>
      </w:pPr>
    </w:p>
    <w:p>
      <w:pPr>
        <w:ind w:left="60"/>
        <w:spacing w:after="0"/>
        <w:tabs>
          <w:tab w:leader="none" w:pos="1760" w:val="left"/>
        </w:tabs>
        <w:rPr>
          <w:sz w:val="20"/>
          <w:szCs w:val="20"/>
          <w:color w:val="auto"/>
        </w:rPr>
      </w:pPr>
      <w:r>
        <w:rPr>
          <w:rFonts w:ascii="Times New Roman" w:cs="Times New Roman" w:eastAsia="Times New Roman" w:hAnsi="Times New Roman"/>
          <w:sz w:val="20"/>
          <w:szCs w:val="20"/>
          <w:b w:val="1"/>
          <w:bCs w:val="1"/>
          <w:color w:val="231F20"/>
        </w:rPr>
        <w:t>Item 16.</w:t>
      </w:r>
      <w:r>
        <w:rPr>
          <w:sz w:val="20"/>
          <w:szCs w:val="20"/>
          <w:color w:val="auto"/>
        </w:rPr>
        <w:tab/>
      </w:r>
      <w:r>
        <w:rPr>
          <w:rFonts w:ascii="Times New Roman" w:cs="Times New Roman" w:eastAsia="Times New Roman" w:hAnsi="Times New Roman"/>
          <w:sz w:val="19"/>
          <w:szCs w:val="19"/>
          <w:b w:val="1"/>
          <w:bCs w:val="1"/>
          <w:color w:val="231F20"/>
        </w:rPr>
        <w:t>Form 10-K Summary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9720"/>
          </w:cols>
          <w:pgMar w:left="1080" w:top="901"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130</w:t>
      </w:r>
    </w:p>
    <w:p>
      <w:pPr>
        <w:sectPr>
          <w:pgSz w:w="11880" w:h="15480" w:orient="portrait"/>
          <w:cols w:equalWidth="0" w:num="1">
            <w:col w:w="9720"/>
          </w:cols>
          <w:pgMar w:left="1080" w:top="901" w:right="1080" w:bottom="0" w:gutter="0" w:footer="0" w:header="0"/>
          <w:type w:val="continuous"/>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197"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the registrant has duly caused this Annual Report to be signed on its behalf by the undersigned, thereunto duly authorized.</w:t>
      </w:r>
    </w:p>
    <w:p>
      <w:pPr>
        <w:spacing w:after="0" w:line="10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231F20"/>
        </w:rPr>
        <w:t>MARRIOTT VACATIONS WORLDWIDE CORPORATION</w:t>
      </w:r>
    </w:p>
    <w:p>
      <w:pPr>
        <w:spacing w:after="0" w:line="257" w:lineRule="exact"/>
        <w:rPr>
          <w:sz w:val="20"/>
          <w:szCs w:val="20"/>
          <w:color w:val="auto"/>
        </w:rPr>
      </w:pPr>
    </w:p>
    <w:p>
      <w:pPr>
        <w:ind w:left="60"/>
        <w:spacing w:after="0"/>
        <w:tabs>
          <w:tab w:leader="none" w:pos="4300" w:val="left"/>
        </w:tabs>
        <w:rPr>
          <w:sz w:val="20"/>
          <w:szCs w:val="20"/>
          <w:color w:val="auto"/>
        </w:rPr>
      </w:pPr>
      <w:r>
        <w:rPr>
          <w:rFonts w:ascii="Times New Roman" w:cs="Times New Roman" w:eastAsia="Times New Roman" w:hAnsi="Times New Roman"/>
          <w:sz w:val="20"/>
          <w:szCs w:val="20"/>
          <w:color w:val="231F20"/>
        </w:rPr>
        <w:t>Date: February 27, 2026</w:t>
      </w:r>
      <w:r>
        <w:rPr>
          <w:sz w:val="20"/>
          <w:szCs w:val="20"/>
          <w:color w:val="auto"/>
        </w:rPr>
        <w:tab/>
      </w:r>
      <w:r>
        <w:rPr>
          <w:rFonts w:ascii="Times New Roman" w:cs="Times New Roman" w:eastAsia="Times New Roman" w:hAnsi="Times New Roman"/>
          <w:sz w:val="20"/>
          <w:szCs w:val="20"/>
          <w:color w:val="231F20"/>
        </w:rPr>
        <w:t>By:  /s/ Matthew E. Avril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2981325</wp:posOffset>
            </wp:positionH>
            <wp:positionV relativeFrom="paragraph">
              <wp:posOffset>34290</wp:posOffset>
            </wp:positionV>
            <wp:extent cx="319087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3">
                      <a:extLst>
                        <a:ext uri="{28A0092B-C50C-407E-A947-70E740481C1C}"/>
                      </a:extLst>
                    </a:blip>
                    <a:srcRect/>
                    <a:stretch>
                      <a:fillRect/>
                    </a:stretch>
                  </pic:blipFill>
                  <pic:spPr bwMode="auto">
                    <a:xfrm>
                      <a:off x="0" y="0"/>
                      <a:ext cx="3190875" cy="12700"/>
                    </a:xfrm>
                    <a:prstGeom prst="rect">
                      <a:avLst/>
                    </a:prstGeom>
                    <a:noFill/>
                  </pic:spPr>
                </pic:pic>
              </a:graphicData>
            </a:graphic>
          </wp:anchor>
        </w:drawing>
      </w:r>
    </w:p>
    <w:p>
      <w:pPr>
        <w:spacing w:after="0" w:line="3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231F20"/>
        </w:rPr>
        <w:t>Matthew E. Avril</w:t>
      </w:r>
    </w:p>
    <w:p>
      <w:pPr>
        <w:spacing w:after="0" w:line="5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231F20"/>
        </w:rPr>
        <w:t>Chief Executive Officer</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POWER OF ATTORNEY</w:t>
      </w:r>
    </w:p>
    <w:p>
      <w:pPr>
        <w:spacing w:after="0" w:line="1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KNOW BY ALL PERSONS BY THESE PRESENTS, that each person whose signature appears below constitutes and appoints jointly and severally, Matthew E. Avril, Jason P. Marino, and James H Hunter, IV, and each one of them, his or her attorneys-in-fact, each with the power of substitution, for him or her in any and all capacities, to sign any and all amendments to this Annual Report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88"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this Annual Report has been signed by the following persons on our behalf in the capacities and on the date indicated above.</w:t>
      </w:r>
    </w:p>
    <w:p>
      <w:pPr>
        <w:sectPr>
          <w:pgSz w:w="11880" w:h="15480" w:orient="portrait"/>
          <w:cols w:equalWidth="0" w:num="1">
            <w:col w:w="9700"/>
          </w:cols>
          <w:pgMar w:left="1080" w:top="831" w:right="1100" w:bottom="0" w:gutter="0" w:footer="0" w:header="0"/>
        </w:sect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Principal Executive Officer:</w:t>
      </w:r>
    </w:p>
    <w:p>
      <w:pPr>
        <w:spacing w:after="0" w:line="2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20"/>
          <w:szCs w:val="20"/>
          <w:color w:val="231F20"/>
        </w:rPr>
        <w:t>/s/ Matthew E. Avril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2952750"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4">
                      <a:extLst>
                        <a:ext uri="{28A0092B-C50C-407E-A947-70E740481C1C}"/>
                      </a:extLst>
                    </a:blip>
                    <a:srcRect/>
                    <a:stretch>
                      <a:fillRect/>
                    </a:stretch>
                  </pic:blipFill>
                  <pic:spPr bwMode="auto">
                    <a:xfrm>
                      <a:off x="0" y="0"/>
                      <a:ext cx="2952750" cy="12700"/>
                    </a:xfrm>
                    <a:prstGeom prst="rect">
                      <a:avLst/>
                    </a:prstGeom>
                    <a:noFill/>
                  </pic:spPr>
                </pic:pic>
              </a:graphicData>
            </a:graphic>
          </wp:anchor>
        </w:drawing>
      </w:r>
    </w:p>
    <w:p>
      <w:pPr>
        <w:spacing w:after="0" w:line="3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20"/>
          <w:szCs w:val="20"/>
          <w:color w:val="231F20"/>
        </w:rPr>
        <w:t>Matthew E. Avril</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Principal Financial Officer:</w:t>
      </w:r>
    </w:p>
    <w:p>
      <w:pPr>
        <w:spacing w:after="0" w:line="2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20"/>
          <w:szCs w:val="20"/>
          <w:color w:val="231F20"/>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2952750"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5">
                      <a:extLst>
                        <a:ext uri="{28A0092B-C50C-407E-A947-70E740481C1C}"/>
                      </a:extLst>
                    </a:blip>
                    <a:srcRect/>
                    <a:stretch>
                      <a:fillRect/>
                    </a:stretch>
                  </pic:blipFill>
                  <pic:spPr bwMode="auto">
                    <a:xfrm>
                      <a:off x="0" y="0"/>
                      <a:ext cx="2952750" cy="12700"/>
                    </a:xfrm>
                    <a:prstGeom prst="rect">
                      <a:avLst/>
                    </a:prstGeom>
                    <a:noFill/>
                  </pic:spPr>
                </pic:pic>
              </a:graphicData>
            </a:graphic>
          </wp:anchor>
        </w:drawing>
      </w:r>
    </w:p>
    <w:p>
      <w:pPr>
        <w:spacing w:after="0" w:line="3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20"/>
          <w:szCs w:val="20"/>
          <w:color w:val="231F20"/>
        </w:rPr>
        <w:t>Jason P. Marino</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Principal Accounting Officer:</w:t>
      </w:r>
    </w:p>
    <w:p>
      <w:pPr>
        <w:spacing w:after="0" w:line="2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20"/>
          <w:szCs w:val="20"/>
          <w:color w:val="231F20"/>
        </w:rPr>
        <w:t>/s/ Kathleen A. Pighini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2952750"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6">
                      <a:extLst>
                        <a:ext uri="{28A0092B-C50C-407E-A947-70E740481C1C}"/>
                      </a:extLst>
                    </a:blip>
                    <a:srcRect/>
                    <a:stretch>
                      <a:fillRect/>
                    </a:stretch>
                  </pic:blipFill>
                  <pic:spPr bwMode="auto">
                    <a:xfrm>
                      <a:off x="0" y="0"/>
                      <a:ext cx="2952750" cy="12700"/>
                    </a:xfrm>
                    <a:prstGeom prst="rect">
                      <a:avLst/>
                    </a:prstGeom>
                    <a:noFill/>
                  </pic:spPr>
                </pic:pic>
              </a:graphicData>
            </a:graphic>
          </wp:anchor>
        </w:drawing>
      </w:r>
    </w:p>
    <w:p>
      <w:pPr>
        <w:spacing w:after="0" w:line="3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20"/>
          <w:szCs w:val="20"/>
          <w:color w:val="231F20"/>
        </w:rPr>
        <w:t>Kathleen A. Pighini</w:t>
      </w: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Directors:</w:t>
      </w:r>
    </w:p>
    <w:p>
      <w:pPr>
        <w:spacing w:after="0" w:line="224"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color w:val="231F20"/>
        </w:rPr>
        <w:t>/s/ William J.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3048000"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7">
                      <a:extLst>
                        <a:ext uri="{28A0092B-C50C-407E-A947-70E740481C1C}"/>
                      </a:extLst>
                    </a:blip>
                    <a:srcRect/>
                    <a:stretch>
                      <a:fillRect/>
                    </a:stretch>
                  </pic:blipFill>
                  <pic:spPr bwMode="auto">
                    <a:xfrm>
                      <a:off x="0" y="0"/>
                      <a:ext cx="3048000" cy="12700"/>
                    </a:xfrm>
                    <a:prstGeom prst="rect">
                      <a:avLst/>
                    </a:prstGeom>
                    <a:noFill/>
                  </pic:spPr>
                </pic:pic>
              </a:graphicData>
            </a:graphic>
          </wp:anchor>
        </w:drawing>
      </w:r>
    </w:p>
    <w:p>
      <w:pPr>
        <w:spacing w:after="0" w:line="35"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9"/>
          <w:szCs w:val="19"/>
          <w:color w:val="231F20"/>
        </w:rPr>
        <w:t>William J. Shaw, Director, Chairman</w:t>
      </w:r>
    </w:p>
    <w:p>
      <w:pPr>
        <w:spacing w:after="0" w:line="322"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color w:val="231F20"/>
        </w:rPr>
        <w:t>/s/ C.E.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3048000"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8">
                      <a:extLst>
                        <a:ext uri="{28A0092B-C50C-407E-A947-70E740481C1C}"/>
                      </a:extLst>
                    </a:blip>
                    <a:srcRect/>
                    <a:stretch>
                      <a:fillRect/>
                    </a:stretch>
                  </pic:blipFill>
                  <pic:spPr bwMode="auto">
                    <a:xfrm>
                      <a:off x="0" y="0"/>
                      <a:ext cx="3048000" cy="12700"/>
                    </a:xfrm>
                    <a:prstGeom prst="rect">
                      <a:avLst/>
                    </a:prstGeom>
                    <a:noFill/>
                  </pic:spPr>
                </pic:pic>
              </a:graphicData>
            </a:graphic>
          </wp:anchor>
        </w:drawing>
      </w:r>
    </w:p>
    <w:p>
      <w:pPr>
        <w:spacing w:after="0" w:line="35"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color w:val="231F20"/>
        </w:rPr>
        <w:t>C.E. Andrews, Director</w:t>
      </w:r>
    </w:p>
    <w:p>
      <w:pPr>
        <w:spacing w:after="0" w:line="310"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color w:val="231F20"/>
        </w:rPr>
        <w:t>/s/ Christian A. Asmar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3048000"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9">
                      <a:extLst>
                        <a:ext uri="{28A0092B-C50C-407E-A947-70E740481C1C}"/>
                      </a:extLst>
                    </a:blip>
                    <a:srcRect/>
                    <a:stretch>
                      <a:fillRect/>
                    </a:stretch>
                  </pic:blipFill>
                  <pic:spPr bwMode="auto">
                    <a:xfrm>
                      <a:off x="0" y="0"/>
                      <a:ext cx="3048000" cy="12700"/>
                    </a:xfrm>
                    <a:prstGeom prst="rect">
                      <a:avLst/>
                    </a:prstGeom>
                    <a:noFill/>
                  </pic:spPr>
                </pic:pic>
              </a:graphicData>
            </a:graphic>
          </wp:anchor>
        </w:drawing>
      </w:r>
    </w:p>
    <w:p>
      <w:pPr>
        <w:spacing w:after="0" w:line="35"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color w:val="231F20"/>
        </w:rPr>
        <w:t>Christian A. Asmar, Director</w:t>
      </w:r>
    </w:p>
    <w:p>
      <w:pPr>
        <w:spacing w:after="0" w:line="310"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color w:val="231F20"/>
        </w:rPr>
        <w:t>/s/ James A. Dausch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3048000"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0">
                      <a:extLst>
                        <a:ext uri="{28A0092B-C50C-407E-A947-70E740481C1C}"/>
                      </a:extLst>
                    </a:blip>
                    <a:srcRect/>
                    <a:stretch>
                      <a:fillRect/>
                    </a:stretch>
                  </pic:blipFill>
                  <pic:spPr bwMode="auto">
                    <a:xfrm>
                      <a:off x="0" y="0"/>
                      <a:ext cx="3048000" cy="12700"/>
                    </a:xfrm>
                    <a:prstGeom prst="rect">
                      <a:avLst/>
                    </a:prstGeom>
                    <a:noFill/>
                  </pic:spPr>
                </pic:pic>
              </a:graphicData>
            </a:graphic>
          </wp:anchor>
        </w:drawing>
      </w:r>
    </w:p>
    <w:p>
      <w:pPr>
        <w:spacing w:after="0" w:line="35"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color w:val="231F20"/>
        </w:rPr>
        <w:t>James A. Dausch, Director</w:t>
      </w:r>
    </w:p>
    <w:p>
      <w:pPr>
        <w:spacing w:after="0" w:line="310"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color w:val="231F20"/>
        </w:rPr>
        <w:t>/s/ Lizanne Galbreath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3048000"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1">
                      <a:extLst>
                        <a:ext uri="{28A0092B-C50C-407E-A947-70E740481C1C}"/>
                      </a:extLst>
                    </a:blip>
                    <a:srcRect/>
                    <a:stretch>
                      <a:fillRect/>
                    </a:stretch>
                  </pic:blipFill>
                  <pic:spPr bwMode="auto">
                    <a:xfrm>
                      <a:off x="0" y="0"/>
                      <a:ext cx="3048000" cy="12700"/>
                    </a:xfrm>
                    <a:prstGeom prst="rect">
                      <a:avLst/>
                    </a:prstGeom>
                    <a:noFill/>
                  </pic:spPr>
                </pic:pic>
              </a:graphicData>
            </a:graphic>
          </wp:anchor>
        </w:drawing>
      </w:r>
    </w:p>
    <w:p>
      <w:pPr>
        <w:spacing w:after="0" w:line="35"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color w:val="231F20"/>
        </w:rPr>
        <w:t>Lizanne Galbreath,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80"/>
        <w:spacing w:after="0"/>
        <w:rPr>
          <w:sz w:val="20"/>
          <w:szCs w:val="20"/>
          <w:color w:val="auto"/>
        </w:rPr>
      </w:pPr>
      <w:r>
        <w:rPr>
          <w:rFonts w:ascii="Times New Roman" w:cs="Times New Roman" w:eastAsia="Times New Roman" w:hAnsi="Times New Roman"/>
          <w:sz w:val="20"/>
          <w:szCs w:val="20"/>
          <w:color w:val="231F20"/>
        </w:rPr>
        <w:t>Senior Vice President, Corporate 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231F20"/>
        </w:rPr>
        <w:t>/s/ Mary E. Galligan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20955</wp:posOffset>
            </wp:positionV>
            <wp:extent cx="3048000"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2">
                      <a:extLst>
                        <a:ext uri="{28A0092B-C50C-407E-A947-70E740481C1C}"/>
                      </a:extLst>
                    </a:blip>
                    <a:srcRect/>
                    <a:stretch>
                      <a:fillRect/>
                    </a:stretch>
                  </pic:blipFill>
                  <pic:spPr bwMode="auto">
                    <a:xfrm>
                      <a:off x="0" y="0"/>
                      <a:ext cx="3048000" cy="12700"/>
                    </a:xfrm>
                    <a:prstGeom prst="rect">
                      <a:avLst/>
                    </a:prstGeom>
                    <a:noFill/>
                  </pic:spPr>
                </pic:pic>
              </a:graphicData>
            </a:graphic>
          </wp:anchor>
        </w:drawing>
      </w:r>
    </w:p>
    <w:p>
      <w:pPr>
        <w:spacing w:after="0" w:line="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231F20"/>
        </w:rPr>
        <w:t>Mary E. Galligan, Director</w:t>
      </w: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231F20"/>
        </w:rPr>
        <w:t>/s/ Jonice M.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20955</wp:posOffset>
            </wp:positionV>
            <wp:extent cx="3048000"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3">
                      <a:extLst>
                        <a:ext uri="{28A0092B-C50C-407E-A947-70E740481C1C}"/>
                      </a:extLst>
                    </a:blip>
                    <a:srcRect/>
                    <a:stretch>
                      <a:fillRect/>
                    </a:stretch>
                  </pic:blipFill>
                  <pic:spPr bwMode="auto">
                    <a:xfrm>
                      <a:off x="0" y="0"/>
                      <a:ext cx="3048000" cy="12700"/>
                    </a:xfrm>
                    <a:prstGeom prst="rect">
                      <a:avLst/>
                    </a:prstGeom>
                    <a:noFill/>
                  </pic:spPr>
                </pic:pic>
              </a:graphicData>
            </a:graphic>
          </wp:anchor>
        </w:drawing>
      </w:r>
    </w:p>
    <w:p>
      <w:pPr>
        <w:spacing w:after="0" w:line="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231F20"/>
        </w:rPr>
        <w:t>Jonice M. Gray, Director</w:t>
      </w:r>
    </w:p>
    <w:p>
      <w:pPr>
        <w:spacing w:after="0" w:line="3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231F20"/>
        </w:rPr>
        <w:t>/s/ William W. McCarten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20955</wp:posOffset>
            </wp:positionV>
            <wp:extent cx="3048000"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4">
                      <a:extLst>
                        <a:ext uri="{28A0092B-C50C-407E-A947-70E740481C1C}"/>
                      </a:extLst>
                    </a:blip>
                    <a:srcRect/>
                    <a:stretch>
                      <a:fillRect/>
                    </a:stretch>
                  </pic:blipFill>
                  <pic:spPr bwMode="auto">
                    <a:xfrm>
                      <a:off x="0" y="0"/>
                      <a:ext cx="3048000" cy="12700"/>
                    </a:xfrm>
                    <a:prstGeom prst="rect">
                      <a:avLst/>
                    </a:prstGeom>
                    <a:noFill/>
                  </pic:spPr>
                </pic:pic>
              </a:graphicData>
            </a:graphic>
          </wp:anchor>
        </w:drawing>
      </w:r>
    </w:p>
    <w:p>
      <w:pPr>
        <w:spacing w:after="0" w:line="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231F20"/>
        </w:rPr>
        <w:t>William W. McCarten, Director</w:t>
      </w: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231F20"/>
        </w:rPr>
        <w:t>/s/ Dianna F.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20955</wp:posOffset>
            </wp:positionV>
            <wp:extent cx="3048000"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5">
                      <a:extLst>
                        <a:ext uri="{28A0092B-C50C-407E-A947-70E740481C1C}"/>
                      </a:extLst>
                    </a:blip>
                    <a:srcRect/>
                    <a:stretch>
                      <a:fillRect/>
                    </a:stretch>
                  </pic:blipFill>
                  <pic:spPr bwMode="auto">
                    <a:xfrm>
                      <a:off x="0" y="0"/>
                      <a:ext cx="3048000" cy="12700"/>
                    </a:xfrm>
                    <a:prstGeom prst="rect">
                      <a:avLst/>
                    </a:prstGeom>
                    <a:noFill/>
                  </pic:spPr>
                </pic:pic>
              </a:graphicData>
            </a:graphic>
          </wp:anchor>
        </w:drawing>
      </w:r>
    </w:p>
    <w:p>
      <w:pPr>
        <w:spacing w:after="0" w:line="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231F20"/>
        </w:rPr>
        <w:t>Dianna F. Morgan, Director</w:t>
      </w:r>
    </w:p>
    <w:p>
      <w:pPr>
        <w:spacing w:after="0" w:line="3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231F20"/>
        </w:rPr>
        <w:t>/s/ Stephen R. Quazzo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20955</wp:posOffset>
            </wp:positionV>
            <wp:extent cx="3048000"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6">
                      <a:extLst>
                        <a:ext uri="{28A0092B-C50C-407E-A947-70E740481C1C}"/>
                      </a:extLst>
                    </a:blip>
                    <a:srcRect/>
                    <a:stretch>
                      <a:fillRect/>
                    </a:stretch>
                  </pic:blipFill>
                  <pic:spPr bwMode="auto">
                    <a:xfrm>
                      <a:off x="0" y="0"/>
                      <a:ext cx="3048000" cy="12700"/>
                    </a:xfrm>
                    <a:prstGeom prst="rect">
                      <a:avLst/>
                    </a:prstGeom>
                    <a:noFill/>
                  </pic:spPr>
                </pic:pic>
              </a:graphicData>
            </a:graphic>
          </wp:anchor>
        </w:drawing>
      </w:r>
    </w:p>
    <w:p>
      <w:pPr>
        <w:spacing w:after="0" w:line="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231F20"/>
        </w:rPr>
        <w:t>Stephen R. Quazzo, Director</w:t>
      </w:r>
    </w:p>
    <w:p>
      <w:pPr>
        <w:spacing w:after="0" w:line="200" w:lineRule="exact"/>
        <w:rPr>
          <w:sz w:val="20"/>
          <w:szCs w:val="20"/>
          <w:color w:val="auto"/>
        </w:rPr>
      </w:pPr>
    </w:p>
    <w:p>
      <w:pPr>
        <w:sectPr>
          <w:pgSz w:w="11880" w:h="15480" w:orient="portrait"/>
          <w:cols w:equalWidth="0" w:num="2">
            <w:col w:w="4060" w:space="720"/>
            <w:col w:w="4920"/>
          </w:cols>
          <w:pgMar w:left="1080" w:top="831" w:right="1100" w:bottom="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131</w:t>
      </w:r>
    </w:p>
    <w:p>
      <w:pPr>
        <w:sectPr>
          <w:pgSz w:w="11880" w:h="15480" w:orient="portrait"/>
          <w:cols w:equalWidth="0" w:num="1">
            <w:col w:w="9700"/>
          </w:cols>
          <w:pgMar w:left="1080" w:top="831" w:right="1100" w:bottom="0" w:gutter="0" w:footer="0" w:header="0"/>
          <w:type w:val="continuous"/>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353334"/>
        </w:rPr>
        <w:t>[THIS PAGE INTENTIONALLY LEFT BLANK]</w:t>
      </w:r>
    </w:p>
    <w:p>
      <w:pPr>
        <w:sectPr>
          <w:pgSz w:w="11880" w:h="15480" w:orient="portrait"/>
          <w:cols w:equalWidth="0" w:num="1">
            <w:col w:w="9000"/>
          </w:cols>
          <w:pgMar w:left="1440" w:top="1440" w:right="1440" w:bottom="144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353334"/>
        </w:rPr>
        <w:t>[THIS PAGE INTENTIONALLY LEFT BLANK]</w:t>
      </w:r>
    </w:p>
    <w:p>
      <w:pPr>
        <w:sectPr>
          <w:pgSz w:w="11880" w:h="15480" w:orient="portrait"/>
          <w:cols w:equalWidth="0" w:num="1">
            <w:col w:w="9000"/>
          </w:cols>
          <w:pgMar w:left="1440" w:top="1440" w:right="1440" w:bottom="1440" w:gutter="0" w:footer="0" w:header="0"/>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353334"/>
        </w:rPr>
        <w:t>[THIS PAGE INTENTIONALLY LEFT BLANK]</w:t>
      </w:r>
    </w:p>
    <w:p>
      <w:pPr>
        <w:sectPr>
          <w:pgSz w:w="11880" w:h="15480" w:orient="portrait"/>
          <w:cols w:equalWidth="0" w:num="1">
            <w:col w:w="9000"/>
          </w:cols>
          <w:pgMar w:left="1440" w:top="1440" w:right="1440"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7">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3360" w:type="dxa"/>
            <w:vAlign w:val="bottom"/>
          </w:tcPr>
          <w:p>
            <w:pPr>
              <w:spacing w:after="0"/>
              <w:rPr>
                <w:sz w:val="20"/>
                <w:szCs w:val="20"/>
                <w:color w:val="auto"/>
              </w:rPr>
            </w:pPr>
            <w:r>
              <w:rPr>
                <w:rFonts w:ascii="Arial" w:cs="Arial" w:eastAsia="Arial" w:hAnsi="Arial"/>
                <w:sz w:val="28"/>
                <w:szCs w:val="28"/>
                <w:color w:val="FFFFFF"/>
              </w:rPr>
              <w:t>BOARD OF</w:t>
            </w:r>
          </w:p>
        </w:tc>
        <w:tc>
          <w:tcPr>
            <w:tcW w:w="2780" w:type="dxa"/>
            <w:vAlign w:val="bottom"/>
          </w:tcPr>
          <w:p>
            <w:pPr>
              <w:ind w:left="540"/>
              <w:spacing w:after="0"/>
              <w:rPr>
                <w:sz w:val="20"/>
                <w:szCs w:val="20"/>
                <w:color w:val="auto"/>
              </w:rPr>
            </w:pPr>
            <w:r>
              <w:rPr>
                <w:rFonts w:ascii="Arial" w:cs="Arial" w:eastAsia="Arial" w:hAnsi="Arial"/>
                <w:sz w:val="28"/>
                <w:szCs w:val="28"/>
                <w:color w:val="FFFFFF"/>
              </w:rPr>
              <w:t>EXECUTIVE</w:t>
            </w:r>
          </w:p>
        </w:tc>
        <w:tc>
          <w:tcPr>
            <w:tcW w:w="0" w:type="dxa"/>
            <w:vAlign w:val="bottom"/>
          </w:tcPr>
          <w:p>
            <w:pPr>
              <w:spacing w:after="0"/>
              <w:rPr>
                <w:sz w:val="1"/>
                <w:szCs w:val="1"/>
                <w:color w:val="auto"/>
              </w:rPr>
            </w:pPr>
          </w:p>
        </w:tc>
      </w:tr>
      <w:tr>
        <w:trPr>
          <w:trHeight w:val="365"/>
        </w:trPr>
        <w:tc>
          <w:tcPr>
            <w:tcW w:w="3360" w:type="dxa"/>
            <w:vAlign w:val="bottom"/>
          </w:tcPr>
          <w:p>
            <w:pPr>
              <w:spacing w:after="0"/>
              <w:rPr>
                <w:sz w:val="20"/>
                <w:szCs w:val="20"/>
                <w:color w:val="auto"/>
              </w:rPr>
            </w:pPr>
            <w:r>
              <w:rPr>
                <w:rFonts w:ascii="Arial" w:cs="Arial" w:eastAsia="Arial" w:hAnsi="Arial"/>
                <w:sz w:val="28"/>
                <w:szCs w:val="28"/>
                <w:color w:val="FFFFFF"/>
              </w:rPr>
              <w:t>DIRECTORS</w:t>
            </w:r>
          </w:p>
        </w:tc>
        <w:tc>
          <w:tcPr>
            <w:tcW w:w="2780" w:type="dxa"/>
            <w:vAlign w:val="bottom"/>
          </w:tcPr>
          <w:p>
            <w:pPr>
              <w:ind w:left="540"/>
              <w:spacing w:after="0"/>
              <w:rPr>
                <w:sz w:val="20"/>
                <w:szCs w:val="20"/>
                <w:color w:val="auto"/>
              </w:rPr>
            </w:pPr>
            <w:r>
              <w:rPr>
                <w:rFonts w:ascii="Arial" w:cs="Arial" w:eastAsia="Arial" w:hAnsi="Arial"/>
                <w:sz w:val="28"/>
                <w:szCs w:val="28"/>
                <w:color w:val="FFFFFF"/>
              </w:rPr>
              <w:t>LEADERSHIP</w:t>
            </w:r>
          </w:p>
        </w:tc>
        <w:tc>
          <w:tcPr>
            <w:tcW w:w="0" w:type="dxa"/>
            <w:vAlign w:val="bottom"/>
          </w:tcPr>
          <w:p>
            <w:pPr>
              <w:spacing w:after="0"/>
              <w:rPr>
                <w:sz w:val="1"/>
                <w:szCs w:val="1"/>
                <w:color w:val="auto"/>
              </w:rPr>
            </w:pPr>
          </w:p>
        </w:tc>
      </w:tr>
      <w:tr>
        <w:trPr>
          <w:trHeight w:val="464"/>
        </w:trPr>
        <w:tc>
          <w:tcPr>
            <w:tcW w:w="3360" w:type="dxa"/>
            <w:vAlign w:val="bottom"/>
          </w:tcPr>
          <w:p>
            <w:pPr>
              <w:spacing w:after="0"/>
              <w:rPr>
                <w:sz w:val="20"/>
                <w:szCs w:val="20"/>
                <w:color w:val="auto"/>
              </w:rPr>
            </w:pPr>
            <w:r>
              <w:rPr>
                <w:rFonts w:ascii="Arial" w:cs="Arial" w:eastAsia="Arial" w:hAnsi="Arial"/>
                <w:sz w:val="14"/>
                <w:szCs w:val="14"/>
                <w:b w:val="1"/>
                <w:bCs w:val="1"/>
                <w:color w:val="FFFFFF"/>
              </w:rPr>
              <w:t>William J. Shaw</w:t>
            </w:r>
          </w:p>
        </w:tc>
        <w:tc>
          <w:tcPr>
            <w:tcW w:w="2780" w:type="dxa"/>
            <w:vAlign w:val="bottom"/>
          </w:tcPr>
          <w:p>
            <w:pPr>
              <w:ind w:left="540"/>
              <w:spacing w:after="0"/>
              <w:rPr>
                <w:sz w:val="20"/>
                <w:szCs w:val="20"/>
                <w:color w:val="auto"/>
              </w:rPr>
            </w:pPr>
            <w:r>
              <w:rPr>
                <w:rFonts w:ascii="Arial" w:cs="Arial" w:eastAsia="Arial" w:hAnsi="Arial"/>
                <w:sz w:val="14"/>
                <w:szCs w:val="14"/>
                <w:b w:val="1"/>
                <w:bCs w:val="1"/>
                <w:color w:val="FFFFFF"/>
              </w:rPr>
              <w:t>Matthew E. Avril</w:t>
            </w:r>
            <w:r>
              <w:rPr>
                <w:rFonts w:ascii="Arial" w:cs="Arial" w:eastAsia="Arial" w:hAnsi="Arial"/>
                <w:sz w:val="14"/>
                <w:szCs w:val="14"/>
                <w:color w:val="FFFFFF"/>
              </w:rPr>
              <w:t>ێ</w:t>
            </w: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Chairman of the Board</w:t>
            </w:r>
          </w:p>
        </w:tc>
        <w:tc>
          <w:tcPr>
            <w:tcW w:w="2780" w:type="dxa"/>
            <w:vAlign w:val="bottom"/>
          </w:tcPr>
          <w:p>
            <w:pPr>
              <w:ind w:left="540"/>
              <w:spacing w:after="0"/>
              <w:rPr>
                <w:sz w:val="20"/>
                <w:szCs w:val="20"/>
                <w:color w:val="auto"/>
              </w:rPr>
            </w:pPr>
            <w:r>
              <w:rPr>
                <w:rFonts w:ascii="Arial" w:cs="Arial" w:eastAsia="Arial" w:hAnsi="Arial"/>
                <w:sz w:val="14"/>
                <w:szCs w:val="14"/>
                <w:color w:val="FFFFFF"/>
              </w:rPr>
              <w:t>Chief Executive Officer</w:t>
            </w:r>
          </w:p>
        </w:tc>
        <w:tc>
          <w:tcPr>
            <w:tcW w:w="0" w:type="dxa"/>
            <w:vAlign w:val="bottom"/>
          </w:tcPr>
          <w:p>
            <w:pPr>
              <w:spacing w:after="0"/>
              <w:rPr>
                <w:sz w:val="1"/>
                <w:szCs w:val="1"/>
                <w:color w:val="auto"/>
              </w:rPr>
            </w:pPr>
          </w:p>
        </w:tc>
      </w:tr>
      <w:tr>
        <w:trPr>
          <w:trHeight w:val="440"/>
        </w:trPr>
        <w:tc>
          <w:tcPr>
            <w:tcW w:w="3360" w:type="dxa"/>
            <w:vAlign w:val="bottom"/>
          </w:tcPr>
          <w:p>
            <w:pPr>
              <w:spacing w:after="0"/>
              <w:rPr>
                <w:sz w:val="20"/>
                <w:szCs w:val="20"/>
                <w:color w:val="auto"/>
              </w:rPr>
            </w:pPr>
            <w:r>
              <w:rPr>
                <w:rFonts w:ascii="Arial" w:cs="Arial" w:eastAsia="Arial" w:hAnsi="Arial"/>
                <w:sz w:val="14"/>
                <w:szCs w:val="14"/>
                <w:b w:val="1"/>
                <w:bCs w:val="1"/>
                <w:color w:val="FFFFFF"/>
              </w:rPr>
              <w:t>Matthew E. Avril</w:t>
            </w:r>
          </w:p>
        </w:tc>
        <w:tc>
          <w:tcPr>
            <w:tcW w:w="2780" w:type="dxa"/>
            <w:vAlign w:val="bottom"/>
          </w:tcPr>
          <w:p>
            <w:pPr>
              <w:ind w:left="540"/>
              <w:spacing w:after="0"/>
              <w:rPr>
                <w:sz w:val="20"/>
                <w:szCs w:val="20"/>
                <w:color w:val="auto"/>
              </w:rPr>
            </w:pPr>
            <w:r>
              <w:rPr>
                <w:rFonts w:ascii="Arial" w:cs="Arial" w:eastAsia="Arial" w:hAnsi="Arial"/>
                <w:sz w:val="14"/>
                <w:szCs w:val="14"/>
                <w:b w:val="1"/>
                <w:bCs w:val="1"/>
                <w:color w:val="FFFFFF"/>
              </w:rPr>
              <w:t>Michael A. Flaskey</w:t>
            </w:r>
            <w:r>
              <w:rPr>
                <w:rFonts w:ascii="Arial" w:cs="Arial" w:eastAsia="Arial" w:hAnsi="Arial"/>
                <w:sz w:val="14"/>
                <w:szCs w:val="14"/>
                <w:color w:val="FFFFFF"/>
              </w:rPr>
              <w:t>ێ</w:t>
            </w: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Chief Executive Officer</w:t>
            </w:r>
          </w:p>
        </w:tc>
        <w:tc>
          <w:tcPr>
            <w:tcW w:w="2780" w:type="dxa"/>
            <w:vAlign w:val="bottom"/>
          </w:tcPr>
          <w:p>
            <w:pPr>
              <w:ind w:left="540"/>
              <w:spacing w:after="0"/>
              <w:rPr>
                <w:sz w:val="20"/>
                <w:szCs w:val="20"/>
                <w:color w:val="auto"/>
              </w:rPr>
            </w:pPr>
            <w:r>
              <w:rPr>
                <w:rFonts w:ascii="Arial" w:cs="Arial" w:eastAsia="Arial" w:hAnsi="Arial"/>
                <w:sz w:val="14"/>
                <w:szCs w:val="14"/>
                <w:color w:val="FFFFFF"/>
              </w:rPr>
              <w:t>President and</w:t>
            </w:r>
          </w:p>
        </w:tc>
        <w:tc>
          <w:tcPr>
            <w:tcW w:w="0" w:type="dxa"/>
            <w:vAlign w:val="bottom"/>
          </w:tcPr>
          <w:p>
            <w:pPr>
              <w:spacing w:after="0"/>
              <w:rPr>
                <w:sz w:val="1"/>
                <w:szCs w:val="1"/>
                <w:color w:val="auto"/>
              </w:rPr>
            </w:pPr>
          </w:p>
        </w:tc>
      </w:tr>
      <w:tr>
        <w:trPr>
          <w:trHeight w:val="260"/>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FFFFFF"/>
              </w:rPr>
              <w:t>Charles E. “C.E.” Andrews</w:t>
            </w:r>
          </w:p>
        </w:tc>
        <w:tc>
          <w:tcPr>
            <w:tcW w:w="2780" w:type="dxa"/>
            <w:vAlign w:val="bottom"/>
          </w:tcPr>
          <w:p>
            <w:pPr>
              <w:ind w:left="540"/>
              <w:spacing w:after="0"/>
              <w:rPr>
                <w:sz w:val="20"/>
                <w:szCs w:val="20"/>
                <w:color w:val="auto"/>
              </w:rPr>
            </w:pPr>
            <w:r>
              <w:rPr>
                <w:rFonts w:ascii="Arial" w:cs="Arial" w:eastAsia="Arial" w:hAnsi="Arial"/>
                <w:sz w:val="14"/>
                <w:szCs w:val="14"/>
                <w:color w:val="FFFFFF"/>
              </w:rPr>
              <w:t>Chief Operating Officer</w:t>
            </w:r>
          </w:p>
        </w:tc>
        <w:tc>
          <w:tcPr>
            <w:tcW w:w="0" w:type="dxa"/>
            <w:vAlign w:val="bottom"/>
          </w:tcPr>
          <w:p>
            <w:pPr>
              <w:spacing w:after="0"/>
              <w:rPr>
                <w:sz w:val="1"/>
                <w:szCs w:val="1"/>
                <w:color w:val="auto"/>
              </w:rPr>
            </w:pPr>
          </w:p>
        </w:tc>
      </w:tr>
      <w:tr>
        <w:trPr>
          <w:trHeight w:val="180"/>
        </w:trPr>
        <w:tc>
          <w:tcPr>
            <w:tcW w:w="3360" w:type="dxa"/>
            <w:vAlign w:val="bottom"/>
            <w:vMerge w:val="continue"/>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Former Chief Executive Officer</w:t>
            </w:r>
          </w:p>
        </w:tc>
        <w:tc>
          <w:tcPr>
            <w:tcW w:w="2780" w:type="dxa"/>
            <w:vAlign w:val="bottom"/>
          </w:tcPr>
          <w:p>
            <w:pPr>
              <w:ind w:left="540"/>
              <w:spacing w:after="0"/>
              <w:rPr>
                <w:sz w:val="20"/>
                <w:szCs w:val="20"/>
                <w:color w:val="auto"/>
              </w:rPr>
            </w:pPr>
            <w:r>
              <w:rPr>
                <w:rFonts w:ascii="Arial" w:cs="Arial" w:eastAsia="Arial" w:hAnsi="Arial"/>
                <w:sz w:val="14"/>
                <w:szCs w:val="14"/>
                <w:b w:val="1"/>
                <w:bCs w:val="1"/>
                <w:color w:val="FFFFFF"/>
              </w:rPr>
              <w:t>Jason P. Marino</w:t>
            </w:r>
            <w:r>
              <w:rPr>
                <w:rFonts w:ascii="Arial" w:cs="Arial" w:eastAsia="Arial" w:hAnsi="Arial"/>
                <w:sz w:val="14"/>
                <w:szCs w:val="14"/>
                <w:color w:val="FFFFFF"/>
              </w:rPr>
              <w:t>ێ</w:t>
            </w: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MorganFranklin Consulting</w:t>
            </w:r>
          </w:p>
        </w:tc>
        <w:tc>
          <w:tcPr>
            <w:tcW w:w="2780" w:type="dxa"/>
            <w:vAlign w:val="bottom"/>
          </w:tcPr>
          <w:p>
            <w:pPr>
              <w:ind w:left="540"/>
              <w:spacing w:after="0"/>
              <w:rPr>
                <w:sz w:val="20"/>
                <w:szCs w:val="20"/>
                <w:color w:val="auto"/>
              </w:rPr>
            </w:pPr>
            <w:r>
              <w:rPr>
                <w:rFonts w:ascii="Arial" w:cs="Arial" w:eastAsia="Arial" w:hAnsi="Arial"/>
                <w:sz w:val="14"/>
                <w:szCs w:val="14"/>
                <w:color w:val="FFFFFF"/>
              </w:rPr>
              <w:t>Executive Vice President and</w:t>
            </w:r>
          </w:p>
        </w:tc>
        <w:tc>
          <w:tcPr>
            <w:tcW w:w="0" w:type="dxa"/>
            <w:vAlign w:val="bottom"/>
          </w:tcPr>
          <w:p>
            <w:pPr>
              <w:spacing w:after="0"/>
              <w:rPr>
                <w:sz w:val="1"/>
                <w:szCs w:val="1"/>
                <w:color w:val="auto"/>
              </w:rPr>
            </w:pPr>
          </w:p>
        </w:tc>
      </w:tr>
      <w:tr>
        <w:trPr>
          <w:trHeight w:val="260"/>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FFFFFF"/>
              </w:rPr>
              <w:t>Christian A. Asmar</w:t>
            </w:r>
          </w:p>
        </w:tc>
        <w:tc>
          <w:tcPr>
            <w:tcW w:w="2780" w:type="dxa"/>
            <w:vAlign w:val="bottom"/>
          </w:tcPr>
          <w:p>
            <w:pPr>
              <w:ind w:left="540"/>
              <w:spacing w:after="0"/>
              <w:rPr>
                <w:sz w:val="20"/>
                <w:szCs w:val="20"/>
                <w:color w:val="auto"/>
              </w:rPr>
            </w:pPr>
            <w:r>
              <w:rPr>
                <w:rFonts w:ascii="Arial" w:cs="Arial" w:eastAsia="Arial" w:hAnsi="Arial"/>
                <w:sz w:val="14"/>
                <w:szCs w:val="14"/>
                <w:color w:val="FFFFFF"/>
              </w:rPr>
              <w:t>Chief Financial Officer</w:t>
            </w:r>
          </w:p>
        </w:tc>
        <w:tc>
          <w:tcPr>
            <w:tcW w:w="0" w:type="dxa"/>
            <w:vAlign w:val="bottom"/>
          </w:tcPr>
          <w:p>
            <w:pPr>
              <w:spacing w:after="0"/>
              <w:rPr>
                <w:sz w:val="1"/>
                <w:szCs w:val="1"/>
                <w:color w:val="auto"/>
              </w:rPr>
            </w:pPr>
          </w:p>
        </w:tc>
      </w:tr>
      <w:tr>
        <w:trPr>
          <w:trHeight w:val="180"/>
        </w:trPr>
        <w:tc>
          <w:tcPr>
            <w:tcW w:w="3360" w:type="dxa"/>
            <w:vAlign w:val="bottom"/>
            <w:vMerge w:val="continue"/>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Co-Founder and Managing Partner</w:t>
            </w:r>
          </w:p>
        </w:tc>
        <w:tc>
          <w:tcPr>
            <w:tcW w:w="2780" w:type="dxa"/>
            <w:vAlign w:val="bottom"/>
          </w:tcPr>
          <w:p>
            <w:pPr>
              <w:ind w:left="540"/>
              <w:spacing w:after="0"/>
              <w:rPr>
                <w:sz w:val="20"/>
                <w:szCs w:val="20"/>
                <w:color w:val="auto"/>
              </w:rPr>
            </w:pPr>
            <w:r>
              <w:rPr>
                <w:rFonts w:ascii="Arial" w:cs="Arial" w:eastAsia="Arial" w:hAnsi="Arial"/>
                <w:sz w:val="14"/>
                <w:szCs w:val="14"/>
                <w:b w:val="1"/>
                <w:bCs w:val="1"/>
                <w:color w:val="FFFFFF"/>
              </w:rPr>
              <w:t>Marcos Agostini</w:t>
            </w: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Impactive Capital LLC</w:t>
            </w:r>
          </w:p>
        </w:tc>
        <w:tc>
          <w:tcPr>
            <w:tcW w:w="2780" w:type="dxa"/>
            <w:vAlign w:val="bottom"/>
          </w:tcPr>
          <w:p>
            <w:pPr>
              <w:ind w:left="540"/>
              <w:spacing w:after="0"/>
              <w:rPr>
                <w:sz w:val="20"/>
                <w:szCs w:val="20"/>
                <w:color w:val="auto"/>
              </w:rPr>
            </w:pPr>
            <w:r>
              <w:rPr>
                <w:rFonts w:ascii="Arial" w:cs="Arial" w:eastAsia="Arial" w:hAnsi="Arial"/>
                <w:sz w:val="14"/>
                <w:szCs w:val="14"/>
                <w:color w:val="FFFFFF"/>
              </w:rPr>
              <w:t>Executive Vice President and</w:t>
            </w:r>
          </w:p>
        </w:tc>
        <w:tc>
          <w:tcPr>
            <w:tcW w:w="0" w:type="dxa"/>
            <w:vAlign w:val="bottom"/>
          </w:tcPr>
          <w:p>
            <w:pPr>
              <w:spacing w:after="0"/>
              <w:rPr>
                <w:sz w:val="1"/>
                <w:szCs w:val="1"/>
                <w:color w:val="auto"/>
              </w:rPr>
            </w:pPr>
          </w:p>
        </w:tc>
      </w:tr>
      <w:tr>
        <w:trPr>
          <w:trHeight w:val="260"/>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FFFFFF"/>
              </w:rPr>
              <w:t>James A. Dausch</w:t>
            </w:r>
          </w:p>
        </w:tc>
        <w:tc>
          <w:tcPr>
            <w:tcW w:w="2780" w:type="dxa"/>
            <w:vAlign w:val="bottom"/>
          </w:tcPr>
          <w:p>
            <w:pPr>
              <w:ind w:left="540"/>
              <w:spacing w:after="0"/>
              <w:rPr>
                <w:sz w:val="20"/>
                <w:szCs w:val="20"/>
                <w:color w:val="auto"/>
              </w:rPr>
            </w:pPr>
            <w:r>
              <w:rPr>
                <w:rFonts w:ascii="Arial" w:cs="Arial" w:eastAsia="Arial" w:hAnsi="Arial"/>
                <w:sz w:val="14"/>
                <w:szCs w:val="14"/>
                <w:color w:val="FFFFFF"/>
              </w:rPr>
              <w:t>Managing Director</w:t>
            </w:r>
          </w:p>
        </w:tc>
        <w:tc>
          <w:tcPr>
            <w:tcW w:w="0" w:type="dxa"/>
            <w:vAlign w:val="bottom"/>
          </w:tcPr>
          <w:p>
            <w:pPr>
              <w:spacing w:after="0"/>
              <w:rPr>
                <w:sz w:val="1"/>
                <w:szCs w:val="1"/>
                <w:color w:val="auto"/>
              </w:rPr>
            </w:pPr>
          </w:p>
        </w:tc>
      </w:tr>
      <w:tr>
        <w:trPr>
          <w:trHeight w:val="180"/>
        </w:trPr>
        <w:tc>
          <w:tcPr>
            <w:tcW w:w="3360" w:type="dxa"/>
            <w:vAlign w:val="bottom"/>
            <w:vMerge w:val="continue"/>
          </w:tcPr>
          <w:p>
            <w:pPr>
              <w:spacing w:after="0"/>
              <w:rPr>
                <w:sz w:val="15"/>
                <w:szCs w:val="15"/>
                <w:color w:val="auto"/>
              </w:rPr>
            </w:pPr>
          </w:p>
        </w:tc>
        <w:tc>
          <w:tcPr>
            <w:tcW w:w="2780" w:type="dxa"/>
            <w:vAlign w:val="bottom"/>
            <w:vMerge w:val="restart"/>
          </w:tcPr>
          <w:p>
            <w:pPr>
              <w:ind w:left="540"/>
              <w:spacing w:after="0"/>
              <w:rPr>
                <w:sz w:val="20"/>
                <w:szCs w:val="20"/>
                <w:color w:val="auto"/>
              </w:rPr>
            </w:pPr>
            <w:r>
              <w:rPr>
                <w:rFonts w:ascii="Arial" w:cs="Arial" w:eastAsia="Arial" w:hAnsi="Arial"/>
                <w:sz w:val="14"/>
                <w:szCs w:val="14"/>
                <w:color w:val="FFFFFF"/>
              </w:rPr>
              <w:t>Interval International</w:t>
            </w:r>
          </w:p>
        </w:tc>
        <w:tc>
          <w:tcPr>
            <w:tcW w:w="0" w:type="dxa"/>
            <w:vAlign w:val="bottom"/>
          </w:tcPr>
          <w:p>
            <w:pPr>
              <w:spacing w:after="0"/>
              <w:rPr>
                <w:sz w:val="1"/>
                <w:szCs w:val="1"/>
                <w:color w:val="auto"/>
              </w:rPr>
            </w:pPr>
          </w:p>
        </w:tc>
      </w:tr>
      <w:tr>
        <w:trPr>
          <w:trHeight w:val="80"/>
        </w:trPr>
        <w:tc>
          <w:tcPr>
            <w:tcW w:w="3360" w:type="dxa"/>
            <w:vAlign w:val="bottom"/>
            <w:vMerge w:val="restart"/>
          </w:tcPr>
          <w:p>
            <w:pPr>
              <w:spacing w:after="0"/>
              <w:rPr>
                <w:sz w:val="20"/>
                <w:szCs w:val="20"/>
                <w:color w:val="auto"/>
              </w:rPr>
            </w:pPr>
            <w:r>
              <w:rPr>
                <w:rFonts w:ascii="Arial" w:cs="Arial" w:eastAsia="Arial" w:hAnsi="Arial"/>
                <w:sz w:val="14"/>
                <w:szCs w:val="14"/>
                <w:color w:val="FFFFFF"/>
              </w:rPr>
              <w:t>Chief Digital &amp; Technology Officer and</w:t>
            </w:r>
          </w:p>
        </w:tc>
        <w:tc>
          <w:tcPr>
            <w:tcW w:w="2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360" w:type="dxa"/>
            <w:vAlign w:val="bottom"/>
            <w:vMerge w:val="continue"/>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President of Byte by Yum!</w:t>
            </w:r>
          </w:p>
        </w:tc>
        <w:tc>
          <w:tcPr>
            <w:tcW w:w="2780" w:type="dxa"/>
            <w:vAlign w:val="bottom"/>
          </w:tcPr>
          <w:p>
            <w:pPr>
              <w:ind w:left="540"/>
              <w:spacing w:after="0"/>
              <w:rPr>
                <w:sz w:val="20"/>
                <w:szCs w:val="20"/>
                <w:color w:val="auto"/>
              </w:rPr>
            </w:pPr>
            <w:r>
              <w:rPr>
                <w:rFonts w:ascii="Arial" w:cs="Arial" w:eastAsia="Arial" w:hAnsi="Arial"/>
                <w:sz w:val="14"/>
                <w:szCs w:val="14"/>
                <w:b w:val="1"/>
                <w:bCs w:val="1"/>
                <w:color w:val="FFFFFF"/>
              </w:rPr>
              <w:t>Raman T. Bukkapatnam</w:t>
            </w:r>
            <w:r>
              <w:rPr>
                <w:rFonts w:ascii="Arial" w:cs="Arial" w:eastAsia="Arial" w:hAnsi="Arial"/>
                <w:sz w:val="14"/>
                <w:szCs w:val="14"/>
                <w:color w:val="FFFFFF"/>
              </w:rPr>
              <w:t>ێ</w:t>
            </w: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Yum! Brands</w:t>
            </w:r>
          </w:p>
        </w:tc>
        <w:tc>
          <w:tcPr>
            <w:tcW w:w="2780" w:type="dxa"/>
            <w:vAlign w:val="bottom"/>
          </w:tcPr>
          <w:p>
            <w:pPr>
              <w:ind w:left="540"/>
              <w:spacing w:after="0"/>
              <w:rPr>
                <w:sz w:val="20"/>
                <w:szCs w:val="20"/>
                <w:color w:val="auto"/>
              </w:rPr>
            </w:pPr>
            <w:r>
              <w:rPr>
                <w:rFonts w:ascii="Arial" w:cs="Arial" w:eastAsia="Arial" w:hAnsi="Arial"/>
                <w:sz w:val="14"/>
                <w:szCs w:val="14"/>
                <w:color w:val="FFFFFF"/>
              </w:rPr>
              <w:t>Executive Vice President and</w:t>
            </w:r>
          </w:p>
        </w:tc>
        <w:tc>
          <w:tcPr>
            <w:tcW w:w="0" w:type="dxa"/>
            <w:vAlign w:val="bottom"/>
          </w:tcPr>
          <w:p>
            <w:pPr>
              <w:spacing w:after="0"/>
              <w:rPr>
                <w:sz w:val="1"/>
                <w:szCs w:val="1"/>
                <w:color w:val="auto"/>
              </w:rPr>
            </w:pPr>
          </w:p>
        </w:tc>
      </w:tr>
      <w:tr>
        <w:trPr>
          <w:trHeight w:val="260"/>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FFFFFF"/>
              </w:rPr>
              <w:t>Lizanne Galbreath</w:t>
            </w:r>
          </w:p>
        </w:tc>
        <w:tc>
          <w:tcPr>
            <w:tcW w:w="2780" w:type="dxa"/>
            <w:vAlign w:val="bottom"/>
          </w:tcPr>
          <w:p>
            <w:pPr>
              <w:ind w:left="540"/>
              <w:spacing w:after="0"/>
              <w:rPr>
                <w:sz w:val="20"/>
                <w:szCs w:val="20"/>
                <w:color w:val="auto"/>
              </w:rPr>
            </w:pPr>
            <w:r>
              <w:rPr>
                <w:rFonts w:ascii="Arial" w:cs="Arial" w:eastAsia="Arial" w:hAnsi="Arial"/>
                <w:sz w:val="14"/>
                <w:szCs w:val="14"/>
                <w:color w:val="FFFFFF"/>
              </w:rPr>
              <w:t>Chief Information Officer</w:t>
            </w:r>
          </w:p>
        </w:tc>
        <w:tc>
          <w:tcPr>
            <w:tcW w:w="0" w:type="dxa"/>
            <w:vAlign w:val="bottom"/>
          </w:tcPr>
          <w:p>
            <w:pPr>
              <w:spacing w:after="0"/>
              <w:rPr>
                <w:sz w:val="1"/>
                <w:szCs w:val="1"/>
                <w:color w:val="auto"/>
              </w:rPr>
            </w:pPr>
          </w:p>
        </w:tc>
      </w:tr>
      <w:tr>
        <w:trPr>
          <w:trHeight w:val="180"/>
        </w:trPr>
        <w:tc>
          <w:tcPr>
            <w:tcW w:w="3360" w:type="dxa"/>
            <w:vAlign w:val="bottom"/>
            <w:vMerge w:val="continue"/>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Managing Partner</w:t>
            </w:r>
          </w:p>
        </w:tc>
        <w:tc>
          <w:tcPr>
            <w:tcW w:w="2780" w:type="dxa"/>
            <w:vAlign w:val="bottom"/>
          </w:tcPr>
          <w:p>
            <w:pPr>
              <w:ind w:left="540"/>
              <w:spacing w:after="0"/>
              <w:rPr>
                <w:sz w:val="20"/>
                <w:szCs w:val="20"/>
                <w:color w:val="auto"/>
              </w:rPr>
            </w:pPr>
            <w:r>
              <w:rPr>
                <w:rFonts w:ascii="Arial" w:cs="Arial" w:eastAsia="Arial" w:hAnsi="Arial"/>
                <w:sz w:val="14"/>
                <w:szCs w:val="14"/>
                <w:b w:val="1"/>
                <w:bCs w:val="1"/>
                <w:color w:val="FFFFFF"/>
              </w:rPr>
              <w:t>Lori M. Gustafson</w:t>
            </w:r>
            <w:r>
              <w:rPr>
                <w:rFonts w:ascii="Arial" w:cs="Arial" w:eastAsia="Arial" w:hAnsi="Arial"/>
                <w:sz w:val="14"/>
                <w:szCs w:val="14"/>
                <w:color w:val="FFFFFF"/>
              </w:rPr>
              <w:t>ێ</w:t>
            </w: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Galbreath &amp; Company</w:t>
            </w:r>
          </w:p>
        </w:tc>
        <w:tc>
          <w:tcPr>
            <w:tcW w:w="2780" w:type="dxa"/>
            <w:vAlign w:val="bottom"/>
          </w:tcPr>
          <w:p>
            <w:pPr>
              <w:ind w:left="540"/>
              <w:spacing w:after="0"/>
              <w:rPr>
                <w:sz w:val="20"/>
                <w:szCs w:val="20"/>
                <w:color w:val="auto"/>
              </w:rPr>
            </w:pPr>
            <w:r>
              <w:rPr>
                <w:rFonts w:ascii="Arial" w:cs="Arial" w:eastAsia="Arial" w:hAnsi="Arial"/>
                <w:sz w:val="14"/>
                <w:szCs w:val="14"/>
                <w:color w:val="FFFFFF"/>
              </w:rPr>
              <w:t>Executive Vice President and</w:t>
            </w:r>
          </w:p>
        </w:tc>
        <w:tc>
          <w:tcPr>
            <w:tcW w:w="0" w:type="dxa"/>
            <w:vAlign w:val="bottom"/>
          </w:tcPr>
          <w:p>
            <w:pPr>
              <w:spacing w:after="0"/>
              <w:rPr>
                <w:sz w:val="1"/>
                <w:szCs w:val="1"/>
                <w:color w:val="auto"/>
              </w:rPr>
            </w:pPr>
          </w:p>
        </w:tc>
      </w:tr>
      <w:tr>
        <w:trPr>
          <w:trHeight w:val="260"/>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FFFFFF"/>
              </w:rPr>
              <w:t>Mary E. Galligan</w:t>
            </w:r>
          </w:p>
        </w:tc>
        <w:tc>
          <w:tcPr>
            <w:tcW w:w="2780" w:type="dxa"/>
            <w:vAlign w:val="bottom"/>
          </w:tcPr>
          <w:p>
            <w:pPr>
              <w:ind w:left="540"/>
              <w:spacing w:after="0"/>
              <w:rPr>
                <w:sz w:val="20"/>
                <w:szCs w:val="20"/>
                <w:color w:val="auto"/>
              </w:rPr>
            </w:pPr>
            <w:r>
              <w:rPr>
                <w:rFonts w:ascii="Arial" w:cs="Arial" w:eastAsia="Arial" w:hAnsi="Arial"/>
                <w:sz w:val="14"/>
                <w:szCs w:val="14"/>
                <w:color w:val="FFFFFF"/>
              </w:rPr>
              <w:t>Chief Brand &amp; Digital Officer</w:t>
            </w:r>
          </w:p>
        </w:tc>
        <w:tc>
          <w:tcPr>
            <w:tcW w:w="0" w:type="dxa"/>
            <w:vAlign w:val="bottom"/>
          </w:tcPr>
          <w:p>
            <w:pPr>
              <w:spacing w:after="0"/>
              <w:rPr>
                <w:sz w:val="1"/>
                <w:szCs w:val="1"/>
                <w:color w:val="auto"/>
              </w:rPr>
            </w:pPr>
          </w:p>
        </w:tc>
      </w:tr>
      <w:tr>
        <w:trPr>
          <w:trHeight w:val="180"/>
        </w:trPr>
        <w:tc>
          <w:tcPr>
            <w:tcW w:w="3360" w:type="dxa"/>
            <w:vAlign w:val="bottom"/>
            <w:vMerge w:val="continue"/>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Former Managing Director</w:t>
            </w:r>
          </w:p>
        </w:tc>
        <w:tc>
          <w:tcPr>
            <w:tcW w:w="2780" w:type="dxa"/>
            <w:vAlign w:val="bottom"/>
          </w:tcPr>
          <w:p>
            <w:pPr>
              <w:ind w:left="540"/>
              <w:spacing w:after="0"/>
              <w:rPr>
                <w:sz w:val="20"/>
                <w:szCs w:val="20"/>
                <w:color w:val="auto"/>
              </w:rPr>
            </w:pPr>
            <w:r>
              <w:rPr>
                <w:rFonts w:ascii="Arial" w:cs="Arial" w:eastAsia="Arial" w:hAnsi="Arial"/>
                <w:sz w:val="14"/>
                <w:szCs w:val="14"/>
                <w:b w:val="1"/>
                <w:bCs w:val="1"/>
                <w:color w:val="FFFFFF"/>
              </w:rPr>
              <w:t>Denise N. Haeggberg</w:t>
            </w:r>
            <w:r>
              <w:rPr>
                <w:rFonts w:ascii="Arial" w:cs="Arial" w:eastAsia="Arial" w:hAnsi="Arial"/>
                <w:sz w:val="14"/>
                <w:szCs w:val="14"/>
                <w:color w:val="FFFFFF"/>
              </w:rPr>
              <w:t>ێ</w:t>
            </w: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Deloitte</w:t>
            </w:r>
          </w:p>
        </w:tc>
        <w:tc>
          <w:tcPr>
            <w:tcW w:w="2780" w:type="dxa"/>
            <w:vAlign w:val="bottom"/>
          </w:tcPr>
          <w:p>
            <w:pPr>
              <w:ind w:left="540"/>
              <w:spacing w:after="0"/>
              <w:rPr>
                <w:sz w:val="20"/>
                <w:szCs w:val="20"/>
                <w:color w:val="auto"/>
              </w:rPr>
            </w:pPr>
            <w:r>
              <w:rPr>
                <w:rFonts w:ascii="Arial" w:cs="Arial" w:eastAsia="Arial" w:hAnsi="Arial"/>
                <w:sz w:val="14"/>
                <w:szCs w:val="14"/>
                <w:color w:val="FFFFFF"/>
              </w:rPr>
              <w:t>Chief Human Resources Officer</w:t>
            </w:r>
          </w:p>
        </w:tc>
        <w:tc>
          <w:tcPr>
            <w:tcW w:w="0" w:type="dxa"/>
            <w:vAlign w:val="bottom"/>
          </w:tcPr>
          <w:p>
            <w:pPr>
              <w:spacing w:after="0"/>
              <w:rPr>
                <w:sz w:val="1"/>
                <w:szCs w:val="1"/>
                <w:color w:val="auto"/>
              </w:rPr>
            </w:pPr>
          </w:p>
        </w:tc>
      </w:tr>
      <w:tr>
        <w:trPr>
          <w:trHeight w:val="440"/>
        </w:trPr>
        <w:tc>
          <w:tcPr>
            <w:tcW w:w="3360" w:type="dxa"/>
            <w:vAlign w:val="bottom"/>
          </w:tcPr>
          <w:p>
            <w:pPr>
              <w:spacing w:after="0"/>
              <w:rPr>
                <w:sz w:val="20"/>
                <w:szCs w:val="20"/>
                <w:color w:val="auto"/>
              </w:rPr>
            </w:pPr>
            <w:r>
              <w:rPr>
                <w:rFonts w:ascii="Arial" w:cs="Arial" w:eastAsia="Arial" w:hAnsi="Arial"/>
                <w:sz w:val="14"/>
                <w:szCs w:val="14"/>
                <w:b w:val="1"/>
                <w:bCs w:val="1"/>
                <w:color w:val="FFFFFF"/>
              </w:rPr>
              <w:t>Jonice M. Gray</w:t>
            </w:r>
          </w:p>
        </w:tc>
        <w:tc>
          <w:tcPr>
            <w:tcW w:w="2780" w:type="dxa"/>
            <w:vAlign w:val="bottom"/>
          </w:tcPr>
          <w:p>
            <w:pPr>
              <w:ind w:left="540"/>
              <w:spacing w:after="0"/>
              <w:rPr>
                <w:sz w:val="20"/>
                <w:szCs w:val="20"/>
                <w:color w:val="auto"/>
              </w:rPr>
            </w:pPr>
            <w:r>
              <w:rPr>
                <w:rFonts w:ascii="Arial" w:cs="Arial" w:eastAsia="Arial" w:hAnsi="Arial"/>
                <w:sz w:val="14"/>
                <w:szCs w:val="14"/>
                <w:b w:val="1"/>
                <w:bCs w:val="1"/>
                <w:color w:val="FFFFFF"/>
              </w:rPr>
              <w:t>Andrew T. Marcus</w:t>
            </w:r>
            <w:r>
              <w:rPr>
                <w:rFonts w:ascii="Arial" w:cs="Arial" w:eastAsia="Arial" w:hAnsi="Arial"/>
                <w:sz w:val="14"/>
                <w:szCs w:val="14"/>
                <w:color w:val="FFFFFF"/>
              </w:rPr>
              <w:t>ێ</w:t>
            </w: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Partner</w:t>
            </w:r>
          </w:p>
        </w:tc>
        <w:tc>
          <w:tcPr>
            <w:tcW w:w="2780" w:type="dxa"/>
            <w:vAlign w:val="bottom"/>
          </w:tcPr>
          <w:p>
            <w:pPr>
              <w:ind w:left="540"/>
              <w:spacing w:after="0"/>
              <w:rPr>
                <w:sz w:val="20"/>
                <w:szCs w:val="20"/>
                <w:color w:val="auto"/>
              </w:rPr>
            </w:pPr>
            <w:r>
              <w:rPr>
                <w:rFonts w:ascii="Arial" w:cs="Arial" w:eastAsia="Arial" w:hAnsi="Arial"/>
                <w:sz w:val="14"/>
                <w:szCs w:val="14"/>
                <w:color w:val="FFFFFF"/>
              </w:rPr>
              <w:t>General Counsel</w:t>
            </w: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Paul Hastings LLP</w:t>
            </w:r>
          </w:p>
        </w:tc>
        <w:tc>
          <w:tcPr>
            <w:tcW w:w="2780" w:type="dxa"/>
            <w:vAlign w:val="bottom"/>
            <w:vMerge w:val="restart"/>
          </w:tcPr>
          <w:p>
            <w:pPr>
              <w:ind w:left="540"/>
              <w:spacing w:after="0"/>
              <w:rPr>
                <w:sz w:val="20"/>
                <w:szCs w:val="20"/>
                <w:color w:val="auto"/>
              </w:rPr>
            </w:pPr>
            <w:r>
              <w:rPr>
                <w:rFonts w:ascii="Arial" w:cs="Arial" w:eastAsia="Arial" w:hAnsi="Arial"/>
                <w:sz w:val="14"/>
                <w:szCs w:val="14"/>
                <w:b w:val="1"/>
                <w:bCs w:val="1"/>
                <w:color w:val="FFFFFF"/>
              </w:rPr>
              <w:t>Tony M. Walker</w:t>
            </w:r>
            <w:r>
              <w:rPr>
                <w:rFonts w:ascii="Arial" w:cs="Arial" w:eastAsia="Arial" w:hAnsi="Arial"/>
                <w:sz w:val="14"/>
                <w:szCs w:val="14"/>
                <w:color w:val="FFFFFF"/>
              </w:rPr>
              <w:t>ێ</w:t>
            </w:r>
          </w:p>
        </w:tc>
        <w:tc>
          <w:tcPr>
            <w:tcW w:w="0" w:type="dxa"/>
            <w:vAlign w:val="bottom"/>
          </w:tcPr>
          <w:p>
            <w:pPr>
              <w:spacing w:after="0"/>
              <w:rPr>
                <w:sz w:val="1"/>
                <w:szCs w:val="1"/>
                <w:color w:val="auto"/>
              </w:rPr>
            </w:pPr>
          </w:p>
        </w:tc>
      </w:tr>
      <w:tr>
        <w:trPr>
          <w:trHeight w:val="180"/>
        </w:trPr>
        <w:tc>
          <w:tcPr>
            <w:tcW w:w="3360" w:type="dxa"/>
            <w:vAlign w:val="bottom"/>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b w:val="1"/>
                <w:bCs w:val="1"/>
                <w:color w:val="FFFFFF"/>
              </w:rPr>
              <w:t>William W. McCarten</w:t>
            </w:r>
          </w:p>
        </w:tc>
        <w:tc>
          <w:tcPr>
            <w:tcW w:w="2780" w:type="dxa"/>
            <w:vAlign w:val="bottom"/>
          </w:tcPr>
          <w:p>
            <w:pPr>
              <w:ind w:left="540"/>
              <w:spacing w:after="0"/>
              <w:rPr>
                <w:sz w:val="20"/>
                <w:szCs w:val="20"/>
                <w:color w:val="auto"/>
              </w:rPr>
            </w:pPr>
            <w:r>
              <w:rPr>
                <w:rFonts w:ascii="Arial" w:cs="Arial" w:eastAsia="Arial" w:hAnsi="Arial"/>
                <w:sz w:val="14"/>
                <w:szCs w:val="14"/>
                <w:color w:val="FFFFFF"/>
              </w:rPr>
              <w:t>Executive Vice President</w:t>
            </w: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Chairman of the Board</w:t>
            </w:r>
          </w:p>
        </w:tc>
        <w:tc>
          <w:tcPr>
            <w:tcW w:w="2780" w:type="dxa"/>
            <w:vAlign w:val="bottom"/>
          </w:tcPr>
          <w:p>
            <w:pPr>
              <w:ind w:left="540"/>
              <w:spacing w:after="0"/>
              <w:rPr>
                <w:sz w:val="20"/>
                <w:szCs w:val="20"/>
                <w:color w:val="auto"/>
              </w:rPr>
            </w:pPr>
            <w:r>
              <w:rPr>
                <w:rFonts w:ascii="Arial" w:cs="Arial" w:eastAsia="Arial" w:hAnsi="Arial"/>
                <w:sz w:val="14"/>
                <w:szCs w:val="14"/>
                <w:color w:val="FFFFFF"/>
              </w:rPr>
              <w:t>and Chief Sales &amp;</w:t>
            </w: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DiamondRock Hospitality Company</w:t>
            </w:r>
          </w:p>
        </w:tc>
        <w:tc>
          <w:tcPr>
            <w:tcW w:w="2780" w:type="dxa"/>
            <w:vAlign w:val="bottom"/>
          </w:tcPr>
          <w:p>
            <w:pPr>
              <w:ind w:left="540"/>
              <w:spacing w:after="0"/>
              <w:rPr>
                <w:sz w:val="20"/>
                <w:szCs w:val="20"/>
                <w:color w:val="auto"/>
              </w:rPr>
            </w:pPr>
            <w:r>
              <w:rPr>
                <w:rFonts w:ascii="Arial" w:cs="Arial" w:eastAsia="Arial" w:hAnsi="Arial"/>
                <w:sz w:val="14"/>
                <w:szCs w:val="14"/>
                <w:color w:val="FFFFFF"/>
              </w:rPr>
              <w:t>Marketing Officer</w:t>
            </w:r>
          </w:p>
        </w:tc>
        <w:tc>
          <w:tcPr>
            <w:tcW w:w="0" w:type="dxa"/>
            <w:vAlign w:val="bottom"/>
          </w:tcPr>
          <w:p>
            <w:pPr>
              <w:spacing w:after="0"/>
              <w:rPr>
                <w:sz w:val="1"/>
                <w:szCs w:val="1"/>
                <w:color w:val="auto"/>
              </w:rPr>
            </w:pPr>
          </w:p>
        </w:tc>
      </w:tr>
      <w:tr>
        <w:trPr>
          <w:trHeight w:val="440"/>
        </w:trPr>
        <w:tc>
          <w:tcPr>
            <w:tcW w:w="3360" w:type="dxa"/>
            <w:vAlign w:val="bottom"/>
          </w:tcPr>
          <w:p>
            <w:pPr>
              <w:spacing w:after="0"/>
              <w:rPr>
                <w:sz w:val="20"/>
                <w:szCs w:val="20"/>
                <w:color w:val="auto"/>
              </w:rPr>
            </w:pPr>
            <w:r>
              <w:rPr>
                <w:rFonts w:ascii="Arial" w:cs="Arial" w:eastAsia="Arial" w:hAnsi="Arial"/>
                <w:sz w:val="14"/>
                <w:szCs w:val="14"/>
                <w:b w:val="1"/>
                <w:bCs w:val="1"/>
                <w:color w:val="FFFFFF"/>
              </w:rPr>
              <w:t>Dianna F. Morgan</w:t>
            </w:r>
          </w:p>
        </w:tc>
        <w:tc>
          <w:tcPr>
            <w:tcW w:w="2780" w:type="dxa"/>
            <w:vAlign w:val="bottom"/>
          </w:tcPr>
          <w:p>
            <w:pPr>
              <w:ind w:left="540"/>
              <w:spacing w:after="0"/>
              <w:rPr>
                <w:sz w:val="20"/>
                <w:szCs w:val="20"/>
                <w:color w:val="auto"/>
              </w:rPr>
            </w:pPr>
            <w:r>
              <w:rPr>
                <w:rFonts w:ascii="Arial" w:cs="Arial" w:eastAsia="Arial" w:hAnsi="Arial"/>
                <w:sz w:val="14"/>
                <w:szCs w:val="14"/>
                <w:b w:val="1"/>
                <w:bCs w:val="1"/>
                <w:color w:val="FFFFFF"/>
              </w:rPr>
              <w:t>Scott S. Weisz</w:t>
            </w: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Former Senior Vice President</w:t>
            </w:r>
          </w:p>
        </w:tc>
        <w:tc>
          <w:tcPr>
            <w:tcW w:w="2780" w:type="dxa"/>
            <w:vAlign w:val="bottom"/>
          </w:tcPr>
          <w:p>
            <w:pPr>
              <w:ind w:left="540"/>
              <w:spacing w:after="0"/>
              <w:rPr>
                <w:sz w:val="20"/>
                <w:szCs w:val="20"/>
                <w:color w:val="auto"/>
              </w:rPr>
            </w:pPr>
            <w:r>
              <w:rPr>
                <w:rFonts w:ascii="Arial" w:cs="Arial" w:eastAsia="Arial" w:hAnsi="Arial"/>
                <w:sz w:val="14"/>
                <w:szCs w:val="14"/>
                <w:color w:val="FFFFFF"/>
              </w:rPr>
              <w:t>Executive Vice President</w:t>
            </w: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Walt Disney World Company</w:t>
            </w:r>
          </w:p>
        </w:tc>
        <w:tc>
          <w:tcPr>
            <w:tcW w:w="2780" w:type="dxa"/>
            <w:vAlign w:val="bottom"/>
          </w:tcPr>
          <w:p>
            <w:pPr>
              <w:ind w:left="540"/>
              <w:spacing w:after="0"/>
              <w:rPr>
                <w:sz w:val="20"/>
                <w:szCs w:val="20"/>
                <w:color w:val="auto"/>
              </w:rPr>
            </w:pPr>
            <w:r>
              <w:rPr>
                <w:rFonts w:ascii="Arial" w:cs="Arial" w:eastAsia="Arial" w:hAnsi="Arial"/>
                <w:sz w:val="14"/>
                <w:szCs w:val="14"/>
                <w:color w:val="FFFFFF"/>
              </w:rPr>
              <w:t>Strategic Business Operations</w:t>
            </w:r>
          </w:p>
        </w:tc>
        <w:tc>
          <w:tcPr>
            <w:tcW w:w="0" w:type="dxa"/>
            <w:vAlign w:val="bottom"/>
          </w:tcPr>
          <w:p>
            <w:pPr>
              <w:spacing w:after="0"/>
              <w:rPr>
                <w:sz w:val="1"/>
                <w:szCs w:val="1"/>
                <w:color w:val="auto"/>
              </w:rPr>
            </w:pPr>
          </w:p>
        </w:tc>
      </w:tr>
      <w:tr>
        <w:trPr>
          <w:trHeight w:val="440"/>
        </w:trPr>
        <w:tc>
          <w:tcPr>
            <w:tcW w:w="3360" w:type="dxa"/>
            <w:vAlign w:val="bottom"/>
          </w:tcPr>
          <w:p>
            <w:pPr>
              <w:spacing w:after="0"/>
              <w:rPr>
                <w:sz w:val="20"/>
                <w:szCs w:val="20"/>
                <w:color w:val="auto"/>
              </w:rPr>
            </w:pPr>
            <w:r>
              <w:rPr>
                <w:rFonts w:ascii="Arial" w:cs="Arial" w:eastAsia="Arial" w:hAnsi="Arial"/>
                <w:sz w:val="14"/>
                <w:szCs w:val="14"/>
                <w:b w:val="1"/>
                <w:bCs w:val="1"/>
                <w:color w:val="FFFFFF"/>
              </w:rPr>
              <w:t>Stephen R. Quazzo</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Co-Founder and Chief Executive Officer</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14"/>
                <w:szCs w:val="14"/>
                <w:color w:val="FFFFFF"/>
              </w:rPr>
              <w:t>Pearlmark Real Estate, LLC</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8"/>
          <w:szCs w:val="28"/>
          <w:color w:val="FFFFFF"/>
        </w:rPr>
        <w:t>INVESTOR</w:t>
      </w:r>
    </w:p>
    <w:p>
      <w:pPr>
        <w:spacing w:after="0" w:line="43" w:lineRule="exact"/>
        <w:rPr>
          <w:sz w:val="20"/>
          <w:szCs w:val="20"/>
          <w:color w:val="auto"/>
        </w:rPr>
      </w:pPr>
    </w:p>
    <w:p>
      <w:pPr>
        <w:spacing w:after="0"/>
        <w:rPr>
          <w:sz w:val="20"/>
          <w:szCs w:val="20"/>
          <w:color w:val="auto"/>
        </w:rPr>
      </w:pPr>
      <w:r>
        <w:rPr>
          <w:rFonts w:ascii="Arial" w:cs="Arial" w:eastAsia="Arial" w:hAnsi="Arial"/>
          <w:sz w:val="28"/>
          <w:szCs w:val="28"/>
          <w:color w:val="FFFFFF"/>
        </w:rPr>
        <w:t>RELATIONS</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Neal Goldner</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FFFFFF"/>
        </w:rPr>
        <w:t>Vice President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FFFFFF"/>
        </w:rPr>
        <w:t>Investor Relations</w:t>
      </w:r>
    </w:p>
    <w:p>
      <w:pPr>
        <w:spacing w:after="0" w:line="200" w:lineRule="exact"/>
        <w:rPr>
          <w:sz w:val="20"/>
          <w:szCs w:val="20"/>
          <w:color w:val="auto"/>
        </w:rPr>
      </w:pPr>
    </w:p>
    <w:p>
      <w:pPr>
        <w:spacing w:after="0" w:line="308" w:lineRule="exact"/>
        <w:rPr>
          <w:sz w:val="20"/>
          <w:szCs w:val="20"/>
          <w:color w:val="auto"/>
        </w:rPr>
      </w:pPr>
    </w:p>
    <w:p>
      <w:pPr>
        <w:spacing w:after="0" w:line="282" w:lineRule="auto"/>
        <w:rPr>
          <w:sz w:val="20"/>
          <w:szCs w:val="20"/>
          <w:color w:val="auto"/>
        </w:rPr>
      </w:pPr>
      <w:r>
        <w:rPr>
          <w:rFonts w:ascii="Arial" w:cs="Arial" w:eastAsia="Arial" w:hAnsi="Arial"/>
          <w:sz w:val="28"/>
          <w:szCs w:val="28"/>
          <w:color w:val="FFFFFF"/>
        </w:rPr>
        <w:t>CORPORATE PUBLIC RELATIONS</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Cameron Klaus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FFFFFF"/>
        </w:rPr>
        <w:t>Vice President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FFFFFF"/>
        </w:rPr>
        <w:t>Global Communications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8"/>
          <w:szCs w:val="28"/>
          <w:color w:val="FFFFFF"/>
        </w:rPr>
        <w:t>TRANSFER AGENT</w:t>
      </w: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Computershare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FFFFFF"/>
        </w:rPr>
        <w:t>P.O. Box 43078</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FFFFFF"/>
        </w:rPr>
        <w:t>Providence, Rhode Island 02940-3078</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FFFFFF"/>
        </w:rPr>
        <w:t>866-429-5244 (toll-free)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FFFFFF"/>
        </w:rPr>
        <w:t>201-680-6578</w:t>
      </w:r>
    </w:p>
    <w:p>
      <w:pPr>
        <w:spacing w:after="0" w:line="200" w:lineRule="exact"/>
        <w:rPr>
          <w:sz w:val="20"/>
          <w:szCs w:val="20"/>
          <w:color w:val="auto"/>
        </w:rPr>
      </w:pPr>
    </w:p>
    <w:p>
      <w:pPr>
        <w:spacing w:after="0" w:line="308" w:lineRule="exact"/>
        <w:rPr>
          <w:sz w:val="20"/>
          <w:szCs w:val="20"/>
          <w:color w:val="auto"/>
        </w:rPr>
      </w:pPr>
    </w:p>
    <w:p>
      <w:pPr>
        <w:ind w:right="700"/>
        <w:spacing w:after="0" w:line="282" w:lineRule="auto"/>
        <w:rPr>
          <w:sz w:val="20"/>
          <w:szCs w:val="20"/>
          <w:color w:val="auto"/>
        </w:rPr>
      </w:pPr>
      <w:r>
        <w:rPr>
          <w:rFonts w:ascii="Arial" w:cs="Arial" w:eastAsia="Arial" w:hAnsi="Arial"/>
          <w:sz w:val="28"/>
          <w:szCs w:val="28"/>
          <w:color w:val="FFFFFF"/>
        </w:rPr>
        <w:t>CORPORATE INFORMATION</w:t>
      </w:r>
    </w:p>
    <w:p>
      <w:pPr>
        <w:spacing w:after="0" w:line="222" w:lineRule="exact"/>
        <w:rPr>
          <w:sz w:val="20"/>
          <w:szCs w:val="20"/>
          <w:color w:val="auto"/>
        </w:rPr>
      </w:pPr>
    </w:p>
    <w:p>
      <w:pPr>
        <w:ind w:right="480"/>
        <w:spacing w:after="0" w:line="397" w:lineRule="auto"/>
        <w:rPr>
          <w:sz w:val="20"/>
          <w:szCs w:val="20"/>
          <w:color w:val="auto"/>
        </w:rPr>
      </w:pPr>
      <w:r>
        <w:rPr>
          <w:rFonts w:ascii="Arial" w:cs="Arial" w:eastAsia="Arial" w:hAnsi="Arial"/>
          <w:sz w:val="14"/>
          <w:szCs w:val="14"/>
          <w:b w:val="1"/>
          <w:bCs w:val="1"/>
          <w:color w:val="FFFFFF"/>
        </w:rPr>
        <w:t xml:space="preserve">Marriott Vacations Worldwide </w:t>
      </w:r>
      <w:r>
        <w:rPr>
          <w:rFonts w:ascii="Arial" w:cs="Arial" w:eastAsia="Arial" w:hAnsi="Arial"/>
          <w:sz w:val="14"/>
          <w:szCs w:val="14"/>
          <w:color w:val="FFFFFF"/>
        </w:rPr>
        <w:t>7812 Palm Parkway Orlando, Florida 32836 marriottvacationsworldwide.com 407-206-6000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0" w:right="600" w:hanging="99"/>
        <w:spacing w:after="0" w:line="199" w:lineRule="exact"/>
        <w:tabs>
          <w:tab w:leader="none" w:pos="100" w:val="left"/>
        </w:tabs>
        <w:numPr>
          <w:ilvl w:val="0"/>
          <w:numId w:val="64"/>
        </w:numPr>
        <w:rPr>
          <w:rFonts w:ascii="Arial" w:cs="Arial" w:eastAsia="Arial" w:hAnsi="Arial"/>
          <w:sz w:val="11"/>
          <w:szCs w:val="11"/>
          <w:color w:val="FFFFFF"/>
        </w:rPr>
      </w:pPr>
      <w:r>
        <w:rPr>
          <w:rFonts w:ascii="Arial" w:cs="Arial" w:eastAsia="Arial" w:hAnsi="Arial"/>
          <w:sz w:val="11"/>
          <w:szCs w:val="11"/>
          <w:color w:val="FFFFFF"/>
        </w:rPr>
        <w:t xml:space="preserve">-ɫƲƤɍɅǛɥƲ ȉǌ˚ƤƲȯ Ƈȷ ƫƲ˚ǾƲƫ ɍǾƫƲȯ ɅǕƲ ¯ƲƤɍȯǛɅǛƲȷ -ɫƤǕƇǾǍƲ </w:t>
      </w:r>
      <w:r>
        <w:rPr>
          <w:rFonts w:ascii="PMingLiU" w:cs="PMingLiU" w:eastAsia="PMingLiU" w:hAnsi="PMingLiU"/>
          <w:sz w:val="11"/>
          <w:szCs w:val="11"/>
          <w:color w:val="FFFFFF"/>
        </w:rPr>
        <w:t/>
      </w:r>
      <w:r>
        <w:rPr>
          <w:rFonts w:ascii="Arial" w:cs="Arial" w:eastAsia="Arial" w:hAnsi="Arial"/>
          <w:sz w:val="11"/>
          <w:szCs w:val="11"/>
          <w:color w:val="FFFFFF"/>
        </w:rPr>
        <w:t>ƤɅ ȉǌ ׇֿׁׂؘ</w:t>
      </w:r>
    </w:p>
    <w:p>
      <w:pPr>
        <w:sectPr>
          <w:pgSz w:w="11880" w:h="15480" w:orient="portrait"/>
          <w:cols w:equalWidth="0" w:num="2">
            <w:col w:w="6400" w:space="720"/>
            <w:col w:w="2840"/>
          </w:cols>
          <w:pgMar w:left="1140" w:top="1440" w:right="780" w:bottom="774"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color w:val="FFFFFF"/>
        </w:rPr>
        <w:t>׀ׄع־׃ع׃ֿ׃ׅׄ־־</w:t>
      </w:r>
    </w:p>
    <w:sectPr>
      <w:pgSz w:w="11880" w:h="15480" w:orient="portrait"/>
      <w:cols w:equalWidth="0" w:num="1">
        <w:col w:w="9000"/>
      </w:cols>
      <w:pgMar w:left="1440" w:top="1440" w:right="1440" w:bottom="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Ǽ"/>
      <w:numFmt w:val="bullet"/>
      <w:start w:val="1"/>
    </w:lvl>
  </w:abstractNum>
  <w:abstractNum w:abstractNumId="1">
    <w:nsid w:val="4516DDE9"/>
    <w:multiLevelType w:val="hybridMultilevel"/>
    <w:lvl w:ilvl="0">
      <w:lvlJc w:val="left"/>
      <w:lvlText w:val=" "/>
      <w:numFmt w:val="bullet"/>
      <w:start w:val="1"/>
    </w:lvl>
  </w:abstractNum>
  <w:abstractNum w:abstractNumId="2">
    <w:nsid w:val="3006C83E"/>
    <w:multiLevelType w:val="hybridMultilevel"/>
    <w:lvl w:ilvl="0">
      <w:lvlJc w:val="left"/>
      <w:lvlText w:val=" "/>
      <w:numFmt w:val="bullet"/>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lvl w:ilvl="1">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decimal"/>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lvl w:ilvl="1">
      <w:lvlJc w:val="left"/>
      <w:lvlText w:val="•"/>
      <w:numFmt w:val="bullet"/>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decimal"/>
      <w:start w:val="4"/>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3"/>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567"/>
    </w:lvl>
  </w:abstractNum>
  <w:abstractNum w:abstractNumId="51">
    <w:nsid w:val="235BA861"/>
    <w:multiLevelType w:val="hybridMultilevel"/>
    <w:lvl w:ilvl="0">
      <w:lvlJc w:val="left"/>
      <w:lvlText w:val="(%1)"/>
      <w:numFmt w:val="decimal"/>
      <w:start w:val="155"/>
    </w:lvl>
  </w:abstractNum>
  <w:abstractNum w:abstractNumId="52">
    <w:nsid w:val="47398C89"/>
    <w:multiLevelType w:val="hybridMultilevel"/>
    <w:lvl w:ilvl="0">
      <w:lvlJc w:val="left"/>
      <w:lvlText w:val="(%1)"/>
      <w:numFmt w:val="decimal"/>
      <w:start w:val="64"/>
    </w:lvl>
  </w:abstractNum>
  <w:abstractNum w:abstractNumId="53">
    <w:nsid w:val="354FE9F9"/>
    <w:multiLevelType w:val="hybridMultilevel"/>
    <w:lvl w:ilvl="0">
      <w:lvlJc w:val="left"/>
      <w:lvlText w:val="(%1)"/>
      <w:numFmt w:val="decimal"/>
      <w:start w:val="95"/>
    </w:lvl>
  </w:abstractNum>
  <w:abstractNum w:abstractNumId="54">
    <w:nsid w:val="15B5AF5C"/>
    <w:multiLevelType w:val="hybridMultilevel"/>
    <w:lvl w:ilvl="0">
      <w:lvlJc w:val="left"/>
      <w:lvlText w:val="(%1)"/>
      <w:numFmt w:val="decimal"/>
      <w:start w:val="103"/>
    </w:lvl>
  </w:abstractNum>
  <w:abstractNum w:abstractNumId="55">
    <w:nsid w:val="741226BB"/>
    <w:multiLevelType w:val="hybridMultilevel"/>
    <w:lvl w:ilvl="0">
      <w:lvlJc w:val="left"/>
      <w:lvlText w:val="(%1)"/>
      <w:numFmt w:val="decimal"/>
      <w:start w:val="984"/>
    </w:lvl>
  </w:abstractNum>
  <w:abstractNum w:abstractNumId="56">
    <w:nsid w:val="D34B6A8"/>
    <w:multiLevelType w:val="hybridMultilevel"/>
    <w:lvl w:ilvl="0">
      <w:lvlJc w:val="left"/>
      <w:lvlText w:val="(%1)"/>
      <w:numFmt w:val="decimal"/>
      <w:start w:val="42"/>
    </w:lvl>
  </w:abstractNum>
  <w:abstractNum w:abstractNumId="57">
    <w:nsid w:val="10233C99"/>
    <w:multiLevelType w:val="hybridMultilevel"/>
    <w:lvl w:ilvl="0">
      <w:lvlJc w:val="left"/>
      <w:lvlText w:val="(%1)"/>
      <w:numFmt w:val="decimal"/>
      <w:start w:val="557"/>
    </w:lvl>
  </w:abstractNum>
  <w:abstractNum w:abstractNumId="58">
    <w:nsid w:val="3F6AB60F"/>
    <w:multiLevelType w:val="hybridMultilevel"/>
    <w:lvl w:ilvl="0">
      <w:lvlJc w:val="left"/>
      <w:lvlText w:val="(%1)"/>
      <w:numFmt w:val="decimal"/>
      <w:start w:val="626"/>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101"/>
    </w:lvl>
  </w:abstractNum>
  <w:abstractNum w:abstractNumId="61">
    <w:nsid w:val="77AE35EB"/>
    <w:multiLevelType w:val="hybridMultilevel"/>
    <w:lvl w:ilvl="0">
      <w:lvlJc w:val="left"/>
      <w:lvlText w:val="*"/>
      <w:numFmt w:val="bullet"/>
      <w:start w:val="1"/>
    </w:lvl>
    <w:lvl w:ilvl="1">
      <w:lvlJc w:val="left"/>
      <w:lvlText w:val="%2"/>
      <w:numFmt w:val="decimal"/>
      <w:start w:val="104"/>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ێ"/>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2026-03-26T08:08:06Z</dcterms:created>
  <dcterms:modified xsi:type="dcterms:W3CDTF">2026-03-26T08:08:06Z</dcterms:modified>
</cp:coreProperties>
</file>