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0"/>
        <w:spacing w:after="0"/>
        <w:rPr>
          <w:sz w:val="20"/>
          <w:szCs w:val="20"/>
          <w:color w:val="auto"/>
        </w:rPr>
      </w:pPr>
      <w:r>
        <w:rPr>
          <w:rFonts w:ascii="Arial" w:cs="Arial" w:eastAsia="Arial" w:hAnsi="Arial"/>
          <w:sz w:val="30"/>
          <w:szCs w:val="30"/>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226060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6" w:lineRule="exact"/>
        <w:rPr>
          <w:sz w:val="24"/>
          <w:szCs w:val="24"/>
          <w:color w:val="auto"/>
        </w:rPr>
      </w:pPr>
    </w:p>
    <w:p>
      <w:pPr>
        <w:jc w:val="center"/>
        <w:ind w:right="-1000"/>
        <w:spacing w:after="0"/>
        <w:rPr>
          <w:sz w:val="20"/>
          <w:szCs w:val="20"/>
          <w:color w:val="auto"/>
        </w:rPr>
      </w:pPr>
      <w:r>
        <w:rPr>
          <w:rFonts w:ascii="Arial" w:cs="Arial" w:eastAsia="Arial" w:hAnsi="Arial"/>
          <w:sz w:val="29"/>
          <w:szCs w:val="29"/>
          <w:b w:val="1"/>
          <w:bCs w:val="1"/>
          <w:color w:val="auto"/>
        </w:rPr>
        <w:t>SECURITIES AND EXCHANGE COMMISSION</w:t>
      </w:r>
    </w:p>
    <w:p>
      <w:pPr>
        <w:spacing w:after="0" w:line="21" w:lineRule="exact"/>
        <w:rPr>
          <w:sz w:val="24"/>
          <w:szCs w:val="24"/>
          <w:color w:val="auto"/>
        </w:rPr>
      </w:pPr>
    </w:p>
    <w:p>
      <w:pPr>
        <w:jc w:val="center"/>
        <w:ind w:right="-1000"/>
        <w:spacing w:after="0"/>
        <w:rPr>
          <w:sz w:val="20"/>
          <w:szCs w:val="20"/>
          <w:color w:val="auto"/>
        </w:rPr>
      </w:pPr>
      <w:r>
        <w:rPr>
          <w:rFonts w:ascii="Arial" w:cs="Arial" w:eastAsia="Arial" w:hAnsi="Arial"/>
          <w:sz w:val="19"/>
          <w:szCs w:val="19"/>
          <w:b w:val="1"/>
          <w:bCs w:val="1"/>
          <w:color w:val="auto"/>
        </w:rPr>
        <w:t>Washington, D.C. 20549</w:t>
      </w:r>
    </w:p>
    <w:p>
      <w:pPr>
        <w:spacing w:after="0" w:line="72" w:lineRule="exact"/>
        <w:rPr>
          <w:sz w:val="24"/>
          <w:szCs w:val="24"/>
          <w:color w:val="auto"/>
        </w:rPr>
      </w:pPr>
    </w:p>
    <w:p>
      <w:pPr>
        <w:ind w:left="3300"/>
        <w:spacing w:after="0"/>
        <w:rPr>
          <w:sz w:val="20"/>
          <w:szCs w:val="20"/>
          <w:color w:val="auto"/>
        </w:rPr>
      </w:pPr>
      <w:r>
        <w:rPr>
          <w:rFonts w:ascii="Arial" w:cs="Arial" w:eastAsia="Arial" w:hAnsi="Arial"/>
          <w:sz w:val="30"/>
          <w:szCs w:val="30"/>
          <w:b w:val="1"/>
          <w:bCs w:val="1"/>
          <w:color w:val="auto"/>
        </w:rPr>
        <w:t>SCHEDULE 14A INFORMATION</w:t>
      </w:r>
    </w:p>
    <w:p>
      <w:pPr>
        <w:spacing w:after="0" w:line="37" w:lineRule="exact"/>
        <w:rPr>
          <w:sz w:val="24"/>
          <w:szCs w:val="24"/>
          <w:color w:val="auto"/>
        </w:rPr>
      </w:pPr>
    </w:p>
    <w:p>
      <w:pPr>
        <w:jc w:val="center"/>
        <w:ind w:right="-1000"/>
        <w:spacing w:after="0"/>
        <w:rPr>
          <w:sz w:val="20"/>
          <w:szCs w:val="20"/>
          <w:color w:val="auto"/>
        </w:rPr>
      </w:pPr>
      <w:r>
        <w:rPr>
          <w:rFonts w:ascii="Arial" w:cs="Arial" w:eastAsia="Arial" w:hAnsi="Arial"/>
          <w:sz w:val="19"/>
          <w:szCs w:val="19"/>
          <w:b w:val="1"/>
          <w:bCs w:val="1"/>
          <w:color w:val="auto"/>
        </w:rPr>
        <w:t>Proxy Statement Pursuant to Section 14(a) of the</w:t>
      </w:r>
    </w:p>
    <w:p>
      <w:pPr>
        <w:jc w:val="center"/>
        <w:ind w:right="-1000"/>
        <w:spacing w:after="0"/>
        <w:rPr>
          <w:sz w:val="20"/>
          <w:szCs w:val="20"/>
          <w:color w:val="auto"/>
        </w:rPr>
      </w:pPr>
      <w:r>
        <w:rPr>
          <w:rFonts w:ascii="Arial" w:cs="Arial" w:eastAsia="Arial" w:hAnsi="Arial"/>
          <w:sz w:val="19"/>
          <w:szCs w:val="19"/>
          <w:b w:val="1"/>
          <w:bCs w:val="1"/>
          <w:color w:val="auto"/>
        </w:rPr>
        <w:t>Securities Exchange Act of 1934 (Amendment No.   )</w:t>
      </w:r>
    </w:p>
    <w:p>
      <w:pPr>
        <w:spacing w:after="0" w:line="62"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Filed by the Registrant  </w:t>
      </w:r>
      <w:r>
        <w:rPr>
          <w:rFonts w:ascii="MS PGothic" w:cs="MS PGothic" w:eastAsia="MS PGothic" w:hAnsi="MS PGothic"/>
          <w:sz w:val="15"/>
          <w:szCs w:val="15"/>
          <w:color w:val="auto"/>
        </w:rPr>
        <w:t>☒</w:t>
      </w:r>
      <w:r>
        <w:rPr>
          <w:rFonts w:ascii="Arial" w:cs="Arial" w:eastAsia="Arial" w:hAnsi="Arial"/>
          <w:sz w:val="15"/>
          <w:szCs w:val="15"/>
          <w:color w:val="auto"/>
        </w:rPr>
        <w:t xml:space="preserve">                      Filed by a party other than the Registrant  </w:t>
      </w:r>
      <w:r>
        <w:rPr>
          <w:rFonts w:ascii="MS PGothic" w:cs="MS PGothic" w:eastAsia="MS PGothic" w:hAnsi="MS PGothic"/>
          <w:sz w:val="15"/>
          <w:szCs w:val="15"/>
          <w:color w:val="auto"/>
        </w:rPr>
        <w:t>☐</w:t>
      </w:r>
    </w:p>
    <w:p>
      <w:pPr>
        <w:spacing w:after="0" w:line="147"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w:t>
      </w:r>
    </w:p>
    <w:p>
      <w:pPr>
        <w:spacing w:after="0" w:line="133" w:lineRule="exact"/>
        <w:rPr>
          <w:sz w:val="24"/>
          <w:szCs w:val="24"/>
          <w:color w:val="auto"/>
        </w:rPr>
      </w:pPr>
    </w:p>
    <w:p>
      <w:pPr>
        <w:ind w:left="620" w:hanging="552"/>
        <w:spacing w:after="0"/>
        <w:tabs>
          <w:tab w:leader="none" w:pos="62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Preliminary Proxy Statement</w:t>
      </w:r>
    </w:p>
    <w:p>
      <w:pPr>
        <w:spacing w:after="0" w:line="82" w:lineRule="exact"/>
        <w:rPr>
          <w:rFonts w:ascii="MS PGothic" w:cs="MS PGothic" w:eastAsia="MS PGothic" w:hAnsi="MS PGothic"/>
          <w:sz w:val="14"/>
          <w:szCs w:val="14"/>
          <w:color w:val="auto"/>
        </w:rPr>
      </w:pPr>
    </w:p>
    <w:p>
      <w:pPr>
        <w:ind w:left="620" w:hanging="552"/>
        <w:spacing w:after="0"/>
        <w:tabs>
          <w:tab w:leader="none" w:pos="62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Confidential, for Use of the Commission Only (as permitted by Rule 14a-6(e)(2))</w:t>
      </w:r>
    </w:p>
    <w:p>
      <w:pPr>
        <w:spacing w:after="0" w:line="82" w:lineRule="exact"/>
        <w:rPr>
          <w:rFonts w:ascii="MS PGothic" w:cs="MS PGothic" w:eastAsia="MS PGothic" w:hAnsi="MS PGothic"/>
          <w:sz w:val="14"/>
          <w:szCs w:val="14"/>
          <w:color w:val="auto"/>
        </w:rPr>
      </w:pPr>
    </w:p>
    <w:p>
      <w:pPr>
        <w:ind w:left="620" w:hanging="552"/>
        <w:spacing w:after="0"/>
        <w:tabs>
          <w:tab w:leader="none" w:pos="62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Definitive Proxy Statement</w:t>
      </w:r>
    </w:p>
    <w:p>
      <w:pPr>
        <w:spacing w:after="0" w:line="82" w:lineRule="exact"/>
        <w:rPr>
          <w:sz w:val="24"/>
          <w:szCs w:val="24"/>
          <w:color w:val="auto"/>
        </w:rPr>
      </w:pPr>
    </w:p>
    <w:p>
      <w:pPr>
        <w:ind w:left="620" w:hanging="552"/>
        <w:spacing w:after="0"/>
        <w:tabs>
          <w:tab w:leader="none" w:pos="620"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Definitive Additional Materials</w:t>
      </w:r>
    </w:p>
    <w:p>
      <w:pPr>
        <w:spacing w:after="0" w:line="82" w:lineRule="exact"/>
        <w:rPr>
          <w:sz w:val="24"/>
          <w:szCs w:val="24"/>
          <w:color w:val="auto"/>
        </w:rPr>
      </w:pPr>
    </w:p>
    <w:p>
      <w:pPr>
        <w:ind w:left="620" w:hanging="552"/>
        <w:spacing w:after="0"/>
        <w:tabs>
          <w:tab w:leader="none" w:pos="62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Soliciting Material under §240.14a-12</w:t>
      </w:r>
    </w:p>
    <w:p>
      <w:pPr>
        <w:spacing w:after="0" w:line="200" w:lineRule="exact"/>
        <w:rPr>
          <w:sz w:val="24"/>
          <w:szCs w:val="24"/>
          <w:color w:val="auto"/>
        </w:rPr>
      </w:pPr>
    </w:p>
    <w:p>
      <w:pPr>
        <w:spacing w:after="0" w:line="223"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16" w:lineRule="exact"/>
        <w:rPr>
          <w:sz w:val="24"/>
          <w:szCs w:val="24"/>
          <w:color w:val="auto"/>
        </w:rPr>
      </w:pPr>
    </w:p>
    <w:p>
      <w:pPr>
        <w:ind w:left="3740"/>
        <w:spacing w:after="0"/>
        <w:rPr>
          <w:sz w:val="20"/>
          <w:szCs w:val="20"/>
          <w:color w:val="auto"/>
        </w:rPr>
      </w:pPr>
      <w:r>
        <w:rPr>
          <w:rFonts w:ascii="Arial" w:cs="Arial" w:eastAsia="Arial" w:hAnsi="Arial"/>
          <w:sz w:val="16"/>
          <w:szCs w:val="16"/>
          <w:b w:val="1"/>
          <w:bCs w:val="1"/>
          <w:color w:val="auto"/>
        </w:rPr>
        <w:t>(Name of registrant as specified in its charter)</w:t>
      </w:r>
    </w:p>
    <w:p>
      <w:pPr>
        <w:spacing w:after="0" w:line="210" w:lineRule="exact"/>
        <w:rPr>
          <w:sz w:val="24"/>
          <w:szCs w:val="24"/>
          <w:color w:val="auto"/>
        </w:rPr>
      </w:pPr>
    </w:p>
    <w:p>
      <w:pPr>
        <w:ind w:left="312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01" w:lineRule="exact"/>
        <w:rPr>
          <w:sz w:val="24"/>
          <w:szCs w:val="24"/>
          <w:color w:val="auto"/>
        </w:rPr>
      </w:pPr>
    </w:p>
    <w:p>
      <w:pPr>
        <w:spacing w:after="0"/>
        <w:rPr>
          <w:sz w:val="20"/>
          <w:szCs w:val="20"/>
          <w:color w:val="auto"/>
        </w:rPr>
      </w:pPr>
      <w:r>
        <w:rPr>
          <w:rFonts w:ascii="Arial" w:cs="Arial" w:eastAsia="Arial" w:hAnsi="Arial"/>
          <w:sz w:val="15"/>
          <w:szCs w:val="15"/>
          <w:color w:val="auto"/>
        </w:rPr>
        <w:t>Payment of Filing Fee (Check all boxes that apply):</w:t>
      </w:r>
    </w:p>
    <w:p>
      <w:pPr>
        <w:spacing w:after="0" w:line="119" w:lineRule="exact"/>
        <w:rPr>
          <w:sz w:val="24"/>
          <w:szCs w:val="24"/>
          <w:color w:val="auto"/>
        </w:rPr>
      </w:pPr>
    </w:p>
    <w:p>
      <w:pPr>
        <w:ind w:left="620" w:hanging="552"/>
        <w:spacing w:after="0"/>
        <w:tabs>
          <w:tab w:leader="none" w:pos="620" w:val="left"/>
        </w:tabs>
        <w:numPr>
          <w:ilvl w:val="0"/>
          <w:numId w:val="4"/>
        </w:numPr>
        <w:rPr>
          <w:rFonts w:ascii="MS PGothic" w:cs="MS PGothic" w:eastAsia="MS PGothic" w:hAnsi="MS PGothic"/>
          <w:sz w:val="14"/>
          <w:szCs w:val="14"/>
          <w:color w:val="auto"/>
        </w:rPr>
      </w:pPr>
      <w:r>
        <w:rPr>
          <w:rFonts w:ascii="Arial" w:cs="Arial" w:eastAsia="Arial" w:hAnsi="Arial"/>
          <w:sz w:val="14"/>
          <w:szCs w:val="14"/>
          <w:color w:val="auto"/>
        </w:rPr>
        <w:t>No fee required</w:t>
      </w:r>
    </w:p>
    <w:p>
      <w:pPr>
        <w:spacing w:after="0" w:line="123" w:lineRule="exact"/>
        <w:rPr>
          <w:sz w:val="24"/>
          <w:szCs w:val="24"/>
          <w:color w:val="auto"/>
        </w:rPr>
      </w:pPr>
    </w:p>
    <w:p>
      <w:pPr>
        <w:ind w:left="620" w:hanging="552"/>
        <w:spacing w:after="0"/>
        <w:tabs>
          <w:tab w:leader="none" w:pos="620"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Fee paid previously with preliminary materials</w:t>
      </w:r>
    </w:p>
    <w:p>
      <w:pPr>
        <w:spacing w:after="0" w:line="36" w:lineRule="exact"/>
        <w:rPr>
          <w:rFonts w:ascii="MS PGothic" w:cs="MS PGothic" w:eastAsia="MS PGothic" w:hAnsi="MS PGothic"/>
          <w:sz w:val="14"/>
          <w:szCs w:val="14"/>
          <w:color w:val="auto"/>
        </w:rPr>
      </w:pPr>
    </w:p>
    <w:p>
      <w:pPr>
        <w:ind w:left="620" w:hanging="552"/>
        <w:spacing w:after="0"/>
        <w:tabs>
          <w:tab w:leader="none" w:pos="620" w:val="left"/>
        </w:tabs>
        <w:numPr>
          <w:ilvl w:val="0"/>
          <w:numId w:val="5"/>
        </w:numPr>
        <w:rPr>
          <w:rFonts w:ascii="MS PGothic" w:cs="MS PGothic" w:eastAsia="MS PGothic" w:hAnsi="MS PGothic"/>
          <w:sz w:val="29"/>
          <w:szCs w:val="29"/>
          <w:color w:val="auto"/>
          <w:vertAlign w:val="superscript"/>
        </w:rPr>
      </w:pPr>
      <w:r>
        <w:rPr>
          <w:rFonts w:ascii="Arial" w:cs="Arial" w:eastAsia="Arial" w:hAnsi="Arial"/>
          <w:sz w:val="14"/>
          <w:szCs w:val="14"/>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184785</wp:posOffset>
            </wp:positionV>
            <wp:extent cx="69951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448" w:right="1440" w:bottom="1440" w:gutter="0" w:footer="0" w:header="0"/>
        </w:sectPr>
      </w:pPr>
    </w:p>
    <w:bookmarkStart w:id="1" w:name="page2"/>
    <w:bookmarkEnd w:id="1"/>
    <w:p>
      <w:pPr>
        <w:ind w:left="8080"/>
        <w:spacing w:after="0"/>
        <w:rPr>
          <w:sz w:val="20"/>
          <w:szCs w:val="20"/>
          <w:color w:val="auto"/>
        </w:rPr>
      </w:pPr>
      <w:r>
        <w:rPr>
          <w:rFonts w:ascii="Arial" w:cs="Arial" w:eastAsia="Arial" w:hAnsi="Arial"/>
          <w:sz w:val="25"/>
          <w:szCs w:val="25"/>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5055235</wp:posOffset>
            </wp:positionH>
            <wp:positionV relativeFrom="paragraph">
              <wp:posOffset>-167640</wp:posOffset>
            </wp:positionV>
            <wp:extent cx="1937385" cy="2914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37385" cy="291465"/>
                    </a:xfrm>
                    <a:prstGeom prst="rect">
                      <a:avLst/>
                    </a:prstGeom>
                    <a:noFill/>
                  </pic:spPr>
                </pic:pic>
              </a:graphicData>
            </a:graphic>
          </wp:anchor>
        </w:drawing>
      </w:r>
    </w:p>
    <w:p>
      <w:pPr>
        <w:spacing w:after="0" w:line="12" w:lineRule="exact"/>
        <w:rPr>
          <w:sz w:val="20"/>
          <w:szCs w:val="20"/>
          <w:color w:val="auto"/>
        </w:rPr>
      </w:pPr>
    </w:p>
    <w:p>
      <w:pPr>
        <w:ind w:left="9180"/>
        <w:spacing w:after="0"/>
        <w:rPr>
          <w:sz w:val="20"/>
          <w:szCs w:val="20"/>
          <w:color w:val="auto"/>
        </w:rPr>
      </w:pPr>
      <w:r>
        <w:rPr>
          <w:rFonts w:ascii="Arial" w:cs="Arial" w:eastAsia="Arial" w:hAnsi="Arial"/>
          <w:sz w:val="14"/>
          <w:szCs w:val="14"/>
          <w:color w:val="auto"/>
        </w:rPr>
        <w:t> </w:t>
      </w:r>
    </w:p>
    <w:p>
      <w:pPr>
        <w:ind w:left="10680"/>
        <w:spacing w:after="0" w:line="198" w:lineRule="auto"/>
        <w:rPr>
          <w:sz w:val="20"/>
          <w:szCs w:val="20"/>
          <w:color w:val="auto"/>
        </w:rPr>
      </w:pPr>
      <w:r>
        <w:rPr>
          <w:rFonts w:ascii="Arial" w:cs="Arial" w:eastAsia="Arial" w:hAnsi="Arial"/>
          <w:sz w:val="13"/>
          <w:szCs w:val="13"/>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6606540</wp:posOffset>
            </wp:positionH>
            <wp:positionV relativeFrom="paragraph">
              <wp:posOffset>-76835</wp:posOffset>
            </wp:positionV>
            <wp:extent cx="386080" cy="17227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86080" cy="1722755"/>
                    </a:xfrm>
                    <a:prstGeom prst="rect">
                      <a:avLst/>
                    </a:prstGeom>
                    <a:noFill/>
                  </pic:spPr>
                </pic:pic>
              </a:graphicData>
            </a:graphic>
          </wp:anchor>
        </w:drawing>
      </w:r>
    </w:p>
    <w:p>
      <w:pPr>
        <w:ind w:left="5660"/>
        <w:spacing w:after="0"/>
        <w:tabs>
          <w:tab w:leader="none" w:pos="6120" w:val="left"/>
        </w:tabs>
        <w:rPr>
          <w:sz w:val="20"/>
          <w:szCs w:val="20"/>
          <w:color w:val="auto"/>
        </w:rPr>
      </w:pPr>
      <w:r>
        <w:rPr>
          <w:rFonts w:ascii="Times New Roman" w:cs="Times New Roman" w:eastAsia="Times New Roman" w:hAnsi="Times New Roman"/>
          <w:sz w:val="47"/>
          <w:szCs w:val="47"/>
          <w:color w:val="004878"/>
        </w:rPr>
        <w:t> </w:t>
      </w:r>
      <w:r>
        <w:rPr>
          <w:sz w:val="20"/>
          <w:szCs w:val="20"/>
          <w:color w:val="auto"/>
        </w:rPr>
        <w:tab/>
      </w:r>
      <w:r>
        <w:rPr>
          <w:rFonts w:ascii="Times New Roman" w:cs="Times New Roman" w:eastAsia="Times New Roman" w:hAnsi="Times New Roman"/>
          <w:sz w:val="44"/>
          <w:szCs w:val="44"/>
          <w:color w:val="004878"/>
        </w:rPr>
        <w:t xml:space="preserve">  Your </w:t>
      </w:r>
      <w:r>
        <w:rPr>
          <w:rFonts w:ascii="Times New Roman" w:cs="Times New Roman" w:eastAsia="Times New Roman" w:hAnsi="Times New Roman"/>
          <w:sz w:val="44"/>
          <w:szCs w:val="44"/>
          <w:b w:val="1"/>
          <w:bCs w:val="1"/>
          <w:color w:val="004878"/>
        </w:rPr>
        <w:t>Vote</w:t>
      </w:r>
      <w:r>
        <w:rPr>
          <w:rFonts w:ascii="Times New Roman" w:cs="Times New Roman" w:eastAsia="Times New Roman" w:hAnsi="Times New Roman"/>
          <w:sz w:val="44"/>
          <w:szCs w:val="44"/>
          <w:color w:val="004878"/>
        </w:rPr>
        <w:t xml:space="preserve"> Counts!</w:t>
      </w:r>
    </w:p>
    <w:p>
      <w:pPr>
        <w:ind w:left="10680"/>
        <w:spacing w:after="0" w:line="198" w:lineRule="auto"/>
        <w:rPr>
          <w:sz w:val="20"/>
          <w:szCs w:val="20"/>
          <w:color w:val="auto"/>
        </w:rPr>
      </w:pPr>
      <w:r>
        <w:rPr>
          <w:rFonts w:ascii="Arial" w:cs="Arial" w:eastAsia="Arial" w:hAnsi="Arial"/>
          <w:sz w:val="13"/>
          <w:szCs w:val="13"/>
          <w:color w:val="auto"/>
        </w:rPr>
        <w:t> </w:t>
      </w:r>
    </w:p>
    <w:p>
      <w:pPr>
        <w:jc w:val="center"/>
        <w:ind w:left="4500"/>
        <w:spacing w:after="0"/>
        <w:rPr>
          <w:sz w:val="20"/>
          <w:szCs w:val="20"/>
          <w:color w:val="auto"/>
        </w:rPr>
      </w:pPr>
      <w:r>
        <w:rPr>
          <w:rFonts w:ascii="Times New Roman" w:cs="Times New Roman" w:eastAsia="Times New Roman" w:hAnsi="Times New Roman"/>
          <w:sz w:val="20"/>
          <w:szCs w:val="20"/>
          <w:b w:val="1"/>
          <w:bCs w:val="1"/>
          <w:color w:val="004878"/>
        </w:rPr>
        <w:t>MARRIOTT VACATIONS WORLDWIDE CORPORATION</w:t>
      </w:r>
    </w:p>
    <w:p>
      <w:pPr>
        <w:spacing w:after="0" w:line="94" w:lineRule="exact"/>
        <w:rPr>
          <w:sz w:val="20"/>
          <w:szCs w:val="20"/>
          <w:color w:val="auto"/>
        </w:rPr>
      </w:pPr>
    </w:p>
    <w:p>
      <w:pPr>
        <w:ind w:left="6500"/>
        <w:spacing w:after="0"/>
        <w:tabs>
          <w:tab w:leader="none" w:pos="6700" w:val="left"/>
          <w:tab w:leader="none" w:pos="6920" w:val="left"/>
          <w:tab w:leader="none" w:pos="7140" w:val="left"/>
        </w:tabs>
        <w:rPr>
          <w:sz w:val="20"/>
          <w:szCs w:val="20"/>
          <w:color w:val="auto"/>
        </w:rPr>
      </w:pPr>
      <w:r>
        <w:rPr>
          <w:rFonts w:ascii="Times New Roman" w:cs="Times New Roman" w:eastAsia="Times New Roman" w:hAnsi="Times New Roman"/>
          <w:sz w:val="22"/>
          <w:szCs w:val="22"/>
          <w:color w:val="004878"/>
        </w:rPr>
        <w:t> </w:t>
        <w:tab/>
        <w:t> </w:t>
        <w:tab/>
        <w:t> </w:t>
      </w:r>
      <w:r>
        <w:rPr>
          <w:sz w:val="20"/>
          <w:szCs w:val="20"/>
          <w:color w:val="auto"/>
        </w:rPr>
        <w:tab/>
      </w:r>
      <w:r>
        <w:rPr>
          <w:rFonts w:ascii="Times New Roman" w:cs="Times New Roman" w:eastAsia="Times New Roman" w:hAnsi="Times New Roman"/>
          <w:sz w:val="21"/>
          <w:szCs w:val="21"/>
          <w:color w:val="004878"/>
        </w:rPr>
        <w:t>2025 Annual Meeting</w:t>
      </w:r>
    </w:p>
    <w:p>
      <w:pPr>
        <w:spacing w:after="0" w:line="19" w:lineRule="exact"/>
        <w:rPr>
          <w:sz w:val="20"/>
          <w:szCs w:val="20"/>
          <w:color w:val="auto"/>
        </w:rPr>
      </w:pPr>
    </w:p>
    <w:p>
      <w:pPr>
        <w:jc w:val="center"/>
        <w:ind w:left="4540"/>
        <w:spacing w:after="0"/>
        <w:tabs>
          <w:tab w:leader="none" w:pos="120" w:val="left"/>
          <w:tab w:leader="none" w:pos="120" w:val="left"/>
          <w:tab w:leader="none" w:pos="120" w:val="left"/>
        </w:tabs>
        <w:rPr>
          <w:sz w:val="20"/>
          <w:szCs w:val="20"/>
          <w:color w:val="auto"/>
        </w:rPr>
      </w:pPr>
      <w:r>
        <w:rPr>
          <w:rFonts w:ascii="Times New Roman" w:cs="Times New Roman" w:eastAsia="Times New Roman" w:hAnsi="Times New Roman"/>
          <w:sz w:val="18"/>
          <w:szCs w:val="18"/>
          <w:color w:val="004878"/>
        </w:rPr>
        <w:t> </w:t>
        <w:tab/>
        <w:t> </w:t>
        <w:tab/>
        <w:t> </w:t>
      </w:r>
      <w:r>
        <w:rPr>
          <w:sz w:val="20"/>
          <w:szCs w:val="20"/>
          <w:color w:val="auto"/>
        </w:rPr>
        <w:tab/>
      </w:r>
      <w:r>
        <w:rPr>
          <w:rFonts w:ascii="Times New Roman" w:cs="Times New Roman" w:eastAsia="Times New Roman" w:hAnsi="Times New Roman"/>
          <w:sz w:val="17"/>
          <w:szCs w:val="17"/>
          <w:color w:val="004878"/>
        </w:rPr>
        <w:t>May 13, 2025 9:00 a.m. 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751840</wp:posOffset>
            </wp:positionH>
            <wp:positionV relativeFrom="paragraph">
              <wp:posOffset>-114935</wp:posOffset>
            </wp:positionV>
            <wp:extent cx="1200150" cy="3943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00150" cy="394335"/>
                    </a:xfrm>
                    <a:prstGeom prst="rect">
                      <a:avLst/>
                    </a:prstGeom>
                    <a:noFill/>
                  </pic:spPr>
                </pic:pic>
              </a:graphicData>
            </a:graphic>
          </wp:anchor>
        </w:drawing>
      </w:r>
    </w:p>
    <w:p>
      <w:pPr>
        <w:jc w:val="center"/>
        <w:ind w:left="4540"/>
        <w:spacing w:after="0"/>
        <w:tabs>
          <w:tab w:leader="none" w:pos="120" w:val="left"/>
          <w:tab w:leader="none" w:pos="120" w:val="left"/>
          <w:tab w:leader="none" w:pos="120" w:val="left"/>
        </w:tabs>
        <w:rPr>
          <w:sz w:val="20"/>
          <w:szCs w:val="20"/>
          <w:color w:val="auto"/>
        </w:rPr>
      </w:pPr>
      <w:r>
        <w:rPr>
          <w:rFonts w:ascii="Times New Roman" w:cs="Times New Roman" w:eastAsia="Times New Roman" w:hAnsi="Times New Roman"/>
          <w:sz w:val="18"/>
          <w:szCs w:val="18"/>
          <w:color w:val="004878"/>
        </w:rPr>
        <w:t> </w:t>
        <w:tab/>
        <w:t> </w:t>
        <w:tab/>
        <w:t> </w:t>
      </w:r>
      <w:r>
        <w:rPr>
          <w:sz w:val="20"/>
          <w:szCs w:val="20"/>
          <w:color w:val="auto"/>
        </w:rPr>
        <w:tab/>
      </w:r>
      <w:r>
        <w:rPr>
          <w:rFonts w:ascii="Times New Roman" w:cs="Times New Roman" w:eastAsia="Times New Roman" w:hAnsi="Times New Roman"/>
          <w:sz w:val="17"/>
          <w:szCs w:val="17"/>
          <w:color w:val="004878"/>
        </w:rPr>
        <w:t>Vote by May 12, 2025 11:59 PM ET</w:t>
      </w:r>
    </w:p>
    <w:p>
      <w:pPr>
        <w:spacing w:after="0" w:line="9" w:lineRule="exact"/>
        <w:rPr>
          <w:sz w:val="20"/>
          <w:szCs w:val="20"/>
          <w:color w:val="auto"/>
        </w:rPr>
      </w:pPr>
    </w:p>
    <w:p>
      <w:pPr>
        <w:jc w:val="center"/>
        <w:ind w:left="4400"/>
        <w:spacing w:after="0"/>
        <w:rPr>
          <w:sz w:val="20"/>
          <w:szCs w:val="20"/>
          <w:color w:val="auto"/>
        </w:rPr>
      </w:pPr>
      <w:r>
        <w:rPr>
          <w:rFonts w:ascii="Times New Roman" w:cs="Times New Roman" w:eastAsia="Times New Roman" w:hAnsi="Times New Roman"/>
          <w:sz w:val="18"/>
          <w:szCs w:val="18"/>
          <w:color w:val="004878"/>
        </w:rPr>
        <w:t> </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20"/>
                <w:szCs w:val="20"/>
                <w:color w:val="auto"/>
              </w:rPr>
            </w:pPr>
            <w:r>
              <w:rPr>
                <w:rFonts w:ascii="Times New Roman" w:cs="Times New Roman" w:eastAsia="Times New Roman" w:hAnsi="Times New Roman"/>
                <w:sz w:val="8"/>
                <w:szCs w:val="8"/>
                <w:color w:val="004878"/>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004878"/>
                <w:w w:val="74"/>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004878"/>
                <w:w w:val="72"/>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004878"/>
                <w:w w:val="72"/>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004878"/>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004878"/>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004878"/>
                <w:w w:val="74"/>
              </w:rPr>
              <w:t> </w:t>
            </w:r>
          </w:p>
        </w:tc>
        <w:tc>
          <w:tcPr>
            <w:tcW w:w="37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004878"/>
                <w:w w:val="99"/>
              </w:rPr>
              <w:t>   MARRIOTT VACATIONS WORLDWIDE CORPORATION</w:t>
            </w:r>
          </w:p>
        </w:tc>
      </w:tr>
      <w:tr>
        <w:trPr>
          <w:trHeight w:val="148"/>
        </w:trPr>
        <w:tc>
          <w:tcPr>
            <w:tcW w:w="80" w:type="dxa"/>
            <w:vAlign w:val="bottom"/>
          </w:tcPr>
          <w:p>
            <w:pPr>
              <w:spacing w:after="0"/>
              <w:rPr>
                <w:sz w:val="20"/>
                <w:szCs w:val="20"/>
                <w:color w:val="auto"/>
              </w:rPr>
            </w:pPr>
            <w:r>
              <w:rPr>
                <w:rFonts w:ascii="Times New Roman" w:cs="Times New Roman" w:eastAsia="Times New Roman" w:hAnsi="Times New Roman"/>
                <w:sz w:val="8"/>
                <w:szCs w:val="8"/>
                <w:color w:val="004878"/>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004878"/>
                <w:w w:val="74"/>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004878"/>
                <w:w w:val="72"/>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004878"/>
                <w:w w:val="72"/>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004878"/>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004878"/>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004878"/>
                <w:w w:val="74"/>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004878"/>
                <w:w w:val="72"/>
              </w:rPr>
              <w:t> </w:t>
            </w:r>
          </w:p>
        </w:tc>
        <w:tc>
          <w:tcPr>
            <w:tcW w:w="362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004878"/>
              </w:rPr>
              <w:t>7812 PALM PARKWAY</w:t>
            </w:r>
          </w:p>
        </w:tc>
      </w:tr>
      <w:tr>
        <w:trPr>
          <w:trHeight w:val="188"/>
        </w:trPr>
        <w:tc>
          <w:tcPr>
            <w:tcW w:w="80" w:type="dxa"/>
            <w:vAlign w:val="bottom"/>
          </w:tcPr>
          <w:p>
            <w:pPr>
              <w:spacing w:after="0"/>
              <w:rPr>
                <w:sz w:val="20"/>
                <w:szCs w:val="20"/>
                <w:color w:val="auto"/>
              </w:rPr>
            </w:pPr>
            <w:r>
              <w:rPr>
                <w:rFonts w:ascii="Times New Roman" w:cs="Times New Roman" w:eastAsia="Times New Roman" w:hAnsi="Times New Roman"/>
                <w:sz w:val="8"/>
                <w:szCs w:val="8"/>
                <w:color w:val="004878"/>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004878"/>
                <w:w w:val="74"/>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004878"/>
                <w:w w:val="72"/>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004878"/>
                <w:w w:val="72"/>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004878"/>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004878"/>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004878"/>
                <w:w w:val="74"/>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004878"/>
                <w:w w:val="72"/>
              </w:rPr>
              <w:t> </w:t>
            </w:r>
          </w:p>
        </w:tc>
        <w:tc>
          <w:tcPr>
            <w:tcW w:w="3620" w:type="dxa"/>
            <w:vAlign w:val="bottom"/>
          </w:tcPr>
          <w:p>
            <w:pPr>
              <w:ind w:left="40"/>
              <w:spacing w:after="0"/>
              <w:rPr>
                <w:sz w:val="20"/>
                <w:szCs w:val="20"/>
                <w:color w:val="auto"/>
              </w:rPr>
            </w:pPr>
            <w:r>
              <w:rPr>
                <w:rFonts w:ascii="Times New Roman" w:cs="Times New Roman" w:eastAsia="Times New Roman" w:hAnsi="Times New Roman"/>
                <w:sz w:val="14"/>
                <w:szCs w:val="14"/>
                <w:color w:val="004878"/>
              </w:rPr>
              <w:t>ORLANDO, FL 32836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3975100</wp:posOffset>
            </wp:positionH>
            <wp:positionV relativeFrom="paragraph">
              <wp:posOffset>-284480</wp:posOffset>
            </wp:positionV>
            <wp:extent cx="2305685" cy="17487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305685" cy="1748790"/>
                    </a:xfrm>
                    <a:prstGeom prst="rect">
                      <a:avLst/>
                    </a:prstGeom>
                    <a:noFill/>
                  </pic:spPr>
                </pic:pic>
              </a:graphicData>
            </a:graphic>
          </wp:anchor>
        </w:drawing>
      </w:r>
    </w:p>
    <w:p>
      <w:pPr>
        <w:spacing w:after="0" w:line="66"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 xml:space="preserve">   </w:t>
      </w:r>
    </w:p>
    <w:p>
      <w:pPr>
        <w:spacing w:after="0" w:line="14"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6606540</wp:posOffset>
            </wp:positionH>
            <wp:positionV relativeFrom="paragraph">
              <wp:posOffset>-130175</wp:posOffset>
            </wp:positionV>
            <wp:extent cx="386080" cy="1671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86080" cy="1671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0680"/>
        <w:spacing w:after="0"/>
        <w:rPr>
          <w:sz w:val="20"/>
          <w:szCs w:val="20"/>
          <w:color w:val="auto"/>
        </w:rPr>
      </w:pPr>
      <w:r>
        <w:rPr>
          <w:rFonts w:ascii="Arial" w:cs="Arial" w:eastAsia="Arial" w:hAnsi="Arial"/>
          <w:sz w:val="18"/>
          <w:szCs w:val="18"/>
          <w:color w:val="auto"/>
        </w:rPr>
        <w:t> </w:t>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0" w:type="dxa"/>
            <w:vAlign w:val="bottom"/>
          </w:tcPr>
          <w:p>
            <w:pPr>
              <w:spacing w:after="0"/>
              <w:rPr>
                <w:sz w:val="20"/>
                <w:szCs w:val="20"/>
                <w:color w:val="auto"/>
              </w:rPr>
            </w:pPr>
            <w:r>
              <w:rPr>
                <w:rFonts w:ascii="Arial" w:cs="Arial" w:eastAsia="Arial" w:hAnsi="Arial"/>
                <w:sz w:val="11"/>
                <w:szCs w:val="11"/>
                <w:color w:val="auto"/>
                <w:w w:val="72"/>
              </w:rPr>
              <w:t> </w:t>
            </w:r>
          </w:p>
        </w:tc>
        <w:tc>
          <w:tcPr>
            <w:tcW w:w="160" w:type="dxa"/>
            <w:vAlign w:val="bottom"/>
          </w:tcPr>
          <w:p>
            <w:pPr>
              <w:ind w:left="80"/>
              <w:spacing w:after="0"/>
              <w:rPr>
                <w:sz w:val="20"/>
                <w:szCs w:val="20"/>
                <w:color w:val="auto"/>
              </w:rPr>
            </w:pPr>
            <w:r>
              <w:rPr>
                <w:rFonts w:ascii="Arial" w:cs="Arial" w:eastAsia="Arial" w:hAnsi="Arial"/>
                <w:sz w:val="8"/>
                <w:szCs w:val="8"/>
                <w:color w:val="auto"/>
                <w:w w:val="74"/>
              </w:rPr>
              <w:t> </w:t>
            </w:r>
          </w:p>
        </w:tc>
        <w:tc>
          <w:tcPr>
            <w:tcW w:w="3360" w:type="dxa"/>
            <w:vAlign w:val="bottom"/>
            <w:gridSpan w:val="2"/>
          </w:tcPr>
          <w:p>
            <w:pPr>
              <w:ind w:left="100"/>
              <w:spacing w:after="0"/>
              <w:rPr>
                <w:sz w:val="20"/>
                <w:szCs w:val="20"/>
                <w:color w:val="auto"/>
              </w:rPr>
            </w:pPr>
            <w:r>
              <w:rPr>
                <w:rFonts w:ascii="Arial" w:cs="Arial" w:eastAsia="Arial" w:hAnsi="Arial"/>
                <w:sz w:val="18"/>
                <w:szCs w:val="18"/>
                <w:color w:val="auto"/>
              </w:rPr>
              <w:t> </w:t>
            </w:r>
          </w:p>
        </w:tc>
        <w:tc>
          <w:tcPr>
            <w:tcW w:w="4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20" w:type="dxa"/>
            <w:vAlign w:val="bottom"/>
          </w:tcPr>
          <w:p>
            <w:pPr>
              <w:ind w:left="1820"/>
              <w:spacing w:after="0"/>
              <w:rPr>
                <w:sz w:val="20"/>
                <w:szCs w:val="20"/>
                <w:color w:val="auto"/>
              </w:rPr>
            </w:pPr>
            <w:r>
              <w:rPr>
                <w:rFonts w:ascii="Arial" w:cs="Arial" w:eastAsia="Arial" w:hAnsi="Arial"/>
                <w:sz w:val="4"/>
                <w:szCs w:val="4"/>
                <w:color w:val="auto"/>
              </w:rPr>
              <w:t xml:space="preserve">                                         </w:t>
            </w:r>
          </w:p>
        </w:tc>
        <w:tc>
          <w:tcPr>
            <w:tcW w:w="0" w:type="dxa"/>
            <w:vAlign w:val="bottom"/>
          </w:tcPr>
          <w:p>
            <w:pPr>
              <w:spacing w:after="0"/>
              <w:rPr>
                <w:sz w:val="1"/>
                <w:szCs w:val="1"/>
                <w:color w:val="auto"/>
              </w:rPr>
            </w:pPr>
          </w:p>
        </w:tc>
      </w:tr>
      <w:tr>
        <w:trPr>
          <w:trHeight w:val="165"/>
        </w:trPr>
        <w:tc>
          <w:tcPr>
            <w:tcW w:w="10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w w:val="71"/>
              </w:rPr>
              <w:t> </w:t>
            </w:r>
          </w:p>
        </w:tc>
        <w:tc>
          <w:tcPr>
            <w:tcW w:w="3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                  V65972-P27015</w:t>
            </w:r>
          </w:p>
        </w:tc>
        <w:tc>
          <w:tcPr>
            <w:tcW w:w="4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0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3360" w:type="dxa"/>
            <w:vAlign w:val="bottom"/>
            <w:gridSpan w:val="2"/>
            <w:vMerge w:val="continue"/>
          </w:tcPr>
          <w:p>
            <w:pPr>
              <w:spacing w:after="0"/>
              <w:rPr>
                <w:sz w:val="14"/>
                <w:szCs w:val="14"/>
                <w:color w:val="auto"/>
              </w:rPr>
            </w:pPr>
          </w:p>
        </w:tc>
        <w:tc>
          <w:tcPr>
            <w:tcW w:w="4340" w:type="dxa"/>
            <w:vAlign w:val="bottom"/>
            <w:vMerge w:val="restart"/>
          </w:tcPr>
          <w:p>
            <w:pPr>
              <w:ind w:left="1540"/>
              <w:spacing w:after="0" w:line="283" w:lineRule="exact"/>
              <w:rPr>
                <w:sz w:val="20"/>
                <w:szCs w:val="20"/>
                <w:color w:val="auto"/>
              </w:rPr>
            </w:pPr>
            <w:r>
              <w:rPr>
                <w:rFonts w:ascii="Arial" w:cs="Arial" w:eastAsia="Arial" w:hAnsi="Arial"/>
                <w:sz w:val="25"/>
                <w:szCs w:val="25"/>
                <w:color w:val="auto"/>
              </w:rPr>
              <w:t xml:space="preserve">                     </w:t>
            </w:r>
          </w:p>
        </w:tc>
        <w:tc>
          <w:tcPr>
            <w:tcW w:w="120" w:type="dxa"/>
            <w:vAlign w:val="bottom"/>
            <w:shd w:val="clear" w:color="auto" w:fill="004878"/>
          </w:tcPr>
          <w:p>
            <w:pPr>
              <w:spacing w:after="0"/>
              <w:rPr>
                <w:sz w:val="14"/>
                <w:szCs w:val="14"/>
                <w:color w:val="auto"/>
              </w:rPr>
            </w:pPr>
          </w:p>
        </w:tc>
        <w:tc>
          <w:tcPr>
            <w:tcW w:w="2320" w:type="dxa"/>
            <w:vAlign w:val="bottom"/>
            <w:vMerge w:val="restart"/>
            <w:shd w:val="clear" w:color="auto" w:fill="004878"/>
          </w:tcPr>
          <w:p>
            <w:pPr>
              <w:spacing w:after="0" w:line="283" w:lineRule="exact"/>
              <w:rPr>
                <w:sz w:val="20"/>
                <w:szCs w:val="20"/>
                <w:color w:val="auto"/>
              </w:rPr>
            </w:pPr>
            <w:r>
              <w:rPr>
                <w:rFonts w:ascii="Arial" w:cs="Arial" w:eastAsia="Arial" w:hAnsi="Arial"/>
                <w:sz w:val="25"/>
                <w:szCs w:val="25"/>
                <w:color w:val="auto"/>
              </w:rPr>
              <w:t> </w:t>
            </w:r>
          </w:p>
        </w:tc>
        <w:tc>
          <w:tcPr>
            <w:tcW w:w="0" w:type="dxa"/>
            <w:vAlign w:val="bottom"/>
          </w:tcPr>
          <w:p>
            <w:pPr>
              <w:spacing w:after="0"/>
              <w:rPr>
                <w:sz w:val="1"/>
                <w:szCs w:val="1"/>
                <w:color w:val="auto"/>
              </w:rPr>
            </w:pPr>
          </w:p>
        </w:tc>
      </w:tr>
      <w:tr>
        <w:trPr>
          <w:trHeight w:val="118"/>
        </w:trPr>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4340" w:type="dxa"/>
            <w:vAlign w:val="bottom"/>
            <w:vMerge w:val="continue"/>
          </w:tcPr>
          <w:p>
            <w:pPr>
              <w:spacing w:after="0"/>
              <w:rPr>
                <w:sz w:val="10"/>
                <w:szCs w:val="10"/>
                <w:color w:val="auto"/>
              </w:rPr>
            </w:pPr>
          </w:p>
        </w:tc>
        <w:tc>
          <w:tcPr>
            <w:tcW w:w="120" w:type="dxa"/>
            <w:vAlign w:val="bottom"/>
            <w:shd w:val="clear" w:color="auto" w:fill="004878"/>
          </w:tcPr>
          <w:p>
            <w:pPr>
              <w:spacing w:after="0"/>
              <w:rPr>
                <w:sz w:val="10"/>
                <w:szCs w:val="10"/>
                <w:color w:val="auto"/>
              </w:rPr>
            </w:pPr>
          </w:p>
        </w:tc>
        <w:tc>
          <w:tcPr>
            <w:tcW w:w="2320" w:type="dxa"/>
            <w:vAlign w:val="bottom"/>
            <w:vMerge w:val="continue"/>
            <w:shd w:val="clear" w:color="auto" w:fill="004878"/>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100" w:type="dxa"/>
            <w:vAlign w:val="bottom"/>
            <w:shd w:val="clear" w:color="auto" w:fill="007BB6"/>
          </w:tcPr>
          <w:p>
            <w:pPr>
              <w:spacing w:after="0"/>
              <w:rPr>
                <w:sz w:val="20"/>
                <w:szCs w:val="20"/>
                <w:color w:val="auto"/>
              </w:rPr>
            </w:pPr>
            <w:r>
              <w:rPr>
                <w:rFonts w:ascii="Arial" w:cs="Arial" w:eastAsia="Arial" w:hAnsi="Arial"/>
                <w:sz w:val="11"/>
                <w:szCs w:val="11"/>
                <w:color w:val="auto"/>
                <w:w w:val="72"/>
              </w:rPr>
              <w:t> </w:t>
            </w:r>
          </w:p>
        </w:tc>
        <w:tc>
          <w:tcPr>
            <w:tcW w:w="160" w:type="dxa"/>
            <w:vAlign w:val="bottom"/>
            <w:shd w:val="clear" w:color="auto" w:fill="007BB6"/>
          </w:tcPr>
          <w:p>
            <w:pPr>
              <w:spacing w:after="0"/>
              <w:rPr>
                <w:sz w:val="15"/>
                <w:szCs w:val="15"/>
                <w:color w:val="auto"/>
              </w:rPr>
            </w:pPr>
          </w:p>
        </w:tc>
        <w:tc>
          <w:tcPr>
            <w:tcW w:w="1600" w:type="dxa"/>
            <w:vAlign w:val="bottom"/>
            <w:shd w:val="clear" w:color="auto" w:fill="007BB6"/>
          </w:tcPr>
          <w:p>
            <w:pPr>
              <w:spacing w:after="0"/>
              <w:rPr>
                <w:sz w:val="15"/>
                <w:szCs w:val="15"/>
                <w:color w:val="auto"/>
              </w:rPr>
            </w:pPr>
          </w:p>
        </w:tc>
        <w:tc>
          <w:tcPr>
            <w:tcW w:w="176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120" w:type="dxa"/>
            <w:vAlign w:val="bottom"/>
            <w:shd w:val="clear" w:color="auto" w:fill="004878"/>
          </w:tcPr>
          <w:p>
            <w:pPr>
              <w:spacing w:after="0"/>
              <w:rPr>
                <w:sz w:val="15"/>
                <w:szCs w:val="15"/>
                <w:color w:val="auto"/>
              </w:rPr>
            </w:pPr>
          </w:p>
        </w:tc>
        <w:tc>
          <w:tcPr>
            <w:tcW w:w="2320" w:type="dxa"/>
            <w:vAlign w:val="bottom"/>
            <w:shd w:val="clear" w:color="auto" w:fill="004878"/>
          </w:tcPr>
          <w:p>
            <w:pPr>
              <w:spacing w:after="0"/>
              <w:rPr>
                <w:sz w:val="20"/>
                <w:szCs w:val="20"/>
                <w:color w:val="auto"/>
              </w:rPr>
            </w:pPr>
            <w:r>
              <w:rPr>
                <w:rFonts w:ascii="Arial" w:cs="Arial" w:eastAsia="Arial" w:hAnsi="Arial"/>
                <w:sz w:val="11"/>
                <w:szCs w:val="11"/>
                <w:color w:val="auto"/>
              </w:rPr>
              <w:t> </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6"/>
          <w:szCs w:val="26"/>
          <w:color w:val="004878"/>
        </w:rPr>
        <w:t>You invested in MARRIOTT VACATIONS WORLDWIDE CORPORATION and it’s time to vote!</w:t>
      </w:r>
    </w:p>
    <w:p>
      <w:pPr>
        <w:spacing w:after="0" w:line="41" w:lineRule="exact"/>
        <w:rPr>
          <w:sz w:val="20"/>
          <w:szCs w:val="20"/>
          <w:color w:val="auto"/>
        </w:rPr>
      </w:pPr>
    </w:p>
    <w:p>
      <w:pPr>
        <w:ind w:left="220" w:right="240"/>
        <w:spacing w:after="0" w:line="258" w:lineRule="auto"/>
        <w:rPr>
          <w:sz w:val="20"/>
          <w:szCs w:val="20"/>
          <w:color w:val="auto"/>
        </w:rPr>
      </w:pPr>
      <w:r>
        <w:rPr>
          <w:rFonts w:ascii="Times New Roman" w:cs="Times New Roman" w:eastAsia="Times New Roman" w:hAnsi="Times New Roman"/>
          <w:sz w:val="18"/>
          <w:szCs w:val="18"/>
          <w:color w:val="004878"/>
        </w:rPr>
        <w:t xml:space="preserve">You have the right to vote on proposals being presented at the Annual Meeting. </w:t>
      </w:r>
      <w:r>
        <w:rPr>
          <w:rFonts w:ascii="Times New Roman" w:cs="Times New Roman" w:eastAsia="Times New Roman" w:hAnsi="Times New Roman"/>
          <w:sz w:val="18"/>
          <w:szCs w:val="18"/>
          <w:b w:val="1"/>
          <w:bCs w:val="1"/>
          <w:color w:val="004878"/>
        </w:rPr>
        <w:t>This is an important notice regarding the availability of proxy</w:t>
      </w:r>
      <w:r>
        <w:rPr>
          <w:rFonts w:ascii="Times New Roman" w:cs="Times New Roman" w:eastAsia="Times New Roman" w:hAnsi="Times New Roman"/>
          <w:sz w:val="18"/>
          <w:szCs w:val="18"/>
          <w:color w:val="004878"/>
        </w:rPr>
        <w:t xml:space="preserve"> </w:t>
      </w:r>
      <w:r>
        <w:rPr>
          <w:rFonts w:ascii="Times New Roman" w:cs="Times New Roman" w:eastAsia="Times New Roman" w:hAnsi="Times New Roman"/>
          <w:sz w:val="18"/>
          <w:szCs w:val="18"/>
          <w:b w:val="1"/>
          <w:bCs w:val="1"/>
          <w:color w:val="004878"/>
        </w:rPr>
        <w:t>materials for the stockholder meeting to be held on May 13, 2025.</w:t>
      </w:r>
    </w:p>
    <w:p>
      <w:pPr>
        <w:spacing w:after="0" w:line="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7"/>
          <w:szCs w:val="27"/>
          <w:color w:val="004878"/>
        </w:rPr>
        <w:t>Get informed before you vote - How to Access the Proxy Materials</w:t>
      </w:r>
    </w:p>
    <w:p>
      <w:pPr>
        <w:spacing w:after="0" w:line="29" w:lineRule="exact"/>
        <w:rPr>
          <w:sz w:val="20"/>
          <w:szCs w:val="20"/>
          <w:color w:val="auto"/>
        </w:rPr>
      </w:pPr>
    </w:p>
    <w:p>
      <w:pPr>
        <w:ind w:left="220" w:right="100"/>
        <w:spacing w:after="0" w:line="252" w:lineRule="auto"/>
        <w:rPr>
          <w:sz w:val="20"/>
          <w:szCs w:val="20"/>
          <w:color w:val="auto"/>
        </w:rPr>
      </w:pPr>
      <w:r>
        <w:rPr>
          <w:rFonts w:ascii="Times New Roman" w:cs="Times New Roman" w:eastAsia="Times New Roman" w:hAnsi="Times New Roman"/>
          <w:sz w:val="18"/>
          <w:szCs w:val="18"/>
          <w:color w:val="004878"/>
        </w:rPr>
        <w:t>View the 2025 Notice of Annual Meeting and Proxy Statement and the 2024 Annual Report online at www.ProxyVote.com or scan the QR code below OR you can receive a free paper or e-mail copy of the proxy materials by requesting them prior to April 29, 2025. If you would like to view the proxy materials online, have the control number that is printed in the box below and visit: www.ProxyVote.com. If you would like to request a paper or e-mail copy of the proxy materials for this or future stockholder meetings, you may (1) visit www.ProxyVote.com, (2) call 1-800-579-1639 or (3) send an email to sendmaterial@proxyvote.com. If sending an email, please include your control number (indicated below) in the subject line. There is NO charge for requesting a copy. Unless requested, you will not otherwise receive a paper or email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098030" cy="7797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98030" cy="779780"/>
                    </a:xfrm>
                    <a:prstGeom prst="rect">
                      <a:avLst/>
                    </a:prstGeom>
                    <a:noFill/>
                  </pic:spPr>
                </pic:pic>
              </a:graphicData>
            </a:graphic>
          </wp:anchor>
        </w:drawing>
      </w:r>
    </w:p>
    <w:p>
      <w:pPr>
        <w:spacing w:after="0" w:line="324" w:lineRule="exact"/>
        <w:rPr>
          <w:sz w:val="20"/>
          <w:szCs w:val="20"/>
          <w:color w:val="auto"/>
        </w:rPr>
      </w:pPr>
    </w:p>
    <w:p>
      <w:pPr>
        <w:ind w:left="2100"/>
        <w:spacing w:after="0"/>
        <w:rPr>
          <w:sz w:val="20"/>
          <w:szCs w:val="20"/>
          <w:color w:val="auto"/>
        </w:rPr>
      </w:pPr>
      <w:r>
        <w:rPr>
          <w:rFonts w:ascii="Arial" w:cs="Arial" w:eastAsia="Arial" w:hAnsi="Arial"/>
          <w:sz w:val="25"/>
          <w:szCs w:val="25"/>
          <w:color w:val="FFFFFF"/>
        </w:rPr>
        <w:t xml:space="preserve">   For complete information and to vote, visit </w:t>
      </w:r>
      <w:r>
        <w:rPr>
          <w:rFonts w:ascii="Arial" w:cs="Arial" w:eastAsia="Arial" w:hAnsi="Arial"/>
          <w:sz w:val="25"/>
          <w:szCs w:val="25"/>
          <w:b w:val="1"/>
          <w:bCs w:val="1"/>
          <w:color w:val="FFFFFF"/>
        </w:rPr>
        <w:t>www.ProxyVote.com</w:t>
      </w:r>
      <w:r>
        <w:rPr>
          <w:rFonts w:ascii="Arial" w:cs="Arial" w:eastAsia="Arial" w:hAnsi="Arial"/>
          <w:sz w:val="25"/>
          <w:szCs w:val="25"/>
          <w:color w:val="FFFFFF"/>
        </w:rPr>
        <w:t xml:space="preserve">       </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332"/>
        </w:trPr>
        <w:tc>
          <w:tcPr>
            <w:tcW w:w="1340" w:type="dxa"/>
            <w:vAlign w:val="bottom"/>
            <w:vMerge w:val="restart"/>
          </w:tcPr>
          <w:p>
            <w:pPr>
              <w:spacing w:after="0"/>
              <w:rPr>
                <w:sz w:val="20"/>
                <w:szCs w:val="20"/>
                <w:color w:val="auto"/>
              </w:rPr>
            </w:pPr>
            <w:r>
              <w:rPr>
                <w:rFonts w:ascii="Arial" w:cs="Arial" w:eastAsia="Arial" w:hAnsi="Arial"/>
                <w:sz w:val="25"/>
                <w:szCs w:val="25"/>
                <w:color w:val="auto"/>
              </w:rPr>
              <w:t xml:space="preserve">       </w:t>
            </w:r>
          </w:p>
        </w:tc>
        <w:tc>
          <w:tcPr>
            <w:tcW w:w="3540" w:type="dxa"/>
            <w:vAlign w:val="bottom"/>
          </w:tcPr>
          <w:p>
            <w:pPr>
              <w:ind w:left="760"/>
              <w:spacing w:after="0"/>
              <w:rPr>
                <w:sz w:val="20"/>
                <w:szCs w:val="20"/>
                <w:color w:val="auto"/>
              </w:rPr>
            </w:pPr>
            <w:r>
              <w:rPr>
                <w:rFonts w:ascii="Arial" w:cs="Arial" w:eastAsia="Arial" w:hAnsi="Arial"/>
                <w:sz w:val="25"/>
                <w:szCs w:val="25"/>
                <w:color w:val="FFFFFF"/>
              </w:rPr>
              <w:t>                     Control #</w:t>
            </w:r>
          </w:p>
        </w:tc>
        <w:tc>
          <w:tcPr>
            <w:tcW w:w="0" w:type="dxa"/>
            <w:vAlign w:val="bottom"/>
          </w:tcPr>
          <w:p>
            <w:pPr>
              <w:spacing w:after="0"/>
              <w:rPr>
                <w:sz w:val="1"/>
                <w:szCs w:val="1"/>
                <w:color w:val="auto"/>
              </w:rPr>
            </w:pPr>
          </w:p>
        </w:tc>
      </w:tr>
      <w:tr>
        <w:trPr>
          <w:trHeight w:val="189"/>
        </w:trPr>
        <w:tc>
          <w:tcPr>
            <w:tcW w:w="1340" w:type="dxa"/>
            <w:vAlign w:val="bottom"/>
            <w:vMerge w:val="continue"/>
          </w:tcPr>
          <w:p>
            <w:pPr>
              <w:spacing w:after="0"/>
              <w:rPr>
                <w:sz w:val="16"/>
                <w:szCs w:val="16"/>
                <w:color w:val="auto"/>
              </w:rPr>
            </w:pPr>
          </w:p>
        </w:tc>
        <w:tc>
          <w:tcPr>
            <w:tcW w:w="35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72" w:lineRule="exact"/>
        <w:rPr>
          <w:sz w:val="20"/>
          <w:szCs w:val="20"/>
          <w:color w:val="auto"/>
        </w:rPr>
      </w:pPr>
    </w:p>
    <w:p>
      <w:pPr>
        <w:sectPr>
          <w:pgSz w:w="11900" w:h="16838" w:orient="portrait"/>
          <w:cols w:equalWidth="0" w:num="1">
            <w:col w:w="10960"/>
          </w:cols>
          <w:pgMar w:left="440" w:top="266" w:right="499" w:bottom="1440" w:gutter="0" w:footer="0" w:header="0"/>
        </w:sectPr>
      </w:pPr>
    </w:p>
    <w:p>
      <w:pPr>
        <w:ind w:left="2000"/>
        <w:spacing w:after="0"/>
        <w:rPr>
          <w:sz w:val="20"/>
          <w:szCs w:val="20"/>
          <w:color w:val="auto"/>
        </w:rPr>
      </w:pPr>
      <w:r>
        <w:rPr>
          <w:rFonts w:ascii="Times New Roman" w:cs="Times New Roman" w:eastAsia="Times New Roman" w:hAnsi="Times New Roman"/>
          <w:sz w:val="22"/>
          <w:szCs w:val="22"/>
          <w:b w:val="1"/>
          <w:bCs w:val="1"/>
          <w:color w:val="004878"/>
        </w:rPr>
        <w:t>Smartphone users</w:t>
      </w:r>
    </w:p>
    <w:p>
      <w:pPr>
        <w:spacing w:after="0" w:line="48"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21"/>
          <w:szCs w:val="21"/>
          <w:color w:val="004878"/>
        </w:rPr>
        <w:t>Point your camera here and</w:t>
      </w:r>
    </w:p>
    <w:p>
      <w:pPr>
        <w:spacing w:after="0" w:line="16"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22"/>
          <w:szCs w:val="22"/>
          <w:color w:val="004878"/>
        </w:rPr>
        <w:t>vote without entering a</w:t>
      </w:r>
    </w:p>
    <w:p>
      <w:pPr>
        <w:jc w:val="center"/>
        <w:ind w:left="540"/>
        <w:spacing w:after="0"/>
        <w:rPr>
          <w:sz w:val="20"/>
          <w:szCs w:val="20"/>
          <w:color w:val="auto"/>
        </w:rPr>
      </w:pPr>
      <w:r>
        <w:rPr>
          <w:rFonts w:ascii="Times New Roman" w:cs="Times New Roman" w:eastAsia="Times New Roman" w:hAnsi="Times New Roman"/>
          <w:sz w:val="22"/>
          <w:szCs w:val="22"/>
          <w:color w:val="004878"/>
        </w:rPr>
        <w:t>control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666115</wp:posOffset>
            </wp:positionH>
            <wp:positionV relativeFrom="paragraph">
              <wp:posOffset>-3810</wp:posOffset>
            </wp:positionV>
            <wp:extent cx="1200150" cy="4457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00150" cy="4457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b w:val="1"/>
          <w:bCs w:val="1"/>
          <w:color w:val="004878"/>
        </w:rPr>
        <w:t>Vote Virtually at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-174625</wp:posOffset>
            </wp:positionV>
            <wp:extent cx="8255" cy="1551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255" cy="155194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-114300</wp:posOffset>
            </wp:positionV>
            <wp:extent cx="600075" cy="5314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0075" cy="531495"/>
                    </a:xfrm>
                    <a:prstGeom prst="rect">
                      <a:avLst/>
                    </a:prstGeom>
                    <a:noFill/>
                  </pic:spPr>
                </pic:pic>
              </a:graphicData>
            </a:graphic>
          </wp:anchor>
        </w:drawing>
      </w:r>
    </w:p>
    <w:p>
      <w:pPr>
        <w:spacing w:after="0" w:line="1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004878"/>
        </w:rPr>
        <w:t>May13, 2025</w:t>
      </w:r>
    </w:p>
    <w:p>
      <w:pPr>
        <w:spacing w:after="0" w:line="3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004878"/>
        </w:rPr>
        <w:t>9:00 a.m., Eastern Time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4878"/>
        </w:rPr>
        <w:t>Virtually at:</w:t>
      </w:r>
    </w:p>
    <w:p>
      <w:pPr>
        <w:spacing w:after="0" w:line="27"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004878"/>
        </w:rPr>
        <w:t>www.virtualshareholdermeeting.com/VAC2025. The company will be hosting the meeting live via the Internet this year. To attend the meeting go to www.virtualshareholdermeeting.com/VAC2025. Have the control number that is printed above available and follow the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-3710305</wp:posOffset>
            </wp:positionH>
            <wp:positionV relativeFrom="paragraph">
              <wp:posOffset>139065</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20" w:space="720"/>
            <w:col w:w="5120"/>
          </w:cols>
          <w:pgMar w:left="440" w:top="266" w:right="499" w:bottom="1440" w:gutter="0" w:footer="0" w:header="0"/>
          <w:type w:val="continuous"/>
        </w:sectPr>
      </w:pPr>
    </w:p>
    <w:p>
      <w:pPr>
        <w:spacing w:after="0" w:line="136" w:lineRule="exact"/>
        <w:rPr>
          <w:sz w:val="20"/>
          <w:szCs w:val="20"/>
          <w:color w:val="auto"/>
        </w:rPr>
      </w:pPr>
    </w:p>
    <w:p>
      <w:pPr>
        <w:ind w:left="220" w:right="520"/>
        <w:spacing w:after="0" w:line="282" w:lineRule="auto"/>
        <w:rPr>
          <w:sz w:val="20"/>
          <w:szCs w:val="20"/>
          <w:color w:val="auto"/>
        </w:rPr>
      </w:pPr>
      <w:r>
        <w:rPr>
          <w:rFonts w:ascii="Times New Roman" w:cs="Times New Roman" w:eastAsia="Times New Roman" w:hAnsi="Times New Roman"/>
          <w:sz w:val="18"/>
          <w:szCs w:val="18"/>
          <w:color w:val="004878"/>
        </w:rPr>
        <w:t>*Please check the proxy materials for instructions on any special requirements for meeting attendance and how to access the Company’s 2025 Annual Meeting of Stockholders as well as for information regarding how to vote online, by phone or by mail before the meeting.</w:t>
      </w:r>
    </w:p>
    <w:p>
      <w:pPr>
        <w:sectPr>
          <w:pgSz w:w="11900" w:h="16838" w:orient="portrait"/>
          <w:cols w:equalWidth="0" w:num="1">
            <w:col w:w="10960"/>
          </w:cols>
          <w:pgMar w:left="440" w:top="266" w:right="49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31"/>
          <w:szCs w:val="31"/>
          <w:b w:val="1"/>
          <w:bCs w:val="1"/>
          <w:color w:val="007BB6"/>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Vote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160655</wp:posOffset>
            </wp:positionV>
            <wp:extent cx="6995160" cy="514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51435"/>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27"/>
          <w:szCs w:val="27"/>
          <w:b w:val="1"/>
          <w:bCs w:val="1"/>
          <w:color w:val="004878"/>
        </w:rPr>
        <w:t>  THIS IS NOT A VOTABLE BALLOT</w:t>
      </w:r>
      <w:r>
        <w:rPr>
          <w:sz w:val="20"/>
          <w:szCs w:val="20"/>
          <w:color w:val="auto"/>
        </w:rPr>
        <w:tab/>
      </w:r>
      <w:r>
        <w:rPr>
          <w:rFonts w:ascii="Times New Roman" w:cs="Times New Roman" w:eastAsia="Times New Roman" w:hAnsi="Times New Roman"/>
          <w:sz w:val="6"/>
          <w:szCs w:val="6"/>
          <w:color w:val="auto"/>
          <w:vertAlign w:val="superscript"/>
        </w:rPr>
        <w:t> </w:t>
      </w:r>
    </w:p>
    <w:p>
      <w:pPr>
        <w:spacing w:after="0" w:line="18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004878"/>
        </w:rPr>
        <w:t>This is an overview of the more complete proxy materials that are</w:t>
      </w:r>
    </w:p>
    <w:p>
      <w:pPr>
        <w:spacing w:after="0" w:line="1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004878"/>
        </w:rPr>
        <w:t>available to you on the Internet. You may view the proxy materials</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004878"/>
        </w:rPr>
        <w:t>online at www.proxyvote.com or easily request a paper copy. We</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004878"/>
        </w:rPr>
        <w:t>encourage you to access and review all of the important information</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004878"/>
        </w:rPr>
        <w:t>contained in the proxy materials before voting.</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7"/>
          <w:szCs w:val="27"/>
          <w:b w:val="1"/>
          <w:bCs w:val="1"/>
          <w:color w:val="004878"/>
        </w:rPr>
        <w:t>  HOW TO VOTE</w:t>
      </w:r>
    </w:p>
    <w:p>
      <w:pPr>
        <w:spacing w:after="0" w:line="13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004878"/>
        </w:rPr>
        <w:t> </w:t>
      </w:r>
      <w:r>
        <w:rPr>
          <w:rFonts w:ascii="Times New Roman" w:cs="Times New Roman" w:eastAsia="Times New Roman" w:hAnsi="Times New Roman"/>
          <w:sz w:val="18"/>
          <w:szCs w:val="18"/>
          <w:u w:val="single" w:color="auto"/>
          <w:color w:val="004878"/>
        </w:rPr>
        <w:t>Vote By Internet</w:t>
      </w:r>
      <w:r>
        <w:rPr>
          <w:rFonts w:ascii="Times New Roman" w:cs="Times New Roman" w:eastAsia="Times New Roman" w:hAnsi="Times New Roman"/>
          <w:sz w:val="18"/>
          <w:szCs w:val="18"/>
          <w:color w:val="004878"/>
        </w:rPr>
        <w:t xml:space="preserve"> - Before The Meeting - </w:t>
      </w:r>
      <w:r>
        <w:rPr>
          <w:rFonts w:ascii="Times New Roman" w:cs="Times New Roman" w:eastAsia="Times New Roman" w:hAnsi="Times New Roman"/>
          <w:sz w:val="18"/>
          <w:szCs w:val="18"/>
          <w:b w:val="1"/>
          <w:bCs w:val="1"/>
          <w:color w:val="004878"/>
        </w:rPr>
        <w:t>Go to www.proxyvote.com</w:t>
      </w:r>
      <w:r>
        <w:rPr>
          <w:rFonts w:ascii="Times New Roman" w:cs="Times New Roman" w:eastAsia="Times New Roman" w:hAnsi="Times New Roman"/>
          <w:sz w:val="18"/>
          <w:szCs w:val="18"/>
          <w:color w:val="004878"/>
        </w:rPr>
        <w:t xml:space="preserve"> - During the Meeting - </w:t>
      </w:r>
      <w:r>
        <w:rPr>
          <w:rFonts w:ascii="Times New Roman" w:cs="Times New Roman" w:eastAsia="Times New Roman" w:hAnsi="Times New Roman"/>
          <w:sz w:val="18"/>
          <w:szCs w:val="18"/>
          <w:b w:val="1"/>
          <w:bCs w:val="1"/>
          <w:color w:val="004878"/>
        </w:rPr>
        <w:t>Go to www.virtualshareholdermeeting.com/VAC2025</w:t>
      </w:r>
    </w:p>
    <w:p>
      <w:pPr>
        <w:spacing w:after="0" w:line="256" w:lineRule="exact"/>
        <w:rPr>
          <w:sz w:val="20"/>
          <w:szCs w:val="20"/>
          <w:color w:val="auto"/>
        </w:rPr>
      </w:pPr>
    </w:p>
    <w:p>
      <w:pPr>
        <w:ind w:left="100" w:right="280"/>
        <w:spacing w:after="0" w:line="282" w:lineRule="auto"/>
        <w:rPr>
          <w:sz w:val="20"/>
          <w:szCs w:val="20"/>
          <w:color w:val="auto"/>
        </w:rPr>
      </w:pPr>
      <w:r>
        <w:rPr>
          <w:rFonts w:ascii="Times New Roman" w:cs="Times New Roman" w:eastAsia="Times New Roman" w:hAnsi="Times New Roman"/>
          <w:sz w:val="18"/>
          <w:szCs w:val="18"/>
          <w:color w:val="004878"/>
        </w:rPr>
        <w:t> </w:t>
      </w:r>
      <w:r>
        <w:rPr>
          <w:rFonts w:ascii="Times New Roman" w:cs="Times New Roman" w:eastAsia="Times New Roman" w:hAnsi="Times New Roman"/>
          <w:sz w:val="18"/>
          <w:szCs w:val="18"/>
          <w:u w:val="single" w:color="auto"/>
          <w:color w:val="004878"/>
        </w:rPr>
        <w:t>Vote By Mail</w:t>
      </w:r>
      <w:r>
        <w:rPr>
          <w:rFonts w:ascii="Times New Roman" w:cs="Times New Roman" w:eastAsia="Times New Roman" w:hAnsi="Times New Roman"/>
          <w:sz w:val="18"/>
          <w:szCs w:val="18"/>
          <w:color w:val="004878"/>
        </w:rPr>
        <w:t xml:space="preserve"> - Mark, sign and date your proxy card and return it in the postage-paid envelope we have provided or return it to Vote Processing, c/o  Broadridge, 51 Mercedes Way, Edgewood, NY 11717.</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30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004878"/>
              </w:rPr>
              <w:t>Board</w:t>
            </w:r>
          </w:p>
        </w:tc>
        <w:tc>
          <w:tcPr>
            <w:tcW w:w="0" w:type="dxa"/>
            <w:vAlign w:val="bottom"/>
          </w:tcPr>
          <w:p>
            <w:pPr>
              <w:spacing w:after="0"/>
              <w:rPr>
                <w:sz w:val="1"/>
                <w:szCs w:val="1"/>
                <w:color w:val="auto"/>
              </w:rPr>
            </w:pPr>
          </w:p>
        </w:tc>
      </w:tr>
      <w:tr>
        <w:trPr>
          <w:trHeight w:val="259"/>
        </w:trPr>
        <w:tc>
          <w:tcPr>
            <w:tcW w:w="5140" w:type="dxa"/>
            <w:vAlign w:val="bottom"/>
            <w:tcBorders>
              <w:bottom w:val="single" w:sz="8" w:color="F0EFF7"/>
            </w:tcBorders>
            <w:gridSpan w:val="5"/>
          </w:tcPr>
          <w:p>
            <w:pPr>
              <w:spacing w:after="0"/>
              <w:rPr>
                <w:sz w:val="20"/>
                <w:szCs w:val="20"/>
                <w:color w:val="auto"/>
              </w:rPr>
            </w:pPr>
            <w:r>
              <w:rPr>
                <w:rFonts w:ascii="Times New Roman" w:cs="Times New Roman" w:eastAsia="Times New Roman" w:hAnsi="Times New Roman"/>
                <w:sz w:val="18"/>
                <w:szCs w:val="18"/>
                <w:b w:val="1"/>
                <w:bCs w:val="1"/>
                <w:color w:val="004878"/>
              </w:rPr>
              <w:t>    Voting Items</w:t>
            </w:r>
          </w:p>
        </w:tc>
        <w:tc>
          <w:tcPr>
            <w:tcW w:w="320" w:type="dxa"/>
            <w:vAlign w:val="bottom"/>
            <w:tcBorders>
              <w:bottom w:val="single" w:sz="8" w:color="F0EFF7"/>
            </w:tcBorders>
          </w:tcPr>
          <w:p>
            <w:pPr>
              <w:spacing w:after="0"/>
              <w:rPr>
                <w:sz w:val="22"/>
                <w:szCs w:val="22"/>
                <w:color w:val="auto"/>
              </w:rPr>
            </w:pPr>
          </w:p>
        </w:tc>
        <w:tc>
          <w:tcPr>
            <w:tcW w:w="4260" w:type="dxa"/>
            <w:vAlign w:val="bottom"/>
            <w:tcBorders>
              <w:bottom w:val="single" w:sz="8" w:color="F0EFF7"/>
            </w:tcBorders>
          </w:tcPr>
          <w:p>
            <w:pPr>
              <w:spacing w:after="0"/>
              <w:rPr>
                <w:sz w:val="22"/>
                <w:szCs w:val="22"/>
                <w:color w:val="auto"/>
              </w:rPr>
            </w:pPr>
          </w:p>
        </w:tc>
        <w:tc>
          <w:tcPr>
            <w:tcW w:w="1300" w:type="dxa"/>
            <w:vAlign w:val="bottom"/>
            <w:tcBorders>
              <w:bottom w:val="single" w:sz="8" w:color="F0EFF7"/>
            </w:tcBorders>
          </w:tcPr>
          <w:p>
            <w:pPr>
              <w:ind w:left="180"/>
              <w:spacing w:after="0"/>
              <w:rPr>
                <w:sz w:val="20"/>
                <w:szCs w:val="20"/>
                <w:color w:val="auto"/>
              </w:rPr>
            </w:pPr>
            <w:r>
              <w:rPr>
                <w:rFonts w:ascii="Times New Roman" w:cs="Times New Roman" w:eastAsia="Times New Roman" w:hAnsi="Times New Roman"/>
                <w:sz w:val="18"/>
                <w:szCs w:val="18"/>
                <w:b w:val="1"/>
                <w:bCs w:val="1"/>
                <w:color w:val="004878"/>
              </w:rPr>
              <w:t>Recommends</w:t>
            </w:r>
          </w:p>
        </w:tc>
        <w:tc>
          <w:tcPr>
            <w:tcW w:w="0" w:type="dxa"/>
            <w:vAlign w:val="bottom"/>
          </w:tcPr>
          <w:p>
            <w:pPr>
              <w:spacing w:after="0"/>
              <w:rPr>
                <w:sz w:val="1"/>
                <w:szCs w:val="1"/>
                <w:color w:val="auto"/>
              </w:rPr>
            </w:pPr>
          </w:p>
        </w:tc>
      </w:tr>
      <w:tr>
        <w:trPr>
          <w:trHeight w:val="216"/>
        </w:trPr>
        <w:tc>
          <w:tcPr>
            <w:tcW w:w="300" w:type="dxa"/>
            <w:vAlign w:val="bottom"/>
            <w:shd w:val="clear" w:color="auto" w:fill="F0EFF7"/>
          </w:tcPr>
          <w:p>
            <w:pPr>
              <w:jc w:val="right"/>
              <w:spacing w:after="0"/>
              <w:rPr>
                <w:sz w:val="20"/>
                <w:szCs w:val="20"/>
                <w:color w:val="auto"/>
              </w:rPr>
            </w:pPr>
            <w:r>
              <w:rPr>
                <w:rFonts w:ascii="Times New Roman" w:cs="Times New Roman" w:eastAsia="Times New Roman" w:hAnsi="Times New Roman"/>
                <w:sz w:val="18"/>
                <w:szCs w:val="18"/>
                <w:color w:val="004878"/>
              </w:rPr>
              <w:t>1.</w:t>
            </w:r>
          </w:p>
        </w:tc>
        <w:tc>
          <w:tcPr>
            <w:tcW w:w="4760" w:type="dxa"/>
            <w:vAlign w:val="bottom"/>
            <w:gridSpan w:val="3"/>
            <w:shd w:val="clear" w:color="auto" w:fill="F0EFF7"/>
          </w:tcPr>
          <w:p>
            <w:pPr>
              <w:ind w:left="120"/>
              <w:spacing w:after="0"/>
              <w:rPr>
                <w:sz w:val="20"/>
                <w:szCs w:val="20"/>
                <w:color w:val="auto"/>
              </w:rPr>
            </w:pPr>
            <w:r>
              <w:rPr>
                <w:rFonts w:ascii="Times New Roman" w:cs="Times New Roman" w:eastAsia="Times New Roman" w:hAnsi="Times New Roman"/>
                <w:sz w:val="18"/>
                <w:szCs w:val="18"/>
                <w:color w:val="004878"/>
              </w:rPr>
              <w:t>Election of Directors</w:t>
            </w:r>
          </w:p>
        </w:tc>
        <w:tc>
          <w:tcPr>
            <w:tcW w:w="80" w:type="dxa"/>
            <w:vAlign w:val="bottom"/>
            <w:shd w:val="clear" w:color="auto" w:fill="F0EFF7"/>
          </w:tcPr>
          <w:p>
            <w:pPr>
              <w:spacing w:after="0"/>
              <w:rPr>
                <w:sz w:val="18"/>
                <w:szCs w:val="18"/>
                <w:color w:val="auto"/>
              </w:rPr>
            </w:pPr>
          </w:p>
        </w:tc>
        <w:tc>
          <w:tcPr>
            <w:tcW w:w="320" w:type="dxa"/>
            <w:vAlign w:val="bottom"/>
            <w:shd w:val="clear" w:color="auto" w:fill="F0EFF7"/>
          </w:tcPr>
          <w:p>
            <w:pPr>
              <w:spacing w:after="0"/>
              <w:rPr>
                <w:sz w:val="18"/>
                <w:szCs w:val="18"/>
                <w:color w:val="auto"/>
              </w:rPr>
            </w:pPr>
          </w:p>
        </w:tc>
        <w:tc>
          <w:tcPr>
            <w:tcW w:w="4260" w:type="dxa"/>
            <w:vAlign w:val="bottom"/>
            <w:tcBorders>
              <w:right w:val="single" w:sz="8" w:color="004878"/>
            </w:tcBorders>
            <w:shd w:val="clear" w:color="auto" w:fill="F0EFF7"/>
          </w:tcPr>
          <w:p>
            <w:pPr>
              <w:spacing w:after="0"/>
              <w:rPr>
                <w:sz w:val="18"/>
                <w:szCs w:val="18"/>
                <w:color w:val="auto"/>
              </w:rPr>
            </w:pPr>
          </w:p>
        </w:tc>
        <w:tc>
          <w:tcPr>
            <w:tcW w:w="1300" w:type="dxa"/>
            <w:vAlign w:val="bottom"/>
            <w:shd w:val="clear" w:color="auto" w:fill="F0EFF7"/>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300" w:type="dxa"/>
            <w:vAlign w:val="bottom"/>
            <w:shd w:val="clear" w:color="auto" w:fill="F0EFF7"/>
          </w:tcPr>
          <w:p>
            <w:pPr>
              <w:spacing w:after="0"/>
              <w:rPr>
                <w:sz w:val="24"/>
                <w:szCs w:val="24"/>
                <w:color w:val="auto"/>
              </w:rPr>
            </w:pPr>
          </w:p>
        </w:tc>
        <w:tc>
          <w:tcPr>
            <w:tcW w:w="4760" w:type="dxa"/>
            <w:vAlign w:val="bottom"/>
            <w:gridSpan w:val="3"/>
            <w:shd w:val="clear" w:color="auto" w:fill="F0EFF7"/>
          </w:tcPr>
          <w:p>
            <w:pPr>
              <w:ind w:left="120"/>
              <w:spacing w:after="0"/>
              <w:rPr>
                <w:sz w:val="20"/>
                <w:szCs w:val="20"/>
                <w:color w:val="auto"/>
              </w:rPr>
            </w:pPr>
            <w:r>
              <w:rPr>
                <w:rFonts w:ascii="Times New Roman" w:cs="Times New Roman" w:eastAsia="Times New Roman" w:hAnsi="Times New Roman"/>
                <w:sz w:val="18"/>
                <w:szCs w:val="18"/>
                <w:b w:val="1"/>
                <w:bCs w:val="1"/>
                <w:color w:val="004878"/>
              </w:rPr>
              <w:t>Nominees:</w:t>
            </w:r>
          </w:p>
        </w:tc>
        <w:tc>
          <w:tcPr>
            <w:tcW w:w="80" w:type="dxa"/>
            <w:vAlign w:val="bottom"/>
            <w:shd w:val="clear" w:color="auto" w:fill="F0EFF7"/>
          </w:tcPr>
          <w:p>
            <w:pPr>
              <w:spacing w:after="0"/>
              <w:rPr>
                <w:sz w:val="24"/>
                <w:szCs w:val="24"/>
                <w:color w:val="auto"/>
              </w:rPr>
            </w:pPr>
          </w:p>
        </w:tc>
        <w:tc>
          <w:tcPr>
            <w:tcW w:w="320" w:type="dxa"/>
            <w:vAlign w:val="bottom"/>
            <w:shd w:val="clear" w:color="auto" w:fill="F0EFF7"/>
          </w:tcPr>
          <w:p>
            <w:pPr>
              <w:spacing w:after="0"/>
              <w:rPr>
                <w:sz w:val="24"/>
                <w:szCs w:val="24"/>
                <w:color w:val="auto"/>
              </w:rPr>
            </w:pPr>
          </w:p>
        </w:tc>
        <w:tc>
          <w:tcPr>
            <w:tcW w:w="4260" w:type="dxa"/>
            <w:vAlign w:val="bottom"/>
            <w:tcBorders>
              <w:right w:val="single" w:sz="8" w:color="004878"/>
            </w:tcBorders>
            <w:shd w:val="clear" w:color="auto" w:fill="F0EFF7"/>
          </w:tcPr>
          <w:p>
            <w:pPr>
              <w:spacing w:after="0"/>
              <w:rPr>
                <w:sz w:val="24"/>
                <w:szCs w:val="24"/>
                <w:color w:val="auto"/>
              </w:rPr>
            </w:pPr>
          </w:p>
        </w:tc>
        <w:tc>
          <w:tcPr>
            <w:tcW w:w="1300" w:type="dxa"/>
            <w:vAlign w:val="bottom"/>
            <w:shd w:val="clear" w:color="auto" w:fill="F0EFF7"/>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 w:type="dxa"/>
            <w:vAlign w:val="bottom"/>
            <w:shd w:val="clear" w:color="auto" w:fill="F0EFF7"/>
          </w:tcPr>
          <w:p>
            <w:pPr>
              <w:spacing w:after="0"/>
              <w:rPr>
                <w:sz w:val="24"/>
                <w:szCs w:val="24"/>
                <w:color w:val="auto"/>
              </w:rPr>
            </w:pPr>
          </w:p>
        </w:tc>
        <w:tc>
          <w:tcPr>
            <w:tcW w:w="120" w:type="dxa"/>
            <w:vAlign w:val="bottom"/>
            <w:shd w:val="clear" w:color="auto" w:fill="F0EFF7"/>
          </w:tcPr>
          <w:p>
            <w:pPr>
              <w:spacing w:after="0"/>
              <w:rPr>
                <w:sz w:val="24"/>
                <w:szCs w:val="24"/>
                <w:color w:val="auto"/>
              </w:rPr>
            </w:pPr>
          </w:p>
        </w:tc>
        <w:tc>
          <w:tcPr>
            <w:tcW w:w="240" w:type="dxa"/>
            <w:vAlign w:val="bottom"/>
            <w:shd w:val="clear" w:color="auto" w:fill="F0EFF7"/>
          </w:tcPr>
          <w:p>
            <w:pPr>
              <w:spacing w:after="0"/>
              <w:rPr>
                <w:sz w:val="20"/>
                <w:szCs w:val="20"/>
                <w:color w:val="auto"/>
              </w:rPr>
            </w:pPr>
            <w:r>
              <w:rPr>
                <w:rFonts w:ascii="Times New Roman" w:cs="Times New Roman" w:eastAsia="Times New Roman" w:hAnsi="Times New Roman"/>
                <w:sz w:val="18"/>
                <w:szCs w:val="18"/>
                <w:color w:val="004878"/>
                <w:w w:val="91"/>
              </w:rPr>
              <w:t>01)</w:t>
            </w:r>
          </w:p>
        </w:tc>
        <w:tc>
          <w:tcPr>
            <w:tcW w:w="4400" w:type="dxa"/>
            <w:vAlign w:val="bottom"/>
            <w:shd w:val="clear" w:color="auto" w:fill="F0EFF7"/>
          </w:tcPr>
          <w:p>
            <w:pPr>
              <w:ind w:left="100"/>
              <w:spacing w:after="0"/>
              <w:rPr>
                <w:sz w:val="20"/>
                <w:szCs w:val="20"/>
                <w:color w:val="auto"/>
              </w:rPr>
            </w:pPr>
            <w:r>
              <w:rPr>
                <w:rFonts w:ascii="Times New Roman" w:cs="Times New Roman" w:eastAsia="Times New Roman" w:hAnsi="Times New Roman"/>
                <w:sz w:val="18"/>
                <w:szCs w:val="18"/>
                <w:color w:val="004878"/>
              </w:rPr>
              <w:t>Matthew E. Avril</w:t>
            </w:r>
          </w:p>
        </w:tc>
        <w:tc>
          <w:tcPr>
            <w:tcW w:w="80" w:type="dxa"/>
            <w:vAlign w:val="bottom"/>
            <w:shd w:val="clear" w:color="auto" w:fill="F0EFF7"/>
          </w:tcPr>
          <w:p>
            <w:pPr>
              <w:spacing w:after="0"/>
              <w:rPr>
                <w:sz w:val="24"/>
                <w:szCs w:val="24"/>
                <w:color w:val="auto"/>
              </w:rPr>
            </w:pPr>
          </w:p>
        </w:tc>
        <w:tc>
          <w:tcPr>
            <w:tcW w:w="320" w:type="dxa"/>
            <w:vAlign w:val="bottom"/>
            <w:shd w:val="clear" w:color="auto" w:fill="F0EFF7"/>
          </w:tcPr>
          <w:p>
            <w:pPr>
              <w:jc w:val="right"/>
              <w:spacing w:after="0"/>
              <w:rPr>
                <w:sz w:val="20"/>
                <w:szCs w:val="20"/>
                <w:color w:val="auto"/>
              </w:rPr>
            </w:pPr>
            <w:r>
              <w:rPr>
                <w:rFonts w:ascii="Times New Roman" w:cs="Times New Roman" w:eastAsia="Times New Roman" w:hAnsi="Times New Roman"/>
                <w:sz w:val="18"/>
                <w:szCs w:val="18"/>
                <w:color w:val="004878"/>
                <w:w w:val="99"/>
              </w:rPr>
              <w:t>05)</w:t>
            </w:r>
          </w:p>
        </w:tc>
        <w:tc>
          <w:tcPr>
            <w:tcW w:w="4260" w:type="dxa"/>
            <w:vAlign w:val="bottom"/>
            <w:tcBorders>
              <w:right w:val="single" w:sz="8" w:color="004878"/>
            </w:tcBorders>
            <w:shd w:val="clear" w:color="auto" w:fill="F0EFF7"/>
          </w:tcPr>
          <w:p>
            <w:pPr>
              <w:ind w:left="60"/>
              <w:spacing w:after="0"/>
              <w:rPr>
                <w:sz w:val="20"/>
                <w:szCs w:val="20"/>
                <w:color w:val="auto"/>
              </w:rPr>
            </w:pPr>
            <w:r>
              <w:rPr>
                <w:rFonts w:ascii="Times New Roman" w:cs="Times New Roman" w:eastAsia="Times New Roman" w:hAnsi="Times New Roman"/>
                <w:sz w:val="18"/>
                <w:szCs w:val="18"/>
                <w:color w:val="004878"/>
              </w:rPr>
              <w:t>John E. Geller, Jr.</w:t>
            </w:r>
          </w:p>
        </w:tc>
        <w:tc>
          <w:tcPr>
            <w:tcW w:w="1300" w:type="dxa"/>
            <w:vAlign w:val="bottom"/>
            <w:vMerge w:val="restart"/>
            <w:shd w:val="clear" w:color="auto" w:fill="F0EFF7"/>
          </w:tcPr>
          <w:p>
            <w:pPr>
              <w:ind w:left="380"/>
              <w:spacing w:after="0"/>
              <w:rPr>
                <w:sz w:val="20"/>
                <w:szCs w:val="20"/>
                <w:color w:val="auto"/>
              </w:rPr>
            </w:pPr>
            <w:r>
              <w:rPr>
                <w:rFonts w:ascii="Times New Roman" w:cs="Times New Roman" w:eastAsia="Times New Roman" w:hAnsi="Times New Roman"/>
                <w:sz w:val="18"/>
                <w:szCs w:val="18"/>
                <w:b w:val="1"/>
                <w:bCs w:val="1"/>
                <w:color w:val="004878"/>
              </w:rPr>
              <w:t> For</w:t>
            </w:r>
          </w:p>
        </w:tc>
        <w:tc>
          <w:tcPr>
            <w:tcW w:w="0" w:type="dxa"/>
            <w:vAlign w:val="bottom"/>
          </w:tcPr>
          <w:p>
            <w:pPr>
              <w:spacing w:after="0"/>
              <w:rPr>
                <w:sz w:val="1"/>
                <w:szCs w:val="1"/>
                <w:color w:val="auto"/>
              </w:rPr>
            </w:pPr>
          </w:p>
        </w:tc>
      </w:tr>
      <w:tr>
        <w:trPr>
          <w:trHeight w:val="94"/>
        </w:trPr>
        <w:tc>
          <w:tcPr>
            <w:tcW w:w="300" w:type="dxa"/>
            <w:vAlign w:val="bottom"/>
            <w:shd w:val="clear" w:color="auto" w:fill="F0EFF7"/>
          </w:tcPr>
          <w:p>
            <w:pPr>
              <w:spacing w:after="0"/>
              <w:rPr>
                <w:sz w:val="8"/>
                <w:szCs w:val="8"/>
                <w:color w:val="auto"/>
              </w:rPr>
            </w:pPr>
          </w:p>
        </w:tc>
        <w:tc>
          <w:tcPr>
            <w:tcW w:w="120" w:type="dxa"/>
            <w:vAlign w:val="bottom"/>
            <w:shd w:val="clear" w:color="auto" w:fill="F0EFF7"/>
          </w:tcPr>
          <w:p>
            <w:pPr>
              <w:spacing w:after="0"/>
              <w:rPr>
                <w:sz w:val="8"/>
                <w:szCs w:val="8"/>
                <w:color w:val="auto"/>
              </w:rPr>
            </w:pPr>
          </w:p>
        </w:tc>
        <w:tc>
          <w:tcPr>
            <w:tcW w:w="240" w:type="dxa"/>
            <w:vAlign w:val="bottom"/>
            <w:vMerge w:val="restart"/>
            <w:shd w:val="clear" w:color="auto" w:fill="F0EFF7"/>
          </w:tcPr>
          <w:p>
            <w:pPr>
              <w:spacing w:after="0"/>
              <w:rPr>
                <w:sz w:val="20"/>
                <w:szCs w:val="20"/>
                <w:color w:val="auto"/>
              </w:rPr>
            </w:pPr>
            <w:r>
              <w:rPr>
                <w:rFonts w:ascii="Times New Roman" w:cs="Times New Roman" w:eastAsia="Times New Roman" w:hAnsi="Times New Roman"/>
                <w:sz w:val="18"/>
                <w:szCs w:val="18"/>
                <w:color w:val="004878"/>
                <w:w w:val="91"/>
              </w:rPr>
              <w:t>02)</w:t>
            </w:r>
          </w:p>
        </w:tc>
        <w:tc>
          <w:tcPr>
            <w:tcW w:w="4400" w:type="dxa"/>
            <w:vAlign w:val="bottom"/>
            <w:vMerge w:val="restart"/>
            <w:shd w:val="clear" w:color="auto" w:fill="F0EFF7"/>
          </w:tcPr>
          <w:p>
            <w:pPr>
              <w:ind w:left="100"/>
              <w:spacing w:after="0"/>
              <w:rPr>
                <w:sz w:val="20"/>
                <w:szCs w:val="20"/>
                <w:color w:val="auto"/>
              </w:rPr>
            </w:pPr>
            <w:r>
              <w:rPr>
                <w:rFonts w:ascii="Times New Roman" w:cs="Times New Roman" w:eastAsia="Times New Roman" w:hAnsi="Times New Roman"/>
                <w:sz w:val="18"/>
                <w:szCs w:val="18"/>
                <w:color w:val="004878"/>
              </w:rPr>
              <w:t>James A. Dausch</w:t>
            </w:r>
          </w:p>
        </w:tc>
        <w:tc>
          <w:tcPr>
            <w:tcW w:w="80" w:type="dxa"/>
            <w:vAlign w:val="bottom"/>
            <w:shd w:val="clear" w:color="auto" w:fill="F0EFF7"/>
          </w:tcPr>
          <w:p>
            <w:pPr>
              <w:spacing w:after="0"/>
              <w:rPr>
                <w:sz w:val="8"/>
                <w:szCs w:val="8"/>
                <w:color w:val="auto"/>
              </w:rPr>
            </w:pPr>
          </w:p>
        </w:tc>
        <w:tc>
          <w:tcPr>
            <w:tcW w:w="320" w:type="dxa"/>
            <w:vAlign w:val="bottom"/>
            <w:vMerge w:val="restart"/>
            <w:shd w:val="clear" w:color="auto" w:fill="F0EFF7"/>
          </w:tcPr>
          <w:p>
            <w:pPr>
              <w:jc w:val="right"/>
              <w:spacing w:after="0"/>
              <w:rPr>
                <w:sz w:val="20"/>
                <w:szCs w:val="20"/>
                <w:color w:val="auto"/>
              </w:rPr>
            </w:pPr>
            <w:r>
              <w:rPr>
                <w:rFonts w:ascii="Times New Roman" w:cs="Times New Roman" w:eastAsia="Times New Roman" w:hAnsi="Times New Roman"/>
                <w:sz w:val="18"/>
                <w:szCs w:val="18"/>
                <w:color w:val="004878"/>
                <w:w w:val="99"/>
              </w:rPr>
              <w:t>06)</w:t>
            </w:r>
          </w:p>
        </w:tc>
        <w:tc>
          <w:tcPr>
            <w:tcW w:w="4260" w:type="dxa"/>
            <w:vAlign w:val="bottom"/>
            <w:tcBorders>
              <w:right w:val="single" w:sz="8" w:color="004878"/>
            </w:tcBorders>
            <w:vMerge w:val="restart"/>
            <w:shd w:val="clear" w:color="auto" w:fill="F0EFF7"/>
          </w:tcPr>
          <w:p>
            <w:pPr>
              <w:ind w:left="60"/>
              <w:spacing w:after="0"/>
              <w:rPr>
                <w:sz w:val="20"/>
                <w:szCs w:val="20"/>
                <w:color w:val="auto"/>
              </w:rPr>
            </w:pPr>
            <w:r>
              <w:rPr>
                <w:rFonts w:ascii="Times New Roman" w:cs="Times New Roman" w:eastAsia="Times New Roman" w:hAnsi="Times New Roman"/>
                <w:sz w:val="18"/>
                <w:szCs w:val="18"/>
                <w:color w:val="004878"/>
              </w:rPr>
              <w:t>Jonice M. Gray</w:t>
            </w:r>
          </w:p>
        </w:tc>
        <w:tc>
          <w:tcPr>
            <w:tcW w:w="1300" w:type="dxa"/>
            <w:vAlign w:val="bottom"/>
            <w:vMerge w:val="continue"/>
            <w:shd w:val="clear" w:color="auto" w:fill="F0EFF7"/>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F0EFF7"/>
          </w:tcPr>
          <w:p>
            <w:pPr>
              <w:spacing w:after="0"/>
              <w:rPr>
                <w:sz w:val="18"/>
                <w:szCs w:val="18"/>
                <w:color w:val="auto"/>
              </w:rPr>
            </w:pPr>
          </w:p>
        </w:tc>
        <w:tc>
          <w:tcPr>
            <w:tcW w:w="120" w:type="dxa"/>
            <w:vAlign w:val="bottom"/>
            <w:shd w:val="clear" w:color="auto" w:fill="F0EFF7"/>
          </w:tcPr>
          <w:p>
            <w:pPr>
              <w:spacing w:after="0"/>
              <w:rPr>
                <w:sz w:val="18"/>
                <w:szCs w:val="18"/>
                <w:color w:val="auto"/>
              </w:rPr>
            </w:pPr>
          </w:p>
        </w:tc>
        <w:tc>
          <w:tcPr>
            <w:tcW w:w="240" w:type="dxa"/>
            <w:vAlign w:val="bottom"/>
            <w:vMerge w:val="continue"/>
            <w:shd w:val="clear" w:color="auto" w:fill="F0EFF7"/>
          </w:tcPr>
          <w:p>
            <w:pPr>
              <w:spacing w:after="0"/>
              <w:rPr>
                <w:sz w:val="18"/>
                <w:szCs w:val="18"/>
                <w:color w:val="auto"/>
              </w:rPr>
            </w:pPr>
          </w:p>
        </w:tc>
        <w:tc>
          <w:tcPr>
            <w:tcW w:w="4400" w:type="dxa"/>
            <w:vAlign w:val="bottom"/>
            <w:vMerge w:val="continue"/>
            <w:shd w:val="clear" w:color="auto" w:fill="F0EFF7"/>
          </w:tcPr>
          <w:p>
            <w:pPr>
              <w:spacing w:after="0"/>
              <w:rPr>
                <w:sz w:val="18"/>
                <w:szCs w:val="18"/>
                <w:color w:val="auto"/>
              </w:rPr>
            </w:pPr>
          </w:p>
        </w:tc>
        <w:tc>
          <w:tcPr>
            <w:tcW w:w="80" w:type="dxa"/>
            <w:vAlign w:val="bottom"/>
            <w:shd w:val="clear" w:color="auto" w:fill="F0EFF7"/>
          </w:tcPr>
          <w:p>
            <w:pPr>
              <w:spacing w:after="0"/>
              <w:rPr>
                <w:sz w:val="18"/>
                <w:szCs w:val="18"/>
                <w:color w:val="auto"/>
              </w:rPr>
            </w:pPr>
          </w:p>
        </w:tc>
        <w:tc>
          <w:tcPr>
            <w:tcW w:w="320" w:type="dxa"/>
            <w:vAlign w:val="bottom"/>
            <w:vMerge w:val="continue"/>
            <w:shd w:val="clear" w:color="auto" w:fill="F0EFF7"/>
          </w:tcPr>
          <w:p>
            <w:pPr>
              <w:spacing w:after="0"/>
              <w:rPr>
                <w:sz w:val="18"/>
                <w:szCs w:val="18"/>
                <w:color w:val="auto"/>
              </w:rPr>
            </w:pPr>
          </w:p>
        </w:tc>
        <w:tc>
          <w:tcPr>
            <w:tcW w:w="4260" w:type="dxa"/>
            <w:vAlign w:val="bottom"/>
            <w:tcBorders>
              <w:right w:val="single" w:sz="8" w:color="004878"/>
            </w:tcBorders>
            <w:vMerge w:val="continue"/>
            <w:shd w:val="clear" w:color="auto" w:fill="F0EFF7"/>
          </w:tcPr>
          <w:p>
            <w:pPr>
              <w:spacing w:after="0"/>
              <w:rPr>
                <w:sz w:val="18"/>
                <w:szCs w:val="18"/>
                <w:color w:val="auto"/>
              </w:rPr>
            </w:pPr>
          </w:p>
        </w:tc>
        <w:tc>
          <w:tcPr>
            <w:tcW w:w="1300" w:type="dxa"/>
            <w:vAlign w:val="bottom"/>
            <w:shd w:val="clear" w:color="auto" w:fill="F0EFF7"/>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F0EFF7"/>
          </w:tcPr>
          <w:p>
            <w:pPr>
              <w:spacing w:after="0"/>
              <w:rPr>
                <w:sz w:val="18"/>
                <w:szCs w:val="18"/>
                <w:color w:val="auto"/>
              </w:rPr>
            </w:pPr>
          </w:p>
        </w:tc>
        <w:tc>
          <w:tcPr>
            <w:tcW w:w="120" w:type="dxa"/>
            <w:vAlign w:val="bottom"/>
            <w:shd w:val="clear" w:color="auto" w:fill="F0EFF7"/>
          </w:tcPr>
          <w:p>
            <w:pPr>
              <w:spacing w:after="0"/>
              <w:rPr>
                <w:sz w:val="18"/>
                <w:szCs w:val="18"/>
                <w:color w:val="auto"/>
              </w:rPr>
            </w:pPr>
          </w:p>
        </w:tc>
        <w:tc>
          <w:tcPr>
            <w:tcW w:w="240" w:type="dxa"/>
            <w:vAlign w:val="bottom"/>
            <w:shd w:val="clear" w:color="auto" w:fill="F0EFF7"/>
          </w:tcPr>
          <w:p>
            <w:pPr>
              <w:spacing w:after="0"/>
              <w:rPr>
                <w:sz w:val="20"/>
                <w:szCs w:val="20"/>
                <w:color w:val="auto"/>
              </w:rPr>
            </w:pPr>
            <w:r>
              <w:rPr>
                <w:rFonts w:ascii="Times New Roman" w:cs="Times New Roman" w:eastAsia="Times New Roman" w:hAnsi="Times New Roman"/>
                <w:sz w:val="18"/>
                <w:szCs w:val="18"/>
                <w:color w:val="004878"/>
                <w:w w:val="91"/>
              </w:rPr>
              <w:t>03)</w:t>
            </w:r>
          </w:p>
        </w:tc>
        <w:tc>
          <w:tcPr>
            <w:tcW w:w="4480" w:type="dxa"/>
            <w:vAlign w:val="bottom"/>
            <w:gridSpan w:val="2"/>
            <w:shd w:val="clear" w:color="auto" w:fill="F0EFF7"/>
          </w:tcPr>
          <w:p>
            <w:pPr>
              <w:ind w:left="100"/>
              <w:spacing w:after="0"/>
              <w:rPr>
                <w:sz w:val="20"/>
                <w:szCs w:val="20"/>
                <w:color w:val="auto"/>
              </w:rPr>
            </w:pPr>
            <w:r>
              <w:rPr>
                <w:rFonts w:ascii="Times New Roman" w:cs="Times New Roman" w:eastAsia="Times New Roman" w:hAnsi="Times New Roman"/>
                <w:sz w:val="18"/>
                <w:szCs w:val="18"/>
                <w:color w:val="004878"/>
              </w:rPr>
              <w:t>Lizanne Galbreath</w:t>
            </w:r>
          </w:p>
        </w:tc>
        <w:tc>
          <w:tcPr>
            <w:tcW w:w="320" w:type="dxa"/>
            <w:vAlign w:val="bottom"/>
            <w:shd w:val="clear" w:color="auto" w:fill="F0EFF7"/>
          </w:tcPr>
          <w:p>
            <w:pPr>
              <w:jc w:val="right"/>
              <w:spacing w:after="0"/>
              <w:rPr>
                <w:sz w:val="20"/>
                <w:szCs w:val="20"/>
                <w:color w:val="auto"/>
              </w:rPr>
            </w:pPr>
            <w:r>
              <w:rPr>
                <w:rFonts w:ascii="Times New Roman" w:cs="Times New Roman" w:eastAsia="Times New Roman" w:hAnsi="Times New Roman"/>
                <w:sz w:val="18"/>
                <w:szCs w:val="18"/>
                <w:color w:val="004878"/>
                <w:w w:val="99"/>
              </w:rPr>
              <w:t>07)</w:t>
            </w:r>
          </w:p>
        </w:tc>
        <w:tc>
          <w:tcPr>
            <w:tcW w:w="4260" w:type="dxa"/>
            <w:vAlign w:val="bottom"/>
            <w:tcBorders>
              <w:right w:val="single" w:sz="8" w:color="004878"/>
            </w:tcBorders>
            <w:shd w:val="clear" w:color="auto" w:fill="F0EFF7"/>
          </w:tcPr>
          <w:p>
            <w:pPr>
              <w:ind w:left="60"/>
              <w:spacing w:after="0"/>
              <w:rPr>
                <w:sz w:val="20"/>
                <w:szCs w:val="20"/>
                <w:color w:val="auto"/>
              </w:rPr>
            </w:pPr>
            <w:r>
              <w:rPr>
                <w:rFonts w:ascii="Times New Roman" w:cs="Times New Roman" w:eastAsia="Times New Roman" w:hAnsi="Times New Roman"/>
                <w:sz w:val="18"/>
                <w:szCs w:val="18"/>
                <w:color w:val="004878"/>
              </w:rPr>
              <w:t>Dianna F. Morgan</w:t>
            </w:r>
          </w:p>
        </w:tc>
        <w:tc>
          <w:tcPr>
            <w:tcW w:w="1300" w:type="dxa"/>
            <w:vAlign w:val="bottom"/>
            <w:shd w:val="clear" w:color="auto" w:fill="F0EFF7"/>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300" w:type="dxa"/>
            <w:vAlign w:val="bottom"/>
            <w:tcBorders>
              <w:bottom w:val="single" w:sz="8" w:color="F0EFF7"/>
            </w:tcBorders>
            <w:shd w:val="clear" w:color="auto" w:fill="F0EFF7"/>
          </w:tcPr>
          <w:p>
            <w:pPr>
              <w:spacing w:after="0"/>
              <w:rPr>
                <w:sz w:val="23"/>
                <w:szCs w:val="23"/>
                <w:color w:val="auto"/>
              </w:rPr>
            </w:pPr>
          </w:p>
        </w:tc>
        <w:tc>
          <w:tcPr>
            <w:tcW w:w="120" w:type="dxa"/>
            <w:vAlign w:val="bottom"/>
            <w:tcBorders>
              <w:bottom w:val="single" w:sz="8" w:color="F0EFF7"/>
            </w:tcBorders>
            <w:shd w:val="clear" w:color="auto" w:fill="F0EFF7"/>
          </w:tcPr>
          <w:p>
            <w:pPr>
              <w:spacing w:after="0"/>
              <w:rPr>
                <w:sz w:val="23"/>
                <w:szCs w:val="23"/>
                <w:color w:val="auto"/>
              </w:rPr>
            </w:pPr>
          </w:p>
        </w:tc>
        <w:tc>
          <w:tcPr>
            <w:tcW w:w="240" w:type="dxa"/>
            <w:vAlign w:val="bottom"/>
            <w:tcBorders>
              <w:bottom w:val="single" w:sz="8" w:color="F0EFF7"/>
            </w:tcBorders>
            <w:shd w:val="clear" w:color="auto" w:fill="F0EFF7"/>
          </w:tcPr>
          <w:p>
            <w:pPr>
              <w:spacing w:after="0"/>
              <w:rPr>
                <w:sz w:val="20"/>
                <w:szCs w:val="20"/>
                <w:color w:val="auto"/>
              </w:rPr>
            </w:pPr>
            <w:r>
              <w:rPr>
                <w:rFonts w:ascii="Times New Roman" w:cs="Times New Roman" w:eastAsia="Times New Roman" w:hAnsi="Times New Roman"/>
                <w:sz w:val="18"/>
                <w:szCs w:val="18"/>
                <w:color w:val="004878"/>
                <w:w w:val="91"/>
              </w:rPr>
              <w:t>04)</w:t>
            </w:r>
          </w:p>
        </w:tc>
        <w:tc>
          <w:tcPr>
            <w:tcW w:w="4480" w:type="dxa"/>
            <w:vAlign w:val="bottom"/>
            <w:tcBorders>
              <w:bottom w:val="single" w:sz="8" w:color="F0EFF7"/>
            </w:tcBorders>
            <w:gridSpan w:val="2"/>
            <w:shd w:val="clear" w:color="auto" w:fill="F0EFF7"/>
          </w:tcPr>
          <w:p>
            <w:pPr>
              <w:ind w:left="100"/>
              <w:spacing w:after="0"/>
              <w:rPr>
                <w:sz w:val="20"/>
                <w:szCs w:val="20"/>
                <w:color w:val="auto"/>
              </w:rPr>
            </w:pPr>
            <w:r>
              <w:rPr>
                <w:rFonts w:ascii="Times New Roman" w:cs="Times New Roman" w:eastAsia="Times New Roman" w:hAnsi="Times New Roman"/>
                <w:sz w:val="18"/>
                <w:szCs w:val="18"/>
                <w:color w:val="004878"/>
              </w:rPr>
              <w:t>Mary E. Galligan</w:t>
            </w:r>
          </w:p>
        </w:tc>
        <w:tc>
          <w:tcPr>
            <w:tcW w:w="320" w:type="dxa"/>
            <w:vAlign w:val="bottom"/>
            <w:tcBorders>
              <w:bottom w:val="single" w:sz="8" w:color="F0EFF7"/>
            </w:tcBorders>
            <w:shd w:val="clear" w:color="auto" w:fill="F0EFF7"/>
          </w:tcPr>
          <w:p>
            <w:pPr>
              <w:jc w:val="right"/>
              <w:spacing w:after="0"/>
              <w:rPr>
                <w:sz w:val="20"/>
                <w:szCs w:val="20"/>
                <w:color w:val="auto"/>
              </w:rPr>
            </w:pPr>
            <w:r>
              <w:rPr>
                <w:rFonts w:ascii="Times New Roman" w:cs="Times New Roman" w:eastAsia="Times New Roman" w:hAnsi="Times New Roman"/>
                <w:sz w:val="18"/>
                <w:szCs w:val="18"/>
                <w:color w:val="004878"/>
                <w:w w:val="99"/>
              </w:rPr>
              <w:t>08)</w:t>
            </w:r>
          </w:p>
        </w:tc>
        <w:tc>
          <w:tcPr>
            <w:tcW w:w="4260" w:type="dxa"/>
            <w:vAlign w:val="bottom"/>
            <w:tcBorders>
              <w:bottom w:val="single" w:sz="8" w:color="F0EFF7"/>
              <w:right w:val="single" w:sz="8" w:color="004878"/>
            </w:tcBorders>
            <w:shd w:val="clear" w:color="auto" w:fill="F0EFF7"/>
          </w:tcPr>
          <w:p>
            <w:pPr>
              <w:ind w:left="60"/>
              <w:spacing w:after="0"/>
              <w:rPr>
                <w:sz w:val="20"/>
                <w:szCs w:val="20"/>
                <w:color w:val="auto"/>
              </w:rPr>
            </w:pPr>
            <w:r>
              <w:rPr>
                <w:rFonts w:ascii="Times New Roman" w:cs="Times New Roman" w:eastAsia="Times New Roman" w:hAnsi="Times New Roman"/>
                <w:sz w:val="18"/>
                <w:szCs w:val="18"/>
                <w:color w:val="004878"/>
              </w:rPr>
              <w:t>Stephen R. Quazzo</w:t>
            </w:r>
          </w:p>
        </w:tc>
        <w:tc>
          <w:tcPr>
            <w:tcW w:w="1300" w:type="dxa"/>
            <w:vAlign w:val="bottom"/>
            <w:tcBorders>
              <w:bottom w:val="single" w:sz="8" w:color="F0EFF7"/>
            </w:tcBorders>
            <w:shd w:val="clear" w:color="auto" w:fill="F0EFF7"/>
          </w:tcPr>
          <w:p>
            <w:pPr>
              <w:spacing w:after="0"/>
              <w:rPr>
                <w:sz w:val="23"/>
                <w:szCs w:val="23"/>
                <w:color w:val="auto"/>
              </w:rPr>
            </w:pPr>
          </w:p>
        </w:tc>
        <w:tc>
          <w:tcPr>
            <w:tcW w:w="0" w:type="dxa"/>
            <w:vAlign w:val="bottom"/>
          </w:tcPr>
          <w:p>
            <w:pPr>
              <w:spacing w:after="0"/>
              <w:rPr>
                <w:sz w:val="1"/>
                <w:szCs w:val="1"/>
                <w:color w:val="auto"/>
              </w:rPr>
            </w:pPr>
          </w:p>
        </w:tc>
      </w:tr>
      <w:tr>
        <w:trPr>
          <w:trHeight w:val="205"/>
        </w:trPr>
        <w:tc>
          <w:tcPr>
            <w:tcW w:w="300" w:type="dxa"/>
            <w:vAlign w:val="bottom"/>
            <w:tcBorders>
              <w:top w:val="single" w:sz="8" w:color="004878"/>
            </w:tcBorders>
            <w:shd w:val="clear" w:color="auto" w:fill="F0EFF7"/>
          </w:tcPr>
          <w:p>
            <w:pPr>
              <w:jc w:val="right"/>
              <w:spacing w:after="0" w:line="205" w:lineRule="exact"/>
              <w:rPr>
                <w:sz w:val="20"/>
                <w:szCs w:val="20"/>
                <w:color w:val="auto"/>
              </w:rPr>
            </w:pPr>
            <w:r>
              <w:rPr>
                <w:rFonts w:ascii="Times New Roman" w:cs="Times New Roman" w:eastAsia="Times New Roman" w:hAnsi="Times New Roman"/>
                <w:sz w:val="18"/>
                <w:szCs w:val="18"/>
                <w:color w:val="004878"/>
              </w:rPr>
              <w:t>2.</w:t>
            </w:r>
          </w:p>
        </w:tc>
        <w:tc>
          <w:tcPr>
            <w:tcW w:w="9420" w:type="dxa"/>
            <w:vAlign w:val="bottom"/>
            <w:tcBorders>
              <w:top w:val="single" w:sz="8" w:color="004878"/>
              <w:right w:val="single" w:sz="8" w:color="004878"/>
            </w:tcBorders>
            <w:gridSpan w:val="6"/>
            <w:shd w:val="clear" w:color="auto" w:fill="F0EFF7"/>
          </w:tcPr>
          <w:p>
            <w:pPr>
              <w:ind w:left="120"/>
              <w:spacing w:after="0" w:line="205" w:lineRule="exact"/>
              <w:rPr>
                <w:sz w:val="20"/>
                <w:szCs w:val="20"/>
                <w:color w:val="auto"/>
              </w:rPr>
            </w:pPr>
            <w:r>
              <w:rPr>
                <w:rFonts w:ascii="Times New Roman" w:cs="Times New Roman" w:eastAsia="Times New Roman" w:hAnsi="Times New Roman"/>
                <w:sz w:val="18"/>
                <w:szCs w:val="18"/>
                <w:color w:val="004878"/>
              </w:rPr>
              <w:t>Ratification of the appointment of Ernst &amp; Young LLP as the Company’s independent registered public accounting firm for its</w:t>
            </w:r>
          </w:p>
        </w:tc>
        <w:tc>
          <w:tcPr>
            <w:tcW w:w="1300" w:type="dxa"/>
            <w:vAlign w:val="bottom"/>
            <w:tcBorders>
              <w:top w:val="single" w:sz="8" w:color="004878"/>
            </w:tcBorders>
            <w:vMerge w:val="restart"/>
            <w:shd w:val="clear" w:color="auto" w:fill="F0EFF7"/>
          </w:tcPr>
          <w:p>
            <w:pPr>
              <w:ind w:left="380"/>
              <w:spacing w:after="0"/>
              <w:rPr>
                <w:sz w:val="20"/>
                <w:szCs w:val="20"/>
                <w:color w:val="auto"/>
              </w:rPr>
            </w:pPr>
            <w:r>
              <w:rPr>
                <w:rFonts w:ascii="Times New Roman" w:cs="Times New Roman" w:eastAsia="Times New Roman" w:hAnsi="Times New Roman"/>
                <w:sz w:val="18"/>
                <w:szCs w:val="18"/>
                <w:b w:val="1"/>
                <w:bCs w:val="1"/>
                <w:color w:val="004878"/>
              </w:rPr>
              <w:t> For</w:t>
            </w:r>
          </w:p>
        </w:tc>
        <w:tc>
          <w:tcPr>
            <w:tcW w:w="0" w:type="dxa"/>
            <w:vAlign w:val="bottom"/>
          </w:tcPr>
          <w:p>
            <w:pPr>
              <w:spacing w:after="0"/>
              <w:rPr>
                <w:sz w:val="1"/>
                <w:szCs w:val="1"/>
                <w:color w:val="auto"/>
              </w:rPr>
            </w:pPr>
          </w:p>
        </w:tc>
      </w:tr>
      <w:tr>
        <w:trPr>
          <w:trHeight w:val="167"/>
        </w:trPr>
        <w:tc>
          <w:tcPr>
            <w:tcW w:w="300" w:type="dxa"/>
            <w:vAlign w:val="bottom"/>
            <w:shd w:val="clear" w:color="auto" w:fill="F0EFF7"/>
          </w:tcPr>
          <w:p>
            <w:pPr>
              <w:spacing w:after="0"/>
              <w:rPr>
                <w:sz w:val="14"/>
                <w:szCs w:val="14"/>
                <w:color w:val="auto"/>
              </w:rPr>
            </w:pPr>
          </w:p>
        </w:tc>
        <w:tc>
          <w:tcPr>
            <w:tcW w:w="4840" w:type="dxa"/>
            <w:vAlign w:val="bottom"/>
            <w:gridSpan w:val="4"/>
            <w:vMerge w:val="restart"/>
            <w:shd w:val="clear" w:color="auto" w:fill="F0EFF7"/>
          </w:tcPr>
          <w:p>
            <w:pPr>
              <w:ind w:left="120"/>
              <w:spacing w:after="0"/>
              <w:rPr>
                <w:sz w:val="20"/>
                <w:szCs w:val="20"/>
                <w:color w:val="auto"/>
              </w:rPr>
            </w:pPr>
            <w:r>
              <w:rPr>
                <w:rFonts w:ascii="Times New Roman" w:cs="Times New Roman" w:eastAsia="Times New Roman" w:hAnsi="Times New Roman"/>
                <w:sz w:val="18"/>
                <w:szCs w:val="18"/>
                <w:color w:val="004878"/>
              </w:rPr>
              <w:t>2025 fiscal year.</w:t>
            </w:r>
          </w:p>
        </w:tc>
        <w:tc>
          <w:tcPr>
            <w:tcW w:w="320" w:type="dxa"/>
            <w:vAlign w:val="bottom"/>
            <w:shd w:val="clear" w:color="auto" w:fill="F0EFF7"/>
          </w:tcPr>
          <w:p>
            <w:pPr>
              <w:spacing w:after="0"/>
              <w:rPr>
                <w:sz w:val="14"/>
                <w:szCs w:val="14"/>
                <w:color w:val="auto"/>
              </w:rPr>
            </w:pPr>
          </w:p>
        </w:tc>
        <w:tc>
          <w:tcPr>
            <w:tcW w:w="4260" w:type="dxa"/>
            <w:vAlign w:val="bottom"/>
            <w:tcBorders>
              <w:right w:val="single" w:sz="8" w:color="004878"/>
            </w:tcBorders>
            <w:shd w:val="clear" w:color="auto" w:fill="F0EFF7"/>
          </w:tcPr>
          <w:p>
            <w:pPr>
              <w:spacing w:after="0"/>
              <w:rPr>
                <w:sz w:val="14"/>
                <w:szCs w:val="14"/>
                <w:color w:val="auto"/>
              </w:rPr>
            </w:pPr>
          </w:p>
        </w:tc>
        <w:tc>
          <w:tcPr>
            <w:tcW w:w="1300" w:type="dxa"/>
            <w:vAlign w:val="bottom"/>
            <w:vMerge w:val="continue"/>
            <w:shd w:val="clear" w:color="auto" w:fill="F0EFF7"/>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00" w:type="dxa"/>
            <w:vAlign w:val="bottom"/>
            <w:tcBorders>
              <w:bottom w:val="single" w:sz="8" w:color="F0EFF7"/>
            </w:tcBorders>
            <w:shd w:val="clear" w:color="auto" w:fill="F0EFF7"/>
          </w:tcPr>
          <w:p>
            <w:pPr>
              <w:spacing w:after="0"/>
              <w:rPr>
                <w:sz w:val="10"/>
                <w:szCs w:val="10"/>
                <w:color w:val="auto"/>
              </w:rPr>
            </w:pPr>
          </w:p>
        </w:tc>
        <w:tc>
          <w:tcPr>
            <w:tcW w:w="4840" w:type="dxa"/>
            <w:vAlign w:val="bottom"/>
            <w:tcBorders>
              <w:bottom w:val="single" w:sz="8" w:color="F0EFF7"/>
            </w:tcBorders>
            <w:gridSpan w:val="4"/>
            <w:vMerge w:val="continue"/>
            <w:shd w:val="clear" w:color="auto" w:fill="F0EFF7"/>
          </w:tcPr>
          <w:p>
            <w:pPr>
              <w:spacing w:after="0"/>
              <w:rPr>
                <w:sz w:val="10"/>
                <w:szCs w:val="10"/>
                <w:color w:val="auto"/>
              </w:rPr>
            </w:pPr>
          </w:p>
        </w:tc>
        <w:tc>
          <w:tcPr>
            <w:tcW w:w="320" w:type="dxa"/>
            <w:vAlign w:val="bottom"/>
            <w:tcBorders>
              <w:bottom w:val="single" w:sz="8" w:color="F0EFF7"/>
            </w:tcBorders>
            <w:shd w:val="clear" w:color="auto" w:fill="F0EFF7"/>
          </w:tcPr>
          <w:p>
            <w:pPr>
              <w:spacing w:after="0"/>
              <w:rPr>
                <w:sz w:val="10"/>
                <w:szCs w:val="10"/>
                <w:color w:val="auto"/>
              </w:rPr>
            </w:pPr>
          </w:p>
        </w:tc>
        <w:tc>
          <w:tcPr>
            <w:tcW w:w="4260" w:type="dxa"/>
            <w:vAlign w:val="bottom"/>
            <w:tcBorders>
              <w:bottom w:val="single" w:sz="8" w:color="F0EFF7"/>
              <w:right w:val="single" w:sz="8" w:color="004878"/>
            </w:tcBorders>
            <w:shd w:val="clear" w:color="auto" w:fill="F0EFF7"/>
          </w:tcPr>
          <w:p>
            <w:pPr>
              <w:spacing w:after="0"/>
              <w:rPr>
                <w:sz w:val="10"/>
                <w:szCs w:val="10"/>
                <w:color w:val="auto"/>
              </w:rPr>
            </w:pPr>
          </w:p>
        </w:tc>
        <w:tc>
          <w:tcPr>
            <w:tcW w:w="1300" w:type="dxa"/>
            <w:vAlign w:val="bottom"/>
            <w:tcBorders>
              <w:bottom w:val="single" w:sz="8" w:color="F0EFF7"/>
            </w:tcBorders>
            <w:shd w:val="clear" w:color="auto" w:fill="F0EFF7"/>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300" w:type="dxa"/>
            <w:vAlign w:val="bottom"/>
            <w:tcBorders>
              <w:top w:val="single" w:sz="8" w:color="004878"/>
            </w:tcBorders>
            <w:shd w:val="clear" w:color="auto" w:fill="F0EFF7"/>
          </w:tcPr>
          <w:p>
            <w:pPr>
              <w:jc w:val="right"/>
              <w:spacing w:after="0"/>
              <w:rPr>
                <w:sz w:val="20"/>
                <w:szCs w:val="20"/>
                <w:color w:val="auto"/>
              </w:rPr>
            </w:pPr>
            <w:r>
              <w:rPr>
                <w:rFonts w:ascii="Times New Roman" w:cs="Times New Roman" w:eastAsia="Times New Roman" w:hAnsi="Times New Roman"/>
                <w:sz w:val="18"/>
                <w:szCs w:val="18"/>
                <w:color w:val="004878"/>
              </w:rPr>
              <w:t>3.</w:t>
            </w:r>
          </w:p>
        </w:tc>
        <w:tc>
          <w:tcPr>
            <w:tcW w:w="4840" w:type="dxa"/>
            <w:vAlign w:val="bottom"/>
            <w:tcBorders>
              <w:top w:val="single" w:sz="8" w:color="004878"/>
            </w:tcBorders>
            <w:gridSpan w:val="4"/>
            <w:shd w:val="clear" w:color="auto" w:fill="F0EFF7"/>
          </w:tcPr>
          <w:p>
            <w:pPr>
              <w:ind w:left="120"/>
              <w:spacing w:after="0"/>
              <w:rPr>
                <w:sz w:val="20"/>
                <w:szCs w:val="20"/>
                <w:color w:val="auto"/>
              </w:rPr>
            </w:pPr>
            <w:r>
              <w:rPr>
                <w:rFonts w:ascii="Times New Roman" w:cs="Times New Roman" w:eastAsia="Times New Roman" w:hAnsi="Times New Roman"/>
                <w:sz w:val="18"/>
                <w:szCs w:val="18"/>
                <w:color w:val="004878"/>
                <w:w w:val="99"/>
              </w:rPr>
              <w:t>Advisory vote to approve named executive officer compensation.</w:t>
            </w:r>
          </w:p>
        </w:tc>
        <w:tc>
          <w:tcPr>
            <w:tcW w:w="320" w:type="dxa"/>
            <w:vAlign w:val="bottom"/>
            <w:tcBorders>
              <w:top w:val="single" w:sz="8" w:color="004878"/>
            </w:tcBorders>
            <w:shd w:val="clear" w:color="auto" w:fill="F0EFF7"/>
          </w:tcPr>
          <w:p>
            <w:pPr>
              <w:spacing w:after="0"/>
              <w:rPr>
                <w:sz w:val="19"/>
                <w:szCs w:val="19"/>
                <w:color w:val="auto"/>
              </w:rPr>
            </w:pPr>
          </w:p>
        </w:tc>
        <w:tc>
          <w:tcPr>
            <w:tcW w:w="4260" w:type="dxa"/>
            <w:vAlign w:val="bottom"/>
            <w:tcBorders>
              <w:top w:val="single" w:sz="8" w:color="004878"/>
              <w:right w:val="single" w:sz="8" w:color="004878"/>
            </w:tcBorders>
            <w:shd w:val="clear" w:color="auto" w:fill="F0EFF7"/>
          </w:tcPr>
          <w:p>
            <w:pPr>
              <w:spacing w:after="0"/>
              <w:rPr>
                <w:sz w:val="19"/>
                <w:szCs w:val="19"/>
                <w:color w:val="auto"/>
              </w:rPr>
            </w:pPr>
          </w:p>
        </w:tc>
        <w:tc>
          <w:tcPr>
            <w:tcW w:w="1300" w:type="dxa"/>
            <w:vAlign w:val="bottom"/>
            <w:tcBorders>
              <w:top w:val="single" w:sz="8" w:color="004878"/>
            </w:tcBorders>
            <w:vMerge w:val="restart"/>
            <w:shd w:val="clear" w:color="auto" w:fill="F0EFF7"/>
          </w:tcPr>
          <w:p>
            <w:pPr>
              <w:ind w:left="380"/>
              <w:spacing w:after="0"/>
              <w:rPr>
                <w:sz w:val="20"/>
                <w:szCs w:val="20"/>
                <w:color w:val="auto"/>
              </w:rPr>
            </w:pPr>
            <w:r>
              <w:rPr>
                <w:rFonts w:ascii="Times New Roman" w:cs="Times New Roman" w:eastAsia="Times New Roman" w:hAnsi="Times New Roman"/>
                <w:sz w:val="18"/>
                <w:szCs w:val="18"/>
                <w:b w:val="1"/>
                <w:bCs w:val="1"/>
                <w:color w:val="004878"/>
              </w:rPr>
              <w:t> For</w:t>
            </w:r>
          </w:p>
        </w:tc>
        <w:tc>
          <w:tcPr>
            <w:tcW w:w="0" w:type="dxa"/>
            <w:vAlign w:val="bottom"/>
          </w:tcPr>
          <w:p>
            <w:pPr>
              <w:spacing w:after="0"/>
              <w:rPr>
                <w:sz w:val="1"/>
                <w:szCs w:val="1"/>
                <w:color w:val="auto"/>
              </w:rPr>
            </w:pPr>
          </w:p>
        </w:tc>
      </w:tr>
      <w:tr>
        <w:trPr>
          <w:trHeight w:val="144"/>
        </w:trPr>
        <w:tc>
          <w:tcPr>
            <w:tcW w:w="300" w:type="dxa"/>
            <w:vAlign w:val="bottom"/>
            <w:tcBorders>
              <w:bottom w:val="single" w:sz="8" w:color="F0EFF7"/>
            </w:tcBorders>
            <w:shd w:val="clear" w:color="auto" w:fill="F0EFF7"/>
          </w:tcPr>
          <w:p>
            <w:pPr>
              <w:spacing w:after="0"/>
              <w:rPr>
                <w:sz w:val="12"/>
                <w:szCs w:val="12"/>
                <w:color w:val="auto"/>
              </w:rPr>
            </w:pPr>
          </w:p>
        </w:tc>
        <w:tc>
          <w:tcPr>
            <w:tcW w:w="120" w:type="dxa"/>
            <w:vAlign w:val="bottom"/>
            <w:tcBorders>
              <w:bottom w:val="single" w:sz="8" w:color="F0EFF7"/>
            </w:tcBorders>
            <w:shd w:val="clear" w:color="auto" w:fill="F0EFF7"/>
          </w:tcPr>
          <w:p>
            <w:pPr>
              <w:spacing w:after="0"/>
              <w:rPr>
                <w:sz w:val="12"/>
                <w:szCs w:val="12"/>
                <w:color w:val="auto"/>
              </w:rPr>
            </w:pPr>
          </w:p>
        </w:tc>
        <w:tc>
          <w:tcPr>
            <w:tcW w:w="240" w:type="dxa"/>
            <w:vAlign w:val="bottom"/>
            <w:tcBorders>
              <w:bottom w:val="single" w:sz="8" w:color="F0EFF7"/>
            </w:tcBorders>
            <w:shd w:val="clear" w:color="auto" w:fill="F0EFF7"/>
          </w:tcPr>
          <w:p>
            <w:pPr>
              <w:spacing w:after="0"/>
              <w:rPr>
                <w:sz w:val="12"/>
                <w:szCs w:val="12"/>
                <w:color w:val="auto"/>
              </w:rPr>
            </w:pPr>
          </w:p>
        </w:tc>
        <w:tc>
          <w:tcPr>
            <w:tcW w:w="4400" w:type="dxa"/>
            <w:vAlign w:val="bottom"/>
            <w:tcBorders>
              <w:bottom w:val="single" w:sz="8" w:color="F0EFF7"/>
            </w:tcBorders>
            <w:shd w:val="clear" w:color="auto" w:fill="F0EFF7"/>
          </w:tcPr>
          <w:p>
            <w:pPr>
              <w:spacing w:after="0"/>
              <w:rPr>
                <w:sz w:val="12"/>
                <w:szCs w:val="12"/>
                <w:color w:val="auto"/>
              </w:rPr>
            </w:pPr>
          </w:p>
        </w:tc>
        <w:tc>
          <w:tcPr>
            <w:tcW w:w="80" w:type="dxa"/>
            <w:vAlign w:val="bottom"/>
            <w:tcBorders>
              <w:bottom w:val="single" w:sz="8" w:color="F0EFF7"/>
            </w:tcBorders>
            <w:shd w:val="clear" w:color="auto" w:fill="F0EFF7"/>
          </w:tcPr>
          <w:p>
            <w:pPr>
              <w:spacing w:after="0"/>
              <w:rPr>
                <w:sz w:val="12"/>
                <w:szCs w:val="12"/>
                <w:color w:val="auto"/>
              </w:rPr>
            </w:pPr>
          </w:p>
        </w:tc>
        <w:tc>
          <w:tcPr>
            <w:tcW w:w="320" w:type="dxa"/>
            <w:vAlign w:val="bottom"/>
            <w:tcBorders>
              <w:bottom w:val="single" w:sz="8" w:color="F0EFF7"/>
            </w:tcBorders>
            <w:shd w:val="clear" w:color="auto" w:fill="F0EFF7"/>
          </w:tcPr>
          <w:p>
            <w:pPr>
              <w:spacing w:after="0"/>
              <w:rPr>
                <w:sz w:val="12"/>
                <w:szCs w:val="12"/>
                <w:color w:val="auto"/>
              </w:rPr>
            </w:pPr>
          </w:p>
        </w:tc>
        <w:tc>
          <w:tcPr>
            <w:tcW w:w="4260" w:type="dxa"/>
            <w:vAlign w:val="bottom"/>
            <w:tcBorders>
              <w:bottom w:val="single" w:sz="8" w:color="F0EFF7"/>
              <w:right w:val="single" w:sz="8" w:color="004878"/>
            </w:tcBorders>
            <w:shd w:val="clear" w:color="auto" w:fill="F0EFF7"/>
          </w:tcPr>
          <w:p>
            <w:pPr>
              <w:spacing w:after="0"/>
              <w:rPr>
                <w:sz w:val="12"/>
                <w:szCs w:val="12"/>
                <w:color w:val="auto"/>
              </w:rPr>
            </w:pPr>
          </w:p>
        </w:tc>
        <w:tc>
          <w:tcPr>
            <w:tcW w:w="1300" w:type="dxa"/>
            <w:vAlign w:val="bottom"/>
            <w:tcBorders>
              <w:bottom w:val="single" w:sz="8" w:color="F0EFF7"/>
            </w:tcBorders>
            <w:vMerge w:val="continue"/>
            <w:shd w:val="clear" w:color="auto" w:fill="F0EFF7"/>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300" w:type="dxa"/>
            <w:vAlign w:val="bottom"/>
            <w:tcBorders>
              <w:top w:val="single" w:sz="8" w:color="004878"/>
            </w:tcBorders>
            <w:shd w:val="clear" w:color="auto" w:fill="F0EFF7"/>
          </w:tcPr>
          <w:p>
            <w:pPr>
              <w:jc w:val="right"/>
              <w:spacing w:after="0"/>
              <w:rPr>
                <w:sz w:val="20"/>
                <w:szCs w:val="20"/>
                <w:color w:val="auto"/>
              </w:rPr>
            </w:pPr>
            <w:r>
              <w:rPr>
                <w:rFonts w:ascii="Times New Roman" w:cs="Times New Roman" w:eastAsia="Times New Roman" w:hAnsi="Times New Roman"/>
                <w:sz w:val="18"/>
                <w:szCs w:val="18"/>
                <w:color w:val="004878"/>
              </w:rPr>
              <w:t>4.</w:t>
            </w:r>
          </w:p>
        </w:tc>
        <w:tc>
          <w:tcPr>
            <w:tcW w:w="9420" w:type="dxa"/>
            <w:vAlign w:val="bottom"/>
            <w:tcBorders>
              <w:top w:val="single" w:sz="8" w:color="004878"/>
              <w:right w:val="single" w:sz="8" w:color="004878"/>
            </w:tcBorders>
            <w:gridSpan w:val="6"/>
            <w:shd w:val="clear" w:color="auto" w:fill="F0EFF7"/>
          </w:tcPr>
          <w:p>
            <w:pPr>
              <w:ind w:left="120"/>
              <w:spacing w:after="0"/>
              <w:rPr>
                <w:sz w:val="20"/>
                <w:szCs w:val="20"/>
                <w:color w:val="auto"/>
              </w:rPr>
            </w:pPr>
            <w:r>
              <w:rPr>
                <w:rFonts w:ascii="Times New Roman" w:cs="Times New Roman" w:eastAsia="Times New Roman" w:hAnsi="Times New Roman"/>
                <w:sz w:val="18"/>
                <w:szCs w:val="18"/>
                <w:color w:val="004878"/>
              </w:rPr>
              <w:t>Advisory vote on the frequency of future advisory votes on executive compensation.</w:t>
            </w:r>
          </w:p>
        </w:tc>
        <w:tc>
          <w:tcPr>
            <w:tcW w:w="1300" w:type="dxa"/>
            <w:vAlign w:val="bottom"/>
            <w:tcBorders>
              <w:top w:val="single" w:sz="8" w:color="004878"/>
            </w:tcBorders>
            <w:vMerge w:val="restart"/>
            <w:shd w:val="clear" w:color="auto" w:fill="F0EFF7"/>
          </w:tcPr>
          <w:p>
            <w:pPr>
              <w:ind w:left="380"/>
              <w:spacing w:after="0"/>
              <w:rPr>
                <w:sz w:val="20"/>
                <w:szCs w:val="20"/>
                <w:color w:val="auto"/>
              </w:rPr>
            </w:pPr>
            <w:r>
              <w:rPr>
                <w:rFonts w:ascii="Times New Roman" w:cs="Times New Roman" w:eastAsia="Times New Roman" w:hAnsi="Times New Roman"/>
                <w:sz w:val="18"/>
                <w:szCs w:val="18"/>
                <w:b w:val="1"/>
                <w:bCs w:val="1"/>
                <w:color w:val="004878"/>
              </w:rPr>
              <w:t> One Year</w:t>
            </w:r>
          </w:p>
        </w:tc>
        <w:tc>
          <w:tcPr>
            <w:tcW w:w="0" w:type="dxa"/>
            <w:vAlign w:val="bottom"/>
          </w:tcPr>
          <w:p>
            <w:pPr>
              <w:spacing w:after="0"/>
              <w:rPr>
                <w:sz w:val="1"/>
                <w:szCs w:val="1"/>
                <w:color w:val="auto"/>
              </w:rPr>
            </w:pPr>
          </w:p>
        </w:tc>
      </w:tr>
      <w:tr>
        <w:trPr>
          <w:trHeight w:val="164"/>
        </w:trPr>
        <w:tc>
          <w:tcPr>
            <w:tcW w:w="300" w:type="dxa"/>
            <w:vAlign w:val="bottom"/>
            <w:tcBorders>
              <w:bottom w:val="single" w:sz="8" w:color="F0EFF7"/>
            </w:tcBorders>
            <w:shd w:val="clear" w:color="auto" w:fill="F0EFF7"/>
          </w:tcPr>
          <w:p>
            <w:pPr>
              <w:spacing w:after="0"/>
              <w:rPr>
                <w:sz w:val="14"/>
                <w:szCs w:val="14"/>
                <w:color w:val="auto"/>
              </w:rPr>
            </w:pPr>
          </w:p>
        </w:tc>
        <w:tc>
          <w:tcPr>
            <w:tcW w:w="120" w:type="dxa"/>
            <w:vAlign w:val="bottom"/>
            <w:tcBorders>
              <w:bottom w:val="single" w:sz="8" w:color="F0EFF7"/>
            </w:tcBorders>
            <w:shd w:val="clear" w:color="auto" w:fill="F0EFF7"/>
          </w:tcPr>
          <w:p>
            <w:pPr>
              <w:spacing w:after="0"/>
              <w:rPr>
                <w:sz w:val="14"/>
                <w:szCs w:val="14"/>
                <w:color w:val="auto"/>
              </w:rPr>
            </w:pPr>
          </w:p>
        </w:tc>
        <w:tc>
          <w:tcPr>
            <w:tcW w:w="240" w:type="dxa"/>
            <w:vAlign w:val="bottom"/>
            <w:tcBorders>
              <w:bottom w:val="single" w:sz="8" w:color="F0EFF7"/>
            </w:tcBorders>
            <w:shd w:val="clear" w:color="auto" w:fill="F0EFF7"/>
          </w:tcPr>
          <w:p>
            <w:pPr>
              <w:spacing w:after="0"/>
              <w:rPr>
                <w:sz w:val="14"/>
                <w:szCs w:val="14"/>
                <w:color w:val="auto"/>
              </w:rPr>
            </w:pPr>
          </w:p>
        </w:tc>
        <w:tc>
          <w:tcPr>
            <w:tcW w:w="4400" w:type="dxa"/>
            <w:vAlign w:val="bottom"/>
            <w:tcBorders>
              <w:bottom w:val="single" w:sz="8" w:color="F0EFF7"/>
            </w:tcBorders>
            <w:shd w:val="clear" w:color="auto" w:fill="F0EFF7"/>
          </w:tcPr>
          <w:p>
            <w:pPr>
              <w:spacing w:after="0"/>
              <w:rPr>
                <w:sz w:val="14"/>
                <w:szCs w:val="14"/>
                <w:color w:val="auto"/>
              </w:rPr>
            </w:pPr>
          </w:p>
        </w:tc>
        <w:tc>
          <w:tcPr>
            <w:tcW w:w="80" w:type="dxa"/>
            <w:vAlign w:val="bottom"/>
            <w:tcBorders>
              <w:bottom w:val="single" w:sz="8" w:color="F0EFF7"/>
            </w:tcBorders>
            <w:shd w:val="clear" w:color="auto" w:fill="F0EFF7"/>
          </w:tcPr>
          <w:p>
            <w:pPr>
              <w:spacing w:after="0"/>
              <w:rPr>
                <w:sz w:val="14"/>
                <w:szCs w:val="14"/>
                <w:color w:val="auto"/>
              </w:rPr>
            </w:pPr>
          </w:p>
        </w:tc>
        <w:tc>
          <w:tcPr>
            <w:tcW w:w="320" w:type="dxa"/>
            <w:vAlign w:val="bottom"/>
            <w:tcBorders>
              <w:bottom w:val="single" w:sz="8" w:color="F0EFF7"/>
            </w:tcBorders>
            <w:shd w:val="clear" w:color="auto" w:fill="F0EFF7"/>
          </w:tcPr>
          <w:p>
            <w:pPr>
              <w:spacing w:after="0"/>
              <w:rPr>
                <w:sz w:val="14"/>
                <w:szCs w:val="14"/>
                <w:color w:val="auto"/>
              </w:rPr>
            </w:pPr>
          </w:p>
        </w:tc>
        <w:tc>
          <w:tcPr>
            <w:tcW w:w="4260" w:type="dxa"/>
            <w:vAlign w:val="bottom"/>
            <w:tcBorders>
              <w:bottom w:val="single" w:sz="8" w:color="F0EFF7"/>
              <w:right w:val="single" w:sz="8" w:color="004878"/>
            </w:tcBorders>
            <w:shd w:val="clear" w:color="auto" w:fill="F0EFF7"/>
          </w:tcPr>
          <w:p>
            <w:pPr>
              <w:spacing w:after="0"/>
              <w:rPr>
                <w:sz w:val="14"/>
                <w:szCs w:val="14"/>
                <w:color w:val="auto"/>
              </w:rPr>
            </w:pPr>
          </w:p>
        </w:tc>
        <w:tc>
          <w:tcPr>
            <w:tcW w:w="1300" w:type="dxa"/>
            <w:vAlign w:val="bottom"/>
            <w:tcBorders>
              <w:bottom w:val="single" w:sz="8" w:color="F0EFF7"/>
            </w:tcBorders>
            <w:vMerge w:val="continue"/>
            <w:shd w:val="clear" w:color="auto" w:fill="F0EFF7"/>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9720" w:type="dxa"/>
            <w:vAlign w:val="bottom"/>
            <w:tcBorders>
              <w:top w:val="single" w:sz="8" w:color="004878"/>
            </w:tcBorders>
            <w:gridSpan w:val="7"/>
          </w:tcPr>
          <w:p>
            <w:pPr>
              <w:ind w:left="140"/>
              <w:spacing w:after="0" w:line="185" w:lineRule="exact"/>
              <w:rPr>
                <w:sz w:val="20"/>
                <w:szCs w:val="20"/>
                <w:color w:val="auto"/>
              </w:rPr>
            </w:pPr>
            <w:r>
              <w:rPr>
                <w:rFonts w:ascii="Times New Roman" w:cs="Times New Roman" w:eastAsia="Times New Roman" w:hAnsi="Times New Roman"/>
                <w:sz w:val="18"/>
                <w:szCs w:val="18"/>
                <w:b w:val="1"/>
                <w:bCs w:val="1"/>
                <w:color w:val="004878"/>
              </w:rPr>
              <w:t xml:space="preserve">NOTE: </w:t>
            </w:r>
            <w:r>
              <w:rPr>
                <w:rFonts w:ascii="Times New Roman" w:cs="Times New Roman" w:eastAsia="Times New Roman" w:hAnsi="Times New Roman"/>
                <w:sz w:val="18"/>
                <w:szCs w:val="18"/>
                <w:color w:val="004878"/>
              </w:rPr>
              <w:t>In their discretion, the proxies are authorized to vote upon such other business as may properly come before the meeting or</w:t>
            </w:r>
          </w:p>
        </w:tc>
        <w:tc>
          <w:tcPr>
            <w:tcW w:w="1300" w:type="dxa"/>
            <w:vAlign w:val="bottom"/>
            <w:tcBorders>
              <w:top w:val="single" w:sz="8" w:color="004878"/>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14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004878"/>
              </w:rPr>
              <w:t>any adjournment or postponement thereof.</w:t>
            </w:r>
          </w:p>
        </w:tc>
        <w:tc>
          <w:tcPr>
            <w:tcW w:w="32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300" w:type="dxa"/>
            <w:vAlign w:val="bottom"/>
            <w:tcBorders>
              <w:bottom w:val="single" w:sz="8" w:color="004878"/>
            </w:tcBorders>
          </w:tcPr>
          <w:p>
            <w:pPr>
              <w:spacing w:after="0"/>
              <w:rPr>
                <w:sz w:val="4"/>
                <w:szCs w:val="4"/>
                <w:color w:val="auto"/>
              </w:rPr>
            </w:pPr>
          </w:p>
        </w:tc>
        <w:tc>
          <w:tcPr>
            <w:tcW w:w="120" w:type="dxa"/>
            <w:vAlign w:val="bottom"/>
            <w:tcBorders>
              <w:bottom w:val="single" w:sz="8" w:color="004878"/>
            </w:tcBorders>
          </w:tcPr>
          <w:p>
            <w:pPr>
              <w:spacing w:after="0"/>
              <w:rPr>
                <w:sz w:val="4"/>
                <w:szCs w:val="4"/>
                <w:color w:val="auto"/>
              </w:rPr>
            </w:pPr>
          </w:p>
        </w:tc>
        <w:tc>
          <w:tcPr>
            <w:tcW w:w="240" w:type="dxa"/>
            <w:vAlign w:val="bottom"/>
            <w:tcBorders>
              <w:bottom w:val="single" w:sz="8" w:color="004878"/>
            </w:tcBorders>
          </w:tcPr>
          <w:p>
            <w:pPr>
              <w:spacing w:after="0"/>
              <w:rPr>
                <w:sz w:val="4"/>
                <w:szCs w:val="4"/>
                <w:color w:val="auto"/>
              </w:rPr>
            </w:pPr>
          </w:p>
        </w:tc>
        <w:tc>
          <w:tcPr>
            <w:tcW w:w="4400" w:type="dxa"/>
            <w:vAlign w:val="bottom"/>
            <w:tcBorders>
              <w:bottom w:val="single" w:sz="8" w:color="004878"/>
            </w:tcBorders>
          </w:tcPr>
          <w:p>
            <w:pPr>
              <w:spacing w:after="0"/>
              <w:rPr>
                <w:sz w:val="4"/>
                <w:szCs w:val="4"/>
                <w:color w:val="auto"/>
              </w:rPr>
            </w:pPr>
          </w:p>
        </w:tc>
        <w:tc>
          <w:tcPr>
            <w:tcW w:w="80" w:type="dxa"/>
            <w:vAlign w:val="bottom"/>
            <w:tcBorders>
              <w:bottom w:val="single" w:sz="8" w:color="004878"/>
            </w:tcBorders>
          </w:tcPr>
          <w:p>
            <w:pPr>
              <w:spacing w:after="0"/>
              <w:rPr>
                <w:sz w:val="4"/>
                <w:szCs w:val="4"/>
                <w:color w:val="auto"/>
              </w:rPr>
            </w:pPr>
          </w:p>
        </w:tc>
        <w:tc>
          <w:tcPr>
            <w:tcW w:w="320" w:type="dxa"/>
            <w:vAlign w:val="bottom"/>
            <w:tcBorders>
              <w:bottom w:val="single" w:sz="8" w:color="004878"/>
            </w:tcBorders>
          </w:tcPr>
          <w:p>
            <w:pPr>
              <w:spacing w:after="0"/>
              <w:rPr>
                <w:sz w:val="4"/>
                <w:szCs w:val="4"/>
                <w:color w:val="auto"/>
              </w:rPr>
            </w:pPr>
          </w:p>
        </w:tc>
        <w:tc>
          <w:tcPr>
            <w:tcW w:w="4260" w:type="dxa"/>
            <w:vAlign w:val="bottom"/>
            <w:tcBorders>
              <w:bottom w:val="single" w:sz="8" w:color="004878"/>
            </w:tcBorders>
          </w:tcPr>
          <w:p>
            <w:pPr>
              <w:spacing w:after="0"/>
              <w:rPr>
                <w:sz w:val="4"/>
                <w:szCs w:val="4"/>
                <w:color w:val="auto"/>
              </w:rPr>
            </w:pPr>
          </w:p>
        </w:tc>
        <w:tc>
          <w:tcPr>
            <w:tcW w:w="1300" w:type="dxa"/>
            <w:vAlign w:val="bottom"/>
            <w:tcBorders>
              <w:bottom w:val="single" w:sz="8" w:color="004878"/>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-1799590</wp:posOffset>
            </wp:positionV>
            <wp:extent cx="6995160" cy="40887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4088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102870</wp:posOffset>
            </wp:positionV>
            <wp:extent cx="6995160" cy="1968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96850"/>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Prefer to receive an email instead? While voting on www.ProxyVote.com, be sure to click “Delivery Settings”.</w:t>
      </w:r>
    </w:p>
    <w:p>
      <w:pPr>
        <w:spacing w:after="0" w:line="200" w:lineRule="exact"/>
        <w:rPr>
          <w:sz w:val="20"/>
          <w:szCs w:val="20"/>
          <w:color w:val="auto"/>
        </w:rPr>
      </w:pPr>
    </w:p>
    <w:p>
      <w:pPr>
        <w:spacing w:after="0" w:line="291" w:lineRule="exact"/>
        <w:rPr>
          <w:sz w:val="20"/>
          <w:szCs w:val="20"/>
          <w:color w:val="auto"/>
        </w:rPr>
      </w:pPr>
    </w:p>
    <w:p>
      <w:pPr>
        <w:jc w:val="center"/>
        <w:ind w:right="120"/>
        <w:spacing w:after="0"/>
        <w:tabs>
          <w:tab w:leader="none" w:pos="80" w:val="left"/>
          <w:tab w:leader="none" w:pos="80" w:val="left"/>
          <w:tab w:leader="none" w:pos="100" w:val="left"/>
          <w:tab w:leader="none" w:pos="100" w:val="left"/>
        </w:tabs>
        <w:rPr>
          <w:sz w:val="20"/>
          <w:szCs w:val="20"/>
          <w:color w:val="auto"/>
        </w:rPr>
      </w:pPr>
      <w:r>
        <w:rPr>
          <w:rFonts w:ascii="Times New Roman" w:cs="Times New Roman" w:eastAsia="Times New Roman" w:hAnsi="Times New Roman"/>
          <w:sz w:val="14"/>
          <w:szCs w:val="14"/>
          <w:color w:val="auto"/>
        </w:rPr>
        <w:t>V65973-P27015 </w:t>
        <w:tab/>
        <w:t> </w:t>
        <w:tab/>
        <w:t> </w:t>
        <w:tab/>
        <w:t> </w:t>
      </w:r>
      <w:r>
        <w:rPr>
          <w:sz w:val="20"/>
          <w:szCs w:val="20"/>
          <w:color w:val="auto"/>
        </w:rPr>
        <w:tab/>
      </w:r>
      <w:r>
        <w:rPr>
          <w:rFonts w:ascii="Times New Roman" w:cs="Times New Roman" w:eastAsia="Times New Roman" w:hAnsi="Times New Roman"/>
          <w:sz w:val="4"/>
          <w:szCs w:val="4"/>
          <w:color w:val="auto"/>
        </w:rPr>
        <w:t> </w:t>
      </w:r>
    </w:p>
    <w:sectPr>
      <w:pgSz w:w="11900" w:h="16838" w:orient="portrait"/>
      <w:cols w:equalWidth="0" w:num="1">
        <w:col w:w="11020"/>
      </w:cols>
      <w:pgMar w:left="440" w:top="24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2025-03-27T08:56:56Z</dcterms:created>
  <dcterms:modified xsi:type="dcterms:W3CDTF">2025-03-27T08:56:56Z</dcterms:modified>
</cp:coreProperties>
</file>