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58033.xml.htm"/>
      <w:bookmarkStart w:id="1" w:name="kswkform4_178705803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Marino Jason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7812 PALM PARKWAY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ORLANDO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32836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MARRIOTT VACATIONS WORLDWIDE Corp</w:t>
              </w:r>
            </w:hyperlink>
            <w:r>
              <w:rPr/>
              <w:t xml:space="preserve"> [ </w:t>
            </w:r>
            <w:r>
              <w:rPr>
                <w:rFonts w:ascii="Times;serif" w:hAnsi="Times;serif"/>
                <w:color w:val="0000FF"/>
                <w:sz w:val="24"/>
                <w:shd w:fill="FFFFFF" w:val="clear"/>
              </w:rPr>
              <w:t>VAC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9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71"/>
        <w:gridCol w:w="276"/>
        <w:gridCol w:w="906"/>
        <w:gridCol w:w="801"/>
        <w:gridCol w:w="891"/>
        <w:gridCol w:w="861"/>
        <w:gridCol w:w="801"/>
        <w:gridCol w:w="936"/>
        <w:gridCol w:w="831"/>
        <w:gridCol w:w="846"/>
      </w:tblGrid>
      <w:tr>
        <w:trPr>
          <w:tblHeader w:val="true"/>
        </w:trPr>
        <w:tc>
          <w:tcPr>
            <w:tcW w:w="124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18,750</w:t>
            </w:r>
            <w:r>
              <w:rPr>
                <w:rFonts w:ascii="Times;serif" w:hAnsi="Times;serif"/>
                <w:color w:val="008000"/>
                <w:position w:val="7"/>
                <w:sz w:val="16"/>
                <w:sz w:val="20"/>
                <w:shd w:fill="FFFFFF" w:val="clear"/>
              </w:rPr>
              <w:t>(1)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37,500</w:t>
            </w: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18,750</w:t>
            </w:r>
            <w:r>
              <w:rPr>
                <w:rFonts w:ascii="Times;serif" w:hAnsi="Times;serif"/>
                <w:color w:val="008000"/>
                <w:position w:val="7"/>
                <w:sz w:val="16"/>
                <w:sz w:val="20"/>
                <w:shd w:fill="FFFFFF" w:val="clear"/>
              </w:rPr>
              <w:t>(1)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granted at a target level and vests on December 31, 2028, or June 30, 2029, as applicable, and to be distributed following the Issuer's certification of performance. The actual number of shares of common stock that may be earned will range from 0% to 200% of the target number based on the achievement of specified stock price performance goals over the applicable performance period.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Title: Executive Vice President and Chief Financial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Harold Herman,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2394" TargetMode="External"/><Relationship Id="rId5" Type="http://schemas.openxmlformats.org/officeDocument/2006/relationships/hyperlink" Target="http://www.sec.gov/cgi-bin/browse-edgar?action=getcompany&amp;CIK=00015243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646</Words>
  <Characters>3518</Characters>
  <CharactersWithSpaces>4091</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