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1267460</wp:posOffset>
            </wp:positionH>
            <wp:positionV relativeFrom="page">
              <wp:posOffset>774065</wp:posOffset>
            </wp:positionV>
            <wp:extent cx="54146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14645" cy="8255"/>
                    </a:xfrm>
                    <a:prstGeom prst="rect">
                      <a:avLst/>
                    </a:prstGeom>
                    <a:noFill/>
                  </pic:spPr>
                </pic:pic>
              </a:graphicData>
            </a:graphic>
          </wp:anchor>
        </w:drawing>
        <w:drawing>
          <wp:anchor simplePos="0" relativeHeight="251657728" behindDoc="1" locked="0" layoutInCell="0" allowOverlap="1">
            <wp:simplePos x="0" y="0"/>
            <wp:positionH relativeFrom="page">
              <wp:posOffset>1267460</wp:posOffset>
            </wp:positionH>
            <wp:positionV relativeFrom="page">
              <wp:posOffset>740410</wp:posOffset>
            </wp:positionV>
            <wp:extent cx="5414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4645" cy="8255"/>
                    </a:xfrm>
                    <a:prstGeom prst="rect">
                      <a:avLst/>
                    </a:prstGeom>
                    <a:noFill/>
                  </pic:spPr>
                </pic:pic>
              </a:graphicData>
            </a:graphic>
          </wp:anchor>
        </w:drawing>
        <w:t>UNITED STATES</w:t>
      </w:r>
    </w:p>
    <w:p>
      <w:pPr>
        <w:spacing w:after="0" w:line="42"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1"/>
          <w:szCs w:val="11"/>
          <w:color w:val="auto"/>
        </w:rPr>
        <w:t>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4" w:lineRule="exact"/>
        <w:rPr>
          <w:sz w:val="24"/>
          <w:szCs w:val="24"/>
          <w:color w:val="auto"/>
        </w:rPr>
      </w:pPr>
    </w:p>
    <w:p>
      <w:pPr>
        <w:ind w:left="1800" w:hanging="422"/>
        <w:spacing w:after="0"/>
        <w:tabs>
          <w:tab w:leader="none" w:pos="1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6" w:lineRule="exact"/>
        <w:rPr>
          <w:sz w:val="24"/>
          <w:szCs w:val="24"/>
          <w:color w:val="auto"/>
        </w:rPr>
      </w:pPr>
    </w:p>
    <w:p>
      <w:pPr>
        <w:ind w:left="1800" w:hanging="422"/>
        <w:spacing w:after="0"/>
        <w:tabs>
          <w:tab w:leader="none" w:pos="1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7" w:lineRule="exact"/>
        <w:rPr>
          <w:sz w:val="24"/>
          <w:szCs w:val="24"/>
          <w:color w:val="auto"/>
        </w:rPr>
      </w:pPr>
    </w:p>
    <w:p>
      <w:pPr>
        <w:ind w:left="34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3673475</wp:posOffset>
            </wp:positionH>
            <wp:positionV relativeFrom="paragraph">
              <wp:posOffset>-9525</wp:posOffset>
            </wp:positionV>
            <wp:extent cx="1262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001-35219</w:t>
      </w:r>
    </w:p>
    <w:p>
      <w:pPr>
        <w:spacing w:after="0" w:line="2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Marriott Vacations Worldwide Corporation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15" w:lineRule="exact"/>
        <w:rPr>
          <w:sz w:val="24"/>
          <w:szCs w:val="24"/>
          <w:color w:val="auto"/>
        </w:rPr>
      </w:pPr>
    </w:p>
    <w:tbl>
      <w:tblPr>
        <w:tblLayout w:type="fixed"/>
        <w:tblInd w:w="2220" w:type="dxa"/>
        <w:tblCellMar>
          <w:top w:w="0" w:type="dxa"/>
          <w:left w:w="0" w:type="dxa"/>
          <w:bottom w:w="0" w:type="dxa"/>
          <w:right w:w="0" w:type="dxa"/>
        </w:tblCellMar>
      </w:tblPr>
      <w:tr>
        <w:trPr>
          <w:trHeight w:val="230"/>
        </w:trPr>
        <w:tc>
          <w:tcPr>
            <w:tcW w:w="3980" w:type="dxa"/>
            <w:vAlign w:val="bottom"/>
          </w:tcPr>
          <w:p>
            <w:pPr>
              <w:jc w:val="center"/>
              <w:ind w:right="1083"/>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300" w:type="dxa"/>
            <w:vAlign w:val="bottom"/>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45-2598330</w:t>
            </w:r>
          </w:p>
        </w:tc>
      </w:tr>
      <w:tr>
        <w:trPr>
          <w:trHeight w:val="200"/>
        </w:trPr>
        <w:tc>
          <w:tcPr>
            <w:tcW w:w="3980" w:type="dxa"/>
            <w:vAlign w:val="bottom"/>
          </w:tcPr>
          <w:p>
            <w:pPr>
              <w:jc w:val="center"/>
              <w:ind w:right="1083"/>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300" w:type="dxa"/>
            <w:vAlign w:val="bottom"/>
          </w:tcPr>
          <w:p>
            <w:pPr>
              <w:jc w:val="center"/>
              <w:ind w:left="1143"/>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3980" w:type="dxa"/>
            <w:vAlign w:val="bottom"/>
          </w:tcPr>
          <w:p>
            <w:pPr>
              <w:jc w:val="center"/>
              <w:ind w:right="1083"/>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300" w:type="dxa"/>
            <w:vAlign w:val="bottom"/>
          </w:tcPr>
          <w:p>
            <w:pPr>
              <w:jc w:val="center"/>
              <w:ind w:left="11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49"/>
        </w:trPr>
        <w:tc>
          <w:tcPr>
            <w:tcW w:w="3980" w:type="dxa"/>
            <w:vAlign w:val="bottom"/>
          </w:tcPr>
          <w:p>
            <w:pPr>
              <w:jc w:val="center"/>
              <w:ind w:right="1123"/>
              <w:spacing w:after="0"/>
              <w:rPr>
                <w:sz w:val="20"/>
                <w:szCs w:val="20"/>
                <w:color w:val="auto"/>
              </w:rPr>
            </w:pPr>
            <w:r>
              <w:rPr>
                <w:rFonts w:ascii="Times New Roman" w:cs="Times New Roman" w:eastAsia="Times New Roman" w:hAnsi="Times New Roman"/>
                <w:sz w:val="18"/>
                <w:szCs w:val="18"/>
                <w:b w:val="1"/>
                <w:bCs w:val="1"/>
                <w:color w:val="auto"/>
              </w:rPr>
              <w:t>9002 San Marco Court  Orlando FL</w:t>
            </w:r>
          </w:p>
        </w:tc>
        <w:tc>
          <w:tcPr>
            <w:tcW w:w="2300" w:type="dxa"/>
            <w:vAlign w:val="bottom"/>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32819</w:t>
            </w:r>
          </w:p>
        </w:tc>
      </w:tr>
      <w:tr>
        <w:trPr>
          <w:trHeight w:val="185"/>
        </w:trPr>
        <w:tc>
          <w:tcPr>
            <w:tcW w:w="3980" w:type="dxa"/>
            <w:vAlign w:val="bottom"/>
          </w:tcPr>
          <w:p>
            <w:pPr>
              <w:jc w:val="center"/>
              <w:ind w:right="1083"/>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2300" w:type="dxa"/>
            <w:vAlign w:val="bottom"/>
          </w:tcPr>
          <w:p>
            <w:pPr>
              <w:jc w:val="center"/>
              <w:ind w:left="114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109" w:lineRule="exact"/>
        <w:rPr>
          <w:sz w:val="24"/>
          <w:szCs w:val="24"/>
          <w:color w:val="auto"/>
        </w:rPr>
      </w:pPr>
    </w:p>
    <w:p>
      <w:pPr>
        <w:ind w:left="3160" w:right="3160" w:firstLine="312"/>
        <w:spacing w:after="0" w:line="339" w:lineRule="auto"/>
        <w:tabs>
          <w:tab w:leader="none" w:pos="3895"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206-6000 </w:t>
      </w:r>
      <w:r>
        <w:rPr>
          <w:rFonts w:ascii="Times New Roman" w:cs="Times New Roman" w:eastAsia="Times New Roman" w:hAnsi="Times New Roman"/>
          <w:sz w:val="13"/>
          <w:szCs w:val="13"/>
          <w:b w:val="1"/>
          <w:bCs w:val="1"/>
          <w:color w:val="auto"/>
        </w:rPr>
        <w:t>(Registrant’s telephone number, including area code)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69" w:lineRule="exact"/>
        <w:rPr>
          <w:sz w:val="24"/>
          <w:szCs w:val="24"/>
          <w:color w:val="auto"/>
        </w:rPr>
      </w:pPr>
    </w:p>
    <w:tbl>
      <w:tblPr>
        <w:tblLayout w:type="fixed"/>
        <w:tblInd w:w="1370" w:type="dxa"/>
        <w:tblCellMar>
          <w:top w:w="0" w:type="dxa"/>
          <w:left w:w="0" w:type="dxa"/>
          <w:bottom w:w="0" w:type="dxa"/>
          <w:right w:w="0" w:type="dxa"/>
        </w:tblCellMar>
      </w:tblPr>
      <w:tr>
        <w:trPr>
          <w:trHeight w:val="204"/>
        </w:trPr>
        <w:tc>
          <w:tcPr>
            <w:tcW w:w="3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20"/>
        </w:trPr>
        <w:tc>
          <w:tcPr>
            <w:tcW w:w="3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Common Stock, $0.01 Par Value</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9"/>
              </w:rPr>
              <w:t>VAC</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New York Stock Exchange</w:t>
            </w:r>
          </w:p>
        </w:tc>
      </w:tr>
      <w:tr>
        <w:trPr>
          <w:trHeight w:val="29"/>
        </w:trPr>
        <w:tc>
          <w:tcPr>
            <w:tcW w:w="31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bl>
    <w:p>
      <w:pPr>
        <w:spacing w:after="0" w:line="176" w:lineRule="exact"/>
        <w:rPr>
          <w:sz w:val="24"/>
          <w:szCs w:val="24"/>
          <w:color w:val="auto"/>
        </w:rPr>
      </w:pPr>
    </w:p>
    <w:p>
      <w:pPr>
        <w:ind w:right="80"/>
        <w:spacing w:after="0" w:line="21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3" w:lineRule="exact"/>
        <w:rPr>
          <w:sz w:val="24"/>
          <w:szCs w:val="24"/>
          <w:color w:val="auto"/>
        </w:rPr>
      </w:pPr>
    </w:p>
    <w:p>
      <w:pPr>
        <w:ind w:right="100"/>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8"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95" w:right="339" w:bottom="1440" w:gutter="0" w:footer="0" w:header="0"/>
        </w:sectPr>
      </w:pPr>
    </w:p>
    <w:p>
      <w:pPr>
        <w:spacing w:after="0" w:line="2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tabs>
          <w:tab w:leader="none" w:pos="48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tabs>
          <w:tab w:leader="none" w:pos="3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46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5">
            <w:col w:w="2100" w:space="720"/>
            <w:col w:w="1620" w:space="720"/>
            <w:col w:w="1900" w:space="660"/>
            <w:col w:w="2360" w:space="720"/>
            <w:col w:w="440"/>
          </w:cols>
          <w:pgMar w:left="320" w:top="1395"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6" w:lineRule="exact"/>
        <w:rPr>
          <w:sz w:val="24"/>
          <w:szCs w:val="24"/>
          <w:color w:val="auto"/>
        </w:rPr>
      </w:pPr>
    </w:p>
    <w:p>
      <w:pPr>
        <w:sectPr>
          <w:pgSz w:w="11900" w:h="16838" w:orient="portrait"/>
          <w:cols w:equalWidth="0" w:num="2">
            <w:col w:w="2100" w:space="720"/>
            <w:col w:w="8420"/>
          </w:cols>
          <w:pgMar w:left="320" w:top="1395" w:right="339" w:bottom="1440" w:gutter="0" w:footer="0" w:header="0"/>
          <w:type w:val="continuous"/>
        </w:sectPr>
      </w:pPr>
    </w:p>
    <w:p>
      <w:pPr>
        <w:ind w:right="280"/>
        <w:spacing w:after="0" w:line="21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2" w:lineRule="exact"/>
        <w:rPr>
          <w:sz w:val="24"/>
          <w:szCs w:val="24"/>
          <w:color w:val="auto"/>
        </w:rPr>
      </w:pPr>
    </w:p>
    <w:p>
      <w:pPr>
        <w:ind w:right="2620"/>
        <w:spacing w:after="0" w:line="27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The number of shares outstanding of the issuer’s common stock, par value $0.01 per share, as of August 3, 2022 was 39,285,977.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725170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111125</wp:posOffset>
            </wp:positionV>
            <wp:extent cx="5414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4645" cy="8255"/>
                    </a:xfrm>
                    <a:prstGeom prst="rect">
                      <a:avLst/>
                    </a:prstGeom>
                    <a:noFill/>
                  </pic:spPr>
                </pic:pic>
              </a:graphicData>
            </a:graphic>
          </wp:anchor>
        </w:drawing>
        <w:drawing>
          <wp:anchor simplePos="0" relativeHeight="251657728" behindDoc="1" locked="0" layoutInCell="0" allowOverlap="1">
            <wp:simplePos x="0" y="0"/>
            <wp:positionH relativeFrom="column">
              <wp:posOffset>864235</wp:posOffset>
            </wp:positionH>
            <wp:positionV relativeFrom="paragraph">
              <wp:posOffset>77470</wp:posOffset>
            </wp:positionV>
            <wp:extent cx="5414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4645" cy="825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type w:val="continuous"/>
        </w:sectPr>
      </w:pPr>
    </w:p>
    <w:bookmarkStart w:id="1" w:name="page2"/>
    <w:bookmarkEnd w:id="1"/>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FORM 10-Q TABLE OF CONTENTS</w:t>
      </w:r>
    </w:p>
    <w:p>
      <w:pPr>
        <w:spacing w:after="0" w:line="32"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222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6"/>
              </w:rPr>
              <w:t>FINANCIAL INFORMATION</w:t>
            </w:r>
          </w:p>
        </w:tc>
        <w:tc>
          <w:tcPr>
            <w:tcW w:w="4400" w:type="dxa"/>
            <w:vAlign w:val="bottom"/>
            <w:gridSpan w:val="8"/>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980" w:type="dxa"/>
            <w:vAlign w:val="bottom"/>
            <w:vMerge w:val="continue"/>
          </w:tcPr>
          <w:p>
            <w:pPr>
              <w:spacing w:after="0"/>
              <w:rPr>
                <w:sz w:val="14"/>
                <w:szCs w:val="14"/>
                <w:color w:val="auto"/>
              </w:rPr>
            </w:pPr>
          </w:p>
        </w:tc>
        <w:tc>
          <w:tcPr>
            <w:tcW w:w="2220" w:type="dxa"/>
            <w:vAlign w:val="bottom"/>
            <w:gridSpan w:val="10"/>
            <w:vMerge w:val="continue"/>
          </w:tcPr>
          <w:p>
            <w:pPr>
              <w:spacing w:after="0"/>
              <w:rPr>
                <w:sz w:val="14"/>
                <w:szCs w:val="14"/>
                <w:color w:val="auto"/>
              </w:rPr>
            </w:pPr>
          </w:p>
        </w:tc>
        <w:tc>
          <w:tcPr>
            <w:tcW w:w="4400" w:type="dxa"/>
            <w:vAlign w:val="bottom"/>
            <w:gridSpan w:val="8"/>
            <w:vMerge w:val="continue"/>
          </w:tcPr>
          <w:p>
            <w:pPr>
              <w:spacing w:after="0"/>
              <w:rPr>
                <w:sz w:val="14"/>
                <w:szCs w:val="14"/>
                <w:color w:val="auto"/>
              </w:rPr>
            </w:pPr>
          </w:p>
        </w:tc>
        <w:tc>
          <w:tcPr>
            <w:tcW w:w="500" w:type="dxa"/>
            <w:vAlign w:val="bottom"/>
            <w:gridSpan w:val="2"/>
          </w:tcPr>
          <w:p>
            <w:pPr>
              <w:jc w:val="center"/>
              <w:ind w:left="337"/>
              <w:spacing w:after="0" w:line="164" w:lineRule="exact"/>
              <w:rPr>
                <w:sz w:val="20"/>
                <w:szCs w:val="20"/>
                <w:color w:val="auto"/>
              </w:rPr>
            </w:pPr>
            <w:r>
              <w:rPr>
                <w:rFonts w:ascii="Times New Roman" w:cs="Times New Roman" w:eastAsia="Times New Roman" w:hAnsi="Times New Roman"/>
                <w:sz w:val="17"/>
                <w:szCs w:val="17"/>
                <w:color w:val="0000FF"/>
                <w:w w:val="93"/>
              </w:rPr>
              <w:t>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w:t>
            </w:r>
          </w:p>
        </w:tc>
        <w:tc>
          <w:tcPr>
            <w:tcW w:w="200" w:type="dxa"/>
            <w:vAlign w:val="bottom"/>
          </w:tcPr>
          <w:p>
            <w:pPr>
              <w:spacing w:after="0"/>
              <w:rPr>
                <w:sz w:val="20"/>
                <w:szCs w:val="20"/>
                <w:color w:val="auto"/>
              </w:rPr>
            </w:pPr>
          </w:p>
        </w:tc>
        <w:tc>
          <w:tcPr>
            <w:tcW w:w="14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w w:val="97"/>
              </w:rPr>
              <w:t>Financial Statements</w:t>
            </w:r>
          </w:p>
        </w:tc>
        <w:tc>
          <w:tcPr>
            <w:tcW w:w="620" w:type="dxa"/>
            <w:vAlign w:val="bottom"/>
            <w:gridSpan w:val="3"/>
          </w:tcPr>
          <w:p>
            <w:pPr>
              <w:spacing w:after="0"/>
              <w:rPr>
                <w:sz w:val="20"/>
                <w:szCs w:val="20"/>
                <w:color w:val="auto"/>
              </w:rPr>
            </w:pPr>
          </w:p>
        </w:tc>
        <w:tc>
          <w:tcPr>
            <w:tcW w:w="4400" w:type="dxa"/>
            <w:vAlign w:val="bottom"/>
            <w:gridSpan w:val="8"/>
          </w:tcPr>
          <w:p>
            <w:pPr>
              <w:spacing w:after="0"/>
              <w:rPr>
                <w:sz w:val="20"/>
                <w:szCs w:val="20"/>
                <w:color w:val="auto"/>
              </w:rPr>
            </w:pPr>
          </w:p>
        </w:tc>
        <w:tc>
          <w:tcPr>
            <w:tcW w:w="50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0000FF"/>
                <w:w w:val="93"/>
              </w:rPr>
              <w:t>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Interim Consolidated Statements of Income</w:t>
            </w:r>
          </w:p>
        </w:tc>
        <w:tc>
          <w:tcPr>
            <w:tcW w:w="50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0000FF"/>
                <w:w w:val="93"/>
              </w:rPr>
              <w:t>1</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w w:val="97"/>
              </w:rPr>
              <w:t>Interim Consolidated Statements of Comprehensive Income</w:t>
            </w:r>
          </w:p>
        </w:tc>
        <w:tc>
          <w:tcPr>
            <w:tcW w:w="2180" w:type="dxa"/>
            <w:vAlign w:val="bottom"/>
            <w:gridSpan w:val="3"/>
          </w:tcPr>
          <w:p>
            <w:pPr>
              <w:spacing w:after="0"/>
              <w:rPr>
                <w:sz w:val="20"/>
                <w:szCs w:val="20"/>
                <w:color w:val="auto"/>
              </w:rPr>
            </w:pPr>
          </w:p>
        </w:tc>
        <w:tc>
          <w:tcPr>
            <w:tcW w:w="50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0000FF"/>
                <w:w w:val="93"/>
              </w:rPr>
              <w:t>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Interim Consolidated Balance Sheets</w:t>
            </w:r>
          </w:p>
        </w:tc>
        <w:tc>
          <w:tcPr>
            <w:tcW w:w="2180" w:type="dxa"/>
            <w:vAlign w:val="bottom"/>
            <w:gridSpan w:val="3"/>
          </w:tcPr>
          <w:p>
            <w:pPr>
              <w:spacing w:after="0"/>
              <w:rPr>
                <w:sz w:val="20"/>
                <w:szCs w:val="20"/>
                <w:color w:val="auto"/>
              </w:rPr>
            </w:pPr>
          </w:p>
        </w:tc>
        <w:tc>
          <w:tcPr>
            <w:tcW w:w="50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0000FF"/>
                <w:w w:val="93"/>
              </w:rPr>
              <w:t>3</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Interim Consolidated Statements of Cash Flows</w:t>
            </w:r>
          </w:p>
        </w:tc>
        <w:tc>
          <w:tcPr>
            <w:tcW w:w="50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0000FF"/>
                <w:w w:val="93"/>
              </w:rPr>
              <w:t>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w w:val="95"/>
              </w:rPr>
              <w:t>Interim Consolidated Statements of Shareholders’ Equity</w:t>
            </w:r>
          </w:p>
        </w:tc>
        <w:tc>
          <w:tcPr>
            <w:tcW w:w="2400" w:type="dxa"/>
            <w:vAlign w:val="bottom"/>
            <w:gridSpan w:val="4"/>
          </w:tcPr>
          <w:p>
            <w:pPr>
              <w:spacing w:after="0"/>
              <w:rPr>
                <w:sz w:val="20"/>
                <w:szCs w:val="20"/>
                <w:color w:val="auto"/>
              </w:rPr>
            </w:pPr>
          </w:p>
        </w:tc>
        <w:tc>
          <w:tcPr>
            <w:tcW w:w="50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0000FF"/>
                <w:w w:val="93"/>
              </w:rPr>
              <w:t>6</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w w:val="97"/>
              </w:rPr>
              <w:t>Interim Condensed Notes to Consolidated Financial Statements</w:t>
            </w:r>
          </w:p>
        </w:tc>
        <w:tc>
          <w:tcPr>
            <w:tcW w:w="1960" w:type="dxa"/>
            <w:vAlign w:val="bottom"/>
            <w:gridSpan w:val="2"/>
          </w:tcPr>
          <w:p>
            <w:pPr>
              <w:spacing w:after="0"/>
              <w:rPr>
                <w:sz w:val="20"/>
                <w:szCs w:val="20"/>
                <w:color w:val="auto"/>
              </w:rPr>
            </w:pPr>
          </w:p>
        </w:tc>
        <w:tc>
          <w:tcPr>
            <w:tcW w:w="500" w:type="dxa"/>
            <w:vAlign w:val="bottom"/>
            <w:gridSpan w:val="2"/>
          </w:tcPr>
          <w:p>
            <w:pPr>
              <w:jc w:val="center"/>
              <w:ind w:left="337"/>
              <w:spacing w:after="0"/>
              <w:rPr>
                <w:sz w:val="20"/>
                <w:szCs w:val="20"/>
                <w:color w:val="auto"/>
              </w:rPr>
            </w:pPr>
            <w:r>
              <w:rPr>
                <w:rFonts w:ascii="Times New Roman" w:cs="Times New Roman" w:eastAsia="Times New Roman" w:hAnsi="Times New Roman"/>
                <w:sz w:val="17"/>
                <w:szCs w:val="17"/>
                <w:color w:val="0000FF"/>
                <w:w w:val="93"/>
              </w:rPr>
              <w:t>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2.</w:t>
            </w:r>
          </w:p>
        </w:tc>
        <w:tc>
          <w:tcPr>
            <w:tcW w:w="200" w:type="dxa"/>
            <w:vAlign w:val="bottom"/>
          </w:tcPr>
          <w:p>
            <w:pPr>
              <w:spacing w:after="0"/>
              <w:rPr>
                <w:sz w:val="20"/>
                <w:szCs w:val="20"/>
                <w:color w:val="auto"/>
              </w:rPr>
            </w:pPr>
          </w:p>
        </w:tc>
        <w:tc>
          <w:tcPr>
            <w:tcW w:w="59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w w:val="97"/>
              </w:rPr>
              <w:t>Management’s Discussion and Analysis of Financial Condition and Results of Operations</w:t>
            </w:r>
          </w:p>
        </w:tc>
        <w:tc>
          <w:tcPr>
            <w:tcW w:w="44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196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3.</w:t>
            </w:r>
          </w:p>
        </w:tc>
        <w:tc>
          <w:tcPr>
            <w:tcW w:w="200" w:type="dxa"/>
            <w:vAlign w:val="bottom"/>
          </w:tcPr>
          <w:p>
            <w:pPr>
              <w:spacing w:after="0"/>
              <w:rPr>
                <w:sz w:val="20"/>
                <w:szCs w:val="20"/>
                <w:color w:val="auto"/>
              </w:rPr>
            </w:pPr>
          </w:p>
        </w:tc>
        <w:tc>
          <w:tcPr>
            <w:tcW w:w="40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w w:val="96"/>
              </w:rPr>
              <w:t>Quantitative and Qualitative Disclosures About Market Risk</w:t>
            </w:r>
          </w:p>
        </w:tc>
        <w:tc>
          <w:tcPr>
            <w:tcW w:w="1960" w:type="dxa"/>
            <w:vAlign w:val="bottom"/>
            <w:gridSpan w:val="3"/>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4.</w:t>
            </w:r>
          </w:p>
        </w:tc>
        <w:tc>
          <w:tcPr>
            <w:tcW w:w="200" w:type="dxa"/>
            <w:vAlign w:val="bottom"/>
          </w:tcPr>
          <w:p>
            <w:pPr>
              <w:spacing w:after="0"/>
              <w:rPr>
                <w:sz w:val="20"/>
                <w:szCs w:val="20"/>
                <w:color w:val="auto"/>
              </w:rPr>
            </w:pPr>
          </w:p>
        </w:tc>
        <w:tc>
          <w:tcPr>
            <w:tcW w:w="1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6"/>
              </w:rPr>
              <w:t>Controls and Procedures</w:t>
            </w:r>
          </w:p>
        </w:tc>
        <w:tc>
          <w:tcPr>
            <w:tcW w:w="2380" w:type="dxa"/>
            <w:vAlign w:val="bottom"/>
            <w:gridSpan w:val="6"/>
          </w:tcPr>
          <w:p>
            <w:pPr>
              <w:spacing w:after="0"/>
              <w:rPr>
                <w:sz w:val="20"/>
                <w:szCs w:val="20"/>
                <w:color w:val="auto"/>
              </w:rPr>
            </w:pPr>
          </w:p>
        </w:tc>
        <w:tc>
          <w:tcPr>
            <w:tcW w:w="2400" w:type="dxa"/>
            <w:vAlign w:val="bottom"/>
            <w:gridSpan w:val="4"/>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188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0000FF"/>
                <w:w w:val="96"/>
              </w:rPr>
              <w:t>OTHER INFORMATION</w:t>
            </w:r>
          </w:p>
        </w:tc>
        <w:tc>
          <w:tcPr>
            <w:tcW w:w="4740" w:type="dxa"/>
            <w:vAlign w:val="bottom"/>
            <w:gridSpan w:val="9"/>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w:t>
            </w:r>
          </w:p>
        </w:tc>
        <w:tc>
          <w:tcPr>
            <w:tcW w:w="200" w:type="dxa"/>
            <w:vAlign w:val="bottom"/>
          </w:tcPr>
          <w:p>
            <w:pPr>
              <w:spacing w:after="0"/>
              <w:rPr>
                <w:sz w:val="20"/>
                <w:szCs w:val="20"/>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6"/>
              </w:rPr>
              <w:t>Legal Proceedings</w:t>
            </w:r>
          </w:p>
        </w:tc>
        <w:tc>
          <w:tcPr>
            <w:tcW w:w="440" w:type="dxa"/>
            <w:vAlign w:val="bottom"/>
            <w:gridSpan w:val="3"/>
          </w:tcPr>
          <w:p>
            <w:pPr>
              <w:spacing w:after="0"/>
              <w:rPr>
                <w:sz w:val="20"/>
                <w:szCs w:val="20"/>
                <w:color w:val="auto"/>
              </w:rPr>
            </w:pPr>
          </w:p>
        </w:tc>
        <w:tc>
          <w:tcPr>
            <w:tcW w:w="4740" w:type="dxa"/>
            <w:vAlign w:val="bottom"/>
            <w:gridSpan w:val="9"/>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1A.</w:t>
            </w:r>
          </w:p>
        </w:tc>
        <w:tc>
          <w:tcPr>
            <w:tcW w:w="20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1"/>
              </w:rPr>
              <w:t>Risk Factors</w:t>
            </w:r>
          </w:p>
        </w:tc>
        <w:tc>
          <w:tcPr>
            <w:tcW w:w="420" w:type="dxa"/>
            <w:vAlign w:val="bottom"/>
          </w:tcPr>
          <w:p>
            <w:pPr>
              <w:spacing w:after="0"/>
              <w:rPr>
                <w:sz w:val="20"/>
                <w:szCs w:val="20"/>
                <w:color w:val="auto"/>
              </w:rPr>
            </w:pPr>
          </w:p>
        </w:tc>
        <w:tc>
          <w:tcPr>
            <w:tcW w:w="5180" w:type="dxa"/>
            <w:vAlign w:val="bottom"/>
            <w:gridSpan w:val="12"/>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0" w:type="dxa"/>
            <w:vAlign w:val="bottom"/>
            <w:tcBorders>
              <w:left w:val="single" w:sz="8" w:color="0000FF"/>
            </w:tcBorders>
            <w:gridSpan w:val="9"/>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2.</w:t>
            </w:r>
          </w:p>
        </w:tc>
        <w:tc>
          <w:tcPr>
            <w:tcW w:w="200" w:type="dxa"/>
            <w:vAlign w:val="bottom"/>
          </w:tcPr>
          <w:p>
            <w:pPr>
              <w:spacing w:after="0"/>
              <w:rPr>
                <w:sz w:val="20"/>
                <w:szCs w:val="20"/>
                <w:color w:val="auto"/>
              </w:rPr>
            </w:pPr>
          </w:p>
        </w:tc>
        <w:tc>
          <w:tcPr>
            <w:tcW w:w="64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Item 6.</w:t>
            </w:r>
          </w:p>
        </w:tc>
        <w:tc>
          <w:tcPr>
            <w:tcW w:w="200" w:type="dxa"/>
            <w:vAlign w:val="bottom"/>
          </w:tcPr>
          <w:p>
            <w:pPr>
              <w:spacing w:after="0"/>
              <w:rPr>
                <w:sz w:val="20"/>
                <w:szCs w:val="20"/>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5"/>
              </w:rPr>
              <w:t>Exhibits</w:t>
            </w:r>
          </w:p>
        </w:tc>
        <w:tc>
          <w:tcPr>
            <w:tcW w:w="3460" w:type="dxa"/>
            <w:vAlign w:val="bottom"/>
            <w:gridSpan w:val="10"/>
          </w:tcPr>
          <w:p>
            <w:pPr>
              <w:spacing w:after="0"/>
              <w:rPr>
                <w:sz w:val="20"/>
                <w:szCs w:val="20"/>
                <w:color w:val="auto"/>
              </w:rPr>
            </w:pPr>
          </w:p>
        </w:tc>
        <w:tc>
          <w:tcPr>
            <w:tcW w:w="2400" w:type="dxa"/>
            <w:vAlign w:val="bottom"/>
            <w:gridSpan w:val="4"/>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0" w:type="dxa"/>
            <w:vAlign w:val="bottom"/>
            <w:gridSpan w:val="1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0" w:type="dxa"/>
            <w:vAlign w:val="bottom"/>
          </w:tcPr>
          <w:p>
            <w:pPr>
              <w:spacing w:after="0"/>
              <w:rPr>
                <w:sz w:val="20"/>
                <w:szCs w:val="20"/>
                <w:color w:val="auto"/>
              </w:rPr>
            </w:pPr>
          </w:p>
        </w:tc>
        <w:tc>
          <w:tcPr>
            <w:tcW w:w="662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service marks, and trade names cited in this report are the property of their respective owners, including those of other companies and organizations. Solely for convenience, trademarks, trade names, and service marks referred to in this report may appear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9"/>
          <w:szCs w:val="9"/>
          <w:color w:val="auto"/>
        </w:rPr>
        <w:t>TM</w:t>
      </w:r>
      <w:r>
        <w:rPr>
          <w:rFonts w:ascii="Times New Roman" w:cs="Times New Roman" w:eastAsia="Times New Roman" w:hAnsi="Times New Roman"/>
          <w:sz w:val="18"/>
          <w:szCs w:val="18"/>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9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Capitalized terms used and not specifically defined herein have the same meanings given those terms in our Annual Report on Form 10-K for the year ended December 31, 2021 (the “2021 Annual Report”). When discussing our properties or markets, we refer to the United States, Mexico, Central America, and the Caribbean as “North America.”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1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COVID-19 pandemic has caused significant disruptions in international and U.S. economies and markets, and has also had an unprecedented impact on the travel and hospitality industries, as well as the Company. We discuss the impacts of the COVID-19 pandemic and its potential future implications throughout this report; however, the COVID-19 pandemic, and any recovery therefrom, continues to evolve and further potential impacts on our business in the future remain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650240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7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1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INTERIM CONSOLIDATED STATEMENTS OF INCOME</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59"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23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21"/>
                <w:szCs w:val="21"/>
                <w:color w:val="auto"/>
              </w:rPr>
            </w:pP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1"/>
                <w:szCs w:val="21"/>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and exchange</w:t>
            </w: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w:t>
            </w: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7"/>
        </w:trPr>
        <w:tc>
          <w:tcPr>
            <w:tcW w:w="3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2,216</w:t>
            </w:r>
          </w:p>
        </w:tc>
        <w:tc>
          <w:tcPr>
            <w:tcW w:w="1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1,738</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Marketing and sales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and exchange</w:t>
            </w: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w:t>
            </w: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charges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Royalty fee</w:t>
            </w: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2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6"/>
        </w:trPr>
        <w:tc>
          <w:tcPr>
            <w:tcW w:w="3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1,609</w:t>
            </w:r>
          </w:p>
        </w:tc>
        <w:tc>
          <w:tcPr>
            <w:tcW w:w="0" w:type="dxa"/>
            <w:vAlign w:val="bottom"/>
          </w:tcPr>
          <w:p>
            <w:pPr>
              <w:spacing w:after="0"/>
              <w:rPr>
                <w:sz w:val="1"/>
                <w:szCs w:val="1"/>
                <w:color w:val="auto"/>
              </w:rPr>
            </w:pPr>
          </w:p>
        </w:tc>
      </w:tr>
      <w:tr>
        <w:trPr>
          <w:trHeight w:val="234"/>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Gains (losses) and other income (expense), net</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8"/>
        </w:trPr>
        <w:tc>
          <w:tcPr>
            <w:tcW w:w="38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AND NONCONTROLLING INTERESTS</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Net loss (income) attributable to noncontrolling</w:t>
            </w: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44"/>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800" w:type="dxa"/>
            <w:vAlign w:val="bottom"/>
            <w:tcBorders>
              <w:bottom w:val="single" w:sz="8" w:color="CCEEFF"/>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38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26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ATTRIBUTABLE TO COMMON</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21"/>
                <w:szCs w:val="21"/>
                <w:color w:val="auto"/>
              </w:rPr>
            </w:pP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0.15</w:t>
            </w:r>
          </w:p>
        </w:tc>
        <w:tc>
          <w:tcPr>
            <w:tcW w:w="14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21"/>
                <w:szCs w:val="21"/>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0.15</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SHARE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8"/>
        </w:trPr>
        <w:tc>
          <w:tcPr>
            <w:tcW w:w="6540" w:type="dxa"/>
            <w:vAlign w:val="bottom"/>
            <w:gridSpan w:val="8"/>
          </w:tcPr>
          <w:p>
            <w:pPr>
              <w:ind w:left="2180"/>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226" w:right="1440" w:bottom="1440" w:gutter="0" w:footer="0" w:header="0"/>
        </w:sectPr>
      </w:pPr>
    </w:p>
    <w:p>
      <w:pPr>
        <w:spacing w:after="0" w:line="17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299720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COMPREHENSIVE INCOME</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330"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0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Pr>
          <w:p>
            <w:pPr>
              <w:spacing w:after="0"/>
              <w:rPr>
                <w:sz w:val="17"/>
                <w:szCs w:val="17"/>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23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1"/>
        </w:trPr>
        <w:tc>
          <w:tcPr>
            <w:tcW w:w="380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Reclassification of foreign currency translation</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realized upon disposition of entities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instrument adjustment, net of tax</w:t>
            </w: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51"/>
        </w:trPr>
        <w:tc>
          <w:tcPr>
            <w:tcW w:w="380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OTHER COMPREHENSIVE (LOSS) GAIN,</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Net loss (income) attributable to noncontrolling</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Other comprehensive income attributable to</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380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2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ATTRIBUTABLE TO NONCONTROLLING</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ATTRIBUTABLE TO COMMON</w:t>
            </w: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4"/>
                <w:szCs w:val="14"/>
                <w:color w:val="auto"/>
              </w:rPr>
            </w:pPr>
          </w:p>
        </w:tc>
        <w:tc>
          <w:tcPr>
            <w:tcW w:w="720" w:type="dxa"/>
            <w:vAlign w:val="bottom"/>
            <w:vMerge w:val="restart"/>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4"/>
                <w:szCs w:val="14"/>
                <w:color w:val="auto"/>
              </w:rPr>
            </w:pPr>
          </w:p>
        </w:tc>
        <w:tc>
          <w:tcPr>
            <w:tcW w:w="32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4"/>
                <w:szCs w:val="14"/>
                <w:color w:val="auto"/>
              </w:rPr>
            </w:pPr>
          </w:p>
        </w:tc>
        <w:tc>
          <w:tcPr>
            <w:tcW w:w="660" w:type="dxa"/>
            <w:vAlign w:val="bottom"/>
            <w:vMerge w:val="restart"/>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120" w:lineRule="exact"/>
        <w:rPr>
          <w:sz w:val="20"/>
          <w:szCs w:val="20"/>
          <w:color w:val="auto"/>
        </w:rPr>
      </w:pPr>
    </w:p>
    <w:tbl>
      <w:tblPr>
        <w:tblLayout w:type="fixed"/>
        <w:tblInd w:w="1360" w:type="dxa"/>
        <w:tblCellMar>
          <w:top w:w="0" w:type="dxa"/>
          <w:left w:w="0" w:type="dxa"/>
          <w:bottom w:w="0" w:type="dxa"/>
          <w:right w:w="0" w:type="dxa"/>
        </w:tblCellMar>
      </w:tblPr>
      <w:tr>
        <w:trPr>
          <w:trHeight w:val="209"/>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3"/>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2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r>
      <w:tr>
        <w:trPr>
          <w:trHeight w:val="232"/>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(including $108 and $139 from VIEs, respectively)</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Accounts receivable, net (including $12 and $12 from VIEs, respectively)</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171"/>
        </w:trPr>
        <w:tc>
          <w:tcPr>
            <w:tcW w:w="53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Vacation ownership notes receivable, net (including $1,659 and $1,662</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VIEs, respectively)</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5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(including $71 and $76 from VIEs, respectively)</w:t>
            </w: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42"/>
        </w:trPr>
        <w:tc>
          <w:tcPr>
            <w:tcW w:w="53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deposits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(including $2 and $2 from VIEs, respectively)</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benefits liability</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171"/>
        </w:trPr>
        <w:tc>
          <w:tcPr>
            <w:tcW w:w="53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Securitized debt, net (including $1,868 and $1,877 from VIEs,</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53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Contingencies and Commitments (Note 11)</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171"/>
        </w:trPr>
        <w:tc>
          <w:tcPr>
            <w:tcW w:w="53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Preferred stock — $0.01 par value; 2,000,000 shares authorized; none</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or outstanding</w:t>
            </w: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53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Common stock — $0.01 par value; 100,000,000 shares authorized;</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75,741,585 and 75,519,049 shares issued, respectively</w:t>
            </w: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Treasury stock — at cost; 35,377,001 and 33,235,671 shares, respectively</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5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MVW SHAREHOLDERS' EQUITY</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5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3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42"/>
        </w:trPr>
        <w:tc>
          <w:tcPr>
            <w:tcW w:w="53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abbreviation VIEs above means Variable Interest Entities.</w:t>
      </w:r>
    </w:p>
    <w:p>
      <w:pPr>
        <w:spacing w:after="0" w:line="21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40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67"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5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30"/>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20"/>
                <w:szCs w:val="20"/>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32"/>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r>
      <w:tr>
        <w:trPr>
          <w:trHeight w:val="25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85"/>
        </w:trPr>
        <w:tc>
          <w:tcPr>
            <w:tcW w:w="58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to reconcile net income (loss) to net cash, cash equivalents and</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provided by operating activities:</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intangibles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Vacation ownership notes receivable reserve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1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5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assets and liabilities: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Vacation ownership notes receivable originations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50"/>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Vacation ownership notes receivable collections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50"/>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0"/>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advance deposits and accrued liabilities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Payroll and benefit liabilities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5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5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Deconsolidation of certain Consolidated Property Owners' Associations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50"/>
        </w:trPr>
        <w:tc>
          <w:tcPr>
            <w:tcW w:w="5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vacation ownership units for future transfer to inventory</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65"/>
        </w:trPr>
        <w:tc>
          <w:tcPr>
            <w:tcW w:w="5820" w:type="dxa"/>
            <w:vAlign w:val="bottom"/>
            <w:shd w:val="clear" w:color="auto" w:fill="CCEEFF"/>
          </w:tcPr>
          <w:p>
            <w:pPr>
              <w:ind w:left="640"/>
              <w:spacing w:after="0" w:line="164" w:lineRule="exact"/>
              <w:rPr>
                <w:sz w:val="20"/>
                <w:szCs w:val="20"/>
                <w:color w:val="auto"/>
              </w:rPr>
            </w:pPr>
            <w:r>
              <w:rPr>
                <w:rFonts w:ascii="Times New Roman" w:cs="Times New Roman" w:eastAsia="Times New Roman" w:hAnsi="Times New Roman"/>
                <w:sz w:val="18"/>
                <w:szCs w:val="18"/>
                <w:color w:val="auto"/>
              </w:rPr>
              <w:t>Net cash, cash equivalents and restricted cash provided by operating</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7"/>
        </w:trPr>
        <w:tc>
          <w:tcPr>
            <w:tcW w:w="5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of a business, net of cash and restricted cash acquired</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171"/>
        </w:trPr>
        <w:tc>
          <w:tcPr>
            <w:tcW w:w="582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Proceeds from disposition of subsidiaries, net of cash and restricted cash</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7"/>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transferred</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 for property and equipment (excluding inventory)</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note receivable to VIE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company owned life insurance</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1"/>
        </w:trPr>
        <w:tc>
          <w:tcPr>
            <w:tcW w:w="5820" w:type="dxa"/>
            <w:vAlign w:val="bottom"/>
            <w:shd w:val="clear" w:color="auto" w:fill="CCEEFF"/>
          </w:tcPr>
          <w:p>
            <w:pPr>
              <w:ind w:left="640"/>
              <w:spacing w:after="0" w:line="152" w:lineRule="exact"/>
              <w:rPr>
                <w:sz w:val="20"/>
                <w:szCs w:val="20"/>
                <w:color w:val="auto"/>
              </w:rPr>
            </w:pPr>
            <w:r>
              <w:rPr>
                <w:rFonts w:ascii="Times New Roman" w:cs="Times New Roman" w:eastAsia="Times New Roman" w:hAnsi="Times New Roman"/>
                <w:sz w:val="16"/>
                <w:szCs w:val="16"/>
                <w:color w:val="auto"/>
              </w:rPr>
              <w:t>Net cash, cash equivalents and restricted cash provided by (used in)</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37"/>
        </w:trPr>
        <w:tc>
          <w:tcPr>
            <w:tcW w:w="5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bl>
    <w:p>
      <w:pPr>
        <w:spacing w:after="0" w:line="200" w:lineRule="exact"/>
        <w:rPr>
          <w:sz w:val="20"/>
          <w:szCs w:val="20"/>
          <w:color w:val="auto"/>
        </w:rPr>
      </w:pPr>
    </w:p>
    <w:p>
      <w:pPr>
        <w:spacing w:after="0" w:line="31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40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 (CONTINUED)</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65"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5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30"/>
        </w:trPr>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20"/>
                <w:szCs w:val="20"/>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32"/>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r>
      <w:tr>
        <w:trPr>
          <w:trHeight w:val="25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 from securitization transactions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5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debt related to securitization transactions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5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debt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5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of debt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5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convertible note hedges</w:t>
            </w:r>
          </w:p>
        </w:tc>
        <w:tc>
          <w:tcPr>
            <w:tcW w:w="1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payment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dividends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 of withholding taxes on vesting of restricted stock units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151"/>
        </w:trPr>
        <w:tc>
          <w:tcPr>
            <w:tcW w:w="5800" w:type="dxa"/>
            <w:vAlign w:val="bottom"/>
            <w:shd w:val="clear" w:color="auto" w:fill="CCEEFF"/>
          </w:tcPr>
          <w:p>
            <w:pPr>
              <w:ind w:left="640"/>
              <w:spacing w:after="0" w:line="152" w:lineRule="exact"/>
              <w:rPr>
                <w:sz w:val="20"/>
                <w:szCs w:val="20"/>
                <w:color w:val="auto"/>
              </w:rPr>
            </w:pPr>
            <w:r>
              <w:rPr>
                <w:rFonts w:ascii="Times New Roman" w:cs="Times New Roman" w:eastAsia="Times New Roman" w:hAnsi="Times New Roman"/>
                <w:sz w:val="16"/>
                <w:szCs w:val="16"/>
                <w:color w:val="auto"/>
              </w:rPr>
              <w:t>Net cash, cash equivalents and restricted cash (used in) provided by</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237"/>
        </w:trPr>
        <w:tc>
          <w:tcPr>
            <w:tcW w:w="5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151"/>
        </w:trPr>
        <w:tc>
          <w:tcPr>
            <w:tcW w:w="5800" w:type="dxa"/>
            <w:vAlign w:val="bottom"/>
          </w:tcPr>
          <w:p>
            <w:pPr>
              <w:ind w:left="220"/>
              <w:spacing w:after="0" w:line="152" w:lineRule="exact"/>
              <w:rPr>
                <w:sz w:val="20"/>
                <w:szCs w:val="20"/>
                <w:color w:val="auto"/>
              </w:rPr>
            </w:pPr>
            <w:r>
              <w:rPr>
                <w:rFonts w:ascii="Times New Roman" w:cs="Times New Roman" w:eastAsia="Times New Roman" w:hAnsi="Times New Roman"/>
                <w:sz w:val="16"/>
                <w:szCs w:val="16"/>
                <w:color w:val="auto"/>
              </w:rPr>
              <w:t>Effect of changes in exchange rates on cash, cash equivalents and restricted</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7"/>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5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42"/>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issuance of debt in connection with asset acquisition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issuance of treasury stock for employee stock purchase plan</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issuance of treasury stock in connection with Welk Acquisition</w:t>
            </w:r>
          </w:p>
        </w:tc>
        <w:tc>
          <w:tcPr>
            <w:tcW w:w="1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5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transfer from inventory to property and equipment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transfer from property and equipment to inventory</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transfer of other assets to property and equipment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71"/>
        </w:trPr>
        <w:tc>
          <w:tcPr>
            <w:tcW w:w="580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Non-cash reduction of debt associated with bifurcation of conversion feature</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7"/>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 the 2022 Convertible Notes</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580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Non-cash adjustment to additional paid-in capital for 2022 Convertible Note</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7"/>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Hedges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5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171"/>
        </w:trPr>
        <w:tc>
          <w:tcPr>
            <w:tcW w:w="580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Income taxes paid, net of refunds (income tax refunds, net of income taxes</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6"/>
        </w:trPr>
        <w:tc>
          <w:tcPr>
            <w:tcW w:w="5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w:t>
            </w:r>
          </w:p>
        </w:tc>
        <w:tc>
          <w:tcPr>
            <w:tcW w:w="14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30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7" w:name="page8"/>
    <w:bookmarkEnd w:id="7"/>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INTERIM CONSOLIDATED STATEMENTS OF SHAREHOLDERS’ EQUITY</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80"/>
          </w:cols>
          <w:pgMar w:left="380" w:top="1277" w:right="239" w:bottom="1440" w:gutter="0" w:footer="0" w:header="0"/>
        </w:sect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Common</w:t>
      </w:r>
    </w:p>
    <w:p>
      <w:pPr>
        <w:ind w:left="100"/>
        <w:spacing w:after="0" w:line="215" w:lineRule="auto"/>
        <w:rPr>
          <w:sz w:val="20"/>
          <w:szCs w:val="20"/>
          <w:color w:val="auto"/>
        </w:rPr>
      </w:pPr>
      <w:r>
        <w:rPr>
          <w:rFonts w:ascii="Times New Roman" w:cs="Times New Roman" w:eastAsia="Times New Roman" w:hAnsi="Times New Roman"/>
          <w:sz w:val="14"/>
          <w:szCs w:val="14"/>
          <w:b w:val="1"/>
          <w:bCs w:val="1"/>
          <w:color w:val="auto"/>
        </w:rPr>
        <w:t>Stock</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Issued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75.5</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75.5</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p>
    <w:p>
      <w:pPr>
        <w:spacing w:after="0" w:line="1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p>
    <w:p>
      <w:pPr>
        <w:spacing w:after="0" w:line="18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w:t>
      </w:r>
    </w:p>
    <w:p>
      <w:pPr>
        <w:spacing w:after="0" w:line="18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0.2</w:t>
      </w:r>
    </w:p>
    <w:p>
      <w:pPr>
        <w:spacing w:after="0" w:line="1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w:t>
      </w:r>
    </w:p>
    <w:p>
      <w:pPr>
        <w:spacing w:after="0" w:line="6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34290</wp:posOffset>
            </wp:positionV>
            <wp:extent cx="409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11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75.7</w:t>
      </w:r>
    </w:p>
    <w:p>
      <w:pPr>
        <w:spacing w:after="0" w:line="1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w:t>
      </w:r>
    </w:p>
    <w:p>
      <w:pPr>
        <w:spacing w:after="0" w:line="1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w:t>
      </w:r>
    </w:p>
    <w:p>
      <w:pPr>
        <w:spacing w:after="0" w:line="3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p>
    <w:p>
      <w:pPr>
        <w:spacing w:after="0" w:line="3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34290</wp:posOffset>
            </wp:positionV>
            <wp:extent cx="409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17145</wp:posOffset>
            </wp:positionV>
            <wp:extent cx="409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9575" cy="825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42545</wp:posOffset>
            </wp:positionV>
            <wp:extent cx="409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6"/>
          <w:szCs w:val="16"/>
          <w:b w:val="1"/>
          <w:bCs w:val="1"/>
          <w:color w:val="auto"/>
        </w:rPr>
        <w:t>BALANCE AT DECEMBER 31, 2021</w:t>
      </w:r>
    </w:p>
    <w:p>
      <w:pPr>
        <w:spacing w:after="0" w:line="4" w:lineRule="exact"/>
        <w:rPr>
          <w:sz w:val="20"/>
          <w:szCs w:val="20"/>
          <w:color w:val="auto"/>
        </w:rPr>
      </w:pPr>
    </w:p>
    <w:p>
      <w:pPr>
        <w:ind w:left="200" w:right="240"/>
        <w:spacing w:after="0" w:line="237" w:lineRule="auto"/>
        <w:rPr>
          <w:sz w:val="20"/>
          <w:szCs w:val="20"/>
          <w:color w:val="auto"/>
        </w:rPr>
      </w:pPr>
      <w:r>
        <w:rPr>
          <w:rFonts w:ascii="Times New Roman" w:cs="Times New Roman" w:eastAsia="Times New Roman" w:hAnsi="Times New Roman"/>
          <w:sz w:val="16"/>
          <w:szCs w:val="16"/>
          <w:color w:val="auto"/>
        </w:rPr>
        <w:t>Impact of adoption of ASU 2020-06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OPENING BALANCE 2022</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income</w:t>
      </w:r>
    </w:p>
    <w:p>
      <w:pPr>
        <w:spacing w:after="0" w:line="53" w:lineRule="exact"/>
        <w:rPr>
          <w:sz w:val="20"/>
          <w:szCs w:val="20"/>
          <w:color w:val="auto"/>
        </w:rPr>
      </w:pPr>
    </w:p>
    <w:p>
      <w:pPr>
        <w:ind w:left="200" w:right="180"/>
        <w:spacing w:after="0" w:line="237" w:lineRule="auto"/>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5" w:lineRule="exact"/>
        <w:rPr>
          <w:sz w:val="20"/>
          <w:szCs w:val="20"/>
          <w:color w:val="auto"/>
        </w:rPr>
      </w:pPr>
    </w:p>
    <w:p>
      <w:pPr>
        <w:ind w:left="200" w:right="600"/>
        <w:spacing w:after="0" w:line="256" w:lineRule="auto"/>
        <w:rPr>
          <w:sz w:val="20"/>
          <w:szCs w:val="20"/>
          <w:color w:val="auto"/>
        </w:rPr>
      </w:pPr>
      <w:r>
        <w:rPr>
          <w:rFonts w:ascii="Times New Roman" w:cs="Times New Roman" w:eastAsia="Times New Roman" w:hAnsi="Times New Roman"/>
          <w:sz w:val="15"/>
          <w:szCs w:val="15"/>
          <w:color w:val="auto"/>
        </w:rPr>
        <w:t>Derivative instrument adjustment</w:t>
      </w:r>
    </w:p>
    <w:p>
      <w:pPr>
        <w:ind w:left="200" w:right="280"/>
        <w:spacing w:after="0" w:line="237" w:lineRule="auto"/>
        <w:rPr>
          <w:sz w:val="20"/>
          <w:szCs w:val="20"/>
          <w:color w:val="auto"/>
        </w:rPr>
      </w:pPr>
      <w:r>
        <w:rPr>
          <w:rFonts w:ascii="Times New Roman" w:cs="Times New Roman" w:eastAsia="Times New Roman" w:hAnsi="Times New Roman"/>
          <w:sz w:val="16"/>
          <w:szCs w:val="16"/>
          <w:color w:val="auto"/>
        </w:rPr>
        <w:t>Share-based compensation plans</w:t>
      </w:r>
    </w:p>
    <w:p>
      <w:pPr>
        <w:spacing w:after="0" w:line="18" w:lineRule="exact"/>
        <w:rPr>
          <w:sz w:val="20"/>
          <w:szCs w:val="20"/>
          <w:color w:val="auto"/>
        </w:rPr>
      </w:pPr>
    </w:p>
    <w:p>
      <w:pPr>
        <w:ind w:left="200" w:right="100"/>
        <w:spacing w:after="0" w:line="316" w:lineRule="auto"/>
        <w:rPr>
          <w:sz w:val="20"/>
          <w:szCs w:val="20"/>
          <w:color w:val="auto"/>
        </w:rPr>
      </w:pPr>
      <w:r>
        <w:rPr>
          <w:rFonts w:ascii="Times New Roman" w:cs="Times New Roman" w:eastAsia="Times New Roman" w:hAnsi="Times New Roman"/>
          <w:sz w:val="16"/>
          <w:szCs w:val="16"/>
          <w:color w:val="auto"/>
        </w:rPr>
        <w:t>Repurchase of common stock Dividends</w:t>
      </w:r>
    </w:p>
    <w:p>
      <w:pPr>
        <w:ind w:right="260"/>
        <w:spacing w:after="0" w:line="239" w:lineRule="auto"/>
        <w:rPr>
          <w:sz w:val="20"/>
          <w:szCs w:val="20"/>
          <w:color w:val="auto"/>
        </w:rPr>
      </w:pPr>
      <w:r>
        <w:rPr>
          <w:rFonts w:ascii="Times New Roman" w:cs="Times New Roman" w:eastAsia="Times New Roman" w:hAnsi="Times New Roman"/>
          <w:sz w:val="16"/>
          <w:szCs w:val="16"/>
          <w:b w:val="1"/>
          <w:bCs w:val="1"/>
          <w:color w:val="auto"/>
        </w:rPr>
        <w:t>BALANCE AT MARCH 31, 2022</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income (loss)</w:t>
      </w:r>
    </w:p>
    <w:p>
      <w:pPr>
        <w:spacing w:after="0" w:line="53" w:lineRule="exact"/>
        <w:rPr>
          <w:sz w:val="20"/>
          <w:szCs w:val="20"/>
          <w:color w:val="auto"/>
        </w:rPr>
      </w:pPr>
    </w:p>
    <w:p>
      <w:pPr>
        <w:ind w:left="200" w:right="180"/>
        <w:spacing w:after="0" w:line="237" w:lineRule="auto"/>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5" w:lineRule="exact"/>
        <w:rPr>
          <w:sz w:val="20"/>
          <w:szCs w:val="20"/>
          <w:color w:val="auto"/>
        </w:rPr>
      </w:pPr>
    </w:p>
    <w:p>
      <w:pPr>
        <w:ind w:left="200" w:right="300"/>
        <w:spacing w:after="0" w:line="236" w:lineRule="auto"/>
        <w:rPr>
          <w:sz w:val="20"/>
          <w:szCs w:val="20"/>
          <w:color w:val="auto"/>
        </w:rPr>
      </w:pPr>
      <w:r>
        <w:rPr>
          <w:rFonts w:ascii="Times New Roman" w:cs="Times New Roman" w:eastAsia="Times New Roman" w:hAnsi="Times New Roman"/>
          <w:sz w:val="15"/>
          <w:szCs w:val="15"/>
          <w:color w:val="auto"/>
        </w:rPr>
        <w:t>Reclassification of foreign currency translation adjustments realized upon disposition of entities</w:t>
      </w:r>
    </w:p>
    <w:p>
      <w:pPr>
        <w:spacing w:after="0" w:line="6" w:lineRule="exact"/>
        <w:rPr>
          <w:sz w:val="20"/>
          <w:szCs w:val="20"/>
          <w:color w:val="auto"/>
        </w:rPr>
      </w:pPr>
    </w:p>
    <w:p>
      <w:pPr>
        <w:ind w:left="200" w:right="600"/>
        <w:spacing w:after="0" w:line="256" w:lineRule="auto"/>
        <w:rPr>
          <w:sz w:val="20"/>
          <w:szCs w:val="20"/>
          <w:color w:val="auto"/>
        </w:rPr>
      </w:pPr>
      <w:r>
        <w:rPr>
          <w:rFonts w:ascii="Times New Roman" w:cs="Times New Roman" w:eastAsia="Times New Roman" w:hAnsi="Times New Roman"/>
          <w:sz w:val="15"/>
          <w:szCs w:val="15"/>
          <w:color w:val="auto"/>
        </w:rPr>
        <w:t>Derivative instrument adjustment</w:t>
      </w:r>
    </w:p>
    <w:p>
      <w:pPr>
        <w:ind w:left="200" w:right="380"/>
        <w:spacing w:after="0" w:line="256" w:lineRule="auto"/>
        <w:rPr>
          <w:sz w:val="20"/>
          <w:szCs w:val="20"/>
          <w:color w:val="auto"/>
        </w:rPr>
      </w:pPr>
      <w:r>
        <w:rPr>
          <w:rFonts w:ascii="Times New Roman" w:cs="Times New Roman" w:eastAsia="Times New Roman" w:hAnsi="Times New Roman"/>
          <w:sz w:val="15"/>
          <w:szCs w:val="15"/>
          <w:color w:val="auto"/>
        </w:rPr>
        <w:t>Adjustment for 2022 Convertible Note Hedges</w:t>
      </w:r>
    </w:p>
    <w:p>
      <w:pPr>
        <w:ind w:left="200" w:right="280"/>
        <w:spacing w:after="0" w:line="237" w:lineRule="auto"/>
        <w:rPr>
          <w:sz w:val="20"/>
          <w:szCs w:val="20"/>
          <w:color w:val="auto"/>
        </w:rPr>
      </w:pPr>
      <w:r>
        <w:rPr>
          <w:rFonts w:ascii="Times New Roman" w:cs="Times New Roman" w:eastAsia="Times New Roman" w:hAnsi="Times New Roman"/>
          <w:sz w:val="16"/>
          <w:szCs w:val="16"/>
          <w:color w:val="auto"/>
        </w:rPr>
        <w:t>Share-based compensation plans</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p>
      <w:pPr>
        <w:spacing w:after="0" w:line="53" w:lineRule="exact"/>
        <w:rPr>
          <w:sz w:val="20"/>
          <w:szCs w:val="20"/>
          <w:color w:val="auto"/>
        </w:rPr>
      </w:pPr>
    </w:p>
    <w:p>
      <w:pPr>
        <w:ind w:left="200"/>
        <w:spacing w:after="0" w:line="227" w:lineRule="auto"/>
        <w:rPr>
          <w:sz w:val="20"/>
          <w:szCs w:val="20"/>
          <w:color w:val="auto"/>
        </w:rPr>
      </w:pPr>
      <w:r>
        <w:rPr>
          <w:rFonts w:ascii="Times New Roman" w:cs="Times New Roman" w:eastAsia="Times New Roman" w:hAnsi="Times New Roman"/>
          <w:sz w:val="16"/>
          <w:szCs w:val="16"/>
          <w:color w:val="auto"/>
        </w:rPr>
        <w:t>Deconsolidation of certain Consolidated Property Owners' Associations</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Dividends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JUNE 30, 2022</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Total MVW</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6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0" w:type="dxa"/>
            <w:vAlign w:val="bottom"/>
            <w:gridSpan w:val="3"/>
            <w:vMerge w:val="continue"/>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 w:type="dxa"/>
            <w:vAlign w:val="bottom"/>
          </w:tcPr>
          <w:p>
            <w:pPr>
              <w:spacing w:after="0"/>
              <w:rPr>
                <w:sz w:val="23"/>
                <w:szCs w:val="2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4,072</w:t>
            </w:r>
          </w:p>
        </w:tc>
        <w:tc>
          <w:tcPr>
            <w:tcW w:w="140" w:type="dxa"/>
            <w:vAlign w:val="bottom"/>
          </w:tcPr>
          <w:p>
            <w:pPr>
              <w:spacing w:after="0"/>
              <w:rPr>
                <w:sz w:val="23"/>
                <w:szCs w:val="2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23"/>
                <w:szCs w:val="2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2,976</w:t>
            </w:r>
          </w:p>
        </w:tc>
        <w:tc>
          <w:tcPr>
            <w:tcW w:w="140" w:type="dxa"/>
            <w:vAlign w:val="bottom"/>
          </w:tcPr>
          <w:p>
            <w:pPr>
              <w:spacing w:after="0"/>
              <w:rPr>
                <w:sz w:val="23"/>
                <w:szCs w:val="23"/>
                <w:color w:val="auto"/>
              </w:rPr>
            </w:pPr>
          </w:p>
        </w:tc>
        <w:tc>
          <w:tcPr>
            <w:tcW w:w="1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3"/>
                <w:szCs w:val="23"/>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2,986</w:t>
            </w:r>
          </w:p>
        </w:tc>
        <w:tc>
          <w:tcPr>
            <w:tcW w:w="0" w:type="dxa"/>
            <w:vAlign w:val="bottom"/>
          </w:tcPr>
          <w:p>
            <w:pPr>
              <w:spacing w:after="0"/>
              <w:rPr>
                <w:sz w:val="1"/>
                <w:szCs w:val="1"/>
                <w:color w:val="auto"/>
              </w:rPr>
            </w:pPr>
          </w:p>
        </w:tc>
      </w:tr>
      <w:tr>
        <w:trPr>
          <w:trHeight w:val="368"/>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84"/>
        </w:trPr>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2,906</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316"/>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68"/>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68"/>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1"/>
        </w:trPr>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3,945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2,814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2,824</w:t>
            </w:r>
          </w:p>
        </w:tc>
        <w:tc>
          <w:tcPr>
            <w:tcW w:w="0" w:type="dxa"/>
            <w:vAlign w:val="bottom"/>
          </w:tcPr>
          <w:p>
            <w:pPr>
              <w:spacing w:after="0"/>
              <w:rPr>
                <w:sz w:val="1"/>
                <w:szCs w:val="1"/>
                <w:color w:val="auto"/>
              </w:rPr>
            </w:pPr>
          </w:p>
        </w:tc>
      </w:tr>
      <w:tr>
        <w:trPr>
          <w:trHeight w:val="84"/>
        </w:trPr>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526"/>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526"/>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68"/>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68"/>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03"/>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395"/>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82"/>
        </w:trPr>
        <w:tc>
          <w:tcPr>
            <w:tcW w:w="12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1"/>
        </w:trPr>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3,963</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2,745</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2,746</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-3609340</wp:posOffset>
            </wp:positionV>
            <wp:extent cx="7197725" cy="233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725" cy="23368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-3141345</wp:posOffset>
            </wp:positionV>
            <wp:extent cx="7197725" cy="233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725" cy="23368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-2748280</wp:posOffset>
            </wp:positionV>
            <wp:extent cx="7197725" cy="15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725" cy="1587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-1962785</wp:posOffset>
            </wp:positionV>
            <wp:extent cx="7197725" cy="434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725" cy="43434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-1294765</wp:posOffset>
            </wp:positionV>
            <wp:extent cx="7197725" cy="233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725" cy="23368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-826770</wp:posOffset>
            </wp:positionV>
            <wp:extent cx="7197725" cy="158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725" cy="1587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-333375</wp:posOffset>
            </wp:positionV>
            <wp:extent cx="7197725" cy="158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725" cy="1587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-2355850</wp:posOffset>
            </wp:positionV>
            <wp:extent cx="7197725" cy="158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725" cy="1587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-3926840</wp:posOffset>
            </wp:positionV>
            <wp:extent cx="7197725" cy="158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725" cy="15875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-4394200</wp:posOffset>
            </wp:positionV>
            <wp:extent cx="7197725" cy="233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725" cy="2336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40" w:space="180"/>
            <w:col w:w="2180" w:space="160"/>
            <w:col w:w="8220"/>
          </w:cols>
          <w:pgMar w:left="380" w:top="127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See Notes to Interim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285115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80"/>
          </w:cols>
          <w:pgMar w:left="380" w:top="1277" w:right="239" w:bottom="1440" w:gutter="0" w:footer="0" w:header="0"/>
          <w:type w:val="continuous"/>
        </w:sectPr>
      </w:pPr>
    </w:p>
    <w:bookmarkStart w:id="8" w:name="page9"/>
    <w:bookmarkEnd w:id="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INTERIM CONSOLIDATED STATEMENTS OF SHAREHOLDERS’ EQUITY</w:t>
      </w:r>
    </w:p>
    <w:p>
      <w:pPr>
        <w:spacing w:after="0" w:line="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Total MVW</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6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6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0" w:type="dxa"/>
            <w:vAlign w:val="bottom"/>
            <w:gridSpan w:val="3"/>
            <w:vMerge w:val="continue"/>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Total Equity</w:t>
            </w:r>
          </w:p>
        </w:tc>
        <w:tc>
          <w:tcPr>
            <w:tcW w:w="0" w:type="dxa"/>
            <w:vAlign w:val="bottom"/>
          </w:tcPr>
          <w:p>
            <w:pPr>
              <w:spacing w:after="0"/>
              <w:rPr>
                <w:sz w:val="1"/>
                <w:szCs w:val="1"/>
                <w:color w:val="auto"/>
              </w:rPr>
            </w:pPr>
          </w:p>
        </w:tc>
      </w:tr>
      <w:tr>
        <w:trPr>
          <w:trHeight w:val="192"/>
        </w:trPr>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75.3</w:t>
            </w:r>
          </w:p>
        </w:tc>
        <w:tc>
          <w:tcPr>
            <w:tcW w:w="2460" w:type="dxa"/>
            <w:vAlign w:val="bottom"/>
            <w:tcBorders>
              <w:top w:val="single" w:sz="8" w:color="CCEEFF"/>
            </w:tcBorders>
            <w:shd w:val="clear" w:color="auto" w:fill="CCEEFF"/>
          </w:tcPr>
          <w:p>
            <w:pPr>
              <w:ind w:left="120"/>
              <w:spacing w:after="0" w:line="143" w:lineRule="exact"/>
              <w:rPr>
                <w:sz w:val="20"/>
                <w:szCs w:val="20"/>
                <w:color w:val="auto"/>
              </w:rPr>
            </w:pPr>
            <w:r>
              <w:rPr>
                <w:rFonts w:ascii="Times New Roman" w:cs="Times New Roman" w:eastAsia="Times New Roman" w:hAnsi="Times New Roman"/>
                <w:sz w:val="16"/>
                <w:szCs w:val="16"/>
                <w:b w:val="1"/>
                <w:bCs w:val="1"/>
                <w:color w:val="auto"/>
              </w:rPr>
              <w:t>BALANCE AT DECEMBER</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3,760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2,651</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2,682</w:t>
            </w:r>
          </w:p>
        </w:tc>
        <w:tc>
          <w:tcPr>
            <w:tcW w:w="0" w:type="dxa"/>
            <w:vAlign w:val="bottom"/>
          </w:tcPr>
          <w:p>
            <w:pPr>
              <w:spacing w:after="0"/>
              <w:rPr>
                <w:sz w:val="1"/>
                <w:szCs w:val="1"/>
                <w:color w:val="auto"/>
              </w:rPr>
            </w:pPr>
          </w:p>
        </w:tc>
      </w:tr>
      <w:tr>
        <w:trPr>
          <w:trHeight w:val="211"/>
        </w:trPr>
        <w:tc>
          <w:tcPr>
            <w:tcW w:w="66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31, 2020</w:t>
            </w: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60"/>
        </w:trPr>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shd w:val="clear" w:color="auto" w:fill="CCEEFF"/>
          </w:tcPr>
          <w:p>
            <w:pPr>
              <w:ind w:left="320"/>
              <w:spacing w:after="0" w:line="160"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66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ind w:left="320"/>
              <w:spacing w:after="0" w:line="158" w:lineRule="exact"/>
              <w:rPr>
                <w:sz w:val="20"/>
                <w:szCs w:val="20"/>
                <w:color w:val="auto"/>
              </w:rPr>
            </w:pPr>
            <w:r>
              <w:rPr>
                <w:rFonts w:ascii="Times New Roman" w:cs="Times New Roman" w:eastAsia="Times New Roman" w:hAnsi="Times New Roman"/>
                <w:sz w:val="16"/>
                <w:szCs w:val="16"/>
                <w:color w:val="auto"/>
              </w:rPr>
              <w:t>Derivative instrument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9"/>
        </w:trPr>
        <w:tc>
          <w:tcPr>
            <w:tcW w:w="660" w:type="dxa"/>
            <w:vAlign w:val="bottom"/>
            <w:vMerge w:val="continue"/>
          </w:tcPr>
          <w:p>
            <w:pPr>
              <w:spacing w:after="0"/>
              <w:rPr>
                <w:sz w:val="18"/>
                <w:szCs w:val="18"/>
                <w:color w:val="auto"/>
              </w:rPr>
            </w:pPr>
          </w:p>
        </w:tc>
        <w:tc>
          <w:tcPr>
            <w:tcW w:w="2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w:t>
            </w: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2460" w:type="dxa"/>
            <w:vAlign w:val="bottom"/>
            <w:shd w:val="clear" w:color="auto" w:fill="CCEEFF"/>
          </w:tcPr>
          <w:p>
            <w:pPr>
              <w:ind w:left="320"/>
              <w:spacing w:after="0" w:line="160" w:lineRule="exact"/>
              <w:rPr>
                <w:sz w:val="20"/>
                <w:szCs w:val="20"/>
                <w:color w:val="auto"/>
              </w:rPr>
            </w:pPr>
            <w:r>
              <w:rPr>
                <w:rFonts w:ascii="Times New Roman" w:cs="Times New Roman" w:eastAsia="Times New Roman" w:hAnsi="Times New Roman"/>
                <w:sz w:val="16"/>
                <w:szCs w:val="16"/>
                <w:color w:val="auto"/>
              </w:rPr>
              <w:t>Share-based compensation</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66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plans</w:t>
            </w: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460" w:type="dxa"/>
            <w:vAlign w:val="bottom"/>
          </w:tcPr>
          <w:p>
            <w:pPr>
              <w:ind w:left="320"/>
              <w:spacing w:after="0" w:line="158" w:lineRule="exact"/>
              <w:rPr>
                <w:sz w:val="20"/>
                <w:szCs w:val="20"/>
                <w:color w:val="auto"/>
              </w:rPr>
            </w:pPr>
            <w:r>
              <w:rPr>
                <w:rFonts w:ascii="Times New Roman" w:cs="Times New Roman" w:eastAsia="Times New Roman" w:hAnsi="Times New Roman"/>
                <w:sz w:val="16"/>
                <w:szCs w:val="16"/>
                <w:color w:val="auto"/>
              </w:rPr>
              <w:t>Equity component of</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ind w:left="320"/>
              <w:spacing w:after="0" w:line="158" w:lineRule="exact"/>
              <w:rPr>
                <w:sz w:val="20"/>
                <w:szCs w:val="20"/>
                <w:color w:val="auto"/>
              </w:rPr>
            </w:pPr>
            <w:r>
              <w:rPr>
                <w:rFonts w:ascii="Times New Roman" w:cs="Times New Roman" w:eastAsia="Times New Roman" w:hAnsi="Times New Roman"/>
                <w:sz w:val="16"/>
                <w:szCs w:val="16"/>
                <w:color w:val="auto"/>
              </w:rPr>
              <w:t>convertible notes, net of</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7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9"/>
        </w:trPr>
        <w:tc>
          <w:tcPr>
            <w:tcW w:w="660" w:type="dxa"/>
            <w:vAlign w:val="bottom"/>
            <w:vMerge w:val="continue"/>
          </w:tcPr>
          <w:p>
            <w:pPr>
              <w:spacing w:after="0"/>
              <w:rPr>
                <w:sz w:val="18"/>
                <w:szCs w:val="18"/>
                <w:color w:val="auto"/>
              </w:rPr>
            </w:pPr>
          </w:p>
        </w:tc>
        <w:tc>
          <w:tcPr>
            <w:tcW w:w="2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costs</w:t>
            </w: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shd w:val="clear" w:color="auto" w:fill="CCEEFF"/>
          </w:tcPr>
          <w:p>
            <w:pPr>
              <w:ind w:left="320"/>
              <w:spacing w:after="0" w:line="160" w:lineRule="exact"/>
              <w:rPr>
                <w:sz w:val="20"/>
                <w:szCs w:val="20"/>
                <w:color w:val="auto"/>
              </w:rPr>
            </w:pPr>
            <w:r>
              <w:rPr>
                <w:rFonts w:ascii="Times New Roman" w:cs="Times New Roman" w:eastAsia="Times New Roman" w:hAnsi="Times New Roman"/>
                <w:sz w:val="16"/>
                <w:szCs w:val="16"/>
                <w:color w:val="auto"/>
              </w:rPr>
              <w:t>Purchase of convertible note</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1"/>
        </w:trPr>
        <w:tc>
          <w:tcPr>
            <w:tcW w:w="66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hedges</w:t>
            </w: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warrants</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60"/>
        </w:trPr>
        <w:tc>
          <w:tcPr>
            <w:tcW w:w="660" w:type="dxa"/>
            <w:vAlign w:val="bottom"/>
            <w:shd w:val="clear" w:color="auto" w:fill="CCEEFF"/>
          </w:tcPr>
          <w:p>
            <w:pPr>
              <w:spacing w:after="0"/>
              <w:rPr>
                <w:sz w:val="13"/>
                <w:szCs w:val="13"/>
                <w:color w:val="auto"/>
              </w:rPr>
            </w:pPr>
          </w:p>
        </w:tc>
        <w:tc>
          <w:tcPr>
            <w:tcW w:w="2460" w:type="dxa"/>
            <w:vAlign w:val="bottom"/>
            <w:shd w:val="clear" w:color="auto" w:fill="CCEEFF"/>
          </w:tcPr>
          <w:p>
            <w:pPr>
              <w:ind w:left="320"/>
              <w:spacing w:after="0" w:line="160" w:lineRule="exact"/>
              <w:rPr>
                <w:sz w:val="20"/>
                <w:szCs w:val="20"/>
                <w:color w:val="auto"/>
              </w:rPr>
            </w:pPr>
            <w:r>
              <w:rPr>
                <w:rFonts w:ascii="Times New Roman" w:cs="Times New Roman" w:eastAsia="Times New Roman" w:hAnsi="Times New Roman"/>
                <w:sz w:val="16"/>
                <w:szCs w:val="16"/>
                <w:color w:val="auto"/>
              </w:rPr>
              <w:t>Deconsolidation of certain</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shd w:val="clear" w:color="auto" w:fill="CCEEFF"/>
          </w:tcPr>
          <w:p>
            <w:pPr>
              <w:ind w:left="320"/>
              <w:spacing w:after="0" w:line="158" w:lineRule="exact"/>
              <w:rPr>
                <w:sz w:val="20"/>
                <w:szCs w:val="20"/>
                <w:color w:val="auto"/>
              </w:rPr>
            </w:pPr>
            <w:r>
              <w:rPr>
                <w:rFonts w:ascii="Times New Roman" w:cs="Times New Roman" w:eastAsia="Times New Roman" w:hAnsi="Times New Roman"/>
                <w:sz w:val="16"/>
                <w:szCs w:val="16"/>
                <w:color w:val="auto"/>
              </w:rPr>
              <w:t>Consolidated Property Owners'</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1"/>
        </w:trPr>
        <w:tc>
          <w:tcPr>
            <w:tcW w:w="66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Associations</w:t>
            </w: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66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75.5</w:t>
            </w:r>
          </w:p>
        </w:tc>
        <w:tc>
          <w:tcPr>
            <w:tcW w:w="2460" w:type="dxa"/>
            <w:vAlign w:val="bottom"/>
          </w:tcPr>
          <w:p>
            <w:pPr>
              <w:ind w:left="120"/>
              <w:spacing w:after="0" w:line="138" w:lineRule="exact"/>
              <w:rPr>
                <w:sz w:val="20"/>
                <w:szCs w:val="20"/>
                <w:color w:val="auto"/>
              </w:rPr>
            </w:pPr>
            <w:r>
              <w:rPr>
                <w:rFonts w:ascii="Times New Roman" w:cs="Times New Roman" w:eastAsia="Times New Roman" w:hAnsi="Times New Roman"/>
                <w:sz w:val="15"/>
                <w:szCs w:val="15"/>
                <w:b w:val="1"/>
                <w:bCs w:val="1"/>
                <w:color w:val="auto"/>
              </w:rPr>
              <w:t>BALANCE AT MARCH 31,</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3,843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2,709</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2,738</w:t>
            </w:r>
          </w:p>
        </w:tc>
        <w:tc>
          <w:tcPr>
            <w:tcW w:w="0" w:type="dxa"/>
            <w:vAlign w:val="bottom"/>
          </w:tcPr>
          <w:p>
            <w:pPr>
              <w:spacing w:after="0"/>
              <w:rPr>
                <w:sz w:val="1"/>
                <w:szCs w:val="1"/>
                <w:color w:val="auto"/>
              </w:rPr>
            </w:pPr>
          </w:p>
        </w:tc>
      </w:tr>
      <w:tr>
        <w:trPr>
          <w:trHeight w:val="210"/>
        </w:trPr>
        <w:tc>
          <w:tcPr>
            <w:tcW w:w="660" w:type="dxa"/>
            <w:vAlign w:val="bottom"/>
            <w:tcBorders>
              <w:bottom w:val="single" w:sz="8" w:color="auto"/>
            </w:tcBorders>
            <w:vMerge w:val="continue"/>
          </w:tcPr>
          <w:p>
            <w:pPr>
              <w:spacing w:after="0"/>
              <w:rPr>
                <w:sz w:val="18"/>
                <w:szCs w:val="18"/>
                <w:color w:val="auto"/>
              </w:rPr>
            </w:pPr>
          </w:p>
        </w:tc>
        <w:tc>
          <w:tcPr>
            <w:tcW w:w="2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9"/>
        </w:trPr>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Welk Acquisition</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160"/>
        </w:trPr>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Foreign currency translation</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66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Derivative instrument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5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9"/>
        </w:trPr>
        <w:tc>
          <w:tcPr>
            <w:tcW w:w="660" w:type="dxa"/>
            <w:vAlign w:val="bottom"/>
            <w:vMerge w:val="continue"/>
          </w:tcPr>
          <w:p>
            <w:pPr>
              <w:spacing w:after="0"/>
              <w:rPr>
                <w:sz w:val="18"/>
                <w:szCs w:val="18"/>
                <w:color w:val="auto"/>
              </w:rPr>
            </w:pPr>
          </w:p>
        </w:tc>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w:t>
            </w: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Share-based compensation</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1"/>
        </w:trPr>
        <w:tc>
          <w:tcPr>
            <w:tcW w:w="660" w:type="dxa"/>
            <w:vAlign w:val="bottom"/>
            <w:vMerge w:val="continue"/>
            <w:shd w:val="clear" w:color="auto" w:fill="CCEEFF"/>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plans</w:t>
            </w: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24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Deconsolidation of certain</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Pr>
          <w:p>
            <w:pPr>
              <w:ind w:left="340"/>
              <w:spacing w:after="0" w:line="158" w:lineRule="exact"/>
              <w:rPr>
                <w:sz w:val="20"/>
                <w:szCs w:val="20"/>
                <w:color w:val="auto"/>
              </w:rPr>
            </w:pPr>
            <w:r>
              <w:rPr>
                <w:rFonts w:ascii="Times New Roman" w:cs="Times New Roman" w:eastAsia="Times New Roman" w:hAnsi="Times New Roman"/>
                <w:sz w:val="16"/>
                <w:szCs w:val="16"/>
                <w:color w:val="auto"/>
              </w:rPr>
              <w:t>Consolidated Property</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9"/>
        </w:trPr>
        <w:tc>
          <w:tcPr>
            <w:tcW w:w="660" w:type="dxa"/>
            <w:vAlign w:val="bottom"/>
            <w:vMerge w:val="continue"/>
          </w:tcPr>
          <w:p>
            <w:pPr>
              <w:spacing w:after="0"/>
              <w:rPr>
                <w:sz w:val="18"/>
                <w:szCs w:val="18"/>
                <w:color w:val="auto"/>
              </w:rPr>
            </w:pPr>
          </w:p>
        </w:tc>
        <w:tc>
          <w:tcPr>
            <w:tcW w:w="2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Owners' Associations</w:t>
            </w: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Employee stock plan issuance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6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75.5</w:t>
            </w:r>
          </w:p>
        </w:tc>
        <w:tc>
          <w:tcPr>
            <w:tcW w:w="24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4,047</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2,982</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3,012</w:t>
            </w: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See Notes to Interim Consolidated Financial Statements</w:t>
      </w:r>
    </w:p>
    <w:p>
      <w:pPr>
        <w:spacing w:after="0" w:line="40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72"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NOTES TO CONSOLIDATED FINANCIAL STATEMENTS</w:t>
      </w:r>
    </w:p>
    <w:p>
      <w:pPr>
        <w:spacing w:after="0" w:line="273" w:lineRule="exact"/>
        <w:rPr>
          <w:sz w:val="20"/>
          <w:szCs w:val="20"/>
          <w:color w:val="auto"/>
        </w:rPr>
      </w:pPr>
    </w:p>
    <w:p>
      <w:pPr>
        <w:ind w:left="400" w:hanging="377"/>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0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 Capitalized terms used and not specifically defined herein have the same meanings given those terms in our Annual Report on Form 10-K for the fiscal year ended December 31, 2021 (the “2021 Annual Report”). We use certain other terms that are defined within these Financial Statements.</w:t>
      </w:r>
    </w:p>
    <w:p>
      <w:pPr>
        <w:spacing w:after="0" w:line="8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those variable interest entities (“VIEs”) for which Marriott Vacations Worldwide is the primary beneficiary in accordance with consolidation accounting guidance. References in these Financial Statements to net income or loss attributable to common shareholders and MVW shareholders’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8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Pursuant to a change in control of certain consolidated owners’ associations, we recorded a non-cash loss of $3 million in Gains (losses) and other income (expense), net on our Income Statement for each of the three and six months ended June 30, 2022, and deconsolidated $110 million of assets, inclusive of $48 million of restricted cash, and $99 million of liabilities, for a decrease in Noncontrolling interests of $8 million during the first half of 2022. We continue to act as manager for these owners’ associations pursuant to existing management contracts and retain membership interests via our ownership of vacation ownership interests.</w:t>
      </w:r>
    </w:p>
    <w:p>
      <w:pPr>
        <w:spacing w:after="0" w:line="8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allocations of the purchase price paid in business combinations, cost of vacation ownership products, inventory valuation, goodwill and intangibles valuation, accounting for acquired vacation ownership notes receivable, vacation ownership notes receivable reserves, income taxes, and loss contingencies. The uncertainty created by the COVID-19 pandemic, and the uncertainty of the success of ongoing efforts to mitigate the effects of the COVID-19 pandemic, have made it more challenging to make these estimates. Actual results could differ from our estimates, and such differences may be material.</w:t>
      </w:r>
    </w:p>
    <w:p>
      <w:pPr>
        <w:spacing w:after="0" w:line="5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the impact of the COVID-19 pandemic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2021 Annual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Welk</w:t>
      </w:r>
    </w:p>
    <w:p>
      <w:pPr>
        <w:spacing w:after="0" w:line="111"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On April 1, 2021, we completed the acquisition of Welk Hospitality Group, Inc. (“Welk”) through a series of transactions (the “Welk Acquisition”), after which Welk became our indirect wholly-owned subsidiary. We refer to the business and brands that we acquired as “Legacy-Welk.” See Footnote 3 “Acquisitions and Dispositions” for more information on the Welk Acquisition.</w:t>
      </w:r>
    </w:p>
    <w:p>
      <w:pPr>
        <w:spacing w:after="0" w:line="23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VRI Americas</w:t>
      </w:r>
    </w:p>
    <w:p>
      <w:pPr>
        <w:spacing w:after="0" w:line="111" w:lineRule="exact"/>
        <w:rPr>
          <w:sz w:val="20"/>
          <w:szCs w:val="20"/>
          <w:color w:val="auto"/>
        </w:rPr>
      </w:pPr>
    </w:p>
    <w:p>
      <w:pPr>
        <w:ind w:right="20"/>
        <w:spacing w:after="0" w:line="332" w:lineRule="auto"/>
        <w:rPr>
          <w:sz w:val="20"/>
          <w:szCs w:val="20"/>
          <w:color w:val="auto"/>
        </w:rPr>
      </w:pPr>
      <w:r>
        <w:rPr>
          <w:rFonts w:ascii="Times New Roman" w:cs="Times New Roman" w:eastAsia="Times New Roman" w:hAnsi="Times New Roman"/>
          <w:sz w:val="16"/>
          <w:szCs w:val="16"/>
          <w:color w:val="auto"/>
        </w:rPr>
        <w:t>Our Financial Statements reflect the disposition of the Vacation Resorts International (“VRI”) and Trading Places International (“TPI”) businesses (together the “VRI Americas” business) on April 29, 2022. See Footnote 3 “Acquisitions and Dispositions” for more information on the disposition of VRI Americas.</w:t>
      </w:r>
    </w:p>
    <w:p>
      <w:pPr>
        <w:spacing w:after="0" w:line="173" w:lineRule="exact"/>
        <w:rPr>
          <w:sz w:val="20"/>
          <w:szCs w:val="20"/>
          <w:color w:val="auto"/>
        </w:rPr>
      </w:pPr>
    </w:p>
    <w:p>
      <w:pPr>
        <w:ind w:left="400" w:hanging="377"/>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AND RECENT ACCOUNTING STANDARDS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11" w:lineRule="exact"/>
        <w:rPr>
          <w:sz w:val="20"/>
          <w:szCs w:val="20"/>
          <w:color w:val="auto"/>
        </w:rPr>
      </w:pPr>
    </w:p>
    <w:p>
      <w:pPr>
        <w:ind w:right="180"/>
        <w:spacing w:after="0" w:line="335" w:lineRule="auto"/>
        <w:rPr>
          <w:sz w:val="20"/>
          <w:szCs w:val="20"/>
          <w:color w:val="auto"/>
        </w:rPr>
      </w:pPr>
      <w:r>
        <w:rPr>
          <w:rFonts w:ascii="Times New Roman" w:cs="Times New Roman" w:eastAsia="Times New Roman" w:hAnsi="Times New Roman"/>
          <w:sz w:val="16"/>
          <w:szCs w:val="16"/>
          <w:color w:val="auto"/>
        </w:rPr>
        <w:t>Accounting Standards Update 2020-06 – “</w:t>
      </w:r>
      <w:r>
        <w:rPr>
          <w:rFonts w:ascii="Times New Roman" w:cs="Times New Roman" w:eastAsia="Times New Roman" w:hAnsi="Times New Roman"/>
          <w:sz w:val="16"/>
          <w:szCs w:val="16"/>
          <w:i w:val="1"/>
          <w:iCs w:val="1"/>
          <w:color w:val="auto"/>
        </w:rPr>
        <w:t>Debt — Debt With Conversion and Other Options (Subtopic 470-20) and Derivatives and Hedging — Contracts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Entity’s Own Equity (Subtopic 815-40): Accounting for Convertible Instruments and Contracts in an Entity’s Own Equity” </w:t>
      </w:r>
      <w:r>
        <w:rPr>
          <w:rFonts w:ascii="Times New Roman" w:cs="Times New Roman" w:eastAsia="Times New Roman" w:hAnsi="Times New Roman"/>
          <w:sz w:val="16"/>
          <w:szCs w:val="16"/>
          <w:color w:val="auto"/>
        </w:rPr>
        <w:t>(“ASU 2020-06”)</w:t>
      </w:r>
    </w:p>
    <w:p>
      <w:pPr>
        <w:spacing w:after="0" w:line="1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 the first quarter of 2022, we adopted accounting standards update (“ASU”) 2020-06, using the modified retrospective method. Upon adoption of ASU 2020-06, our convertible notes were no longer separated into liability and equity components, and we are required to calculate the impact of our convertible notes on diluted earnings per share using the “if-converted” method, regardless of intent to settle or partially settle the debt in cash. Under the “if-converted” method, diluted earnings per share is generally calculated assuming that all of our convertible notes are converted solely into shares of common stock at the beginning of the reporting period, unless the result would be anti-dilutive. The application of the “if-converted” method reduces our reported diluted earnings per share. The impacts of the adoption were recorded as a cumulative effect in the opening balance of retained earnings and the conversion feature related to our convertible notes was reclassified from equity to liabilities. In addition, we eliminated the related equity adjustment associated with the deferred tax liability. The adoption of ASU 2020-06 on January 1, 2022 resulted in an increase in debt of $107 million, a decrease in additional paid-in capital of $111 million, and a decrease in deferred taxes of $27 million, as well as a cumulative effect adjustment to the opening balance of retained earnings of $31 million. The remaining debt issuance costs will continue to be amortized over the respective terms of our convertible notes. The prior period consolidated financial statements have not been retrospectively restated and continue to be reported under the accounting standards in effect for those periods. See Footnote 13 “Debt” for further information on accounting for the 2022 Convertible Notes and the 2022 Convertible Note Hedges (as defined in Footnote 13 “Debt”), subsequent to the adoption of ASU 2020-06.</w:t>
      </w:r>
    </w:p>
    <w:p>
      <w:pPr>
        <w:spacing w:after="0" w:line="187"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color w:val="auto"/>
        </w:rPr>
        <w:t>Accounting Standards Update 2021-08 -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(“ASU 2021-08”)</w:t>
      </w:r>
    </w:p>
    <w:p>
      <w:pPr>
        <w:spacing w:after="0" w:line="6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the first quarter of 2022, we adopted ASU 2021-08, which amended ASC 805 to require entities to apply ASC 606 to recognize and measure contract assets and contract liabilities from contracts with customers in a business combination. The adoption of ASU 2021-08 on January 1, 2022 did not have a material impact on our financial statements and disclosures. In the event that we complete business combinations in the future, the application of ASU 2021-08 could result in higher acquired deferred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Standards</w:t>
      </w:r>
    </w:p>
    <w:p>
      <w:pPr>
        <w:spacing w:after="0" w:line="111"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color w:val="auto"/>
        </w:rPr>
        <w:t>Accounting Standards Update 2020-04 – “</w:t>
      </w:r>
      <w:r>
        <w:rPr>
          <w:rFonts w:ascii="Times New Roman" w:cs="Times New Roman" w:eastAsia="Times New Roman" w:hAnsi="Times New Roman"/>
          <w:sz w:val="18"/>
          <w:szCs w:val="18"/>
          <w:i w:val="1"/>
          <w:iCs w:val="1"/>
          <w:color w:val="auto"/>
        </w:rPr>
        <w:t>Reference Rate Reform (Topic 848), Facilitation of the Effects of Reference Rate Reform on Financial Reporting</w:t>
      </w:r>
      <w:r>
        <w:rPr>
          <w:rFonts w:ascii="Times New Roman" w:cs="Times New Roman" w:eastAsia="Times New Roman" w:hAnsi="Times New Roman"/>
          <w:sz w:val="18"/>
          <w:szCs w:val="18"/>
          <w:color w:val="auto"/>
        </w:rPr>
        <w:t>” (“ASU 2020-04”)</w:t>
      </w:r>
    </w:p>
    <w:p>
      <w:pPr>
        <w:spacing w:after="0" w:line="6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 March 2020, the FASB issued ASU 2020-04, as amended, which provides optional expedients and exceptions to existing guidance on contract modifications and hedge accounting in an effort to ease the financial reporting burdens related to the expected market transition from the LIBOR and other interbank offered rates to alternative reference rates. This update was effective upon issuance and issuers may generally elect to adopt the optional expedients and exceptions over time through December 31, 2022. As of June 30, 2022, the interest rates applicable to borrowings under our existing Term Loan (as defined in Footnote 13 “Debt”) and Warehouse Credit Facility (as defined in Footnote 12 “Securitized Debt”) generally continued to reference LIBOR, as did certain interest rate swaps and collars. Subsequent to June 30, 2022, we amended the terms of our Warehouse Credit Facility to, among other things, reference SOFR (as defined in Footnote 12 “Securitized Debt”) rather than LIBOR. Our Term Loan and certain interest rate swaps and collars have not yet discontinued the use of LIBOR. To the extent these instruments are amended to reference a different benchmark interest rate, we may elect to utilize the relief available in ASU 2020-04. When we renew or amend our remaining existing debt instruments, we will determine a replacement rate for LIBOR. We have not adopted any of the optional expedients or exceptions as of June 30, 2022, but will continue to evaluate their adoption during the effective period as circumstances evolve.</w:t>
      </w:r>
    </w:p>
    <w:p>
      <w:pPr>
        <w:spacing w:after="0" w:line="2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Accounting Standards Update 2022-02 –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 Troubled Debt Restructurings and Vintage Disclosures</w:t>
      </w:r>
      <w:r>
        <w:rPr>
          <w:rFonts w:ascii="Times New Roman" w:cs="Times New Roman" w:eastAsia="Times New Roman" w:hAnsi="Times New Roman"/>
          <w:sz w:val="18"/>
          <w:szCs w:val="18"/>
          <w:color w:val="auto"/>
        </w:rPr>
        <w:t>” (“ASU 2022-02”)</w:t>
      </w:r>
    </w:p>
    <w:p>
      <w:pPr>
        <w:spacing w:after="0" w:line="6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In March 2022, the FASB issued ASU 2022-02, which eliminates the recognition and measurement guidance applicable to troubled debt restructurings for creditors and enhances disclosure requirements with respect to loan modifications for borrowers experiencing financial difficulty. ASU 2022-02 also requires disclosure of current-period gross write-offs by year of origination to be presented in the vintage disclosures for financing receivables. This update is effective for fiscal years beginning after December 15, 2022, including interim periods within those fiscal years, with early adoption permitted. We are evaluating the impact that adoption of ASU 2022-02, including the timing of implementation, will have on our financial statements and disclosures; however, we do not expect adoption to have a material effect on our financial statements or disclosures other than disclosure changes related to vintage disclosures for financing receivables.</w:t>
      </w:r>
    </w:p>
    <w:p>
      <w:pPr>
        <w:spacing w:after="0" w:line="264" w:lineRule="exact"/>
        <w:rPr>
          <w:sz w:val="20"/>
          <w:szCs w:val="20"/>
          <w:color w:val="auto"/>
        </w:rPr>
      </w:pPr>
    </w:p>
    <w:p>
      <w:pPr>
        <w:ind w:left="400" w:hanging="377"/>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DISPOSITIONS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Welk Acquisition</w:t>
      </w:r>
    </w:p>
    <w:p>
      <w:pPr>
        <w:spacing w:after="0" w:line="11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On April 1, 2021 (the “Welk Acquisition Date”), we completed the Welk Acquisition. The following table presents the fair value of each type of consideration transferred at the Welk Acquisition Date, as finalized at March 31, 2022.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
        </w:trPr>
        <w:tc>
          <w:tcPr>
            <w:tcW w:w="7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 shares of Marriott Vacations Worldwide common stock issued</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Marriott Vacations Worldwide common stock price per share as of Welk Acquisition Date</w:t>
            </w:r>
          </w:p>
        </w:tc>
        <w:tc>
          <w:tcPr>
            <w:tcW w:w="4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174.18</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Marriott Vacations Worldwide common stock issued</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248</w:t>
            </w:r>
          </w:p>
        </w:tc>
      </w:tr>
      <w:tr>
        <w:trPr>
          <w:trHeight w:val="25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consideration to Welk, net of cash and restricted cash acquired of $48 million</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consideration transferred, net of cash and restricted cash acquired</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of Assets Acquired and Liabilities Assumed</w:t>
      </w:r>
    </w:p>
    <w:p>
      <w:pPr>
        <w:spacing w:after="0" w:line="11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accounted for the Welk Acquisition as a business combination, which required us to record the assets acquired and liabilities assumed at fair value as of the Welk Acquisition Date. The values attributed to Vacation ownership notes receivable, Inventory, Property and equipment, Intangible assets, and Securitized debt from VIEs were based on valuations prepared using Level 3 inputs and assumptions in accordance with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(“ASC 820”). The value attributed to Debt was based on Level 2 inputs in accordance with ASC 820. During the first quarter of 2022, we finalized our allocation of the purchase price to the acquired assets and liabilities. The following table presents the fair values of the assets that we acquired and the liabilities that we assumed in connection with the business combination as previously reported at December 31, 2021, and as finalized at March 31, 2022. During the first quarter of 2022, we refined our valuation models related to certain acquired assets and liabilities as follows:</w:t>
      </w:r>
    </w:p>
    <w:tbl>
      <w:tblPr>
        <w:tblLayout w:type="fixed"/>
        <w:tblInd w:w="0" w:type="dxa"/>
        <w:tblCellMar>
          <w:top w:w="0" w:type="dxa"/>
          <w:left w:w="0" w:type="dxa"/>
          <w:bottom w:w="0" w:type="dxa"/>
          <w:right w:w="0" w:type="dxa"/>
        </w:tblCellMar>
      </w:tblPr>
      <w:tr>
        <w:trPr>
          <w:trHeight w:val="179"/>
        </w:trPr>
        <w:tc>
          <w:tcPr>
            <w:tcW w:w="3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center"/>
              <w:ind w:right="300"/>
              <w:spacing w:after="0" w:line="179" w:lineRule="exact"/>
              <w:rPr>
                <w:sz w:val="20"/>
                <w:szCs w:val="20"/>
                <w:color w:val="auto"/>
              </w:rPr>
            </w:pPr>
            <w:r>
              <w:rPr>
                <w:rFonts w:ascii="Times New Roman" w:cs="Times New Roman" w:eastAsia="Times New Roman" w:hAnsi="Times New Roman"/>
                <w:sz w:val="16"/>
                <w:szCs w:val="16"/>
                <w:b w:val="1"/>
                <w:bCs w:val="1"/>
                <w:color w:val="auto"/>
                <w:w w:val="99"/>
              </w:rPr>
              <w:t>April 1, 2021</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center"/>
              <w:ind w:right="134"/>
              <w:spacing w:after="0" w:line="179" w:lineRule="exact"/>
              <w:rPr>
                <w:sz w:val="20"/>
                <w:szCs w:val="20"/>
                <w:color w:val="auto"/>
              </w:rPr>
            </w:pPr>
            <w:r>
              <w:rPr>
                <w:rFonts w:ascii="Times New Roman" w:cs="Times New Roman" w:eastAsia="Times New Roman" w:hAnsi="Times New Roman"/>
                <w:sz w:val="16"/>
                <w:szCs w:val="16"/>
                <w:b w:val="1"/>
                <w:bCs w:val="1"/>
                <w:color w:val="auto"/>
                <w:w w:val="97"/>
              </w:rPr>
              <w:t>April 1, 2021</w:t>
            </w: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(as reported at</w:t>
            </w:r>
          </w:p>
        </w:tc>
        <w:tc>
          <w:tcPr>
            <w:tcW w:w="200" w:type="dxa"/>
            <w:vAlign w:val="bottom"/>
          </w:tcPr>
          <w:p>
            <w:pPr>
              <w:spacing w:after="0"/>
              <w:rPr>
                <w:sz w:val="13"/>
                <w:szCs w:val="13"/>
                <w:color w:val="auto"/>
              </w:rPr>
            </w:pPr>
          </w:p>
        </w:tc>
        <w:tc>
          <w:tcPr>
            <w:tcW w:w="130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center"/>
              <w:ind w:right="174"/>
              <w:spacing w:after="0" w:line="158" w:lineRule="exact"/>
              <w:rPr>
                <w:sz w:val="20"/>
                <w:szCs w:val="20"/>
                <w:color w:val="auto"/>
              </w:rPr>
            </w:pPr>
            <w:r>
              <w:rPr>
                <w:rFonts w:ascii="Times New Roman" w:cs="Times New Roman" w:eastAsia="Times New Roman" w:hAnsi="Times New Roman"/>
                <w:sz w:val="16"/>
                <w:szCs w:val="16"/>
                <w:b w:val="1"/>
                <w:bCs w:val="1"/>
                <w:color w:val="auto"/>
                <w:w w:val="98"/>
              </w:rPr>
              <w:t>(as finalized at</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8"/>
              </w:rPr>
              <w:t>March 31, 2022)</w:t>
            </w:r>
          </w:p>
        </w:tc>
        <w:tc>
          <w:tcPr>
            <w:tcW w:w="0" w:type="dxa"/>
            <w:vAlign w:val="bottom"/>
          </w:tcPr>
          <w:p>
            <w:pPr>
              <w:spacing w:after="0"/>
              <w:rPr>
                <w:sz w:val="1"/>
                <w:szCs w:val="1"/>
                <w:color w:val="auto"/>
              </w:rPr>
            </w:pPr>
          </w:p>
        </w:tc>
      </w:tr>
      <w:tr>
        <w:trPr>
          <w:trHeight w:val="23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 notes receivable,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5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10"/>
                <w:szCs w:val="10"/>
                <w:color w:val="auto"/>
              </w:rPr>
              <w:t>(1)</w:t>
            </w: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1" w:lineRule="exact"/>
        <w:rPr>
          <w:sz w:val="20"/>
          <w:szCs w:val="20"/>
          <w:color w:val="auto"/>
        </w:rPr>
      </w:pPr>
    </w:p>
    <w:p>
      <w:pPr>
        <w:ind w:left="320" w:right="200" w:hanging="315"/>
        <w:spacing w:after="0" w:line="214"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Goodwill is calculated as total consideration transferred, net of cash acquired, less identified net assets acquired. It represents the value that we expect to obtain from growth opportunities from our combined operations and is not deductible for tax purposes.</w:t>
      </w:r>
    </w:p>
    <w:p>
      <w:pPr>
        <w:spacing w:after="0" w:line="25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 of Operations</w:t>
      </w:r>
    </w:p>
    <w:p>
      <w:pPr>
        <w:spacing w:after="0" w:line="111"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6"/>
          <w:szCs w:val="16"/>
          <w:color w:val="auto"/>
        </w:rPr>
        <w:t>The following unaudited pro forma information presents the combined results of operations of Marriott Vacations Worldwide and Legacy-Welk as if we had completed the Welk Acquisition on December 31, 2019, the last day of our 2019 fiscal year, but using the fair values of assets and liabilities as of the Welk Acquisition Date set forth above. As required by GAAP, these unaudited pro forma results do not reflect any synergies from operating efficiencies.</w:t>
      </w:r>
    </w:p>
    <w:p>
      <w:pPr>
        <w:spacing w:after="0" w:line="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Accordingly, these unaudited pro forma results are presented for informational purposes only and are not necessarily indicative of what the actual results of operations of the combined company would have been if the Welk Acquisition had occurred at the beginning of the period presented, nor are they indicative of future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Welk Acquisition-related costs included in the unaudited pro forma results below for the six months ended June 30, 2021.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data)</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3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5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ATTRIBUTABLE TO COMMON SHAREHOLDERS</w:t>
            </w: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57"/>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49"/>
        </w:trPr>
        <w:tc>
          <w:tcPr>
            <w:tcW w:w="6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Legacy-Welk Results of Operations</w:t>
      </w:r>
    </w:p>
    <w:p>
      <w:pPr>
        <w:spacing w:after="0" w:line="11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The following table presents the results of Legacy-Welk operations included in our Income Statement for the three months and six months ended June 30, 2022 and June 30, 2021.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20"/>
                <w:szCs w:val="20"/>
                <w:color w:val="auto"/>
              </w:rPr>
            </w:pP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45"/>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w:t>
            </w:r>
          </w:p>
        </w:tc>
      </w:tr>
      <w:tr>
        <w:trPr>
          <w:trHeight w:val="26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Bali</w:t>
      </w:r>
    </w:p>
    <w:p>
      <w:pPr>
        <w:spacing w:after="0" w:line="1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During the first quarter of 2022, we acquired 88 completed vacation ownership units, as well as a sales center, located in Bali, Indonesia for $36 million. The transaction was accounted for as an asset acquisition with the purchase price allocated to Property and equipment. As consideration for the acquisition, we paid $12 million in cash and issued a non-interest bearing note payable for $11 million. Further, we reclassified $13 million of previous deposits associated with the project from Other assets to Property and equipment.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11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April 29, 2022, we disposed of VRI Americas for proceeds of $55 million, net of cash and restricted cash transferred to the buyer of $12 million, after determining that this business was not a core component of our future growth strategy and operating model. The results of VRI Americas are included in our Exchange and Third-Party Management segment through the date of the sale. The net carrying value of VRI Americas as of the date of the disposition was $51 million, including $25 million of goodwill and $20 million of intangible assets. As a result of the disposition, we recorded a gain of $16 million in Gains (losses) and other income (expense), net on our Income Statements for the three and six months ended June 30, 2022.</w:t>
      </w:r>
    </w:p>
    <w:p>
      <w:pPr>
        <w:spacing w:after="0" w:line="18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Additionally, on June 28, 2022, we disposed of entities that owned and operated a Vacation Ownership segment hotel in Puerto Vallarta, Mexico, for proceeds of $38 million, net of cash and restricted cash transferred to the buyer of $3 million, consistent with our development strategy to dispose of non-strategic assets. The net carrying value of the business disposed of as of the date of the disposition, excluding the cumulative translation adjustment, was $18 million, substantially all of which was property and equipment. As a result of this disposition, we recorded a gain of $33 million in Gains (losses) and other income (expense), net on our Income Statements for the three and six months ended June 30, 2022, which included the realization of cumulative foreign currency translation gains of $10 million associated with the disposition of these entities.</w:t>
      </w:r>
    </w:p>
    <w:p>
      <w:pPr>
        <w:spacing w:after="0" w:line="2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tab/>
        <w:t>REVENUE AND RECEIVABLES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 by Segment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 2022</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Vacation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40"/>
              <w:spacing w:after="0" w:line="154"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20" w:type="dxa"/>
            <w:vAlign w:val="bottom"/>
          </w:tcPr>
          <w:p>
            <w:pPr>
              <w:spacing w:after="0"/>
              <w:rPr>
                <w:sz w:val="13"/>
                <w:szCs w:val="13"/>
                <w:color w:val="auto"/>
              </w:rPr>
            </w:pPr>
          </w:p>
        </w:tc>
        <w:tc>
          <w:tcPr>
            <w:tcW w:w="12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Third-Party</w:t>
            </w:r>
          </w:p>
        </w:tc>
        <w:tc>
          <w:tcPr>
            <w:tcW w:w="2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425</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Ancillary revenues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and other services revenues</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and exchange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203</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reimbursements</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1,092</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1,164</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 2021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7"/>
              </w:rPr>
              <w:t>Vacation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20"/>
              <w:spacing w:after="0" w:line="154" w:lineRule="exact"/>
              <w:rPr>
                <w:sz w:val="20"/>
                <w:szCs w:val="20"/>
                <w:color w:val="auto"/>
              </w:rPr>
            </w:pPr>
            <w:r>
              <w:rPr>
                <w:rFonts w:ascii="Times New Roman" w:cs="Times New Roman" w:eastAsia="Times New Roman" w:hAnsi="Times New Roman"/>
                <w:sz w:val="16"/>
                <w:szCs w:val="16"/>
                <w:b w:val="1"/>
                <w:bCs w:val="1"/>
                <w:color w:val="auto"/>
                <w:w w:val="99"/>
              </w:rPr>
              <w:t>Exchange &amp;</w:t>
            </w:r>
          </w:p>
        </w:tc>
        <w:tc>
          <w:tcPr>
            <w:tcW w:w="20" w:type="dxa"/>
            <w:vAlign w:val="bottom"/>
          </w:tcPr>
          <w:p>
            <w:pPr>
              <w:spacing w:after="0"/>
              <w:rPr>
                <w:sz w:val="13"/>
                <w:szCs w:val="13"/>
                <w:color w:val="auto"/>
              </w:rPr>
            </w:pPr>
          </w:p>
        </w:tc>
        <w:tc>
          <w:tcPr>
            <w:tcW w:w="12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2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296</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Ancillary revenues</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and other services revenues</w:t>
            </w: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and exchange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220</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reimbursements</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911</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979</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88"/>
              </w:rPr>
              <w:t>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 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Vacation</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Third-Party</w:t>
            </w:r>
          </w:p>
        </w:tc>
        <w:tc>
          <w:tcPr>
            <w:tcW w:w="12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735</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Ancillary revenues</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revenues</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and other services revenues</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and exchange</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425</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273</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640</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2,216</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3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 2021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Vacation</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6"/>
                <w:szCs w:val="16"/>
                <w:b w:val="1"/>
                <w:bCs w:val="1"/>
                <w:color w:val="auto"/>
                <w:w w:val="97"/>
              </w:rPr>
              <w:t>Exchange &amp;</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Third-Party</w:t>
            </w:r>
          </w:p>
        </w:tc>
        <w:tc>
          <w:tcPr>
            <w:tcW w:w="12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7"/>
              </w:rPr>
              <w:t>Management</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459</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Ancillary revenues</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Management fee revenues</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and other services revenues</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and exchange</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529</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1,738</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5"/>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Revenue from Contracts with Customers by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timing of revenue from contracts with customers by segment for the time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1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 2022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4"/>
              </w:rPr>
              <w:t>Vacation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Exchange &amp;</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40" w:type="dxa"/>
            <w:vAlign w:val="bottom"/>
            <w:tcBorders>
              <w:bottom w:val="single" w:sz="8" w:color="CCEEFF"/>
            </w:tcBorders>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42"/>
        </w:trPr>
        <w:tc>
          <w:tcPr>
            <w:tcW w:w="3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Three Months Ended June 30,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4"/>
              </w:rPr>
              <w:t>Vacation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ind w:left="40"/>
              <w:spacing w:after="0" w:line="154" w:lineRule="exact"/>
              <w:rPr>
                <w:sz w:val="20"/>
                <w:szCs w:val="20"/>
                <w:color w:val="auto"/>
              </w:rPr>
            </w:pPr>
            <w:r>
              <w:rPr>
                <w:rFonts w:ascii="Times New Roman" w:cs="Times New Roman" w:eastAsia="Times New Roman" w:hAnsi="Times New Roman"/>
                <w:sz w:val="16"/>
                <w:szCs w:val="16"/>
                <w:b w:val="1"/>
                <w:bCs w:val="1"/>
                <w:color w:val="auto"/>
              </w:rPr>
              <w:t>Exchange &amp;</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jc w:val="center"/>
              <w:ind w:left="374"/>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42"/>
        </w:trPr>
        <w:tc>
          <w:tcPr>
            <w:tcW w:w="3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1"/>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Six Months Ended June 30, 2022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4"/>
              </w:rPr>
              <w:t>Vacation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ind w:left="20"/>
              <w:spacing w:after="0" w:line="154" w:lineRule="exact"/>
              <w:rPr>
                <w:sz w:val="20"/>
                <w:szCs w:val="20"/>
                <w:color w:val="auto"/>
              </w:rPr>
            </w:pPr>
            <w:r>
              <w:rPr>
                <w:rFonts w:ascii="Times New Roman" w:cs="Times New Roman" w:eastAsia="Times New Roman" w:hAnsi="Times New Roman"/>
                <w:sz w:val="16"/>
                <w:szCs w:val="16"/>
                <w:b w:val="1"/>
                <w:bCs w:val="1"/>
                <w:color w:val="auto"/>
              </w:rPr>
              <w:t>Exchange &amp;</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Corporate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40" w:type="dxa"/>
            <w:vAlign w:val="bottom"/>
            <w:tcBorders>
              <w:bottom w:val="single" w:sz="8" w:color="CCEEFF"/>
            </w:tcBorders>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42"/>
        </w:trPr>
        <w:tc>
          <w:tcPr>
            <w:tcW w:w="3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3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1"/>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Six Months Ended June 30,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7"/>
              </w:rPr>
              <w:t>Vacation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ind w:left="40"/>
              <w:spacing w:after="0" w:line="154" w:lineRule="exact"/>
              <w:rPr>
                <w:sz w:val="20"/>
                <w:szCs w:val="20"/>
                <w:color w:val="auto"/>
              </w:rPr>
            </w:pPr>
            <w:r>
              <w:rPr>
                <w:rFonts w:ascii="Times New Roman" w:cs="Times New Roman" w:eastAsia="Times New Roman" w:hAnsi="Times New Roman"/>
                <w:sz w:val="16"/>
                <w:szCs w:val="16"/>
                <w:b w:val="1"/>
                <w:bCs w:val="1"/>
                <w:color w:val="auto"/>
              </w:rPr>
              <w:t>Exchange &amp;</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Corporate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 or services transferred at a point in time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42"/>
        </w:trPr>
        <w:tc>
          <w:tcPr>
            <w:tcW w:w="3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gridSpan w:val="3"/>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Vacation Ownership Products</w:t>
      </w:r>
    </w:p>
    <w:p>
      <w:pPr>
        <w:spacing w:after="0" w:line="11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Revenue declined during the second quarter and first half of 2022 by $3 million and $5 million, respectively, due to changes in our estimates of variable consideration for performance obligations that were satisfied in prior periods.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from Contracts with Customers, Contract Assets, &amp; Contract Liabilities</w:t>
      </w:r>
    </w:p>
    <w:p>
      <w:pPr>
        <w:spacing w:after="0" w:line="1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The following table shows the composition of our receivables from contracts with customers and contract liabilities. We had no contract assets at either June 30, 2022 or December 31, 2021.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140" w:type="dxa"/>
            <w:vAlign w:val="bottom"/>
          </w:tcPr>
          <w:p>
            <w:pPr>
              <w:spacing w:after="0"/>
              <w:rPr>
                <w:sz w:val="18"/>
                <w:szCs w:val="18"/>
                <w:color w:val="auto"/>
              </w:rPr>
            </w:pPr>
          </w:p>
        </w:tc>
        <w:tc>
          <w:tcPr>
            <w:tcW w:w="168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8"/>
              </w:rPr>
              <w:t>At December 31, 2021</w:t>
            </w:r>
          </w:p>
        </w:tc>
      </w:tr>
      <w:tr>
        <w:trPr>
          <w:trHeight w:val="232"/>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from Contracts with Customers</w:t>
            </w:r>
          </w:p>
        </w:tc>
        <w:tc>
          <w:tcPr>
            <w:tcW w:w="22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r>
      <w:tr>
        <w:trPr>
          <w:trHeight w:val="250"/>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172</w:t>
            </w:r>
          </w:p>
        </w:tc>
      </w:tr>
      <w:tr>
        <w:trPr>
          <w:trHeight w:val="25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Vacation ownership notes receivable, net</w:t>
            </w: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2,045</w:t>
            </w:r>
          </w:p>
        </w:tc>
      </w:tr>
      <w:tr>
        <w:trPr>
          <w:trHeight w:val="217"/>
        </w:trPr>
        <w:tc>
          <w:tcPr>
            <w:tcW w:w="47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2,217</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50"/>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 deposits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w:t>
            </w:r>
          </w:p>
        </w:tc>
      </w:tr>
      <w:tr>
        <w:trPr>
          <w:trHeight w:val="25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453</w:t>
            </w:r>
          </w:p>
        </w:tc>
      </w:tr>
      <w:tr>
        <w:trPr>
          <w:trHeight w:val="217"/>
        </w:trPr>
        <w:tc>
          <w:tcPr>
            <w:tcW w:w="47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613</w:t>
            </w: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320" w:top="226" w:right="899" w:bottom="1440" w:gutter="0" w:footer="0" w:header="0"/>
        </w:sectPr>
      </w:pPr>
    </w:p>
    <w:p>
      <w:pPr>
        <w:spacing w:after="0" w:line="13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299720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80"/>
          </w:cols>
          <w:pgMar w:left="320" w:top="226" w:right="8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color w:val="auto"/>
        </w:rPr>
        <w:t>Revenue recognized during the second quarter and first half of 2022 that was included in our contract liabilities balance at December 31, 2021 was $117 million and $243 million,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1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remaining performance obligations represent the expected transaction price allocated to our contracts that we expect to recognize as revenue in future periods when we perform under the contracts. At June 30, 2022, approximately 87% of this amount is expected to be recognized as revenue over the next two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1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Accounts receivable is comprised of amounts due from customers, primarily owners’ associations, resort developers and members, credit card receivables, interest receivables, amounts due from taxing authorities, indemnification assets, and other miscellaneous receivables. The following table shows the composition of our accounts receivable balances: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140" w:type="dxa"/>
            <w:vAlign w:val="bottom"/>
          </w:tcPr>
          <w:p>
            <w:pPr>
              <w:spacing w:after="0"/>
              <w:rPr>
                <w:sz w:val="18"/>
                <w:szCs w:val="18"/>
                <w:color w:val="auto"/>
              </w:rPr>
            </w:pPr>
          </w:p>
        </w:tc>
        <w:tc>
          <w:tcPr>
            <w:tcW w:w="168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8"/>
              </w:rPr>
              <w:t>At December 31, 2021</w:t>
            </w:r>
          </w:p>
        </w:tc>
      </w:tr>
      <w:tr>
        <w:trPr>
          <w:trHeight w:val="232"/>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from contracts with customers, net</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r>
      <w:tr>
        <w:trPr>
          <w:trHeight w:val="250"/>
        </w:trPr>
        <w:tc>
          <w:tcPr>
            <w:tcW w:w="4780" w:type="dxa"/>
            <w:vAlign w:val="bottom"/>
          </w:tcPr>
          <w:p>
            <w:pPr>
              <w:ind w:left="20"/>
              <w:spacing w:after="0" w:line="250" w:lineRule="exact"/>
              <w:rPr>
                <w:sz w:val="20"/>
                <w:szCs w:val="20"/>
                <w:color w:val="auto"/>
              </w:rPr>
            </w:pPr>
            <w:r>
              <w:rPr>
                <w:rFonts w:ascii="Times New Roman" w:cs="Times New Roman" w:eastAsia="Times New Roman" w:hAnsi="Times New Roman"/>
                <w:sz w:val="18"/>
                <w:szCs w:val="18"/>
                <w:color w:val="auto"/>
              </w:rPr>
              <w:t>Note receivable from variable interest entity</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Indemnification assets</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 credit receivable</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217"/>
        </w:trPr>
        <w:tc>
          <w:tcPr>
            <w:tcW w:w="47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6" w:lineRule="exact"/>
        <w:rPr>
          <w:sz w:val="20"/>
          <w:szCs w:val="20"/>
          <w:color w:val="auto"/>
        </w:rPr>
      </w:pPr>
    </w:p>
    <w:p>
      <w:pPr>
        <w:ind w:left="320" w:hanging="315"/>
        <w:spacing w:after="0" w:line="223" w:lineRule="auto"/>
        <w:tabs>
          <w:tab w:leader="none" w:pos="30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Footnote 16 “Variable Interest Entities” for additional information on the loan extended to a VIE during the second quarter of 2022 when we amended our commitment to purchase a property located in Waikiki, Hawaii.</w:t>
      </w:r>
    </w:p>
    <w:p>
      <w:pPr>
        <w:spacing w:after="0" w:line="270" w:lineRule="exact"/>
        <w:rPr>
          <w:rFonts w:ascii="Times New Roman" w:cs="Times New Roman" w:eastAsia="Times New Roman" w:hAnsi="Times New Roman"/>
          <w:sz w:val="23"/>
          <w:szCs w:val="23"/>
          <w:color w:val="auto"/>
          <w:vertAlign w:val="superscript"/>
        </w:rPr>
      </w:pPr>
    </w:p>
    <w:p>
      <w:pPr>
        <w:ind w:left="400" w:hanging="377"/>
        <w:spacing w:after="0"/>
        <w:tabs>
          <w:tab w:leader="none" w:pos="40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Our provision for income taxes is calculated using an estimated annual effective tax rate, based upon expected annual income, less losses in certain jurisdictions, permanent items, statutory rates and planned tax strategies in the various jurisdictions in which we operate. However, discrete items related to prior year tax items are treated separately.</w:t>
      </w:r>
    </w:p>
    <w:p>
      <w:pPr>
        <w:spacing w:after="0" w:line="75"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Our interim effective tax rate was 24.3% and 75.4% for the three months ended June 30, 2022 and June 30, 2021, respectively. Our interim effective tax rate was 28.1% and (1,737.7%) for the six months ended June 30, 2022 and June 30, 2021, respectively. The change in the effective tax rate for both the three and six months ended June 30, 2022 is predominately attributable to an increase in pre-tax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1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activity related to our unrecognized tax benefits (excluding interest and penalties) during the six months ended June 30, 2022. These unrecognized tax benefits relate to uncertain income tax positions, which would affect the effective tax rate if recognized.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Unrecognized Tax Benefits</w:t>
            </w:r>
          </w:p>
        </w:tc>
      </w:tr>
      <w:tr>
        <w:trPr>
          <w:trHeight w:val="23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r>
      <w:tr>
        <w:trPr>
          <w:trHeight w:val="250"/>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Increases related to tax positions taken during a prior period</w:t>
            </w:r>
          </w:p>
        </w:tc>
        <w:tc>
          <w:tcPr>
            <w:tcW w:w="8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Decreases as a result of a lapse of the applicable statute of limitations</w:t>
            </w:r>
          </w:p>
        </w:tc>
        <w:tc>
          <w:tcPr>
            <w:tcW w:w="8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6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total amount of gross interest and penalties accrued was $47 million at June 30, 2022 and $42 million at December 31, 2021. We anticipate $14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2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226"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spacing w:after="0" w:line="332" w:lineRule="auto"/>
        <w:rPr>
          <w:sz w:val="20"/>
          <w:szCs w:val="20"/>
          <w:color w:val="auto"/>
        </w:rPr>
      </w:pPr>
      <w:r>
        <w:rPr>
          <w:rFonts w:ascii="Times New Roman" w:cs="Times New Roman" w:eastAsia="Times New Roman" w:hAnsi="Times New Roman"/>
          <w:sz w:val="16"/>
          <w:szCs w:val="16"/>
          <w:color w:val="auto"/>
        </w:rPr>
        <w:t>Our income tax returns are subject to examination by relevant tax authorities. Certain of our returns are being audited in various jurisdictions for tax years 2007 through 2020. The amount of the unrecognized tax benefits may increase or decrease within the next twelve months as a result of audits or audit settlements.</w:t>
      </w:r>
    </w:p>
    <w:p>
      <w:pPr>
        <w:spacing w:after="0" w:line="200" w:lineRule="exact"/>
        <w:rPr>
          <w:sz w:val="20"/>
          <w:szCs w:val="20"/>
          <w:color w:val="auto"/>
        </w:rPr>
      </w:pPr>
    </w:p>
    <w:p>
      <w:pPr>
        <w:ind w:left="400" w:hanging="377"/>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OWNERSHIP NOTES RECEIVABLE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composition of our vacation ownership notes receivable balances, net of reserves.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05"/>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9"/>
              </w:rPr>
              <w:t>Originated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Originated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9"/>
              </w:rPr>
              <w:t>Acquired</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1"/>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1,662</w:t>
            </w:r>
          </w:p>
        </w:tc>
      </w:tr>
      <w:tr>
        <w:trPr>
          <w:trHeight w:val="250"/>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Non-securitized</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Eligible for securitization</w:t>
            </w: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w:t>
            </w:r>
          </w:p>
        </w:tc>
      </w:tr>
      <w:tr>
        <w:trPr>
          <w:trHeight w:val="171"/>
        </w:trPr>
        <w:tc>
          <w:tcPr>
            <w:tcW w:w="2120" w:type="dxa"/>
            <w:vAlign w:val="bottom"/>
          </w:tcPr>
          <w:p>
            <w:pPr>
              <w:ind w:left="120"/>
              <w:spacing w:after="0" w:line="171" w:lineRule="exact"/>
              <w:rPr>
                <w:sz w:val="20"/>
                <w:szCs w:val="20"/>
                <w:color w:val="auto"/>
              </w:rPr>
            </w:pPr>
            <w:r>
              <w:rPr>
                <w:rFonts w:ascii="Times New Roman" w:cs="Times New Roman" w:eastAsia="Times New Roman" w:hAnsi="Times New Roman"/>
                <w:sz w:val="18"/>
                <w:szCs w:val="18"/>
                <w:color w:val="auto"/>
              </w:rPr>
              <w:t>Not eligible for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7"/>
        </w:trPr>
        <w:tc>
          <w:tcPr>
            <w:tcW w:w="2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securitization</w:t>
            </w:r>
            <w:r>
              <w:rPr>
                <w:rFonts w:ascii="Times New Roman" w:cs="Times New Roman" w:eastAsia="Times New Roman" w:hAnsi="Times New Roman"/>
                <w:sz w:val="10"/>
                <w:szCs w:val="10"/>
                <w:color w:val="auto"/>
              </w:rPr>
              <w:t>(1)</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383</w:t>
            </w:r>
          </w:p>
        </w:tc>
      </w:tr>
      <w:tr>
        <w:trPr>
          <w:trHeight w:val="217"/>
        </w:trPr>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2,045</w:t>
            </w:r>
          </w:p>
        </w:tc>
      </w:tr>
      <w:tr>
        <w:trPr>
          <w:trHeight w:val="20"/>
        </w:trPr>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p>
    <w:p>
      <w:pPr>
        <w:ind w:left="300" w:hanging="295"/>
        <w:spacing w:after="0"/>
        <w:tabs>
          <w:tab w:leader="none" w:pos="3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Refer to Footnote 7 “Financial Instruments” for a discussion of eligibility of our vacation ownership notes receivable for securitization.</w:t>
      </w:r>
    </w:p>
    <w:p>
      <w:pPr>
        <w:spacing w:after="0" w:line="19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0" w:type="dxa"/>
            <w:vAlign w:val="bottom"/>
          </w:tcPr>
          <w:p>
            <w:pPr>
              <w:spacing w:after="0"/>
              <w:rPr>
                <w:sz w:val="1"/>
                <w:szCs w:val="1"/>
                <w:color w:val="auto"/>
              </w:rPr>
            </w:pPr>
          </w:p>
        </w:tc>
      </w:tr>
      <w:tr>
        <w:trPr>
          <w:trHeight w:val="153"/>
        </w:trPr>
        <w:tc>
          <w:tcPr>
            <w:tcW w:w="332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Interest income associated with vacation</w:t>
            </w: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ownership notes receivable — securitized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71"/>
        </w:trPr>
        <w:tc>
          <w:tcPr>
            <w:tcW w:w="33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Interest income associated with vacation</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8"/>
              </w:rPr>
              <w:t>ownership notes receivable — non-securitized</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51"/>
        </w:trPr>
        <w:tc>
          <w:tcPr>
            <w:tcW w:w="332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Total interest income associated with vacation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1"/>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ownership notes receivable</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Vacation Ownership Notes Receivable</w:t>
      </w:r>
    </w:p>
    <w:p>
      <w:pPr>
        <w:spacing w:after="0" w:line="11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Acquired vacation ownership notes receivable represent vacation ownership notes receivable acquired as part of the ILG Acquisition and the Welk Acquisition. The following table shows future contractual principal payments, net of reserves, and interest rates for our acquired vacation ownership notes receivable at June 30,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0" w:type="dxa"/>
            <w:vAlign w:val="bottom"/>
            <w:gridSpan w:val="8"/>
          </w:tcPr>
          <w:p>
            <w:pPr>
              <w:jc w:val="center"/>
              <w:ind w:right="2860"/>
              <w:spacing w:after="0"/>
              <w:rPr>
                <w:sz w:val="20"/>
                <w:szCs w:val="20"/>
                <w:color w:val="auto"/>
              </w:rPr>
            </w:pPr>
            <w:r>
              <w:rPr>
                <w:rFonts w:ascii="Times New Roman" w:cs="Times New Roman" w:eastAsia="Times New Roman" w:hAnsi="Times New Roman"/>
                <w:sz w:val="16"/>
                <w:szCs w:val="16"/>
                <w:b w:val="1"/>
                <w:bCs w:val="1"/>
                <w:color w:val="auto"/>
                <w:w w:val="97"/>
              </w:rPr>
              <w:t>Acquired Vacation Ownership Notes Receivable</w:t>
            </w:r>
          </w:p>
        </w:tc>
        <w:tc>
          <w:tcPr>
            <w:tcW w:w="0" w:type="dxa"/>
            <w:vAlign w:val="bottom"/>
          </w:tcPr>
          <w:p>
            <w:pPr>
              <w:spacing w:after="0"/>
              <w:rPr>
                <w:sz w:val="1"/>
                <w:szCs w:val="1"/>
                <w:color w:val="auto"/>
              </w:rPr>
            </w:pPr>
          </w:p>
        </w:tc>
      </w:tr>
      <w:tr>
        <w:trPr>
          <w:trHeight w:val="20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Non-Securitized</w:t>
            </w: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Securitized</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291</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stated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74"/>
              <w:spacing w:after="0" w:line="196" w:lineRule="exact"/>
              <w:rPr>
                <w:sz w:val="20"/>
                <w:szCs w:val="20"/>
                <w:color w:val="auto"/>
              </w:rPr>
            </w:pPr>
            <w:r>
              <w:rPr>
                <w:rFonts w:ascii="Times New Roman" w:cs="Times New Roman" w:eastAsia="Times New Roman" w:hAnsi="Times New Roman"/>
                <w:sz w:val="18"/>
                <w:szCs w:val="18"/>
                <w:color w:val="auto"/>
                <w:w w:val="98"/>
              </w:rPr>
              <w:t>13.9%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73"/>
              <w:spacing w:after="0" w:line="196" w:lineRule="exact"/>
              <w:rPr>
                <w:sz w:val="20"/>
                <w:szCs w:val="20"/>
                <w:color w:val="auto"/>
              </w:rPr>
            </w:pPr>
            <w:r>
              <w:rPr>
                <w:rFonts w:ascii="Times New Roman" w:cs="Times New Roman" w:eastAsia="Times New Roman" w:hAnsi="Times New Roman"/>
                <w:sz w:val="18"/>
                <w:szCs w:val="18"/>
                <w:color w:val="auto"/>
                <w:w w:val="94"/>
              </w:rPr>
              <w:t>14.2%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93"/>
              <w:spacing w:after="0" w:line="196" w:lineRule="exact"/>
              <w:rPr>
                <w:sz w:val="20"/>
                <w:szCs w:val="20"/>
                <w:color w:val="auto"/>
              </w:rPr>
            </w:pPr>
            <w:r>
              <w:rPr>
                <w:rFonts w:ascii="Times New Roman" w:cs="Times New Roman" w:eastAsia="Times New Roman" w:hAnsi="Times New Roman"/>
                <w:sz w:val="18"/>
                <w:szCs w:val="18"/>
                <w:color w:val="auto"/>
                <w:w w:val="98"/>
              </w:rPr>
              <w:t>14.1%</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Range of stated interest rates</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0.0% to 21.9%</w:t>
            </w:r>
          </w:p>
        </w:tc>
        <w:tc>
          <w:tcPr>
            <w:tcW w:w="1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0.0% to 21.9%</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color w:val="auto"/>
                <w:w w:val="97"/>
              </w:rPr>
              <w:t>0.0% to 21.9%</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5"/>
        </w:trPr>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our acquired vacation ownership notes receivable reserve.</w:t>
      </w:r>
    </w:p>
    <w:p>
      <w:pPr>
        <w:spacing w:after="0" w:line="15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5"/>
          <w:szCs w:val="15"/>
          <w:b w:val="1"/>
          <w:bCs w:val="1"/>
          <w:color w:val="auto"/>
        </w:rPr>
        <w:t>Acquired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26035</wp:posOffset>
            </wp:positionV>
            <wp:extent cx="3074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74670" cy="8255"/>
                    </a:xfrm>
                    <a:prstGeom prst="rect">
                      <a:avLst/>
                    </a:prstGeom>
                    <a:noFill/>
                  </pic:spPr>
                </pic:pic>
              </a:graphicData>
            </a:graphic>
          </wp:anchor>
        </w:drawing>
      </w:r>
    </w:p>
    <w:p>
      <w:pPr>
        <w:spacing w:after="0" w:line="31" w:lineRule="exact"/>
        <w:rPr>
          <w:sz w:val="20"/>
          <w:szCs w:val="20"/>
          <w:color w:val="auto"/>
        </w:rPr>
      </w:pPr>
    </w:p>
    <w:p>
      <w:pPr>
        <w:ind w:left="20"/>
        <w:spacing w:after="0"/>
        <w:tabs>
          <w:tab w:leader="none" w:pos="3900" w:val="left"/>
          <w:tab w:leader="none" w:pos="5740" w:val="left"/>
          <w:tab w:leader="none" w:pos="7580" w:val="left"/>
        </w:tabs>
        <w:rPr>
          <w:sz w:val="20"/>
          <w:szCs w:val="20"/>
          <w:color w:val="auto"/>
        </w:rPr>
      </w:pPr>
      <w:r>
        <w:rPr>
          <w:rFonts w:ascii="Times New Roman" w:cs="Times New Roman" w:eastAsia="Times New Roman" w:hAnsi="Times New Roman"/>
          <w:sz w:val="14"/>
          <w:szCs w:val="14"/>
          <w:b w:val="1"/>
          <w:bCs w:val="1"/>
          <w:i w:val="1"/>
          <w:iCs w:val="1"/>
          <w:color w:val="auto"/>
        </w:rPr>
        <w:t>($ in millions)</w:t>
      </w:r>
      <w:r>
        <w:rPr>
          <w:sz w:val="20"/>
          <w:szCs w:val="20"/>
          <w:color w:val="auto"/>
        </w:rPr>
        <w:tab/>
      </w:r>
      <w:r>
        <w:rPr>
          <w:rFonts w:ascii="Times New Roman" w:cs="Times New Roman" w:eastAsia="Times New Roman" w:hAnsi="Times New Roman"/>
          <w:sz w:val="16"/>
          <w:szCs w:val="16"/>
          <w:b w:val="1"/>
          <w:bCs w:val="1"/>
          <w:color w:val="auto"/>
        </w:rPr>
        <w:t>Non-Securitized</w:t>
      </w:r>
      <w:r>
        <w:rPr>
          <w:sz w:val="20"/>
          <w:szCs w:val="20"/>
          <w:color w:val="auto"/>
        </w:rPr>
        <w:tab/>
      </w:r>
      <w:r>
        <w:rPr>
          <w:rFonts w:ascii="Times New Roman" w:cs="Times New Roman" w:eastAsia="Times New Roman" w:hAnsi="Times New Roman"/>
          <w:sz w:val="16"/>
          <w:szCs w:val="16"/>
          <w:b w:val="1"/>
          <w:bCs w:val="1"/>
          <w:color w:val="auto"/>
        </w:rPr>
        <w:t>Securitized</w:t>
      </w:r>
      <w:r>
        <w:rPr>
          <w:sz w:val="20"/>
          <w:szCs w:val="20"/>
          <w:color w:val="auto"/>
        </w:rPr>
        <w:tab/>
      </w:r>
      <w:r>
        <w:rPr>
          <w:rFonts w:ascii="Times New Roman" w:cs="Times New Roman" w:eastAsia="Times New Roman" w:hAnsi="Times New Roman"/>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5414645" cy="158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14645" cy="15875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Securitizations</w:t>
            </w:r>
          </w:p>
        </w:tc>
        <w:tc>
          <w:tcPr>
            <w:tcW w:w="140" w:type="dxa"/>
            <w:vAlign w:val="bottom"/>
          </w:tcPr>
          <w:p>
            <w:pPr>
              <w:spacing w:after="0"/>
              <w:rPr>
                <w:sz w:val="19"/>
                <w:szCs w:val="19"/>
                <w:color w:val="auto"/>
              </w:rPr>
            </w:pPr>
          </w:p>
        </w:tc>
      </w:tr>
      <w:tr>
        <w:trPr>
          <w:trHeight w:val="250"/>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Clean-up call</w:t>
            </w:r>
          </w:p>
        </w:tc>
        <w:tc>
          <w:tcPr>
            <w:tcW w:w="140" w:type="dxa"/>
            <w:vAlign w:val="bottom"/>
          </w:tcPr>
          <w:p>
            <w:pPr>
              <w:spacing w:after="0"/>
              <w:rPr>
                <w:sz w:val="21"/>
                <w:szCs w:val="21"/>
                <w:color w:val="auto"/>
              </w:rPr>
            </w:pPr>
          </w:p>
        </w:tc>
      </w:tr>
      <w:tr>
        <w:trPr>
          <w:trHeight w:val="250"/>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Pr>
          <w:p>
            <w:pPr>
              <w:spacing w:after="0"/>
              <w:rPr>
                <w:sz w:val="21"/>
                <w:szCs w:val="21"/>
                <w:color w:val="auto"/>
              </w:rPr>
            </w:pPr>
          </w:p>
        </w:tc>
      </w:tr>
      <w:tr>
        <w:trPr>
          <w:trHeight w:val="250"/>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21"/>
                <w:szCs w:val="21"/>
                <w:color w:val="auto"/>
              </w:rPr>
            </w:pPr>
          </w:p>
        </w:tc>
      </w:tr>
      <w:tr>
        <w:trPr>
          <w:trHeight w:val="206"/>
        </w:trPr>
        <w:tc>
          <w:tcPr>
            <w:tcW w:w="3640" w:type="dxa"/>
            <w:vAlign w:val="bottom"/>
          </w:tcPr>
          <w:p>
            <w:pPr>
              <w:ind w:left="200"/>
              <w:spacing w:after="0" w:line="206" w:lineRule="exact"/>
              <w:rPr>
                <w:sz w:val="20"/>
                <w:szCs w:val="20"/>
                <w:color w:val="auto"/>
              </w:rPr>
            </w:pPr>
            <w:r>
              <w:rPr>
                <w:rFonts w:ascii="Times New Roman" w:cs="Times New Roman" w:eastAsia="Times New Roman" w:hAnsi="Times New Roman"/>
                <w:sz w:val="18"/>
                <w:szCs w:val="18"/>
                <w:color w:val="auto"/>
              </w:rPr>
              <w:t>Defaulted vacation ownership notes receivable</w:t>
            </w:r>
          </w:p>
        </w:tc>
        <w:tc>
          <w:tcPr>
            <w:tcW w:w="140" w:type="dxa"/>
            <w:vAlign w:val="bottom"/>
          </w:tcPr>
          <w:p>
            <w:pPr>
              <w:spacing w:after="0"/>
              <w:rPr>
                <w:sz w:val="17"/>
                <w:szCs w:val="17"/>
                <w:color w:val="auto"/>
              </w:rPr>
            </w:pPr>
          </w:p>
        </w:tc>
      </w:tr>
      <w:tr>
        <w:trPr>
          <w:trHeight w:val="224"/>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activity</w:t>
            </w:r>
            <w:r>
              <w:rPr>
                <w:rFonts w:ascii="Times New Roman" w:cs="Times New Roman" w:eastAsia="Times New Roman" w:hAnsi="Times New Roman"/>
                <w:sz w:val="9"/>
                <w:szCs w:val="9"/>
                <w:color w:val="auto"/>
              </w:rPr>
              <w:t>(1)</w:t>
            </w:r>
          </w:p>
        </w:tc>
        <w:tc>
          <w:tcPr>
            <w:tcW w:w="140" w:type="dxa"/>
            <w:vAlign w:val="bottom"/>
          </w:tcPr>
          <w:p>
            <w:pPr>
              <w:spacing w:after="0"/>
              <w:rPr>
                <w:sz w:val="19"/>
                <w:szCs w:val="19"/>
                <w:color w:val="auto"/>
              </w:rPr>
            </w:pPr>
          </w:p>
        </w:tc>
      </w:tr>
      <w:tr>
        <w:trPr>
          <w:trHeight w:val="184"/>
        </w:trPr>
        <w:tc>
          <w:tcPr>
            <w:tcW w:w="36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w w:val="98"/>
              </w:rPr>
              <w:t>(Decrease) increase in vacation ownership notes</w:t>
            </w:r>
          </w:p>
        </w:tc>
        <w:tc>
          <w:tcPr>
            <w:tcW w:w="140" w:type="dxa"/>
            <w:vAlign w:val="bottom"/>
          </w:tcPr>
          <w:p>
            <w:pPr>
              <w:spacing w:after="0"/>
              <w:rPr>
                <w:sz w:val="16"/>
                <w:szCs w:val="16"/>
                <w:color w:val="auto"/>
              </w:rPr>
            </w:pPr>
          </w:p>
        </w:tc>
      </w:tr>
      <w:tr>
        <w:trPr>
          <w:trHeight w:val="228"/>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 reserve</w:t>
            </w:r>
          </w:p>
        </w:tc>
        <w:tc>
          <w:tcPr>
            <w:tcW w:w="140" w:type="dxa"/>
            <w:vAlign w:val="bottom"/>
          </w:tcPr>
          <w:p>
            <w:pPr>
              <w:spacing w:after="0"/>
              <w:rPr>
                <w:sz w:val="19"/>
                <w:szCs w:val="19"/>
                <w:color w:val="auto"/>
              </w:rPr>
            </w:pPr>
          </w:p>
        </w:tc>
      </w:tr>
      <w:tr>
        <w:trPr>
          <w:trHeight w:val="26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-1160145</wp:posOffset>
            </wp:positionV>
            <wp:extent cx="5414645" cy="158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14645" cy="1587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-842645</wp:posOffset>
            </wp:positionV>
            <wp:extent cx="5414645" cy="158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14645" cy="1587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-424815</wp:posOffset>
            </wp:positionV>
            <wp:extent cx="5414645" cy="259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14645" cy="259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9"/>
                <w:szCs w:val="19"/>
                <w:color w:val="auto"/>
              </w:rPr>
            </w:pP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6"/>
              </w:rPr>
              <w:t>(29)</w:t>
            </w:r>
          </w:p>
        </w:tc>
        <w:tc>
          <w:tcPr>
            <w:tcW w:w="6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r>
      <w:tr>
        <w:trPr>
          <w:trHeight w:val="408"/>
        </w:trPr>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408"/>
        </w:trPr>
        <w:tc>
          <w:tcPr>
            <w:tcW w:w="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6"/>
              </w:rPr>
              <w:t>(14)</w:t>
            </w: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6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-33020</wp:posOffset>
            </wp:positionV>
            <wp:extent cx="9779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790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-7620</wp:posOffset>
            </wp:positionV>
            <wp:extent cx="9779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77900"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-182880</wp:posOffset>
            </wp:positionV>
            <wp:extent cx="9779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4180" w:space="720"/>
            <w:col w:w="6340"/>
          </w:cols>
          <w:pgMar w:left="320" w:top="2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6" w:lineRule="exact"/>
        <w:rPr>
          <w:sz w:val="20"/>
          <w:szCs w:val="20"/>
          <w:color w:val="auto"/>
        </w:rPr>
      </w:pPr>
    </w:p>
    <w:p>
      <w:pPr>
        <w:ind w:left="320" w:right="540" w:hanging="315"/>
        <w:spacing w:after="0" w:line="223" w:lineRule="auto"/>
        <w:tabs>
          <w:tab w:leader="none" w:pos="30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change attributable to the transfer of the reserve from the securitized vacation ownership notes receivable reserve to the non-securitized vacation ownership notes receivable reserve when we voluntarily repurchase securitized vacation ownership notes receivable.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Originated Vacation Ownership Notes Receivable</w:t>
      </w:r>
    </w:p>
    <w:p>
      <w:pPr>
        <w:spacing w:after="0" w:line="11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June 30,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20" w:type="dxa"/>
            <w:vAlign w:val="bottom"/>
            <w:gridSpan w:val="8"/>
          </w:tcPr>
          <w:p>
            <w:pPr>
              <w:jc w:val="center"/>
              <w:ind w:right="2880"/>
              <w:spacing w:after="0"/>
              <w:rPr>
                <w:sz w:val="20"/>
                <w:szCs w:val="20"/>
                <w:color w:val="auto"/>
              </w:rPr>
            </w:pPr>
            <w:r>
              <w:rPr>
                <w:rFonts w:ascii="Times New Roman" w:cs="Times New Roman" w:eastAsia="Times New Roman" w:hAnsi="Times New Roman"/>
                <w:sz w:val="16"/>
                <w:szCs w:val="16"/>
                <w:b w:val="1"/>
                <w:bCs w:val="1"/>
                <w:color w:val="auto"/>
                <w:w w:val="98"/>
              </w:rPr>
              <w:t>Originated Vacation Ownership Notes Receivable</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Non-Securitized</w:t>
            </w: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Securitized</w:t>
            </w: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1,019</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1,784</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stated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74"/>
              <w:spacing w:after="0" w:line="196" w:lineRule="exact"/>
              <w:rPr>
                <w:sz w:val="20"/>
                <w:szCs w:val="20"/>
                <w:color w:val="auto"/>
              </w:rPr>
            </w:pPr>
            <w:r>
              <w:rPr>
                <w:rFonts w:ascii="Times New Roman" w:cs="Times New Roman" w:eastAsia="Times New Roman" w:hAnsi="Times New Roman"/>
                <w:sz w:val="18"/>
                <w:szCs w:val="18"/>
                <w:color w:val="auto"/>
                <w:w w:val="98"/>
              </w:rPr>
              <w:t>12.7%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93"/>
              <w:spacing w:after="0" w:line="196" w:lineRule="exact"/>
              <w:rPr>
                <w:sz w:val="20"/>
                <w:szCs w:val="20"/>
                <w:color w:val="auto"/>
              </w:rPr>
            </w:pPr>
            <w:r>
              <w:rPr>
                <w:rFonts w:ascii="Times New Roman" w:cs="Times New Roman" w:eastAsia="Times New Roman" w:hAnsi="Times New Roman"/>
                <w:sz w:val="18"/>
                <w:szCs w:val="18"/>
                <w:color w:val="auto"/>
                <w:w w:val="98"/>
              </w:rPr>
              <w:t>13.0%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93"/>
              <w:spacing w:after="0" w:line="196" w:lineRule="exact"/>
              <w:rPr>
                <w:sz w:val="20"/>
                <w:szCs w:val="20"/>
                <w:color w:val="auto"/>
              </w:rPr>
            </w:pPr>
            <w:r>
              <w:rPr>
                <w:rFonts w:ascii="Times New Roman" w:cs="Times New Roman" w:eastAsia="Times New Roman" w:hAnsi="Times New Roman"/>
                <w:sz w:val="18"/>
                <w:szCs w:val="18"/>
                <w:color w:val="auto"/>
                <w:w w:val="98"/>
              </w:rPr>
              <w:t>12.9%</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Range of stated interest rates</w:t>
            </w: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0.0% to 20.9%</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7"/>
              </w:rPr>
              <w:t>0.0% to 19.9%</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color w:val="auto"/>
                <w:w w:val="99"/>
              </w:rPr>
              <w:t>0.0% to 20.9%</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5"/>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Originated Vacation Ownership Notes Receivable Reserve</w:t>
            </w:r>
          </w:p>
        </w:tc>
        <w:tc>
          <w:tcPr>
            <w:tcW w:w="420" w:type="dxa"/>
            <w:vAlign w:val="bottom"/>
            <w:tcBorders>
              <w:bottom w:val="single" w:sz="8" w:color="auto"/>
            </w:tcBorders>
          </w:tcPr>
          <w:p>
            <w:pPr>
              <w:spacing w:after="0"/>
              <w:rPr>
                <w:sz w:val="18"/>
                <w:szCs w:val="18"/>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Pr>
          <w:p>
            <w:pPr>
              <w:spacing w:after="0"/>
              <w:rPr>
                <w:sz w:val="20"/>
                <w:szCs w:val="20"/>
                <w:color w:val="auto"/>
              </w:rPr>
            </w:pPr>
          </w:p>
        </w:tc>
      </w:tr>
      <w:tr>
        <w:trPr>
          <w:trHeight w:val="232"/>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14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w:t>
            </w:r>
          </w:p>
        </w:tc>
      </w:tr>
      <w:tr>
        <w:trPr>
          <w:trHeight w:val="179"/>
        </w:trPr>
        <w:tc>
          <w:tcPr>
            <w:tcW w:w="368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w w:val="99"/>
              </w:rPr>
              <w:t>Increase in vacation ownership notes receivable</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29"/>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r>
      <w:tr>
        <w:trPr>
          <w:trHeight w:val="250"/>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Securitizations</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Clean-up call</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Write-offs</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79"/>
        </w:trPr>
        <w:tc>
          <w:tcPr>
            <w:tcW w:w="3680" w:type="dxa"/>
            <w:vAlign w:val="bottom"/>
          </w:tcPr>
          <w:p>
            <w:pPr>
              <w:ind w:left="220"/>
              <w:spacing w:after="0" w:line="179" w:lineRule="exact"/>
              <w:rPr>
                <w:sz w:val="20"/>
                <w:szCs w:val="20"/>
                <w:color w:val="auto"/>
              </w:rPr>
            </w:pPr>
            <w:r>
              <w:rPr>
                <w:rFonts w:ascii="Times New Roman" w:cs="Times New Roman" w:eastAsia="Times New Roman" w:hAnsi="Times New Roman"/>
                <w:sz w:val="18"/>
                <w:szCs w:val="18"/>
                <w:color w:val="auto"/>
              </w:rPr>
              <w:t>Defaulted vacation ownership notes receivable</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29"/>
        </w:trPr>
        <w:tc>
          <w:tcPr>
            <w:tcW w:w="3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repurchase activity</w:t>
            </w:r>
            <w:r>
              <w:rPr>
                <w:rFonts w:ascii="Times New Roman" w:cs="Times New Roman" w:eastAsia="Times New Roman" w:hAnsi="Times New Roman"/>
                <w:sz w:val="10"/>
                <w:szCs w:val="10"/>
                <w:color w:val="auto"/>
              </w:rPr>
              <w:t>(1)</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w:t>
            </w: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6" w:lineRule="exact"/>
        <w:rPr>
          <w:sz w:val="20"/>
          <w:szCs w:val="20"/>
          <w:color w:val="auto"/>
        </w:rPr>
      </w:pPr>
    </w:p>
    <w:p>
      <w:pPr>
        <w:ind w:left="320" w:right="540" w:hanging="315"/>
        <w:spacing w:after="0" w:line="223" w:lineRule="auto"/>
        <w:tabs>
          <w:tab w:leader="none" w:pos="30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change attributable to the transfer of the reserve from the securitized vacation ownership notes receivable reserve to the non-securitized vacation ownership notes receivable reserve when we voluntarily repurchase securitized vacation ownership notes receivable.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of Legacy-MVW Vacation Ownership Notes Receivable</w:t>
      </w:r>
    </w:p>
    <w:p>
      <w:pPr>
        <w:spacing w:after="0" w:line="113" w:lineRule="exact"/>
        <w:rPr>
          <w:sz w:val="20"/>
          <w:szCs w:val="20"/>
          <w:color w:val="auto"/>
        </w:rPr>
      </w:pPr>
    </w:p>
    <w:p>
      <w:pPr>
        <w:jc w:val="both"/>
        <w:ind w:right="420"/>
        <w:spacing w:after="0" w:line="256" w:lineRule="auto"/>
        <w:rPr>
          <w:sz w:val="20"/>
          <w:szCs w:val="20"/>
          <w:color w:val="auto"/>
        </w:rPr>
      </w:pPr>
      <w:r>
        <w:rPr>
          <w:rFonts w:ascii="Times New Roman" w:cs="Times New Roman" w:eastAsia="Times New Roman" w:hAnsi="Times New Roman"/>
          <w:sz w:val="18"/>
          <w:szCs w:val="18"/>
          <w:color w:val="auto"/>
        </w:rPr>
        <w:t>For both Legacy-MVW non-securitized and securitized vacation ownership notes receivable, we estimated average remaining default rates of 6.81% as of June 30, 2022, and 6.74% as of December 31, 2021. A 0.5 percentage point increase in the estimated default rate would have resulted in an increase in the related vacation ownership notes receivable reserve of $6 million as of both June 30, 2022 and December 31, 2021.</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use the aging of the vacation ownership notes receivable as the primary credit quality indicator for our Legacy-MVW vacation ownership notes receivable, as historical performance indicates that there is a relationship between the default behavior of borrowers and the age of the receivable associated with the vacation ownership interest.</w:t>
      </w:r>
    </w:p>
    <w:p>
      <w:pPr>
        <w:spacing w:after="0" w:line="7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color w:val="auto"/>
        </w:rPr>
        <w:t>The following table shows our recorded investment in non-accrual Legacy-MVW vacation ownership notes receivable, which are vacation ownership notes receivable that are 90 days or more past due.</w:t>
      </w:r>
    </w:p>
    <w:p>
      <w:pPr>
        <w:sectPr>
          <w:pgSz w:w="11900" w:h="16838" w:orient="portrait"/>
          <w:cols w:equalWidth="0" w:num="1">
            <w:col w:w="11240"/>
          </w:cols>
          <w:pgMar w:left="320" w:top="226" w:right="339" w:bottom="1440" w:gutter="0" w:footer="0" w:header="0"/>
        </w:sect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43" w:lineRule="exact"/>
        <w:rPr>
          <w:sz w:val="20"/>
          <w:szCs w:val="20"/>
          <w:color w:val="auto"/>
        </w:rPr>
      </w:pPr>
    </w:p>
    <w:p>
      <w:pPr>
        <w:ind w:left="20"/>
        <w:spacing w:after="0" w:line="231" w:lineRule="auto"/>
        <w:rPr>
          <w:sz w:val="20"/>
          <w:szCs w:val="20"/>
          <w:color w:val="auto"/>
        </w:rPr>
      </w:pPr>
      <w:r>
        <w:rPr>
          <w:rFonts w:ascii="Times New Roman" w:cs="Times New Roman" w:eastAsia="Times New Roman" w:hAnsi="Times New Roman"/>
          <w:sz w:val="18"/>
          <w:szCs w:val="18"/>
          <w:color w:val="auto"/>
        </w:rPr>
        <w:t>Investment in vacation ownership notes receivable on non-accrual status at June 30, 2022</w:t>
      </w:r>
    </w:p>
    <w:p>
      <w:pPr>
        <w:spacing w:after="0" w:line="9"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6"/>
          <w:szCs w:val="16"/>
          <w:color w:val="auto"/>
        </w:rPr>
        <w:t>Investment in vacation ownership notes receivable on non-accrual status at December 31, 2021</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Legacy-MVW Vacation Ownership Notes Receivable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95"/>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4"/>
                <w:szCs w:val="24"/>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81</w:t>
            </w:r>
          </w:p>
        </w:tc>
      </w:tr>
      <w:tr>
        <w:trPr>
          <w:trHeight w:val="40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4"/>
                <w:szCs w:val="24"/>
                <w:color w:val="auto"/>
              </w:rPr>
            </w:pPr>
          </w:p>
        </w:tc>
        <w:tc>
          <w:tcPr>
            <w:tcW w:w="1260" w:type="dxa"/>
            <w:vAlign w:val="bottom"/>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-458470</wp:posOffset>
            </wp:positionV>
            <wp:extent cx="5414645" cy="259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14645" cy="25908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3580" w:space="100"/>
            <w:col w:w="7560"/>
          </w:cols>
          <w:pgMar w:left="320" w:top="226" w:right="339" w:bottom="1440" w:gutter="0" w:footer="0" w:header="0"/>
          <w:type w:val="continuous"/>
        </w:sectPr>
      </w:pPr>
    </w:p>
    <w:p>
      <w:pPr>
        <w:spacing w:after="0" w:line="15"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Legacy-MVW vacation ownership notes receivable as of June 30, 2022 and December 31, 2021.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11"/>
          </w:tcPr>
          <w:p>
            <w:pPr>
              <w:ind w:left="220"/>
              <w:spacing w:after="0"/>
              <w:rPr>
                <w:sz w:val="20"/>
                <w:szCs w:val="20"/>
                <w:color w:val="auto"/>
              </w:rPr>
            </w:pPr>
            <w:r>
              <w:rPr>
                <w:rFonts w:ascii="Times New Roman" w:cs="Times New Roman" w:eastAsia="Times New Roman" w:hAnsi="Times New Roman"/>
                <w:sz w:val="16"/>
                <w:szCs w:val="16"/>
                <w:b w:val="1"/>
                <w:bCs w:val="1"/>
                <w:color w:val="auto"/>
              </w:rPr>
              <w:t>Legacy-MVW Vacation Ownership Notes Receivable</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As of June 30, 2022</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700" w:type="dxa"/>
            <w:vAlign w:val="bottom"/>
            <w:tcBorders>
              <w:bottom w:val="single" w:sz="8" w:color="auto"/>
            </w:tcBorders>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74"/>
              <w:spacing w:after="0" w:line="152" w:lineRule="exact"/>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20"/>
              <w:spacing w:after="0" w:line="152" w:lineRule="exact"/>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3"/>
                <w:szCs w:val="13"/>
                <w:color w:val="auto"/>
              </w:rPr>
            </w:pPr>
          </w:p>
        </w:tc>
        <w:tc>
          <w:tcPr>
            <w:tcW w:w="88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90 days past due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 – 150 days past due</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Greater than 150 days past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past due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122</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100" w:type="dxa"/>
            <w:vAlign w:val="bottom"/>
          </w:tcPr>
          <w:p>
            <w:pPr>
              <w:ind w:left="120"/>
              <w:spacing w:after="0" w:line="152" w:lineRule="exact"/>
              <w:rPr>
                <w:sz w:val="20"/>
                <w:szCs w:val="20"/>
                <w:color w:val="auto"/>
              </w:rPr>
            </w:pPr>
            <w:r>
              <w:rPr>
                <w:rFonts w:ascii="Times New Roman" w:cs="Times New Roman" w:eastAsia="Times New Roman" w:hAnsi="Times New Roman"/>
                <w:sz w:val="16"/>
                <w:szCs w:val="16"/>
                <w:color w:val="auto"/>
              </w:rPr>
              <w:t>Total vacation ownership</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3"/>
                <w:szCs w:val="13"/>
                <w:color w:val="auto"/>
              </w:rPr>
            </w:pP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1,329</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receivable</w:t>
            </w:r>
          </w:p>
        </w:tc>
        <w:tc>
          <w:tcPr>
            <w:tcW w:w="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origination year of our Legacy-MVW vacation ownership notes receivable as of June 30,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gridSpan w:val="7"/>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Legacy-MVW Vacation Ownership Notes Receivable</w:t>
            </w:r>
          </w:p>
        </w:tc>
      </w:tr>
      <w:tr>
        <w:trPr>
          <w:trHeight w:val="205"/>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24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Securitized</w:t>
            </w:r>
          </w:p>
        </w:tc>
        <w:tc>
          <w:tcPr>
            <w:tcW w:w="360" w:type="dxa"/>
            <w:vAlign w:val="bottom"/>
          </w:tcPr>
          <w:p>
            <w:pPr>
              <w:spacing w:after="0"/>
              <w:rPr>
                <w:sz w:val="17"/>
                <w:szCs w:val="17"/>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1"/>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of Origination</w:t>
            </w: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r>
      <w:tr>
        <w:trPr>
          <w:trHeight w:val="250"/>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236</w:t>
            </w:r>
          </w:p>
        </w:tc>
      </w:tr>
      <w:tr>
        <w:trPr>
          <w:trHeight w:val="250"/>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370</w:t>
            </w:r>
          </w:p>
        </w:tc>
      </w:tr>
      <w:tr>
        <w:trPr>
          <w:trHeight w:val="250"/>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r>
      <w:tr>
        <w:trPr>
          <w:trHeight w:val="250"/>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2019</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w:t>
            </w:r>
          </w:p>
        </w:tc>
      </w:tr>
      <w:tr>
        <w:trPr>
          <w:trHeight w:val="250"/>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r>
      <w:tr>
        <w:trPr>
          <w:trHeight w:val="250"/>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2017 &amp; Prior</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200</w:t>
            </w:r>
          </w:p>
        </w:tc>
      </w:tr>
      <w:tr>
        <w:trPr>
          <w:trHeight w:val="217"/>
        </w:trPr>
        <w:tc>
          <w:tcPr>
            <w:tcW w:w="36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1,354</w:t>
            </w: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of Legacy-ILG and Legacy-Welk Vacation Ownership Notes Receivable</w:t>
      </w:r>
    </w:p>
    <w:p>
      <w:pPr>
        <w:spacing w:after="0" w:line="113"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6"/>
          <w:szCs w:val="16"/>
          <w:color w:val="auto"/>
        </w:rPr>
        <w:t>At June 30, 2022 and December 31, 2021, the weighted average FICO score within our consolidated Legacy-ILG and Legacy-Welk vacation ownership notes receivable pools was 709 and 707, respectively, based upon the FICO score of the borrower at the time of origination. The average estimated rate for all future defaults for our Legacy-ILG and Legacy-Welk consolidated outstanding pool of vacation ownership notes receivable was 16.85% as of June 30, 2022 and</w:t>
      </w:r>
    </w:p>
    <w:p>
      <w:pPr>
        <w:spacing w:after="0" w:line="1"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17.33% as of December 31, 2021. A 0.5 percentage point increase in the estimated default rate on the Legacy-ILG and Legacy-Welk vacation ownership notes receivable would have resulted in an increase in the related vacation ownership notes receivable reserve of $5 million as of June 30, 2022 and $4 million as of December 31, 2021.</w:t>
      </w:r>
    </w:p>
    <w:p>
      <w:pPr>
        <w:spacing w:after="0" w:line="8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We use the origination of the vacation ownership notes receivable by brand (Westin, Sheraton, Hyatt, Welk) and the FICO scores of the customer as the primary credit quality indicators for our Legacy-ILG and Legacy-Welk vacation ownership notes receivable, as historical performance indicates that there is a relationship between the default behavior of borrowers and the brand associated with the vacation ownership interest they have acquired, supplemented by the FICO scores of the customers. Vacation ownership notes receivable with no FICO score in the tables below primarily relate to non-U.S. resident borrowers.</w:t>
      </w:r>
    </w:p>
    <w:p>
      <w:pPr>
        <w:spacing w:after="0" w:line="49"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The following table shows our recorded investment in non-accrual Legacy-ILG and Legacy-Welk vacation ownership notes receivable, which are vacation ownership notes receivable that are 90 days or more past due.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7"/>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8"/>
              </w:rPr>
              <w:t>Legacy-ILG and Legacy-Welk Vacation Ownership Notes Receivable</w:t>
            </w:r>
          </w:p>
        </w:tc>
        <w:tc>
          <w:tcPr>
            <w:tcW w:w="0" w:type="dxa"/>
            <w:vAlign w:val="bottom"/>
          </w:tcPr>
          <w:p>
            <w:pPr>
              <w:spacing w:after="0"/>
              <w:rPr>
                <w:sz w:val="1"/>
                <w:szCs w:val="1"/>
                <w:color w:val="auto"/>
              </w:rPr>
            </w:pPr>
          </w:p>
        </w:tc>
      </w:tr>
      <w:tr>
        <w:trPr>
          <w:trHeight w:val="205"/>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Non-Securitized</w:t>
            </w: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Securitized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2"/>
        </w:trPr>
        <w:tc>
          <w:tcPr>
            <w:tcW w:w="34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Investment in vacation ownership notes</w:t>
            </w:r>
          </w:p>
        </w:tc>
        <w:tc>
          <w:tcPr>
            <w:tcW w:w="18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receivable on non-accrual status at June 30,</w:t>
            </w:r>
          </w:p>
        </w:tc>
        <w:tc>
          <w:tcPr>
            <w:tcW w:w="18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95"/>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72"/>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5"/>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42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Investment in vacation ownership notes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4"/>
                <w:szCs w:val="14"/>
                <w:color w:val="auto"/>
              </w:rPr>
            </w:pPr>
          </w:p>
        </w:tc>
        <w:tc>
          <w:tcPr>
            <w:tcW w:w="1280" w:type="dxa"/>
            <w:vAlign w:val="bottom"/>
            <w:vMerge w:val="restart"/>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4"/>
                <w:szCs w:val="14"/>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79"/>
        </w:trPr>
        <w:tc>
          <w:tcPr>
            <w:tcW w:w="34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receivable on non-accrual status at December</w:t>
            </w:r>
          </w:p>
        </w:tc>
        <w:tc>
          <w:tcPr>
            <w:tcW w:w="1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31, 2021</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Legacy-ILG and Legacy-Welk vacation ownership notes receivable as of June 30, 2022 and December 31, 2021.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gridSpan w:val="16"/>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Legacy-ILG and Legacy-Welk Vacation Ownership Notes Receivable</w:t>
            </w:r>
          </w:p>
        </w:tc>
        <w:tc>
          <w:tcPr>
            <w:tcW w:w="70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As of June 30, 2022</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700" w:type="dxa"/>
            <w:vAlign w:val="bottom"/>
            <w:tcBorders>
              <w:bottom w:val="single" w:sz="8" w:color="auto"/>
            </w:tcBorders>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75"/>
              <w:spacing w:after="0" w:line="152" w:lineRule="exact"/>
              <w:rPr>
                <w:sz w:val="20"/>
                <w:szCs w:val="20"/>
                <w:color w:val="auto"/>
              </w:rPr>
            </w:pPr>
            <w:r>
              <w:rPr>
                <w:rFonts w:ascii="Times New Roman" w:cs="Times New Roman" w:eastAsia="Times New Roman" w:hAnsi="Times New Roman"/>
                <w:sz w:val="16"/>
                <w:szCs w:val="16"/>
                <w:b w:val="1"/>
                <w:bCs w:val="1"/>
                <w:color w:val="auto"/>
              </w:rPr>
              <w:t>Non-</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20"/>
              <w:spacing w:after="0" w:line="152" w:lineRule="exact"/>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3"/>
                <w:szCs w:val="13"/>
                <w:color w:val="auto"/>
              </w:rPr>
            </w:pPr>
          </w:p>
        </w:tc>
        <w:tc>
          <w:tcPr>
            <w:tcW w:w="88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6"/>
              </w:rPr>
              <w:t>Securitized</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 90 days past due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 – 120 days past due</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Greater than 120 days past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w:t>
            </w: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past due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100" w:type="dxa"/>
            <w:vAlign w:val="bottom"/>
          </w:tcPr>
          <w:p>
            <w:pPr>
              <w:ind w:left="120"/>
              <w:spacing w:after="0" w:line="152" w:lineRule="exact"/>
              <w:rPr>
                <w:sz w:val="20"/>
                <w:szCs w:val="20"/>
                <w:color w:val="auto"/>
              </w:rPr>
            </w:pPr>
            <w:r>
              <w:rPr>
                <w:rFonts w:ascii="Times New Roman" w:cs="Times New Roman" w:eastAsia="Times New Roman" w:hAnsi="Times New Roman"/>
                <w:sz w:val="16"/>
                <w:szCs w:val="16"/>
                <w:color w:val="auto"/>
              </w:rPr>
              <w:t>Total vacation ownership</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3"/>
                <w:szCs w:val="13"/>
                <w:color w:val="auto"/>
              </w:rPr>
            </w:pP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1,118</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receivable</w:t>
            </w:r>
          </w:p>
        </w:tc>
        <w:tc>
          <w:tcPr>
            <w:tcW w:w="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gridSpan w:val="3"/>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Legacy-ILG and Legacy-Welk acquired vacation ownership notes receivable, before reserves, by brand and FICO score.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14"/>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Acquired Vacation Ownership Notes Receivable</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3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As of December 31, 2021</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6"/>
              </w:rPr>
              <w:t>700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ind w:left="40"/>
              <w:spacing w:after="0" w:line="152" w:lineRule="exact"/>
              <w:rPr>
                <w:sz w:val="20"/>
                <w:szCs w:val="20"/>
                <w:color w:val="auto"/>
              </w:rPr>
            </w:pPr>
            <w:r>
              <w:rPr>
                <w:rFonts w:ascii="Times New Roman" w:cs="Times New Roman" w:eastAsia="Times New Roman" w:hAnsi="Times New Roman"/>
                <w:sz w:val="16"/>
                <w:szCs w:val="16"/>
                <w:b w:val="1"/>
                <w:bCs w:val="1"/>
                <w:color w:val="auto"/>
              </w:rPr>
              <w:t>600 -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restart"/>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6"/>
              </w:rPr>
              <w:t>&lt; 600</w:t>
            </w:r>
          </w:p>
        </w:tc>
        <w:tc>
          <w:tcPr>
            <w:tcW w:w="120" w:type="dxa"/>
            <w:vAlign w:val="bottom"/>
          </w:tcPr>
          <w:p>
            <w:pPr>
              <w:spacing w:after="0"/>
              <w:rPr>
                <w:sz w:val="13"/>
                <w:szCs w:val="13"/>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 Score</w:t>
            </w:r>
          </w:p>
        </w:tc>
        <w:tc>
          <w:tcPr>
            <w:tcW w:w="14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6"/>
              </w:rPr>
              <w:t>700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ind w:left="40"/>
              <w:spacing w:after="0" w:line="152" w:lineRule="exact"/>
              <w:rPr>
                <w:sz w:val="20"/>
                <w:szCs w:val="20"/>
                <w:color w:val="auto"/>
              </w:rPr>
            </w:pPr>
            <w:r>
              <w:rPr>
                <w:rFonts w:ascii="Times New Roman" w:cs="Times New Roman" w:eastAsia="Times New Roman" w:hAnsi="Times New Roman"/>
                <w:sz w:val="16"/>
                <w:szCs w:val="16"/>
                <w:b w:val="1"/>
                <w:bCs w:val="1"/>
                <w:color w:val="auto"/>
              </w:rPr>
              <w:t>600 -</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6"/>
              </w:rPr>
              <w:t>&lt; 600</w:t>
            </w:r>
          </w:p>
        </w:tc>
        <w:tc>
          <w:tcPr>
            <w:tcW w:w="120" w:type="dxa"/>
            <w:vAlign w:val="bottom"/>
          </w:tcPr>
          <w:p>
            <w:pPr>
              <w:spacing w:after="0"/>
              <w:rPr>
                <w:sz w:val="13"/>
                <w:szCs w:val="13"/>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97"/>
              </w:rPr>
              <w:t>No Score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0"/>
        </w:trPr>
        <w:tc>
          <w:tcPr>
            <w:tcW w:w="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699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699</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Westin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Sheraton</w:t>
            </w:r>
          </w:p>
        </w:tc>
        <w:tc>
          <w:tcPr>
            <w:tcW w:w="12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50"/>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Hyatt</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Welk</w:t>
            </w:r>
          </w:p>
        </w:tc>
        <w:tc>
          <w:tcPr>
            <w:tcW w:w="12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50"/>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The following tables detail the origination year of our Legacy-ILG and Legacy-Welk acquired vacation ownership notes receivable by brand and FICO score as of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gridSpan w:val="14"/>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Acquired Vacation Ownership Notes Receivable 2018 &amp; Prior</w:t>
            </w:r>
          </w:p>
        </w:tc>
      </w:tr>
      <w:tr>
        <w:trPr>
          <w:trHeight w:val="205"/>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Westin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Sheraton</w:t>
            </w:r>
          </w:p>
        </w:tc>
        <w:tc>
          <w:tcPr>
            <w:tcW w:w="20" w:type="dxa"/>
            <w:vAlign w:val="bottom"/>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Hyatt &amp; Other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1"/>
        </w:trPr>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2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r>
      <w:tr>
        <w:trPr>
          <w:trHeight w:val="242"/>
        </w:trPr>
        <w:tc>
          <w:tcPr>
            <w:tcW w:w="2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457"/>
        </w:trPr>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6"/>
                <w:szCs w:val="16"/>
                <w:b w:val="1"/>
                <w:bCs w:val="1"/>
                <w:color w:val="auto"/>
                <w:w w:val="98"/>
              </w:rPr>
              <w:t>Acquired Vacation Ownership Notes Receivable - Welk</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05"/>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7"/>
              </w:rPr>
              <w:t>2018 &amp; Prior</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w:t>
            </w:r>
          </w:p>
        </w:tc>
      </w:tr>
      <w:tr>
        <w:trPr>
          <w:trHeight w:val="25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2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r>
      <w:tr>
        <w:trPr>
          <w:trHeight w:val="25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24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r>
      <w:tr>
        <w:trPr>
          <w:trHeight w:val="242"/>
        </w:trPr>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Legacy-ILG and Legacy-Welk originated vacation ownership notes receivable, before reserves, by brand and FICO score.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20" w:type="dxa"/>
            <w:vAlign w:val="bottom"/>
            <w:gridSpan w:val="14"/>
          </w:tcPr>
          <w:p>
            <w:pPr>
              <w:jc w:val="center"/>
              <w:ind w:right="2920"/>
              <w:spacing w:after="0"/>
              <w:rPr>
                <w:sz w:val="20"/>
                <w:szCs w:val="20"/>
                <w:color w:val="auto"/>
              </w:rPr>
            </w:pPr>
            <w:r>
              <w:rPr>
                <w:rFonts w:ascii="Times New Roman" w:cs="Times New Roman" w:eastAsia="Times New Roman" w:hAnsi="Times New Roman"/>
                <w:sz w:val="16"/>
                <w:szCs w:val="16"/>
                <w:b w:val="1"/>
                <w:bCs w:val="1"/>
                <w:color w:val="auto"/>
                <w:w w:val="98"/>
              </w:rPr>
              <w:t>Originated Vacation Ownership Notes Receivable as of June 30, 2022</w:t>
            </w:r>
          </w:p>
        </w:tc>
      </w:tr>
      <w:tr>
        <w:trPr>
          <w:trHeight w:val="20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700 +</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6"/>
              </w:rPr>
              <w:t>&lt; 600</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 Score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tcPr>
          <w:p>
            <w:pPr>
              <w:spacing w:after="0"/>
              <w:rPr>
                <w:sz w:val="17"/>
                <w:szCs w:val="17"/>
                <w:color w:val="auto"/>
              </w:rPr>
            </w:pPr>
          </w:p>
        </w:tc>
      </w:tr>
      <w:tr>
        <w:trPr>
          <w:trHeight w:val="231"/>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Westin</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w:t>
            </w:r>
          </w:p>
        </w:tc>
        <w:tc>
          <w:tcPr>
            <w:tcW w:w="2700" w:type="dxa"/>
            <w:vAlign w:val="bottom"/>
          </w:tcPr>
          <w:p>
            <w:pPr>
              <w:spacing w:after="0"/>
              <w:rPr>
                <w:sz w:val="20"/>
                <w:szCs w:val="20"/>
                <w:color w:val="auto"/>
              </w:rPr>
            </w:pPr>
          </w:p>
        </w:tc>
      </w:tr>
      <w:tr>
        <w:trPr>
          <w:trHeight w:val="25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Sheraton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311</w:t>
            </w:r>
          </w:p>
        </w:tc>
        <w:tc>
          <w:tcPr>
            <w:tcW w:w="2700" w:type="dxa"/>
            <w:vAlign w:val="bottom"/>
          </w:tcPr>
          <w:p>
            <w:pPr>
              <w:spacing w:after="0"/>
              <w:rPr>
                <w:sz w:val="21"/>
                <w:szCs w:val="21"/>
                <w:color w:val="auto"/>
              </w:rPr>
            </w:pPr>
          </w:p>
        </w:tc>
      </w:tr>
      <w:tr>
        <w:trPr>
          <w:trHeight w:val="25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Hyatt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c>
          <w:tcPr>
            <w:tcW w:w="2700" w:type="dxa"/>
            <w:vAlign w:val="bottom"/>
          </w:tcPr>
          <w:p>
            <w:pPr>
              <w:spacing w:after="0"/>
              <w:rPr>
                <w:sz w:val="21"/>
                <w:szCs w:val="21"/>
                <w:color w:val="auto"/>
              </w:rPr>
            </w:pPr>
          </w:p>
        </w:tc>
      </w:tr>
      <w:tr>
        <w:trPr>
          <w:trHeight w:val="250"/>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Welk</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w:t>
            </w:r>
          </w:p>
        </w:tc>
        <w:tc>
          <w:tcPr>
            <w:tcW w:w="2700" w:type="dxa"/>
            <w:vAlign w:val="bottom"/>
          </w:tcPr>
          <w:p>
            <w:pPr>
              <w:spacing w:after="0"/>
              <w:rPr>
                <w:sz w:val="21"/>
                <w:szCs w:val="21"/>
                <w:color w:val="auto"/>
              </w:rPr>
            </w:pPr>
          </w:p>
        </w:tc>
      </w:tr>
      <w:tr>
        <w:trPr>
          <w:trHeight w:val="242"/>
        </w:trPr>
        <w:tc>
          <w:tcPr>
            <w:tcW w:w="2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770</w:t>
            </w:r>
          </w:p>
        </w:tc>
        <w:tc>
          <w:tcPr>
            <w:tcW w:w="2700" w:type="dxa"/>
            <w:vAlign w:val="bottom"/>
          </w:tcPr>
          <w:p>
            <w:pPr>
              <w:spacing w:after="0"/>
              <w:rPr>
                <w:sz w:val="20"/>
                <w:szCs w:val="20"/>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05"/>
        </w:trPr>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20" w:type="dxa"/>
            <w:vAlign w:val="bottom"/>
            <w:gridSpan w:val="14"/>
          </w:tcPr>
          <w:p>
            <w:pPr>
              <w:jc w:val="center"/>
              <w:ind w:right="2920"/>
              <w:spacing w:after="0"/>
              <w:rPr>
                <w:sz w:val="20"/>
                <w:szCs w:val="20"/>
                <w:color w:val="auto"/>
              </w:rPr>
            </w:pPr>
            <w:r>
              <w:rPr>
                <w:rFonts w:ascii="Times New Roman" w:cs="Times New Roman" w:eastAsia="Times New Roman" w:hAnsi="Times New Roman"/>
                <w:sz w:val="16"/>
                <w:szCs w:val="16"/>
                <w:b w:val="1"/>
                <w:bCs w:val="1"/>
                <w:color w:val="auto"/>
                <w:w w:val="98"/>
              </w:rPr>
              <w:t>Originated Vacation Ownership Notes Receivable as of December 31, 2021</w:t>
            </w:r>
          </w:p>
        </w:tc>
      </w:tr>
      <w:tr>
        <w:trPr>
          <w:trHeight w:val="20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700 +</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600 - 699</w:t>
            </w: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6"/>
              </w:rPr>
              <w:t>&lt; 600</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 Score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tcPr>
          <w:p>
            <w:pPr>
              <w:spacing w:after="0"/>
              <w:rPr>
                <w:sz w:val="17"/>
                <w:szCs w:val="17"/>
                <w:color w:val="auto"/>
              </w:rPr>
            </w:pPr>
          </w:p>
        </w:tc>
      </w:tr>
      <w:tr>
        <w:trPr>
          <w:trHeight w:val="231"/>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Westin</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w:t>
            </w:r>
          </w:p>
        </w:tc>
        <w:tc>
          <w:tcPr>
            <w:tcW w:w="2700" w:type="dxa"/>
            <w:vAlign w:val="bottom"/>
          </w:tcPr>
          <w:p>
            <w:pPr>
              <w:spacing w:after="0"/>
              <w:rPr>
                <w:sz w:val="20"/>
                <w:szCs w:val="20"/>
                <w:color w:val="auto"/>
              </w:rPr>
            </w:pPr>
          </w:p>
        </w:tc>
      </w:tr>
      <w:tr>
        <w:trPr>
          <w:trHeight w:val="25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Sheraton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296</w:t>
            </w:r>
          </w:p>
        </w:tc>
        <w:tc>
          <w:tcPr>
            <w:tcW w:w="2700" w:type="dxa"/>
            <w:vAlign w:val="bottom"/>
          </w:tcPr>
          <w:p>
            <w:pPr>
              <w:spacing w:after="0"/>
              <w:rPr>
                <w:sz w:val="21"/>
                <w:szCs w:val="21"/>
                <w:color w:val="auto"/>
              </w:rPr>
            </w:pPr>
          </w:p>
        </w:tc>
      </w:tr>
      <w:tr>
        <w:trPr>
          <w:trHeight w:val="25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Hyatt</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2700" w:type="dxa"/>
            <w:vAlign w:val="bottom"/>
          </w:tcPr>
          <w:p>
            <w:pPr>
              <w:spacing w:after="0"/>
              <w:rPr>
                <w:sz w:val="21"/>
                <w:szCs w:val="21"/>
                <w:color w:val="auto"/>
              </w:rPr>
            </w:pPr>
          </w:p>
        </w:tc>
      </w:tr>
      <w:tr>
        <w:trPr>
          <w:trHeight w:val="250"/>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Welk</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94</w:t>
            </w:r>
          </w:p>
        </w:tc>
        <w:tc>
          <w:tcPr>
            <w:tcW w:w="2700" w:type="dxa"/>
            <w:vAlign w:val="bottom"/>
          </w:tcPr>
          <w:p>
            <w:pPr>
              <w:spacing w:after="0"/>
              <w:rPr>
                <w:sz w:val="21"/>
                <w:szCs w:val="21"/>
                <w:color w:val="auto"/>
              </w:rPr>
            </w:pPr>
          </w:p>
        </w:tc>
      </w:tr>
      <w:tr>
        <w:trPr>
          <w:trHeight w:val="242"/>
        </w:trPr>
        <w:tc>
          <w:tcPr>
            <w:tcW w:w="2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674</w:t>
            </w:r>
          </w:p>
        </w:tc>
        <w:tc>
          <w:tcPr>
            <w:tcW w:w="2700" w:type="dxa"/>
            <w:vAlign w:val="bottom"/>
          </w:tcPr>
          <w:p>
            <w:pPr>
              <w:spacing w:after="0"/>
              <w:rPr>
                <w:sz w:val="20"/>
                <w:szCs w:val="20"/>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538"/>
        </w:trPr>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54"/>
        </w:trPr>
        <w:tc>
          <w:tcPr>
            <w:tcW w:w="2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The following tables detail the origination year of our Legacy-ILG and Legacy-Welk originated vacation ownership notes receivable by brand and FICO score as of June 30,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1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Originated Vacation Ownership Notes Receivable - Westin</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r>
      <w:tr>
        <w:trPr>
          <w:trHeight w:val="205"/>
        </w:trPr>
        <w:tc>
          <w:tcPr>
            <w:tcW w:w="1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tcPr>
          <w:p>
            <w:pPr>
              <w:spacing w:after="0"/>
              <w:rPr>
                <w:sz w:val="17"/>
                <w:szCs w:val="17"/>
                <w:color w:val="auto"/>
              </w:rPr>
            </w:pPr>
          </w:p>
        </w:tc>
      </w:tr>
      <w:tr>
        <w:trPr>
          <w:trHeight w:val="23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4"/>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w:t>
            </w:r>
          </w:p>
        </w:tc>
        <w:tc>
          <w:tcPr>
            <w:tcW w:w="2700" w:type="dxa"/>
            <w:vAlign w:val="bottom"/>
          </w:tcPr>
          <w:p>
            <w:pPr>
              <w:spacing w:after="0"/>
              <w:rPr>
                <w:sz w:val="20"/>
                <w:szCs w:val="20"/>
                <w:color w:val="auto"/>
              </w:rPr>
            </w:pPr>
          </w:p>
        </w:tc>
      </w:tr>
      <w:tr>
        <w:trPr>
          <w:trHeight w:val="25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w:t>
            </w:r>
          </w:p>
        </w:tc>
        <w:tc>
          <w:tcPr>
            <w:tcW w:w="2700" w:type="dxa"/>
            <w:vAlign w:val="bottom"/>
          </w:tcPr>
          <w:p>
            <w:pPr>
              <w:spacing w:after="0"/>
              <w:rPr>
                <w:sz w:val="21"/>
                <w:szCs w:val="21"/>
                <w:color w:val="auto"/>
              </w:rPr>
            </w:pPr>
          </w:p>
        </w:tc>
      </w:tr>
      <w:tr>
        <w:trPr>
          <w:trHeight w:val="250"/>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2700" w:type="dxa"/>
            <w:vAlign w:val="bottom"/>
          </w:tcPr>
          <w:p>
            <w:pPr>
              <w:spacing w:after="0"/>
              <w:rPr>
                <w:sz w:val="21"/>
                <w:szCs w:val="21"/>
                <w:color w:val="auto"/>
              </w:rPr>
            </w:pPr>
          </w:p>
        </w:tc>
      </w:tr>
      <w:tr>
        <w:trPr>
          <w:trHeight w:val="250"/>
        </w:trPr>
        <w:tc>
          <w:tcPr>
            <w:tcW w:w="1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w:t>
            </w:r>
          </w:p>
        </w:tc>
        <w:tc>
          <w:tcPr>
            <w:tcW w:w="2700" w:type="dxa"/>
            <w:vAlign w:val="bottom"/>
          </w:tcPr>
          <w:p>
            <w:pPr>
              <w:spacing w:after="0"/>
              <w:rPr>
                <w:sz w:val="21"/>
                <w:szCs w:val="21"/>
                <w:color w:val="auto"/>
              </w:rPr>
            </w:pPr>
          </w:p>
        </w:tc>
      </w:tr>
      <w:tr>
        <w:trPr>
          <w:trHeight w:val="242"/>
        </w:trPr>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w:t>
            </w:r>
          </w:p>
        </w:tc>
        <w:tc>
          <w:tcPr>
            <w:tcW w:w="2700" w:type="dxa"/>
            <w:vAlign w:val="bottom"/>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05"/>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1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Originated Vacation Ownership Notes Receivable - Sheraton</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00" w:type="dxa"/>
            <w:vAlign w:val="bottom"/>
          </w:tcPr>
          <w:p>
            <w:pPr>
              <w:spacing w:after="0"/>
              <w:rPr>
                <w:sz w:val="24"/>
                <w:szCs w:val="24"/>
                <w:color w:val="auto"/>
              </w:rPr>
            </w:pPr>
          </w:p>
        </w:tc>
      </w:tr>
      <w:tr>
        <w:trPr>
          <w:trHeight w:val="205"/>
        </w:trPr>
        <w:tc>
          <w:tcPr>
            <w:tcW w:w="1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tcPr>
          <w:p>
            <w:pPr>
              <w:spacing w:after="0"/>
              <w:rPr>
                <w:sz w:val="17"/>
                <w:szCs w:val="17"/>
                <w:color w:val="auto"/>
              </w:rPr>
            </w:pPr>
          </w:p>
        </w:tc>
      </w:tr>
      <w:tr>
        <w:trPr>
          <w:trHeight w:val="23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4"/>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w:t>
            </w:r>
          </w:p>
        </w:tc>
        <w:tc>
          <w:tcPr>
            <w:tcW w:w="2700" w:type="dxa"/>
            <w:vAlign w:val="bottom"/>
          </w:tcPr>
          <w:p>
            <w:pPr>
              <w:spacing w:after="0"/>
              <w:rPr>
                <w:sz w:val="20"/>
                <w:szCs w:val="20"/>
                <w:color w:val="auto"/>
              </w:rPr>
            </w:pPr>
          </w:p>
        </w:tc>
      </w:tr>
      <w:tr>
        <w:trPr>
          <w:trHeight w:val="25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104</w:t>
            </w:r>
          </w:p>
        </w:tc>
        <w:tc>
          <w:tcPr>
            <w:tcW w:w="2700" w:type="dxa"/>
            <w:vAlign w:val="bottom"/>
          </w:tcPr>
          <w:p>
            <w:pPr>
              <w:spacing w:after="0"/>
              <w:rPr>
                <w:sz w:val="21"/>
                <w:szCs w:val="21"/>
                <w:color w:val="auto"/>
              </w:rPr>
            </w:pPr>
          </w:p>
        </w:tc>
      </w:tr>
      <w:tr>
        <w:trPr>
          <w:trHeight w:val="250"/>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2700" w:type="dxa"/>
            <w:vAlign w:val="bottom"/>
          </w:tcPr>
          <w:p>
            <w:pPr>
              <w:spacing w:after="0"/>
              <w:rPr>
                <w:sz w:val="21"/>
                <w:szCs w:val="21"/>
                <w:color w:val="auto"/>
              </w:rPr>
            </w:pPr>
          </w:p>
        </w:tc>
      </w:tr>
      <w:tr>
        <w:trPr>
          <w:trHeight w:val="250"/>
        </w:trPr>
        <w:tc>
          <w:tcPr>
            <w:tcW w:w="1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2700" w:type="dxa"/>
            <w:vAlign w:val="bottom"/>
          </w:tcPr>
          <w:p>
            <w:pPr>
              <w:spacing w:after="0"/>
              <w:rPr>
                <w:sz w:val="21"/>
                <w:szCs w:val="21"/>
                <w:color w:val="auto"/>
              </w:rPr>
            </w:pPr>
          </w:p>
        </w:tc>
      </w:tr>
      <w:tr>
        <w:trPr>
          <w:trHeight w:val="242"/>
        </w:trPr>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3"/>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311</w:t>
            </w:r>
          </w:p>
        </w:tc>
        <w:tc>
          <w:tcPr>
            <w:tcW w:w="2700" w:type="dxa"/>
            <w:vAlign w:val="bottom"/>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05"/>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1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Originated Vacation Ownership Notes Receivable - Hyatt</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00" w:type="dxa"/>
            <w:vAlign w:val="bottom"/>
          </w:tcPr>
          <w:p>
            <w:pPr>
              <w:spacing w:after="0"/>
              <w:rPr>
                <w:sz w:val="24"/>
                <w:szCs w:val="24"/>
                <w:color w:val="auto"/>
              </w:rPr>
            </w:pPr>
          </w:p>
        </w:tc>
      </w:tr>
      <w:tr>
        <w:trPr>
          <w:trHeight w:val="205"/>
        </w:trPr>
        <w:tc>
          <w:tcPr>
            <w:tcW w:w="1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tcPr>
          <w:p>
            <w:pPr>
              <w:spacing w:after="0"/>
              <w:rPr>
                <w:sz w:val="17"/>
                <w:szCs w:val="17"/>
                <w:color w:val="auto"/>
              </w:rPr>
            </w:pPr>
          </w:p>
        </w:tc>
      </w:tr>
      <w:tr>
        <w:trPr>
          <w:trHeight w:val="23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4"/>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2700" w:type="dxa"/>
            <w:vAlign w:val="bottom"/>
          </w:tcPr>
          <w:p>
            <w:pPr>
              <w:spacing w:after="0"/>
              <w:rPr>
                <w:sz w:val="20"/>
                <w:szCs w:val="20"/>
                <w:color w:val="auto"/>
              </w:rPr>
            </w:pPr>
          </w:p>
        </w:tc>
      </w:tr>
      <w:tr>
        <w:trPr>
          <w:trHeight w:val="25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2700" w:type="dxa"/>
            <w:vAlign w:val="bottom"/>
          </w:tcPr>
          <w:p>
            <w:pPr>
              <w:spacing w:after="0"/>
              <w:rPr>
                <w:sz w:val="21"/>
                <w:szCs w:val="21"/>
                <w:color w:val="auto"/>
              </w:rPr>
            </w:pPr>
          </w:p>
        </w:tc>
      </w:tr>
      <w:tr>
        <w:trPr>
          <w:trHeight w:val="250"/>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2700" w:type="dxa"/>
            <w:vAlign w:val="bottom"/>
          </w:tcPr>
          <w:p>
            <w:pPr>
              <w:spacing w:after="0"/>
              <w:rPr>
                <w:sz w:val="21"/>
                <w:szCs w:val="2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2"/>
          </w:tcPr>
          <w:p>
            <w:pPr>
              <w:jc w:val="right"/>
              <w:ind w:right="2800"/>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w:t>
            </w:r>
          </w:p>
        </w:tc>
        <w:tc>
          <w:tcPr>
            <w:tcW w:w="2700" w:type="dxa"/>
            <w:vAlign w:val="bottom"/>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91"/>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1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Originated Vacation Ownership Notes Receivable - Welk</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00" w:type="dxa"/>
            <w:vAlign w:val="bottom"/>
          </w:tcPr>
          <w:p>
            <w:pPr>
              <w:spacing w:after="0"/>
              <w:rPr>
                <w:sz w:val="24"/>
                <w:szCs w:val="24"/>
                <w:color w:val="auto"/>
              </w:rPr>
            </w:pPr>
          </w:p>
        </w:tc>
      </w:tr>
      <w:tr>
        <w:trPr>
          <w:trHeight w:val="205"/>
        </w:trPr>
        <w:tc>
          <w:tcPr>
            <w:tcW w:w="1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700" w:type="dxa"/>
            <w:vAlign w:val="bottom"/>
          </w:tcPr>
          <w:p>
            <w:pPr>
              <w:spacing w:after="0"/>
              <w:rPr>
                <w:sz w:val="17"/>
                <w:szCs w:val="17"/>
                <w:color w:val="auto"/>
              </w:rPr>
            </w:pPr>
          </w:p>
        </w:tc>
      </w:tr>
      <w:tr>
        <w:trPr>
          <w:trHeight w:val="23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700</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gridSpan w:val="4"/>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w:t>
            </w:r>
          </w:p>
        </w:tc>
        <w:tc>
          <w:tcPr>
            <w:tcW w:w="2700" w:type="dxa"/>
            <w:vAlign w:val="bottom"/>
          </w:tcPr>
          <w:p>
            <w:pPr>
              <w:spacing w:after="0"/>
              <w:rPr>
                <w:sz w:val="20"/>
                <w:szCs w:val="20"/>
                <w:color w:val="auto"/>
              </w:rPr>
            </w:pPr>
          </w:p>
        </w:tc>
      </w:tr>
      <w:tr>
        <w:trPr>
          <w:trHeight w:val="25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600</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- 699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w:t>
            </w:r>
          </w:p>
        </w:tc>
        <w:tc>
          <w:tcPr>
            <w:tcW w:w="2700" w:type="dxa"/>
            <w:vAlign w:val="bottom"/>
          </w:tcPr>
          <w:p>
            <w:pPr>
              <w:spacing w:after="0"/>
              <w:rPr>
                <w:sz w:val="21"/>
                <w:szCs w:val="21"/>
                <w:color w:val="auto"/>
              </w:rPr>
            </w:pPr>
          </w:p>
        </w:tc>
      </w:tr>
      <w:tr>
        <w:trPr>
          <w:trHeight w:val="250"/>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&lt; 600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2700" w:type="dxa"/>
            <w:vAlign w:val="bottom"/>
          </w:tcPr>
          <w:p>
            <w:pPr>
              <w:spacing w:after="0"/>
              <w:rPr>
                <w:sz w:val="21"/>
                <w:szCs w:val="2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 Score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2700" w:type="dxa"/>
            <w:vAlign w:val="bottom"/>
          </w:tcPr>
          <w:p>
            <w:pPr>
              <w:spacing w:after="0"/>
              <w:rPr>
                <w:sz w:val="21"/>
                <w:szCs w:val="21"/>
                <w:color w:val="auto"/>
              </w:rPr>
            </w:pPr>
          </w:p>
        </w:tc>
      </w:tr>
      <w:tr>
        <w:trPr>
          <w:trHeight w:val="242"/>
        </w:trPr>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w:t>
            </w:r>
          </w:p>
        </w:tc>
        <w:tc>
          <w:tcPr>
            <w:tcW w:w="2700" w:type="dxa"/>
            <w:vAlign w:val="bottom"/>
          </w:tcPr>
          <w:p>
            <w:pPr>
              <w:spacing w:after="0"/>
              <w:rPr>
                <w:sz w:val="20"/>
                <w:szCs w:val="20"/>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538"/>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54"/>
        </w:trPr>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hanging="377"/>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0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200" w:type="dxa"/>
            <w:vAlign w:val="bottom"/>
          </w:tcPr>
          <w:p>
            <w:pPr>
              <w:spacing w:after="0"/>
              <w:rPr>
                <w:sz w:val="18"/>
                <w:szCs w:val="18"/>
                <w:color w:val="auto"/>
              </w:rPr>
            </w:pPr>
          </w:p>
        </w:tc>
        <w:tc>
          <w:tcPr>
            <w:tcW w:w="2340" w:type="dxa"/>
            <w:vAlign w:val="bottom"/>
            <w:gridSpan w:val="4"/>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At December 31, 2021</w:t>
            </w:r>
          </w:p>
        </w:tc>
      </w:tr>
      <w:tr>
        <w:trPr>
          <w:trHeight w:val="153"/>
        </w:trPr>
        <w:tc>
          <w:tcPr>
            <w:tcW w:w="4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00"/>
              <w:spacing w:after="0" w:line="154"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174"/>
              <w:spacing w:after="0" w:line="154"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320"/>
              <w:spacing w:after="0" w:line="154"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4"/>
              <w:spacing w:after="0" w:line="154"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31"/>
        </w:trPr>
        <w:tc>
          <w:tcPr>
            <w:tcW w:w="3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 notes receivable,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2,102</w:t>
            </w:r>
          </w:p>
        </w:tc>
      </w:tr>
      <w:tr>
        <w:trPr>
          <w:trHeight w:val="250"/>
        </w:trPr>
        <w:tc>
          <w:tcPr>
            <w:tcW w:w="3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76</w:t>
            </w:r>
          </w:p>
        </w:tc>
      </w:tr>
      <w:tr>
        <w:trPr>
          <w:trHeight w:val="242"/>
        </w:trPr>
        <w:tc>
          <w:tcPr>
            <w:tcW w:w="3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2,178</w:t>
            </w:r>
          </w:p>
        </w:tc>
      </w:tr>
      <w:tr>
        <w:trPr>
          <w:trHeight w:val="20"/>
        </w:trPr>
        <w:tc>
          <w:tcPr>
            <w:tcW w:w="33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63"/>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r>
      <w:tr>
        <w:trPr>
          <w:trHeight w:val="25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5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net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5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5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5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net</w:t>
            </w:r>
            <w:r>
              <w:rPr>
                <w:rFonts w:ascii="Times New Roman" w:cs="Times New Roman" w:eastAsia="Times New Roman" w:hAnsi="Times New Roman"/>
                <w:sz w:val="10"/>
                <w:szCs w:val="10"/>
                <w:color w:val="auto"/>
              </w:rPr>
              <w:t>(1)</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net</w:t>
            </w:r>
            <w:r>
              <w:rPr>
                <w:rFonts w:ascii="Times New Roman" w:cs="Times New Roman" w:eastAsia="Times New Roman" w:hAnsi="Times New Roman"/>
                <w:sz w:val="10"/>
                <w:szCs w:val="10"/>
                <w:color w:val="auto"/>
              </w:rPr>
              <w:t>(1)</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5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Non-interest bearing note payable,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33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6" w:lineRule="exact"/>
        <w:rPr>
          <w:sz w:val="20"/>
          <w:szCs w:val="20"/>
          <w:color w:val="auto"/>
        </w:rPr>
      </w:pPr>
    </w:p>
    <w:p>
      <w:pPr>
        <w:ind w:left="320" w:right="40" w:hanging="315"/>
        <w:spacing w:after="0" w:line="223" w:lineRule="auto"/>
        <w:tabs>
          <w:tab w:leader="none" w:pos="30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Prior period amounts have not been adjusted to reflect our adoption of ASU 2020-06 under the modified retrospective method. See Footnote 2 “Significant Accounting Policies and Recent Accounting Standards” for information on our adoption of ASU 2020-06.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Vacation Ownership Notes Receivable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180" w:type="dxa"/>
            <w:vAlign w:val="bottom"/>
          </w:tcPr>
          <w:p>
            <w:pPr>
              <w:spacing w:after="0"/>
              <w:rPr>
                <w:sz w:val="18"/>
                <w:szCs w:val="18"/>
                <w:color w:val="auto"/>
              </w:rPr>
            </w:pPr>
          </w:p>
        </w:tc>
        <w:tc>
          <w:tcPr>
            <w:tcW w:w="2320" w:type="dxa"/>
            <w:vAlign w:val="bottom"/>
            <w:gridSpan w:val="4"/>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At December 31, 2021</w:t>
            </w:r>
          </w:p>
        </w:tc>
      </w:tr>
      <w:tr>
        <w:trPr>
          <w:trHeight w:val="153"/>
        </w:trPr>
        <w:tc>
          <w:tcPr>
            <w:tcW w:w="34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00"/>
              <w:spacing w:after="0" w:line="154"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55"/>
              <w:spacing w:after="0" w:line="154"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00"/>
              <w:spacing w:after="0" w:line="154"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6"/>
                <w:szCs w:val="16"/>
                <w:b w:val="1"/>
                <w:bCs w:val="1"/>
                <w:color w:val="auto"/>
              </w:rPr>
              <w:t>Fair</w:t>
            </w:r>
          </w:p>
        </w:tc>
      </w:tr>
      <w:tr>
        <w:trPr>
          <w:trHeight w:val="21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31"/>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 notes receivable, net</w:t>
            </w:r>
          </w:p>
        </w:tc>
        <w:tc>
          <w:tcPr>
            <w:tcW w:w="1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r>
      <w:tr>
        <w:trPr>
          <w:trHeight w:val="250"/>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Securitized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1,712</w:t>
            </w:r>
          </w:p>
        </w:tc>
      </w:tr>
      <w:tr>
        <w:trPr>
          <w:trHeight w:val="263"/>
        </w:trPr>
        <w:tc>
          <w:tcPr>
            <w:tcW w:w="34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0"/>
        </w:trPr>
        <w:tc>
          <w:tcPr>
            <w:tcW w:w="3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Eligible for securitization</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104</w:t>
            </w:r>
          </w:p>
        </w:tc>
      </w:tr>
      <w:tr>
        <w:trPr>
          <w:trHeight w:val="250"/>
        </w:trPr>
        <w:tc>
          <w:tcPr>
            <w:tcW w:w="3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Not eligible for securitization</w:t>
            </w: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3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Non-securitized</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390</w:t>
            </w:r>
          </w:p>
        </w:tc>
      </w:tr>
      <w:tr>
        <w:trPr>
          <w:trHeight w:val="242"/>
        </w:trPr>
        <w:tc>
          <w:tcPr>
            <w:tcW w:w="3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2,102</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78"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w:t>
      </w:r>
    </w:p>
    <w:p>
      <w:pPr>
        <w:spacing w:after="0" w:line="2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securitization if any of the following attributes are present: (1) payments are greater than 30 days past due; (2) the first payment has not been received; or</w:t>
      </w:r>
    </w:p>
    <w:p>
      <w:pPr>
        <w:spacing w:after="0" w:line="44" w:lineRule="exact"/>
        <w:rPr>
          <w:sz w:val="20"/>
          <w:szCs w:val="20"/>
          <w:color w:val="auto"/>
        </w:rPr>
      </w:pPr>
    </w:p>
    <w:p>
      <w:pPr>
        <w:ind w:right="20" w:firstLine="5"/>
        <w:spacing w:after="0" w:line="246" w:lineRule="auto"/>
        <w:tabs>
          <w:tab w:leader="none" w:pos="2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1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Other assets include $71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Securitized Debt</w:t>
      </w:r>
    </w:p>
    <w:p>
      <w:pPr>
        <w:spacing w:after="0" w:line="11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3"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color w:val="auto"/>
        </w:rPr>
        <w:t>We estimate the fair value of our 2025 Notes, 2028 Notes, and 2029 Notes (each as defined in Footnote 13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1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estimate the fair value of our Term Loan (as defined in Footnote 13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1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estimate the fair value of the 2026 Convertible Notes (as defined in Footnote 13 “Debt”) using quoted market prices as of the last trading day for the quarter; however these notes have only a limited trading history and volume, and as such this fair value estimate is not necessarily indicative of the value at which the 2026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2026 Convertible notes.</w:t>
      </w:r>
    </w:p>
    <w:p>
      <w:pPr>
        <w:spacing w:after="0" w:line="80"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color w:val="auto"/>
        </w:rPr>
        <w:t>Prior to June 2022, we estimated the fair value of the 2022 Convertible Notes (as defined in Footnote 13 “Debt”) using the same approach as the aforementioned 2026 Convertible Notes. In June 2022, the fair value of the 2022 Convertible Notes was calculated using the “with and without” approach (Level 2) based upon comparable debt yields.</w:t>
      </w: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Bearing Note Payable</w:t>
      </w:r>
    </w:p>
    <w:p>
      <w:pPr>
        <w:spacing w:after="0" w:line="11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carrying value of our non-interest bearing note payable issued in connection with the acquisition of vacation ownership units located in Bali, Indonesia approximates fair value, because the imputed interest rate used to discount this note payable is consistent with current market rates. We concluded that this fair value measurement should be categorized within Level 3.</w:t>
      </w:r>
    </w:p>
    <w:p>
      <w:pPr>
        <w:spacing w:after="0" w:line="257" w:lineRule="exact"/>
        <w:rPr>
          <w:sz w:val="20"/>
          <w:szCs w:val="20"/>
          <w:color w:val="auto"/>
        </w:rPr>
      </w:pPr>
    </w:p>
    <w:p>
      <w:pPr>
        <w:ind w:left="400" w:hanging="377"/>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0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Basic earnings or loss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or loss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shareholders by application of the treasury stock method using average market prices during the period.</w:t>
      </w:r>
    </w:p>
    <w:p>
      <w:pPr>
        <w:spacing w:after="0" w:line="13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We adopted ASU 2020-06 on January 1, 2022 using the modified retrospective method. ASU 2020-06 is applicable to our convertible notes outstanding as of adoption and requires us to calculate the impact of our convertible notes on diluted earnings per share using the “if-converted” method, regardless of our intent to settle or partially settle the debt in cash. Under the “if-converted” method, shares issuable upon conversion of our convertible notes are assumed to be converted into common stock at the beginning of the period, to the extent dilutive. We issued notice of our intent to settle the 2022 Convertible Notes in cash, which became irrevocable on June 15, 2022, and as a result, we suspended the use of the “if-converted” method for the 2022 Convertible Notes at that time, as there was no longer a share settlement option. Earnings per share for the three and six months ended June 30, 2021 have not been retrospectively restated and continue to be reported under the accounting standards in effect for that period.</w:t>
      </w:r>
    </w:p>
    <w:p>
      <w:pPr>
        <w:spacing w:after="0" w:line="13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The shares issuable 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either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convertible notes are considered to be anti-dilutive and do not impact our calculation of diluted earnings per share attributable to common shareholders for any periods presented herein. See Footnote 13 “Debt” for further information on our convertible notes.</w:t>
      </w:r>
    </w:p>
    <w:p>
      <w:pPr>
        <w:spacing w:after="0" w:line="13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The table below illustrates the reconciliation of the earnings or loss and number of shares used in our calculation of basic earnings or loss per share attributable to common shareholders.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4"/>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700" w:type="dxa"/>
            <w:vAlign w:val="bottom"/>
          </w:tcPr>
          <w:p>
            <w:pPr>
              <w:spacing w:after="0"/>
              <w:rPr>
                <w:sz w:val="17"/>
                <w:szCs w:val="17"/>
                <w:color w:val="auto"/>
              </w:rPr>
            </w:pPr>
          </w:p>
        </w:tc>
      </w:tr>
      <w:tr>
        <w:trPr>
          <w:trHeight w:val="244"/>
        </w:trPr>
        <w:tc>
          <w:tcPr>
            <w:tcW w:w="72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Computation of Basic Earnings (Loss) Per Share Attributable to Common Shareholders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700" w:type="dxa"/>
            <w:vAlign w:val="bottom"/>
          </w:tcPr>
          <w:p>
            <w:pPr>
              <w:spacing w:after="0"/>
              <w:rPr>
                <w:sz w:val="21"/>
                <w:szCs w:val="21"/>
                <w:color w:val="auto"/>
              </w:rPr>
            </w:pPr>
          </w:p>
        </w:tc>
      </w:tr>
      <w:tr>
        <w:trPr>
          <w:trHeight w:val="171"/>
        </w:trPr>
        <w:tc>
          <w:tcPr>
            <w:tcW w:w="30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w w:val="98"/>
              </w:rPr>
              <w:t>Net income (loss) attributable to common</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23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700" w:type="dxa"/>
            <w:vAlign w:val="bottom"/>
          </w:tcPr>
          <w:p>
            <w:pPr>
              <w:spacing w:after="0"/>
              <w:rPr>
                <w:sz w:val="20"/>
                <w:szCs w:val="20"/>
                <w:color w:val="auto"/>
              </w:rPr>
            </w:pPr>
          </w:p>
        </w:tc>
      </w:tr>
      <w:tr>
        <w:trPr>
          <w:trHeight w:val="25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for basic earnings (loss) per share</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42.1</w:t>
            </w:r>
          </w:p>
        </w:tc>
        <w:tc>
          <w:tcPr>
            <w:tcW w:w="2700" w:type="dxa"/>
            <w:vAlign w:val="bottom"/>
          </w:tcPr>
          <w:p>
            <w:pPr>
              <w:spacing w:after="0"/>
              <w:rPr>
                <w:sz w:val="21"/>
                <w:szCs w:val="21"/>
                <w:color w:val="auto"/>
              </w:rPr>
            </w:pPr>
          </w:p>
        </w:tc>
      </w:tr>
      <w:tr>
        <w:trPr>
          <w:trHeight w:val="21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700" w:type="dxa"/>
            <w:vAlign w:val="bottom"/>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558"/>
        </w:trPr>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24</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54"/>
        </w:trPr>
        <w:tc>
          <w:tcPr>
            <w:tcW w:w="3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720"/>
        <w:spacing w:after="0" w:line="268" w:lineRule="auto"/>
        <w:rPr>
          <w:sz w:val="20"/>
          <w:szCs w:val="20"/>
          <w:color w:val="auto"/>
        </w:rPr>
      </w:pPr>
      <w:r>
        <w:rPr>
          <w:rFonts w:ascii="Times New Roman" w:cs="Times New Roman" w:eastAsia="Times New Roman" w:hAnsi="Times New Roman"/>
          <w:sz w:val="18"/>
          <w:szCs w:val="18"/>
          <w:color w:val="auto"/>
        </w:rPr>
        <w:t>The table below illustrates the reconciliation of the earnings or loss and number of shares used in our calculation of diluted earnings or loss per share attributable to common shareholders.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8"/>
                <w:szCs w:val="18"/>
                <w:color w:val="auto"/>
              </w:rPr>
            </w:pPr>
          </w:p>
        </w:tc>
        <w:tc>
          <w:tcPr>
            <w:tcW w:w="2540" w:type="dxa"/>
            <w:vAlign w:val="bottom"/>
            <w:gridSpan w:val="4"/>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20"/>
              <w:spacing w:after="0" w:line="206" w:lineRule="exact"/>
              <w:rPr>
                <w:sz w:val="20"/>
                <w:szCs w:val="20"/>
                <w:color w:val="auto"/>
              </w:rPr>
            </w:pPr>
            <w:r>
              <w:rPr>
                <w:rFonts w:ascii="Times New Roman" w:cs="Times New Roman" w:eastAsia="Times New Roman" w:hAnsi="Times New Roman"/>
                <w:sz w:val="16"/>
                <w:szCs w:val="16"/>
                <w:b w:val="1"/>
                <w:bCs w:val="1"/>
                <w:color w:val="auto"/>
              </w:rPr>
              <w:t>June 30, 2022</w:t>
            </w:r>
            <w:r>
              <w:rPr>
                <w:rFonts w:ascii="Times New Roman" w:cs="Times New Roman" w:eastAsia="Times New Roman" w:hAnsi="Times New Roman"/>
                <w:sz w:val="20"/>
                <w:szCs w:val="20"/>
                <w:b w:val="1"/>
                <w:bCs w:val="1"/>
                <w:color w:val="auto"/>
                <w:vertAlign w:val="superscript"/>
              </w:rPr>
              <w:t>(1)</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3"/>
              <w:spacing w:after="0" w:line="206" w:lineRule="exact"/>
              <w:rPr>
                <w:sz w:val="20"/>
                <w:szCs w:val="20"/>
                <w:color w:val="auto"/>
              </w:rPr>
            </w:pPr>
            <w:r>
              <w:rPr>
                <w:rFonts w:ascii="Times New Roman" w:cs="Times New Roman" w:eastAsia="Times New Roman" w:hAnsi="Times New Roman"/>
                <w:sz w:val="16"/>
                <w:szCs w:val="16"/>
                <w:b w:val="1"/>
                <w:bCs w:val="1"/>
                <w:color w:val="auto"/>
                <w:w w:val="94"/>
              </w:rPr>
              <w:t>June 30, 2021</w:t>
            </w:r>
            <w:r>
              <w:rPr>
                <w:rFonts w:ascii="Times New Roman" w:cs="Times New Roman" w:eastAsia="Times New Roman" w:hAnsi="Times New Roman"/>
                <w:sz w:val="20"/>
                <w:szCs w:val="20"/>
                <w:b w:val="1"/>
                <w:bCs w:val="1"/>
                <w:color w:val="auto"/>
                <w:w w:val="94"/>
                <w:vertAlign w:val="superscript"/>
              </w:rPr>
              <w:t>(1)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spacing w:after="0" w:line="206" w:lineRule="exact"/>
              <w:rPr>
                <w:sz w:val="20"/>
                <w:szCs w:val="20"/>
                <w:color w:val="auto"/>
              </w:rPr>
            </w:pPr>
            <w:r>
              <w:rPr>
                <w:rFonts w:ascii="Times New Roman" w:cs="Times New Roman" w:eastAsia="Times New Roman" w:hAnsi="Times New Roman"/>
                <w:sz w:val="16"/>
                <w:szCs w:val="16"/>
                <w:b w:val="1"/>
                <w:bCs w:val="1"/>
                <w:color w:val="auto"/>
              </w:rPr>
              <w:t>June 30, 2022</w:t>
            </w:r>
            <w:r>
              <w:rPr>
                <w:rFonts w:ascii="Times New Roman" w:cs="Times New Roman" w:eastAsia="Times New Roman" w:hAnsi="Times New Roman"/>
                <w:sz w:val="20"/>
                <w:szCs w:val="20"/>
                <w:b w:val="1"/>
                <w:bCs w:val="1"/>
                <w:color w:val="auto"/>
                <w:vertAlign w:val="superscript"/>
              </w:rPr>
              <w:t>(1)</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3"/>
              <w:spacing w:after="0" w:line="206" w:lineRule="exact"/>
              <w:rPr>
                <w:sz w:val="20"/>
                <w:szCs w:val="20"/>
                <w:color w:val="auto"/>
              </w:rPr>
            </w:pPr>
            <w:r>
              <w:rPr>
                <w:rFonts w:ascii="Times New Roman" w:cs="Times New Roman" w:eastAsia="Times New Roman" w:hAnsi="Times New Roman"/>
                <w:sz w:val="16"/>
                <w:szCs w:val="16"/>
                <w:b w:val="1"/>
                <w:bCs w:val="1"/>
                <w:color w:val="auto"/>
                <w:w w:val="94"/>
              </w:rPr>
              <w:t>June 30, 2021</w:t>
            </w:r>
            <w:r>
              <w:rPr>
                <w:rFonts w:ascii="Times New Roman" w:cs="Times New Roman" w:eastAsia="Times New Roman" w:hAnsi="Times New Roman"/>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63"/>
        </w:trPr>
        <w:tc>
          <w:tcPr>
            <w:tcW w:w="72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Computation of Diluted Earnings (Loss) Per Share Attributable to Common Shareholders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302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9"/>
        </w:trPr>
        <w:tc>
          <w:tcPr>
            <w:tcW w:w="3020" w:type="dxa"/>
            <w:vAlign w:val="bottom"/>
            <w:shd w:val="clear" w:color="auto" w:fill="CCEEFF"/>
          </w:tcPr>
          <w:p>
            <w:pPr>
              <w:ind w:left="120"/>
              <w:spacing w:after="0" w:line="179" w:lineRule="exact"/>
              <w:rPr>
                <w:sz w:val="20"/>
                <w:szCs w:val="20"/>
                <w:color w:val="auto"/>
              </w:rPr>
            </w:pPr>
            <w:r>
              <w:rPr>
                <w:rFonts w:ascii="Times New Roman" w:cs="Times New Roman" w:eastAsia="Times New Roman" w:hAnsi="Times New Roman"/>
                <w:sz w:val="18"/>
                <w:szCs w:val="18"/>
                <w:color w:val="auto"/>
              </w:rPr>
              <w:t>Add back of interest expense related to</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convertible notes subsequent to the</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adoption of ASU 2020-06, net of tax</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Numerator used to calculate diluted EPS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3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Shares for basic earnings (loss) per share</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50"/>
        </w:trPr>
        <w:tc>
          <w:tcPr>
            <w:tcW w:w="3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shares outstanding</w:t>
            </w:r>
            <w:r>
              <w:rPr>
                <w:rFonts w:ascii="Times New Roman" w:cs="Times New Roman" w:eastAsia="Times New Roman" w:hAnsi="Times New Roman"/>
                <w:sz w:val="10"/>
                <w:szCs w:val="10"/>
                <w:color w:val="auto"/>
              </w:rPr>
              <w:t>(2)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SARs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2022 Convertible Notes ($230 million</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020" w:type="dxa"/>
            <w:vAlign w:val="bottom"/>
          </w:tcPr>
          <w:p>
            <w:pPr>
              <w:ind w:left="240"/>
              <w:spacing w:after="0" w:line="232" w:lineRule="exact"/>
              <w:rPr>
                <w:sz w:val="20"/>
                <w:szCs w:val="20"/>
                <w:color w:val="auto"/>
              </w:rPr>
            </w:pPr>
            <w:r>
              <w:rPr>
                <w:rFonts w:ascii="Times New Roman" w:cs="Times New Roman" w:eastAsia="Times New Roman" w:hAnsi="Times New Roman"/>
                <w:sz w:val="18"/>
                <w:szCs w:val="18"/>
                <w:color w:val="auto"/>
              </w:rPr>
              <w:t>of principal)</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9"/>
        </w:trPr>
        <w:tc>
          <w:tcPr>
            <w:tcW w:w="3020" w:type="dxa"/>
            <w:vAlign w:val="bottom"/>
            <w:shd w:val="clear" w:color="auto" w:fill="CCEEFF"/>
          </w:tcPr>
          <w:p>
            <w:pPr>
              <w:ind w:left="240"/>
              <w:spacing w:after="0" w:line="179" w:lineRule="exact"/>
              <w:rPr>
                <w:sz w:val="20"/>
                <w:szCs w:val="20"/>
                <w:color w:val="auto"/>
              </w:rPr>
            </w:pPr>
            <w:r>
              <w:rPr>
                <w:rFonts w:ascii="Times New Roman" w:cs="Times New Roman" w:eastAsia="Times New Roman" w:hAnsi="Times New Roman"/>
                <w:sz w:val="18"/>
                <w:szCs w:val="18"/>
                <w:color w:val="auto"/>
              </w:rPr>
              <w:t>2026 Convertible Notes ($575 million</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 principal)</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9"/>
        </w:trPr>
        <w:tc>
          <w:tcPr>
            <w:tcW w:w="3020" w:type="dxa"/>
            <w:vAlign w:val="bottom"/>
          </w:tcPr>
          <w:p>
            <w:pPr>
              <w:ind w:left="120"/>
              <w:spacing w:after="0" w:line="159" w:lineRule="exact"/>
              <w:rPr>
                <w:sz w:val="20"/>
                <w:szCs w:val="20"/>
                <w:color w:val="auto"/>
              </w:rPr>
            </w:pPr>
            <w:r>
              <w:rPr>
                <w:rFonts w:ascii="Times New Roman" w:cs="Times New Roman" w:eastAsia="Times New Roman" w:hAnsi="Times New Roman"/>
                <w:sz w:val="18"/>
                <w:szCs w:val="18"/>
                <w:color w:val="auto"/>
              </w:rPr>
              <w:t>Shares for diluted earnings (loss) per</w:t>
            </w: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share</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42"/>
        </w:trPr>
        <w:tc>
          <w:tcPr>
            <w:tcW w:w="3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67" w:lineRule="exact"/>
        <w:rPr>
          <w:sz w:val="20"/>
          <w:szCs w:val="20"/>
          <w:color w:val="auto"/>
        </w:rPr>
      </w:pPr>
    </w:p>
    <w:p>
      <w:pPr>
        <w:ind w:left="320" w:hanging="315"/>
        <w:spacing w:after="0" w:line="242" w:lineRule="auto"/>
        <w:tabs>
          <w:tab w:leader="none" w:pos="3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computations of diluted earnings per share attributable to common shareholders exclude approximately 293,000 and 299,000 shares of common stock, the maximum number of shares issuable as of June 30, 2022 and June 30, 2021, respectively, upon the vesting of certain performance-based awards, because the performance conditions required to be met for the shares subject to such awards to vest were not achieved by the end of the reporting period.</w:t>
      </w:r>
    </w:p>
    <w:p>
      <w:pPr>
        <w:spacing w:after="0" w:line="34" w:lineRule="exact"/>
        <w:rPr>
          <w:rFonts w:ascii="Times New Roman" w:cs="Times New Roman" w:eastAsia="Times New Roman" w:hAnsi="Times New Roman"/>
          <w:sz w:val="22"/>
          <w:szCs w:val="22"/>
          <w:color w:val="auto"/>
          <w:vertAlign w:val="superscript"/>
        </w:rPr>
      </w:pPr>
    </w:p>
    <w:p>
      <w:pPr>
        <w:ind w:left="320" w:right="60" w:hanging="315"/>
        <w:spacing w:after="0" w:line="223" w:lineRule="auto"/>
        <w:tabs>
          <w:tab w:leader="none" w:pos="30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first half of 2021, the following potentially dilutive securities were excluded from the above calculation of diluted net loss per share attributable to common shareholders during the periods presented, as the effects of including these securities would have been anti-dilutive.</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6400" w:type="dxa"/>
            <w:vAlign w:val="bottom"/>
          </w:tcPr>
          <w:p>
            <w:pPr>
              <w:spacing w:after="0"/>
              <w:rPr>
                <w:sz w:val="18"/>
                <w:szCs w:val="18"/>
                <w:color w:val="auto"/>
              </w:rPr>
            </w:pPr>
          </w:p>
        </w:tc>
        <w:tc>
          <w:tcPr>
            <w:tcW w:w="14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3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SARs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0"/>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 Convertible Notes ($230 million of principal)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7"/>
        </w:trPr>
        <w:tc>
          <w:tcPr>
            <w:tcW w:w="64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6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5"/>
        <w:spacing w:after="0" w:line="233" w:lineRule="auto"/>
        <w:tabs>
          <w:tab w:leader="none" w:pos="30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had the option to settle the 2022 Convertible Notes in cash, stock, or a combination of the two. Therefore, from the beginning of the period through the date on which our notice of our intent to settle the 2022 Convertible Notes in cash became irrevocable, we included shares in the denominator of the diluted earnings per share calculation, applying the “if-converted” method. For the period from June 15, 2022 through June 30, 2022, we excluded the related shares from the denominator of the diluted earnings per share calculation.</w:t>
      </w:r>
    </w:p>
    <w:p>
      <w:pPr>
        <w:spacing w:after="0" w:line="88" w:lineRule="exact"/>
        <w:rPr>
          <w:sz w:val="20"/>
          <w:szCs w:val="20"/>
          <w:color w:val="auto"/>
        </w:rPr>
      </w:pPr>
    </w:p>
    <w:p>
      <w:pPr>
        <w:jc w:val="both"/>
        <w:ind w:right="40"/>
        <w:spacing w:after="0" w:line="303" w:lineRule="auto"/>
        <w:rPr>
          <w:sz w:val="20"/>
          <w:szCs w:val="20"/>
          <w:color w:val="auto"/>
        </w:rPr>
      </w:pPr>
      <w:r>
        <w:rPr>
          <w:rFonts w:ascii="Times New Roman" w:cs="Times New Roman" w:eastAsia="Times New Roman" w:hAnsi="Times New Roman"/>
          <w:sz w:val="16"/>
          <w:szCs w:val="16"/>
          <w:color w:val="auto"/>
        </w:rPr>
        <w:t>In accordance with the applicable accounting guidance for calculating earnings per share, for the second quarter of 2022, we excluded from our calculation of diluted earnings per share 252,314 shares underlying stock appreciation rights (“SARs”) that may settle in shares of common stock because the exercise prices of such SARs, which ranged from $143.38 to $173.88, were greater than the average market price of our common stock for the applicable period.</w:t>
      </w:r>
    </w:p>
    <w:p>
      <w:pPr>
        <w:spacing w:after="0" w:line="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first half of 2022, we excluded from our calculation of diluted earnings per share 199,813 shares underlying SARs that may settle in shares of common stock because the exercise prices of such SARs, which ranged from $159.27 to $173.88, were greater than the average market price of our common stock for the applicable period.</w:t>
      </w:r>
    </w:p>
    <w:p>
      <w:pPr>
        <w:spacing w:after="0" w:line="75" w:lineRule="exact"/>
        <w:rPr>
          <w:sz w:val="20"/>
          <w:szCs w:val="20"/>
          <w:color w:val="auto"/>
        </w:rPr>
      </w:pPr>
    </w:p>
    <w:p>
      <w:pPr>
        <w:ind w:right="160"/>
        <w:spacing w:after="0" w:line="332" w:lineRule="auto"/>
        <w:rPr>
          <w:sz w:val="20"/>
          <w:szCs w:val="20"/>
          <w:color w:val="auto"/>
        </w:rPr>
      </w:pPr>
      <w:r>
        <w:rPr>
          <w:rFonts w:ascii="Times New Roman" w:cs="Times New Roman" w:eastAsia="Times New Roman" w:hAnsi="Times New Roman"/>
          <w:sz w:val="16"/>
          <w:szCs w:val="16"/>
          <w:color w:val="auto"/>
        </w:rPr>
        <w:t>For the second quarter of 2021, we excluded from our calculation of diluted earnings per share 127,857 shares underlying SARs that may settle in shares of common stock because the exercise price of $173.88 of such SARs was greater than the average market price of our common stock for the applicable period.</w:t>
      </w:r>
    </w:p>
    <w:p>
      <w:pPr>
        <w:spacing w:after="0" w:line="17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26"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hanging="377"/>
        <w:spacing w:after="0"/>
        <w:tabs>
          <w:tab w:leader="none" w:pos="4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composition of our inventory balances: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140" w:type="dxa"/>
            <w:vAlign w:val="bottom"/>
          </w:tcPr>
          <w:p>
            <w:pPr>
              <w:spacing w:after="0"/>
              <w:rPr>
                <w:sz w:val="18"/>
                <w:szCs w:val="18"/>
                <w:color w:val="auto"/>
              </w:rPr>
            </w:pPr>
          </w:p>
        </w:tc>
        <w:tc>
          <w:tcPr>
            <w:tcW w:w="168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8"/>
              </w:rPr>
              <w:t>At December 31, 2021</w:t>
            </w:r>
          </w:p>
        </w:tc>
      </w:tr>
      <w:tr>
        <w:trPr>
          <w:trHeight w:val="232"/>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inventory</w:t>
            </w:r>
            <w:r>
              <w:rPr>
                <w:rFonts w:ascii="Times New Roman" w:cs="Times New Roman" w:eastAsia="Times New Roman" w:hAnsi="Times New Roman"/>
                <w:sz w:val="10"/>
                <w:szCs w:val="10"/>
                <w:color w:val="auto"/>
              </w:rPr>
              <w:t>(1)</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710</w:t>
            </w:r>
          </w:p>
        </w:tc>
      </w:tr>
      <w:tr>
        <w:trPr>
          <w:trHeight w:val="25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r>
      <w:tr>
        <w:trPr>
          <w:trHeight w:val="242"/>
        </w:trPr>
        <w:tc>
          <w:tcPr>
            <w:tcW w:w="4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6" w:lineRule="exact"/>
        <w:rPr>
          <w:sz w:val="20"/>
          <w:szCs w:val="20"/>
          <w:color w:val="auto"/>
        </w:rPr>
      </w:pPr>
    </w:p>
    <w:p>
      <w:pPr>
        <w:ind w:left="320" w:right="400" w:hanging="315"/>
        <w:spacing w:after="0" w:line="223"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completed inventory that is registered for sale as vacation ownership interests and vacation ownership inventory expected to be reacquired pursuant to estimated future foreclosures.</w:t>
      </w:r>
    </w:p>
    <w:p>
      <w:pPr>
        <w:spacing w:after="0" w:line="88" w:lineRule="exact"/>
        <w:rPr>
          <w:sz w:val="20"/>
          <w:szCs w:val="20"/>
          <w:color w:val="auto"/>
        </w:rPr>
      </w:pPr>
    </w:p>
    <w:p>
      <w:pPr>
        <w:ind w:right="280"/>
        <w:spacing w:after="0" w:line="303" w:lineRule="auto"/>
        <w:rPr>
          <w:sz w:val="20"/>
          <w:szCs w:val="20"/>
          <w:color w:val="auto"/>
        </w:rPr>
      </w:pPr>
      <w:r>
        <w:rPr>
          <w:rFonts w:ascii="Times New Roman" w:cs="Times New Roman" w:eastAsia="Times New Roman" w:hAnsi="Times New Roman"/>
          <w:sz w:val="16"/>
          <w:szCs w:val="16"/>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$10 million during the first half of 2022 and by $1 million during the first half of 2021.</w:t>
      </w:r>
    </w:p>
    <w:p>
      <w:pPr>
        <w:spacing w:after="0" w:line="4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to the above, at June 30, 2022 and December 31, 2021, we had $506 million and $460 million, respectively, of completed vacation ownership units which are classified as a component of Property and equipment, net until the time at which they are available and legally registered for sale as vacation ownership products.</w:t>
      </w:r>
    </w:p>
    <w:p>
      <w:pPr>
        <w:spacing w:after="0" w:line="257" w:lineRule="exact"/>
        <w:rPr>
          <w:sz w:val="20"/>
          <w:szCs w:val="20"/>
          <w:color w:val="auto"/>
        </w:rPr>
      </w:pPr>
    </w:p>
    <w:p>
      <w:pPr>
        <w:ind w:left="480" w:hanging="457"/>
        <w:spacing w:after="0"/>
        <w:tabs>
          <w:tab w:leader="none" w:pos="4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780"/>
        <w:spacing w:after="0" w:line="268" w:lineRule="auto"/>
        <w:rPr>
          <w:sz w:val="20"/>
          <w:szCs w:val="20"/>
          <w:color w:val="auto"/>
        </w:rPr>
      </w:pPr>
      <w:r>
        <w:rPr>
          <w:rFonts w:ascii="Times New Roman" w:cs="Times New Roman" w:eastAsia="Times New Roman" w:hAnsi="Times New Roman"/>
          <w:sz w:val="18"/>
          <w:szCs w:val="18"/>
          <w:color w:val="auto"/>
        </w:rPr>
        <w:t>The following table details the carrying amount of our goodwill at June 30, 2022 and December 31, 2021, and reflects goodwill attributed to the ILG Acquisition and the Welk Acquisition.</w:t>
      </w: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Vacation Ownership</w:t>
            </w:r>
          </w:p>
        </w:tc>
        <w:tc>
          <w:tcPr>
            <w:tcW w:w="1920" w:type="dxa"/>
            <w:vAlign w:val="bottom"/>
            <w:gridSpan w:val="3"/>
          </w:tcPr>
          <w:p>
            <w:pPr>
              <w:jc w:val="center"/>
              <w:ind w:right="140"/>
              <w:spacing w:after="0" w:line="161" w:lineRule="exact"/>
              <w:rPr>
                <w:sz w:val="20"/>
                <w:szCs w:val="20"/>
                <w:color w:val="auto"/>
              </w:rPr>
            </w:pPr>
            <w:r>
              <w:rPr>
                <w:rFonts w:ascii="Times New Roman" w:cs="Times New Roman" w:eastAsia="Times New Roman" w:hAnsi="Times New Roman"/>
                <w:sz w:val="16"/>
                <w:szCs w:val="16"/>
                <w:b w:val="1"/>
                <w:bCs w:val="1"/>
                <w:color w:val="auto"/>
                <w:w w:val="99"/>
              </w:rPr>
              <w:t>Exchange &amp; Third-Party</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92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Management Reporting</w:t>
            </w:r>
          </w:p>
        </w:tc>
        <w:tc>
          <w:tcPr>
            <w:tcW w:w="180" w:type="dxa"/>
            <w:vAlign w:val="bottom"/>
          </w:tcPr>
          <w:p>
            <w:pPr>
              <w:spacing w:after="0"/>
              <w:rPr>
                <w:sz w:val="13"/>
                <w:szCs w:val="13"/>
                <w:color w:val="auto"/>
              </w:rPr>
            </w:pPr>
          </w:p>
        </w:tc>
        <w:tc>
          <w:tcPr>
            <w:tcW w:w="160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Total Consolidated</w:t>
            </w:r>
          </w:p>
        </w:tc>
        <w:tc>
          <w:tcPr>
            <w:tcW w:w="0" w:type="dxa"/>
            <w:vAlign w:val="bottom"/>
          </w:tcPr>
          <w:p>
            <w:pPr>
              <w:spacing w:after="0"/>
              <w:rPr>
                <w:sz w:val="1"/>
                <w:szCs w:val="1"/>
                <w:color w:val="auto"/>
              </w:rPr>
            </w:pPr>
          </w:p>
        </w:tc>
      </w:tr>
      <w:tr>
        <w:trPr>
          <w:trHeight w:val="21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Reporting Unit</w:t>
            </w:r>
          </w:p>
        </w:tc>
        <w:tc>
          <w:tcPr>
            <w:tcW w:w="42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63"/>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Disposition of VRI Americas</w:t>
            </w:r>
          </w:p>
        </w:tc>
        <w:tc>
          <w:tcPr>
            <w:tcW w:w="16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7"/>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composition of our intangible asset balances: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140" w:type="dxa"/>
            <w:vAlign w:val="bottom"/>
          </w:tcPr>
          <w:p>
            <w:pPr>
              <w:spacing w:after="0"/>
              <w:rPr>
                <w:sz w:val="18"/>
                <w:szCs w:val="18"/>
                <w:color w:val="auto"/>
              </w:rPr>
            </w:pP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2021</w:t>
            </w:r>
          </w:p>
        </w:tc>
      </w:tr>
      <w:tr>
        <w:trPr>
          <w:trHeight w:val="232"/>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2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2700" w:type="dxa"/>
            <w:vAlign w:val="bottom"/>
          </w:tcPr>
          <w:p>
            <w:pPr>
              <w:spacing w:after="0"/>
              <w:rPr>
                <w:sz w:val="20"/>
                <w:szCs w:val="20"/>
                <w:color w:val="auto"/>
              </w:rPr>
            </w:pPr>
          </w:p>
        </w:tc>
      </w:tr>
      <w:tr>
        <w:trPr>
          <w:trHeight w:val="250"/>
        </w:trPr>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Member relationships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671</w:t>
            </w:r>
          </w:p>
        </w:tc>
        <w:tc>
          <w:tcPr>
            <w:tcW w:w="2700" w:type="dxa"/>
            <w:vAlign w:val="bottom"/>
          </w:tcPr>
          <w:p>
            <w:pPr>
              <w:spacing w:after="0"/>
              <w:rPr>
                <w:sz w:val="21"/>
                <w:szCs w:val="21"/>
                <w:color w:val="auto"/>
              </w:rPr>
            </w:pPr>
          </w:p>
        </w:tc>
      </w:tr>
      <w:tr>
        <w:trPr>
          <w:trHeight w:val="250"/>
        </w:trPr>
        <w:tc>
          <w:tcPr>
            <w:tcW w:w="4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Management contracts</w:t>
            </w: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452</w:t>
            </w:r>
          </w:p>
        </w:tc>
        <w:tc>
          <w:tcPr>
            <w:tcW w:w="2700" w:type="dxa"/>
            <w:vAlign w:val="bottom"/>
          </w:tcPr>
          <w:p>
            <w:pPr>
              <w:spacing w:after="0"/>
              <w:rPr>
                <w:sz w:val="21"/>
                <w:szCs w:val="21"/>
                <w:color w:val="auto"/>
              </w:rPr>
            </w:pPr>
          </w:p>
        </w:tc>
      </w:tr>
      <w:tr>
        <w:trPr>
          <w:trHeight w:val="230"/>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1,123</w:t>
            </w:r>
          </w:p>
        </w:tc>
        <w:tc>
          <w:tcPr>
            <w:tcW w:w="2700" w:type="dxa"/>
            <w:vAlign w:val="bottom"/>
          </w:tcPr>
          <w:p>
            <w:pPr>
              <w:spacing w:after="0"/>
              <w:rPr>
                <w:sz w:val="20"/>
                <w:szCs w:val="20"/>
                <w:color w:val="auto"/>
              </w:rPr>
            </w:pPr>
          </w:p>
        </w:tc>
      </w:tr>
      <w:tr>
        <w:trPr>
          <w:trHeight w:val="25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700" w:type="dxa"/>
            <w:vAlign w:val="bottom"/>
          </w:tcPr>
          <w:p>
            <w:pPr>
              <w:spacing w:after="0"/>
              <w:rPr>
                <w:sz w:val="21"/>
                <w:szCs w:val="21"/>
                <w:color w:val="auto"/>
              </w:rPr>
            </w:pPr>
          </w:p>
        </w:tc>
      </w:tr>
      <w:tr>
        <w:trPr>
          <w:trHeight w:val="230"/>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929</w:t>
            </w:r>
          </w:p>
        </w:tc>
        <w:tc>
          <w:tcPr>
            <w:tcW w:w="2700" w:type="dxa"/>
            <w:vAlign w:val="bottom"/>
          </w:tcPr>
          <w:p>
            <w:pPr>
              <w:spacing w:after="0"/>
              <w:rPr>
                <w:sz w:val="20"/>
                <w:szCs w:val="20"/>
                <w:color w:val="auto"/>
              </w:rPr>
            </w:pPr>
          </w:p>
        </w:tc>
      </w:tr>
      <w:tr>
        <w:trPr>
          <w:trHeight w:val="25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700" w:type="dxa"/>
            <w:vAlign w:val="bottom"/>
          </w:tcPr>
          <w:p>
            <w:pPr>
              <w:spacing w:after="0"/>
              <w:rPr>
                <w:sz w:val="21"/>
                <w:szCs w:val="21"/>
                <w:color w:val="auto"/>
              </w:rPr>
            </w:pPr>
          </w:p>
        </w:tc>
      </w:tr>
      <w:tr>
        <w:trPr>
          <w:trHeight w:val="250"/>
        </w:trPr>
        <w:tc>
          <w:tcPr>
            <w:tcW w:w="4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64</w:t>
            </w:r>
          </w:p>
        </w:tc>
        <w:tc>
          <w:tcPr>
            <w:tcW w:w="2700" w:type="dxa"/>
            <w:vAlign w:val="bottom"/>
          </w:tcPr>
          <w:p>
            <w:pPr>
              <w:spacing w:after="0"/>
              <w:rPr>
                <w:sz w:val="21"/>
                <w:szCs w:val="21"/>
                <w:color w:val="auto"/>
              </w:rPr>
            </w:pPr>
          </w:p>
        </w:tc>
      </w:tr>
      <w:tr>
        <w:trPr>
          <w:trHeight w:val="242"/>
        </w:trPr>
        <w:tc>
          <w:tcPr>
            <w:tcW w:w="4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993</w:t>
            </w:r>
          </w:p>
        </w:tc>
        <w:tc>
          <w:tcPr>
            <w:tcW w:w="2700" w:type="dxa"/>
            <w:vAlign w:val="bottom"/>
          </w:tcPr>
          <w:p>
            <w:pPr>
              <w:spacing w:after="0"/>
              <w:rPr>
                <w:sz w:val="20"/>
                <w:szCs w:val="20"/>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538"/>
        </w:trPr>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54"/>
        </w:trPr>
        <w:tc>
          <w:tcPr>
            <w:tcW w:w="4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0" w:hanging="457"/>
        <w:spacing w:after="0"/>
        <w:tabs>
          <w:tab w:leader="none" w:pos="4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Letters of Credit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had the following commitments outstanding:</w:t>
      </w:r>
    </w:p>
    <w:p>
      <w:pPr>
        <w:spacing w:after="0" w:line="109" w:lineRule="exact"/>
        <w:rPr>
          <w:sz w:val="20"/>
          <w:szCs w:val="20"/>
          <w:color w:val="auto"/>
        </w:rPr>
      </w:pPr>
    </w:p>
    <w:p>
      <w:pPr>
        <w:ind w:left="640" w:right="80" w:hanging="319"/>
        <w:spacing w:after="0" w:line="256"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various contracts for the use of information technology hardware and software that we use in the normal course of business. Our aggregate commitment under these contracts was $81 million, of which we expect $28 million, $30 million, $13 million, $7 million, and $3 million will be paid in the remainder of 2022, 2023, 2024, 2025, and 2026 and thereafter, respectively.</w:t>
      </w:r>
    </w:p>
    <w:p>
      <w:pPr>
        <w:spacing w:after="0" w:line="74" w:lineRule="exact"/>
        <w:rPr>
          <w:rFonts w:ascii="Times New Roman" w:cs="Times New Roman" w:eastAsia="Times New Roman" w:hAnsi="Times New Roman"/>
          <w:sz w:val="18"/>
          <w:szCs w:val="18"/>
          <w:color w:val="auto"/>
        </w:rPr>
      </w:pPr>
    </w:p>
    <w:p>
      <w:pPr>
        <w:ind w:left="640" w:right="540" w:hanging="319"/>
        <w:spacing w:after="0" w:line="268" w:lineRule="auto"/>
        <w:tabs>
          <w:tab w:leader="none" w:pos="6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to acquire real estate for use in our Vacation Ownership segment via our involvement with a VIE. Refer to Footnote 16 “Variable Interest Entities” for additional information and our activities relating to the VIE involved in this transaction.</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commitments to acquire inventory from our managed owners’ associations in the remainder of 2022 for $30 million.</w:t>
      </w:r>
    </w:p>
    <w:p>
      <w:pPr>
        <w:spacing w:after="0" w:line="10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Surety bonds issued as of June 30, 2022 totaled $127 million, the majority of which were requested by federal, state, or local governments in connection with our operations.</w:t>
      </w:r>
    </w:p>
    <w:p>
      <w:pPr>
        <w:spacing w:after="0" w:line="6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As of June 30, 2022, we had $1 million of letters of credit outstanding under our Revolving Corporate Credit Facility (as defined in Footnote 13 “Debt”). In addition, as of June 30, 2022, we had $2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(if any) as our fee or we make up the deficit. At June 30, 2022, our maximum exposure under fixed dollar guarantees was $8 million, of which $1 million, $2 million, $2 million, $1 million, $1 million, and $1 million relate to the remainder of 2022, 2023, 2024, 2025, 2026, and thereafter, respectively.</w:t>
      </w:r>
    </w:p>
    <w:p>
      <w:pPr>
        <w:spacing w:after="0" w:line="50"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6"/>
          <w:szCs w:val="16"/>
          <w:color w:val="auto"/>
        </w:rPr>
        <w:t>We have a commitment to an owners’ association that we manage to pay for any shortfall between the actual expenses incurred by the owners’ association and the income received by the owners’ association, in lieu of maintenance fees for unsold inventory. The agreement will terminate on the earlier of: 1) sale of 95% of the total ownership interests in the owners’ association; or 2) written notification of termination by either party. At June 30, 2022, our expected commitment for the remainder of 2022 is $5 million, which will ultimately be recorded as a component of rental expense on our income statement.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11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is seeking unspecified damages, punitive damages and disgorgement of payments under the management and purchase agreements. In February 2022, the Court granted our motion to dismiss the complaint and dismissed with prejudice all claims except one, with respect to which the plaintiff was granted leave to amend its complaint. The plaintiff has filed an amended complaint and has appealed the dismissal of the other claims.</w:t>
      </w:r>
    </w:p>
    <w:p>
      <w:pPr>
        <w:spacing w:after="0" w:line="82"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color w:val="auto"/>
        </w:rPr>
        <w:t>In April 2019, a purported class-action lawsuit was filed by Alan and Marjorie Helman and others against us in the Superior Court of the Virgin Islands, Division of St. Thomas alleging that their fractional interests were devalued by the affiliation of The Ritz-Carlton Club, St. Thomas and other Ritz-Carlton Clubs with our MVCD program. The lawsuit was subsequently removed to the U.S. District Court for the District of the Virgin Islands. The plaintiffs are seeking unspecified damages, disgorgement of profits, fees and costs.</w:t>
      </w:r>
    </w:p>
    <w:p>
      <w:pPr>
        <w:spacing w:after="0" w:line="2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have meritorious defenses to the claims in each of the above matters and intend to vigorously defend each matter.</w:t>
      </w:r>
    </w:p>
    <w:p>
      <w:pPr>
        <w:spacing w:after="0" w:line="10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have not accrued for any of the pending matters described above and we cannot estimate a range of the potential liability associated with these pending matters,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are adequate and/or we have valid defenses to the claims asserted, unfavorable rulings could occur that could, individually or in the aggregate, have a material adverse effect on our business, financial condition, or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That Have Not Yet Commenced</w:t>
      </w:r>
    </w:p>
    <w:p>
      <w:pPr>
        <w:spacing w:after="0" w:line="113"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During 2020, we entered into a finance lease arrangement, which was then amended in 2021, for our new global headquarters office building, which is being constructed in Orlando, Florida. The initial lease term is approximately 16 years with total lease payments of $137 million for the aforementioned period. We expect the new office building to be completed in 2023. Upon commencement of the lease term, a right-of-use asset and corresponding liability will be recorded on our balance sheet.</w:t>
      </w:r>
    </w:p>
    <w:p>
      <w:pPr>
        <w:spacing w:after="0" w:line="260" w:lineRule="exact"/>
        <w:rPr>
          <w:sz w:val="20"/>
          <w:szCs w:val="20"/>
          <w:color w:val="auto"/>
        </w:rPr>
      </w:pPr>
    </w:p>
    <w:p>
      <w:pPr>
        <w:ind w:left="480" w:hanging="457"/>
        <w:spacing w:after="0"/>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SECURITIZED 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 on our securitized debt, net of unamortized debt discount and issuance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140" w:type="dxa"/>
            <w:vAlign w:val="bottom"/>
          </w:tcPr>
          <w:p>
            <w:pPr>
              <w:spacing w:after="0"/>
              <w:rPr>
                <w:sz w:val="18"/>
                <w:szCs w:val="18"/>
                <w:color w:val="auto"/>
              </w:rPr>
            </w:pPr>
          </w:p>
        </w:tc>
        <w:tc>
          <w:tcPr>
            <w:tcW w:w="16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9"/>
              </w:rPr>
              <w:t>At December 31, 2021</w:t>
            </w:r>
          </w:p>
        </w:tc>
      </w:tr>
      <w:tr>
        <w:trPr>
          <w:trHeight w:val="232"/>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 notes receivable securitizations, gross</w:t>
            </w:r>
            <w:r>
              <w:rPr>
                <w:rFonts w:ascii="Times New Roman" w:cs="Times New Roman" w:eastAsia="Times New Roman" w:hAnsi="Times New Roman"/>
                <w:sz w:val="10"/>
                <w:szCs w:val="10"/>
                <w:color w:val="auto"/>
              </w:rPr>
              <w:t>(1)</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1,877</w:t>
            </w:r>
          </w:p>
        </w:tc>
      </w:tr>
      <w:tr>
        <w:trPr>
          <w:trHeight w:val="250"/>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2"/>
        </w:trPr>
        <w:tc>
          <w:tcPr>
            <w:tcW w:w="4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1,856</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p>
    <w:p>
      <w:pPr>
        <w:ind w:left="300" w:hanging="295"/>
        <w:spacing w:after="0"/>
        <w:tabs>
          <w:tab w:leader="none" w:pos="30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rates as of June 30, 2022 range from 1.5% to 4.6%, with a weighted average interest rate of 2.7%.</w:t>
      </w:r>
    </w:p>
    <w:p>
      <w:pPr>
        <w:spacing w:after="0" w:line="8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All of our securitized debt is non-recourse to MVWC. See Footnote 16 “Variable Interest Entities” for a discussion of the collateral for the non-recourse debt associated with our securitized debt.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scheduled future principal payments for our securitized debt as of June 30,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
          </w:tcPr>
          <w:p>
            <w:pPr>
              <w:jc w:val="center"/>
              <w:ind w:right="2900"/>
              <w:spacing w:after="0"/>
              <w:rPr>
                <w:sz w:val="20"/>
                <w:szCs w:val="20"/>
                <w:color w:val="auto"/>
              </w:rPr>
            </w:pPr>
            <w:r>
              <w:rPr>
                <w:rFonts w:ascii="Times New Roman" w:cs="Times New Roman" w:eastAsia="Times New Roman" w:hAnsi="Times New Roman"/>
                <w:sz w:val="16"/>
                <w:szCs w:val="16"/>
                <w:b w:val="1"/>
                <w:bCs w:val="1"/>
                <w:color w:val="auto"/>
                <w:w w:val="97"/>
              </w:rPr>
              <w:t>Vacation Ownership</w:t>
            </w: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gridSpan w:val="2"/>
          </w:tcPr>
          <w:p>
            <w:pPr>
              <w:jc w:val="center"/>
              <w:ind w:right="28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Notes Receivable</w:t>
            </w:r>
          </w:p>
        </w:tc>
        <w:tc>
          <w:tcPr>
            <w:tcW w:w="0" w:type="dxa"/>
            <w:vAlign w:val="bottom"/>
          </w:tcPr>
          <w:p>
            <w:pPr>
              <w:spacing w:after="0"/>
              <w:rPr>
                <w:sz w:val="1"/>
                <w:szCs w:val="1"/>
                <w:color w:val="auto"/>
              </w:rPr>
            </w:pPr>
          </w:p>
        </w:tc>
      </w:tr>
      <w:tr>
        <w:trPr>
          <w:trHeight w:val="21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0" w:type="dxa"/>
            <w:vAlign w:val="bottom"/>
            <w:gridSpan w:val="2"/>
          </w:tcPr>
          <w:p>
            <w:pPr>
              <w:jc w:val="center"/>
              <w:ind w:right="2880"/>
              <w:spacing w:after="0"/>
              <w:rPr>
                <w:sz w:val="20"/>
                <w:szCs w:val="20"/>
                <w:color w:val="auto"/>
              </w:rPr>
            </w:pPr>
            <w:r>
              <w:rPr>
                <w:rFonts w:ascii="Times New Roman" w:cs="Times New Roman" w:eastAsia="Times New Roman" w:hAnsi="Times New Roman"/>
                <w:sz w:val="16"/>
                <w:szCs w:val="16"/>
                <w:b w:val="1"/>
                <w:bCs w:val="1"/>
                <w:color w:val="auto"/>
                <w:w w:val="98"/>
              </w:rPr>
              <w:t>Securitizations</w:t>
            </w:r>
          </w:p>
        </w:tc>
        <w:tc>
          <w:tcPr>
            <w:tcW w:w="0" w:type="dxa"/>
            <w:vAlign w:val="bottom"/>
          </w:tcPr>
          <w:p>
            <w:pPr>
              <w:spacing w:after="0"/>
              <w:rPr>
                <w:sz w:val="1"/>
                <w:szCs w:val="1"/>
                <w:color w:val="auto"/>
              </w:rPr>
            </w:pPr>
          </w:p>
        </w:tc>
      </w:tr>
      <w:tr>
        <w:trPr>
          <w:trHeight w:val="231"/>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Payments Year</w:t>
            </w:r>
          </w:p>
        </w:tc>
        <w:tc>
          <w:tcPr>
            <w:tcW w:w="30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2022, remaining</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90</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3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188</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3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189</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30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1,868</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040" w:type="dxa"/>
            <w:vAlign w:val="bottom"/>
            <w:vMerge w:val="restart"/>
          </w:tcPr>
          <w:p>
            <w:pPr>
              <w:jc w:val="right"/>
              <w:ind w:right="552"/>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36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6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Vacation Ownership Notes Receivable Securitizations</w:t>
      </w:r>
    </w:p>
    <w:p>
      <w:pPr>
        <w:spacing w:after="0" w:line="11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second quarter of 2022, and as of June 30, 2022, we had 14 securitized vacation ownership notes receivable pools outstanding, none of which were out of compliance with their respective established parameters.</w:t>
      </w:r>
    </w:p>
    <w:p>
      <w:pPr>
        <w:spacing w:after="0" w:line="5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64" w:lineRule="exact"/>
        <w:rPr>
          <w:sz w:val="20"/>
          <w:szCs w:val="20"/>
          <w:color w:val="auto"/>
        </w:rPr>
      </w:pPr>
    </w:p>
    <w:p>
      <w:pPr>
        <w:jc w:val="both"/>
        <w:ind w:right="340"/>
        <w:spacing w:after="0" w:line="252" w:lineRule="auto"/>
        <w:rPr>
          <w:sz w:val="20"/>
          <w:szCs w:val="20"/>
          <w:color w:val="auto"/>
        </w:rPr>
      </w:pPr>
      <w:r>
        <w:rPr>
          <w:rFonts w:ascii="Times New Roman" w:cs="Times New Roman" w:eastAsia="Times New Roman" w:hAnsi="Times New Roman"/>
          <w:sz w:val="18"/>
          <w:szCs w:val="18"/>
          <w:color w:val="auto"/>
        </w:rPr>
        <w:t>During the second quarter of 2022, we completed the securitization of a pool of $383 million of vacation ownership notes receivable. Approximately $342 million of the vacation ownership notes receivable were purchased by MVW 2022-1 LLC (the “2022-1 LLC”) during the second quarter of 2022, and as of June 30, 2022, the 2022-1 LLC held $40 million of the proceeds, which was released as the remaining vacation ownership notes receivable were purchased subsequent to June 30, 2022.</w:t>
      </w:r>
    </w:p>
    <w:p>
      <w:pPr>
        <w:spacing w:after="0" w:line="7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connection with the securitization, investors purchased $375 million in vacation ownership loan backed notes issued by the 2022-1 LLC in a private placement. The 2022-1 LLC issued four classes of vacation ownership loan backed notes: $220 million of Class A Notes, $77 million of Class B Notes, $48 million of Class C Notes, and $30 million of Class D Notes. The Class A Notes have an interest rate of 4.15%, the Class B Notes have an interest rate of 4.40%, the Class C Notes have an interest rate of 5.23%, and the Class D Notes have an interest rate of 7.35%, for an overall weighted average interest rate of 4.59%. Of the $375 million in proceeds from the transaction, approximately $98 million was used to repay all outstanding amounts previously drawn under our Warehouse Credit Facility (as defined below), approximately $7 million was used to pay transaction expenses and fund required reserves, and the remaining $176 million will be used for general corporate purposes. In connection with this securitization, we redeemed the remaining vacation ownership loan backed notes issued in a prior securitization transaction for approximately $38 million. The majority of the loans acquired through the redemption were purchased by the 2022-1 LLC.</w:t>
      </w:r>
    </w:p>
    <w:p>
      <w:pPr>
        <w:spacing w:after="0" w:line="8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Subsequent to the end of the second quarter of 2022, the 2022-1 LLC purchased the remaining $41 million of vacation ownership notes receivable and $40 million was released from restricted cash.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Warehouse Credit Facility</w:t>
      </w:r>
    </w:p>
    <w:p>
      <w:pPr>
        <w:spacing w:after="0" w:line="11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Our warehouse credit facility (the “Warehouse Credit Facility”), which has a borrowing capacity of $350 million, allows for the securitization of vacation ownership notes receivable on a revolving non-recourse basis. During the first quarter of 2022, we securitized vacation ownership notes receivable under our Warehouse Credit Facility. The carrying amount of the vacation ownership notes receivable securitized was $125 million. The average advance rate was 81%, which resulted in gross proceeds of $102 million. Net proceeds were $101 million due to the funding of reserve accounts of $1 million. As of June 30, 2022, there were no cash borrowings outstanding under our Warehouse Credit Facility.</w:t>
      </w:r>
    </w:p>
    <w:p>
      <w:pPr>
        <w:spacing w:after="0" w:line="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6"/>
          <w:szCs w:val="16"/>
          <w:color w:val="auto"/>
        </w:rPr>
        <w:t>Subsequent to the end of the second quarter of 2022, we amended certain agreements associated with our Warehouse Credit Facility (the “Warehouse Amendment”). The Warehouse Amendment increased the borrowing capacity of the existing facility from $350 million to $425 million and extended the revolving period from April 21, 2023 to July 28, 2024. The Warehouse Amendment also modified the interest rate applicable to most borrowings under the Warehouse Credit Facility. The Warehouse Credit Facility now uses a U.S. Treasury overnight financing rate (Secured Overnight Financing Rate or “SOFR”) plus a 0.10% adjustment (“Adjusted SOFR”) replacing 1-month LIBOR as its benchmark interest rate. As part of the Warehouse Amendment, the credit spread remained at 135 basis points over Adjusted SOFR. The Warehouse Amendment made no other material changes to the Warehouse Credit Facility.</w:t>
      </w:r>
    </w:p>
    <w:p>
      <w:pPr>
        <w:spacing w:after="0" w:line="22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80" w:hanging="457"/>
        <w:spacing w:after="0"/>
        <w:tabs>
          <w:tab w:leader="none" w:pos="4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 on our debt balances, net of unamortized debt discount and issuance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100" w:type="dxa"/>
            <w:vAlign w:val="bottom"/>
          </w:tcPr>
          <w:p>
            <w:pPr>
              <w:spacing w:after="0"/>
              <w:rPr>
                <w:sz w:val="18"/>
                <w:szCs w:val="18"/>
                <w:color w:val="auto"/>
              </w:rPr>
            </w:pP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w w:val="97"/>
              </w:rPr>
              <w:t>At December 31, 2021</w:t>
            </w:r>
          </w:p>
        </w:tc>
      </w:tr>
      <w:tr>
        <w:trPr>
          <w:trHeight w:val="23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Notes</w:t>
            </w:r>
          </w:p>
        </w:tc>
        <w:tc>
          <w:tcPr>
            <w:tcW w:w="20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r>
      <w:tr>
        <w:trPr>
          <w:trHeight w:val="250"/>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2025 Notes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w:t>
            </w:r>
          </w:p>
        </w:tc>
      </w:tr>
      <w:tr>
        <w:trPr>
          <w:trHeight w:val="250"/>
        </w:trPr>
        <w:tc>
          <w:tcPr>
            <w:tcW w:w="5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248</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Senior Unsecured Notes</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50"/>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2028 Notes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350</w:t>
            </w:r>
          </w:p>
        </w:tc>
      </w:tr>
      <w:tr>
        <w:trPr>
          <w:trHeight w:val="250"/>
        </w:trPr>
        <w:tc>
          <w:tcPr>
            <w:tcW w:w="5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346</w:t>
            </w:r>
          </w:p>
        </w:tc>
      </w:tr>
      <w:tr>
        <w:trPr>
          <w:trHeight w:val="250"/>
        </w:trPr>
        <w:tc>
          <w:tcPr>
            <w:tcW w:w="5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50"/>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2029 Notes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w:t>
            </w:r>
          </w:p>
        </w:tc>
      </w:tr>
      <w:tr>
        <w:trPr>
          <w:trHeight w:val="250"/>
        </w:trPr>
        <w:tc>
          <w:tcPr>
            <w:tcW w:w="5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493</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Credit Facility</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50"/>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Term Loan</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784</w:t>
            </w:r>
          </w:p>
        </w:tc>
      </w:tr>
      <w:tr>
        <w:trPr>
          <w:trHeight w:val="250"/>
        </w:trPr>
        <w:tc>
          <w:tcPr>
            <w:tcW w:w="5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776</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50"/>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2022 Convertible Notes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230</w:t>
            </w:r>
          </w:p>
        </w:tc>
      </w:tr>
      <w:tr>
        <w:trPr>
          <w:trHeight w:val="250"/>
        </w:trPr>
        <w:tc>
          <w:tcPr>
            <w:tcW w:w="5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w:t>
            </w:r>
          </w:p>
        </w:tc>
      </w:tr>
      <w:tr>
        <w:trPr>
          <w:trHeight w:val="250"/>
        </w:trPr>
        <w:tc>
          <w:tcPr>
            <w:tcW w:w="5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50"/>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2026 Convertible Notes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575</w:t>
            </w:r>
          </w:p>
        </w:tc>
      </w:tr>
      <w:tr>
        <w:trPr>
          <w:trHeight w:val="250"/>
        </w:trPr>
        <w:tc>
          <w:tcPr>
            <w:tcW w:w="5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461</w:t>
            </w:r>
          </w:p>
        </w:tc>
      </w:tr>
      <w:tr>
        <w:trPr>
          <w:trHeight w:val="250"/>
        </w:trPr>
        <w:tc>
          <w:tcPr>
            <w:tcW w:w="5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bearing note payable</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r>
      <w:tr>
        <w:trPr>
          <w:trHeight w:val="242"/>
        </w:trPr>
        <w:tc>
          <w:tcPr>
            <w:tcW w:w="5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2,631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scheduled principal payments for our debt, excluding finance leases, as of June 30,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Interest</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Term</w:t>
            </w:r>
          </w:p>
        </w:tc>
        <w:tc>
          <w:tcPr>
            <w:tcW w:w="2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Bearing</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8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Convertible</w:t>
            </w:r>
          </w:p>
        </w:tc>
        <w:tc>
          <w:tcPr>
            <w:tcW w:w="108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Convertible</w:t>
            </w:r>
          </w:p>
        </w:tc>
        <w:tc>
          <w:tcPr>
            <w:tcW w:w="120" w:type="dxa"/>
            <w:vAlign w:val="bottom"/>
          </w:tcPr>
          <w:p>
            <w:pPr>
              <w:spacing w:after="0"/>
              <w:rPr>
                <w:sz w:val="13"/>
                <w:szCs w:val="13"/>
                <w:color w:val="auto"/>
              </w:rPr>
            </w:pPr>
          </w:p>
        </w:tc>
        <w:tc>
          <w:tcPr>
            <w:tcW w:w="8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Note</w:t>
            </w:r>
          </w:p>
        </w:tc>
        <w:tc>
          <w:tcPr>
            <w:tcW w:w="180" w:type="dxa"/>
            <w:vAlign w:val="bottom"/>
          </w:tcPr>
          <w:p>
            <w:pPr>
              <w:spacing w:after="0"/>
              <w:rPr>
                <w:sz w:val="13"/>
                <w:szCs w:val="13"/>
                <w:color w:val="auto"/>
              </w:rPr>
            </w:pPr>
          </w:p>
        </w:tc>
        <w:tc>
          <w:tcPr>
            <w:tcW w:w="70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Loan</w:t>
            </w:r>
          </w:p>
        </w:tc>
        <w:tc>
          <w:tcPr>
            <w:tcW w:w="200" w:type="dxa"/>
            <w:vAlign w:val="bottom"/>
          </w:tcPr>
          <w:p>
            <w:pPr>
              <w:spacing w:after="0"/>
              <w:rPr>
                <w:sz w:val="18"/>
                <w:szCs w:val="18"/>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Notes</w:t>
            </w:r>
          </w:p>
        </w:tc>
        <w:tc>
          <w:tcPr>
            <w:tcW w:w="20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Payable</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Payments</w:t>
            </w: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remaining$</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63"/>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7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6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332" w:right="1440" w:bottom="1440" w:gutter="0" w:footer="0" w:header="0"/>
        </w:sectPr>
      </w:pPr>
    </w:p>
    <w:p>
      <w:pPr>
        <w:spacing w:after="0" w:line="13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299720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332"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senior notes include:</w:t>
      </w:r>
    </w:p>
    <w:p>
      <w:pPr>
        <w:spacing w:after="0" w:line="109" w:lineRule="exact"/>
        <w:rPr>
          <w:sz w:val="20"/>
          <w:szCs w:val="20"/>
          <w:color w:val="auto"/>
        </w:rPr>
      </w:pPr>
    </w:p>
    <w:p>
      <w:pPr>
        <w:ind w:left="320" w:right="20" w:hanging="315"/>
        <w:spacing w:after="0" w:line="268" w:lineRule="auto"/>
        <w:tabs>
          <w:tab w:leader="none" w:pos="3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aggregate principal amount of 6.125% Senior Secured Notes due 2025 issued in the second quarter of 2020 with a maturity date of September 15, 2025 (the “2025 Notes”), of which $250 million of principal was outstanding as of June 30, 2022.</w:t>
      </w:r>
    </w:p>
    <w:p>
      <w:pPr>
        <w:spacing w:after="0" w:line="11" w:lineRule="exact"/>
        <w:rPr>
          <w:rFonts w:ascii="Times New Roman" w:cs="Times New Roman" w:eastAsia="Times New Roman" w:hAnsi="Times New Roman"/>
          <w:sz w:val="18"/>
          <w:szCs w:val="18"/>
          <w:color w:val="auto"/>
        </w:rPr>
      </w:pPr>
    </w:p>
    <w:p>
      <w:pPr>
        <w:ind w:left="320" w:right="680" w:hanging="315"/>
        <w:spacing w:after="0" w:line="268" w:lineRule="auto"/>
        <w:tabs>
          <w:tab w:leader="none" w:pos="3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aggregate principal amount of 4.750% Senior Unsecured Notes due 2028 issued in the fourth quarter of 2019 with a maturity date of January 15, 2028 (the “2028 Notes”).</w:t>
      </w:r>
    </w:p>
    <w:p>
      <w:pPr>
        <w:spacing w:after="0" w:line="11" w:lineRule="exact"/>
        <w:rPr>
          <w:rFonts w:ascii="Times New Roman" w:cs="Times New Roman" w:eastAsia="Times New Roman" w:hAnsi="Times New Roman"/>
          <w:sz w:val="18"/>
          <w:szCs w:val="18"/>
          <w:color w:val="auto"/>
        </w:rPr>
      </w:pPr>
    </w:p>
    <w:p>
      <w:pPr>
        <w:ind w:left="320" w:right="260" w:hanging="315"/>
        <w:spacing w:after="0" w:line="268" w:lineRule="auto"/>
        <w:tabs>
          <w:tab w:leader="none" w:pos="3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aggregate principal amount of 4.500% Senior Unsecured Notes due 2029 issued in the second quarter of 2021 with a maturity date of June 15, 2029 (the “2029 Notes”).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Credit Facility</w:t>
      </w:r>
    </w:p>
    <w:p>
      <w:pPr>
        <w:spacing w:after="0" w:line="113"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Our corporate credit facility (“Corporate Credit Facility”), which provides support for our business, including ongoing liquidity and letters of credit, includes a $900 million term loan facility (the “Term Loan”), which matures on August 31, 2025, and bears interest at LIBOR plus 1.75%, and a revolving credit facility (the “Revolving Corporate Credit Facility”) which includes a letter of credit sub-facility of $75 million.</w:t>
      </w:r>
    </w:p>
    <w:p>
      <w:pPr>
        <w:spacing w:after="0" w:line="75" w:lineRule="exact"/>
        <w:rPr>
          <w:sz w:val="20"/>
          <w:szCs w:val="20"/>
          <w:color w:val="auto"/>
        </w:rPr>
      </w:pPr>
    </w:p>
    <w:p>
      <w:pPr>
        <w:jc w:val="both"/>
        <w:ind w:right="140"/>
        <w:spacing w:after="0" w:line="280" w:lineRule="auto"/>
        <w:rPr>
          <w:sz w:val="20"/>
          <w:szCs w:val="20"/>
          <w:color w:val="auto"/>
        </w:rPr>
      </w:pPr>
      <w:r>
        <w:rPr>
          <w:rFonts w:ascii="Times New Roman" w:cs="Times New Roman" w:eastAsia="Times New Roman" w:hAnsi="Times New Roman"/>
          <w:sz w:val="16"/>
          <w:szCs w:val="16"/>
          <w:color w:val="auto"/>
        </w:rPr>
        <w:t>During the first quarter of 2022, we entered into an amendment to the Revolving Corporate Credit Facility (the “Revolver Amendment”), which increased the borrowing capacity of the existing revolving credit facility from $600 million to $750 million and extended the maturity date from August 31, 2023 to March 31, 2027. The Revolver Amendment modified the interest rate applicable to borrowings under the Revolving Corporate Credit Facility to reference SOFR and to be based on “Adjusted Term SOFR,” which is calculated as Term SOFR (as defined in the Revolver Amendment), plus a 0.10% adjustment, subject to a</w:t>
      </w:r>
    </w:p>
    <w:p>
      <w:pPr>
        <w:spacing w:after="0" w:line="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0.00% floor. Interest rates for other select non-U.S. dollar borrowings were also amended to be based on updated variable rate indices. The applicable margins with respect to the Revolving Corporate Credit Facility were amended to be based on leverage-based measures instead of credit ratings-based measures. The Revolver Amendment made no other material changes to the Corporate Credit Facility.</w:t>
      </w:r>
    </w:p>
    <w:p>
      <w:pPr>
        <w:spacing w:after="0" w:line="8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Prior to 2020, we entered into $250 million of interest rate swaps under which we pay a fixed rate of 2.9625% and receive a floating interest rate through September 2023 and $200 million of interest rate swaps under which we pay a fixed rate of 2.2480% and receive a floating interest rate through April 2024, in each case to hedge a portion of our interest rate risk on the Term Loan. We also entered into a $100 million interest rate collar with a cap strike rate of 2.5000% and a floor strike rate of 1.8810% through April 2024 to further hedge our interest rate risk on the Term Loan. Both the interest rate swaps and the interest rate collar have been designated and qualify as cash flow hedges of interest rate risk and recorded in Other assets on our Balance Sheet as of June 30, 2022 and in Other liabilities on our Balance Sheet as of December 31, 2021. We characterize payments we make in connection with these derivative instruments as interest expense and a reclassification of accumulated other comprehensive income or loss for presentation purposes.</w:t>
      </w:r>
    </w:p>
    <w:p>
      <w:pPr>
        <w:spacing w:after="0" w:line="8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The following table reflects the activity in accumulated other comprehensive income or loss related to our derivative instruments during the first half of 2022 and 2021. There were no reclassifications to the Income Statement for either of the periods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700" w:type="dxa"/>
            <w:vAlign w:val="bottom"/>
          </w:tcPr>
          <w:p>
            <w:pPr>
              <w:spacing w:after="0"/>
              <w:rPr>
                <w:sz w:val="18"/>
                <w:szCs w:val="18"/>
                <w:color w:val="auto"/>
              </w:rPr>
            </w:pPr>
          </w:p>
        </w:tc>
      </w:tr>
      <w:tr>
        <w:trPr>
          <w:trHeight w:val="23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 adjustment balance, January 1</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700" w:type="dxa"/>
            <w:vAlign w:val="bottom"/>
          </w:tcPr>
          <w:p>
            <w:pPr>
              <w:spacing w:after="0"/>
              <w:rPr>
                <w:sz w:val="20"/>
                <w:szCs w:val="20"/>
                <w:color w:val="auto"/>
              </w:rPr>
            </w:pPr>
          </w:p>
        </w:tc>
      </w:tr>
      <w:tr>
        <w:trPr>
          <w:trHeight w:val="250"/>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gain before reclassifications</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2700" w:type="dxa"/>
            <w:vAlign w:val="bottom"/>
          </w:tcPr>
          <w:p>
            <w:pPr>
              <w:spacing w:after="0"/>
              <w:rPr>
                <w:sz w:val="21"/>
                <w:szCs w:val="2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 adjustment balance, March 31</w:t>
            </w: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700" w:type="dxa"/>
            <w:vAlign w:val="bottom"/>
          </w:tcPr>
          <w:p>
            <w:pPr>
              <w:spacing w:after="0"/>
              <w:rPr>
                <w:sz w:val="20"/>
                <w:szCs w:val="20"/>
                <w:color w:val="auto"/>
              </w:rPr>
            </w:pPr>
          </w:p>
        </w:tc>
      </w:tr>
      <w:tr>
        <w:trPr>
          <w:trHeight w:val="263"/>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gain before reclassifications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2700" w:type="dxa"/>
            <w:vAlign w:val="bottom"/>
          </w:tcPr>
          <w:p>
            <w:pPr>
              <w:spacing w:after="0"/>
              <w:rPr>
                <w:sz w:val="22"/>
                <w:szCs w:val="22"/>
                <w:color w:val="auto"/>
              </w:rPr>
            </w:pPr>
          </w:p>
        </w:tc>
      </w:tr>
      <w:tr>
        <w:trPr>
          <w:trHeight w:val="242"/>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 adjustment balance, June 30</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700" w:type="dxa"/>
            <w:vAlign w:val="bottom"/>
          </w:tcPr>
          <w:p>
            <w:pPr>
              <w:spacing w:after="0"/>
              <w:rPr>
                <w:sz w:val="20"/>
                <w:szCs w:val="20"/>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512"/>
        </w:trPr>
        <w:tc>
          <w:tcPr>
            <w:tcW w:w="4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54"/>
        </w:trPr>
        <w:tc>
          <w:tcPr>
            <w:tcW w:w="4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Notes</w:t>
      </w:r>
    </w:p>
    <w:p>
      <w:pPr>
        <w:spacing w:after="0" w:line="113"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During 2017, we issued $230 million of aggregate principal amount of convertible senior notes (the “2022 Convertible Notes”) that bear interest at a rate of 1.50%, payable in cash semi-annually. The 2022 Convertible Notes mature on September 15, 2022, unless repurchased or converted in accordance with their terms prior to that date.</w:t>
      </w:r>
    </w:p>
    <w:p>
      <w:pPr>
        <w:spacing w:after="0" w:line="7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conversion rate is subject to adjustment for certain events as described in the indenture governing the notes, and was subject to adjustment as of June 30, 2022 to 6.8540 shares of common stock per $1,000 principal amount of 2022 Convertible Notes (equivalent to a conversion price of $145.90 per share of our common stock), as a result of the dividends we declared since issuance of the 2022 Convertible Notes that were greater than the quarterly dividend we paid when the 2022 Convertible Notes were issued. As of June 30, 2022, the effective interest rate was 10.85%.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related to our 2022 Convertible Notes during the first half of 2022.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Carrying Amount</w:t>
            </w: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Principal</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74"/>
              <w:spacing w:after="0" w:line="158" w:lineRule="exact"/>
              <w:rPr>
                <w:sz w:val="20"/>
                <w:szCs w:val="20"/>
                <w:color w:val="auto"/>
              </w:rPr>
            </w:pPr>
            <w:r>
              <w:rPr>
                <w:rFonts w:ascii="Times New Roman" w:cs="Times New Roman" w:eastAsia="Times New Roman" w:hAnsi="Times New Roman"/>
                <w:sz w:val="16"/>
                <w:szCs w:val="16"/>
                <w:b w:val="1"/>
                <w:bCs w:val="1"/>
                <w:color w:val="auto"/>
                <w:w w:val="97"/>
              </w:rPr>
              <w:t>of Equity</w:t>
            </w: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Debt Issuance</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Debt, net</w:t>
            </w:r>
          </w:p>
        </w:tc>
        <w:tc>
          <w:tcPr>
            <w:tcW w:w="13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Component, net of</w:t>
            </w:r>
          </w:p>
        </w:tc>
        <w:tc>
          <w:tcPr>
            <w:tcW w:w="0" w:type="dxa"/>
            <w:vAlign w:val="bottom"/>
          </w:tcPr>
          <w:p>
            <w:pPr>
              <w:spacing w:after="0"/>
              <w:rPr>
                <w:sz w:val="1"/>
                <w:szCs w:val="1"/>
                <w:color w:val="auto"/>
              </w:rPr>
            </w:pPr>
          </w:p>
        </w:tc>
      </w:tr>
      <w:tr>
        <w:trPr>
          <w:trHeight w:val="21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Debt Discount</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Issuance Costs</w:t>
            </w:r>
          </w:p>
        </w:tc>
        <w:tc>
          <w:tcPr>
            <w:tcW w:w="0" w:type="dxa"/>
            <w:vAlign w:val="bottom"/>
          </w:tcPr>
          <w:p>
            <w:pPr>
              <w:spacing w:after="0"/>
              <w:rPr>
                <w:sz w:val="1"/>
                <w:szCs w:val="1"/>
                <w:color w:val="auto"/>
              </w:rPr>
            </w:pPr>
          </w:p>
        </w:tc>
      </w:tr>
      <w:tr>
        <w:trPr>
          <w:trHeight w:val="23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w w:val="88"/>
              </w:rPr>
              <w:t>33</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Adoption of ASU 2020-06</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left="754"/>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January 1, 2022</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79"/>
        </w:trPr>
        <w:tc>
          <w:tcPr>
            <w:tcW w:w="22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Amortization of debt issuance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76"/>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7"/>
              </w:rPr>
              <w:t>Fair value of conversion option</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24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w w:val="97"/>
              </w:rPr>
              <w:t>transferred to other liabilities</w:t>
            </w:r>
            <w:r>
              <w:rPr>
                <w:rFonts w:ascii="Times New Roman" w:cs="Times New Roman" w:eastAsia="Times New Roman" w:hAnsi="Times New Roman"/>
                <w:sz w:val="22"/>
                <w:szCs w:val="22"/>
                <w:color w:val="auto"/>
                <w:w w:val="97"/>
                <w:vertAlign w:val="superscript"/>
              </w:rPr>
              <w:t>(2)</w:t>
            </w: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7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June 30,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77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0" w:hanging="315"/>
        <w:spacing w:after="0" w:line="233" w:lineRule="auto"/>
        <w:tabs>
          <w:tab w:leader="none" w:pos="30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result of the adoption of ASU 2020-06 during the first quarter of 2022, we no longer accounted for the liability and equity components of the convertible notes separately, and we reclassified the conversion feature related to the 2022 Convertible Notes from equity to liabilities. Prior period amounts have not been adjusted to reflect our adoption of ASU 2020-06 under the modified retrospective method. See Footnote 2 “Significant Accounting Policies and Recent Accounting Standards” for information on our adoption of ASU 2020-06.</w:t>
      </w:r>
    </w:p>
    <w:p>
      <w:pPr>
        <w:spacing w:after="0" w:line="35" w:lineRule="exact"/>
        <w:rPr>
          <w:rFonts w:ascii="Times New Roman" w:cs="Times New Roman" w:eastAsia="Times New Roman" w:hAnsi="Times New Roman"/>
          <w:sz w:val="23"/>
          <w:szCs w:val="23"/>
          <w:color w:val="auto"/>
          <w:vertAlign w:val="superscript"/>
        </w:rPr>
      </w:pPr>
    </w:p>
    <w:p>
      <w:pPr>
        <w:ind w:left="320" w:right="40" w:hanging="315"/>
        <w:spacing w:after="0" w:line="233" w:lineRule="auto"/>
        <w:tabs>
          <w:tab w:leader="none" w:pos="30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issued notice of our intent to settle the 2022 Convertible Notes in cash, which became irrevocable on June 15, 2022, and as a result, our previous exception to derivative accounting no longer applied and we were required to fair value the conversion feature on the 2022 Convertible Notes at that time. The fair value of the conversion feature of $5 million was recorded as a debt discount and a corresponding increase to Other liabilities on our balance sheet. Subsequent changes to the fair value of the conversion feature will be recorded on our income statement.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interest expense information related to the 2022 Convertible Notes.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31"/>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r>
      <w:tr>
        <w:trPr>
          <w:trHeight w:val="171"/>
        </w:trPr>
        <w:tc>
          <w:tcPr>
            <w:tcW w:w="24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Amortization of debt issuance</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4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Note Hedges and Warrants</w:t>
      </w:r>
    </w:p>
    <w:p>
      <w:pPr>
        <w:spacing w:after="0" w:line="11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In connection with the offering of the 2022 Convertible Notes, we concurrently entered into the following privately-negotiated separate transactions: convertible note hedge transactions with respect to our common stock (“2022 Convertible Note Hedges”), covering a total of approximately 1.6 million shares of our common stock, and warrant transactions (“2022 Warrants”), whereby we sold to the counterparties to the 2022 Convertible Note Hedges warrants to acquire approximately 1.6 million shares of our common stock. As of June 30, 2022, the strike prices of the 2022 Convertible Note Hedges and the 2022 Warrants were subject to adjustment to approximately $147.99 and $176.45, respectively, and no 2022 Convertible Note Hedges or 2022 Warrants have been exercised.</w:t>
      </w:r>
    </w:p>
    <w:p>
      <w:pPr>
        <w:spacing w:after="0" w:line="2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332"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2022 Note Hedges are required to follow the same settlement provisions as the 2022 Convertible Notes. As such, upon issuance of the irrevocable notice of our intent to settle the 2022 Convertible Notes in cash, our previous exception to the derivative accounting for the 2022 Convertible Note Hedges no longer applied and we were required to fair value the 2022 Convertible Note Hedges at that time. The fair value of the 2022 Convertible Note Hedges of $6 million was estimated using the Black-Scholes model based on historical and implied volatility and the U.S. Treasury risk-free rate (Level 2 inputs) and recorded in Other assets and Additional paid-in capital on our balance sheet. Subsequent changes to the fair value of the 2022 Convertible Note Hedges will be recorded on our income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Convertible Notes</w:t>
      </w:r>
    </w:p>
    <w:p>
      <w:pPr>
        <w:spacing w:after="0" w:line="113" w:lineRule="exact"/>
        <w:rPr>
          <w:sz w:val="20"/>
          <w:szCs w:val="20"/>
          <w:color w:val="auto"/>
        </w:rPr>
      </w:pPr>
    </w:p>
    <w:p>
      <w:pPr>
        <w:ind w:right="500"/>
        <w:spacing w:after="0" w:line="332" w:lineRule="auto"/>
        <w:rPr>
          <w:sz w:val="20"/>
          <w:szCs w:val="20"/>
          <w:color w:val="auto"/>
        </w:rPr>
      </w:pPr>
      <w:r>
        <w:rPr>
          <w:rFonts w:ascii="Times New Roman" w:cs="Times New Roman" w:eastAsia="Times New Roman" w:hAnsi="Times New Roman"/>
          <w:sz w:val="16"/>
          <w:szCs w:val="16"/>
          <w:color w:val="auto"/>
        </w:rPr>
        <w:t>During 2021, we issued $575 million aggregate principal amount of convertible senior notes (the “2026 Convertible Notes”) that bear interest at a rate of 0.00%. The 2026 Convertible Notes mature on January 15, 2026, unless repurchased or converted in accordance with their terms prior to that date.</w:t>
      </w:r>
    </w:p>
    <w:p>
      <w:pPr>
        <w:spacing w:after="0" w:line="1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conversion rate is subject to adjustment for certain events as described in the indenture governing the notes, and was subject to adjustment as of June 30, 2022 to 5.9395 shares of common stock per $1,000 principal amount of 2026 Convertible Notes (equivalent to a conversion price of $168.36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June 30, 2022, the effective interest rate was 0.55%.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net carrying value of the 2026 Convertible Notes.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120" w:type="dxa"/>
            <w:vAlign w:val="bottom"/>
          </w:tcPr>
          <w:p>
            <w:pPr>
              <w:spacing w:after="0"/>
              <w:rPr>
                <w:sz w:val="18"/>
                <w:szCs w:val="18"/>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At December 31, 2021</w:t>
            </w:r>
          </w:p>
        </w:tc>
      </w:tr>
      <w:tr>
        <w:trPr>
          <w:trHeight w:val="232"/>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component</w:t>
            </w:r>
          </w:p>
        </w:tc>
        <w:tc>
          <w:tcPr>
            <w:tcW w:w="180" w:type="dxa"/>
            <w:vAlign w:val="bottom"/>
            <w:tcBorders>
              <w:top w:val="single" w:sz="8" w:color="auto"/>
            </w:tcBorders>
            <w:shd w:val="clear" w:color="auto" w:fill="CCEEFF"/>
          </w:tcPr>
          <w:p>
            <w:pPr>
              <w:spacing w:after="0"/>
              <w:rPr>
                <w:sz w:val="20"/>
                <w:szCs w:val="20"/>
                <w:color w:val="auto"/>
              </w:rPr>
            </w:pPr>
          </w:p>
        </w:tc>
        <w:tc>
          <w:tcPr>
            <w:tcW w:w="15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r>
      <w:tr>
        <w:trPr>
          <w:trHeight w:val="25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amount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575</w:t>
            </w:r>
          </w:p>
        </w:tc>
      </w:tr>
      <w:tr>
        <w:trPr>
          <w:trHeight w:val="25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Unamortized debt discount</w:t>
            </w:r>
            <w:r>
              <w:rPr>
                <w:rFonts w:ascii="Times New Roman" w:cs="Times New Roman" w:eastAsia="Times New Roman" w:hAnsi="Times New Roman"/>
                <w:sz w:val="10"/>
                <w:szCs w:val="10"/>
                <w:color w:val="auto"/>
              </w:rPr>
              <w:t>(1)</w:t>
            </w: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0"/>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 of the liability component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5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of equity component, net of issuance costs</w:t>
            </w:r>
            <w:r>
              <w:rPr>
                <w:rFonts w:ascii="Times New Roman" w:cs="Times New Roman" w:eastAsia="Times New Roman" w:hAnsi="Times New Roman"/>
                <w:sz w:val="10"/>
                <w:szCs w:val="10"/>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r>
      <w:tr>
        <w:trPr>
          <w:trHeight w:val="29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ind w:left="320" w:right="140" w:hanging="315"/>
        <w:spacing w:after="0" w:line="230" w:lineRule="auto"/>
        <w:tabs>
          <w:tab w:leader="none" w:pos="30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result of adoption of ASU 2020-06 during the first quarter of 2022, we no longer account for the liability and equity components of the convertible notes separately, and we reclassified the conversion feature related to the 2026 Convertible Notes from equity to liabilities. Prior period amounts have not been adjusted to reflect our adoption of ASU 2020-06 under the modified retrospective method. See Footnote 2 “Significant Accounting Policies and Recent Accounting Standards” for information on our adoption of ASU 2020-06.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interest expense information related to the 2026 Convertible Notes.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00" w:type="dxa"/>
            <w:vAlign w:val="bottom"/>
            <w:gridSpan w:val="4"/>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3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r>
      <w:tr>
        <w:trPr>
          <w:trHeight w:val="171"/>
        </w:trPr>
        <w:tc>
          <w:tcPr>
            <w:tcW w:w="24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Amortization of debt issuance</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7"/>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80" w:type="dxa"/>
            <w:vAlign w:val="bottom"/>
          </w:tcPr>
          <w:p>
            <w:pPr>
              <w:spacing w:after="0"/>
              <w:rPr>
                <w:sz w:val="20"/>
                <w:szCs w:val="20"/>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24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Convertible Note Hedges and Warrants</w:t>
      </w:r>
    </w:p>
    <w:p>
      <w:pPr>
        <w:spacing w:after="0" w:line="11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In connection with the offering of the 2026 Convertible Notes, we concurrently entered into the following privately-negotiated separate transactions: convertible note hedge transactions with respect to our common stock (“2026 Convertible Note Hedges”), covering a total of approximately 3.4 million shares of our common stock, and warrant transactions (“2026 Warrants”), whereby we sold to the counterparties to the 2026 Convertible Note Hedges, warrants to acquire approximately 3.4 million shares of our common stock. As of June 30, 2022, the strike prices of the 2026 Convertible Note Hedges and the 2026 Warrants were subject to adjustment to approximately $168.36 and $210.45, respectively, and no 2026 Convertible Note Hedges or 2026 Warrants have been exercised.</w:t>
      </w:r>
    </w:p>
    <w:p>
      <w:pPr>
        <w:spacing w:after="0" w:line="2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and Guarantees</w:t>
      </w:r>
    </w:p>
    <w:p>
      <w:pPr>
        <w:spacing w:after="0" w:line="113"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8"/>
          <w:szCs w:val="18"/>
          <w:color w:val="auto"/>
        </w:rPr>
        <w:t>Amounts borrowed under the Corporate Credit Facility and the 2025 Notes,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2026 Convertible Notes, the 2025 Notes, the 2028 Notes, and the 2029 Notes are guaranteed by MVWC and certain of our direct and indirect, existing and future, domestic subsidiaries, excluding bankruptcy remote special purpose subsidiaries</w:t>
      </w:r>
      <w:r>
        <w:rPr>
          <w:rFonts w:ascii="Times New Roman" w:cs="Times New Roman" w:eastAsia="Times New Roman" w:hAnsi="Times New Roman"/>
          <w:sz w:val="18"/>
          <w:szCs w:val="18"/>
          <w:color w:val="EE2724"/>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Bearing Note Payable</w:t>
      </w:r>
    </w:p>
    <w:p>
      <w:pPr>
        <w:spacing w:after="0" w:line="11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During the first quarter of 2022, we issued a non-interest bearing note payable in connection with the acquisition of vacation ownership units located in Bali, Indonesia. See Footnote 3 “Acquisitions and Dispositions” for additional information on this transaction.</w:t>
      </w:r>
    </w:p>
    <w:p>
      <w:pPr>
        <w:spacing w:after="0" w:line="246" w:lineRule="exact"/>
        <w:rPr>
          <w:sz w:val="20"/>
          <w:szCs w:val="20"/>
          <w:color w:val="auto"/>
        </w:rPr>
      </w:pPr>
    </w:p>
    <w:p>
      <w:pPr>
        <w:ind w:left="480" w:hanging="457"/>
        <w:spacing w:after="0"/>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Marriott Vacations Worldwide has 100,000,000 authorized shares of common stock, par value of $0.01 per share. At June 30, 2022, there were 75,741,585 shares of Marriott Vacations Worldwide common stock issued, of which 40,364,584 shares were outstanding and 35,377,001 shares were held as treasury stock. At December 31, 2021, there were 75,519,049 shares of Marriott Vacations Worldwide common stock issued, of which 42,283,378 shares were outstanding and 33,235,671 shares were held as treasury stock. Marriott Vacations Worldwide has 2,000,000 authorized shares of preferred stock, par value of $0.01 per share, none of which were issued or outstanding as of June 30, 2022 or December 31, 2021.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1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From time to time, with the approval of our Board of Directors, we may undertake programs to purchase our own shares (each, a “Share Repurchase Program” and collectively, the “Share Repurchase Programs”). During the third quarter of 2021, our Board of Directors authorized us to purchase shares of our common stock under a Share Repurchase Program for an aggregate purchase price not to exceed $250 million, prior to December 31, 2022. During the first quarter of 2022, our Board of Directors authorized the purchase of up to an additional $300 million of our common stock under this program, as well as the extension of the term of this program to March 31,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approximately $160 million remained available for share repurchases under the Share Repurchase Program.</w:t>
      </w:r>
    </w:p>
    <w:p>
      <w:pPr>
        <w:spacing w:after="0" w:line="109"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Subsequent to the end of the second quarter of 2022, our Board of Directors authorized the repurchase of up to an additional $500 million of our common stock, as well as the extension of the term of the Share Repurchase Program to June 30, 2023.</w:t>
      </w:r>
    </w:p>
    <w:p>
      <w:pPr>
        <w:spacing w:after="0" w:line="6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under our Share Repurchase Programs: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26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Cost of Shares</w:t>
            </w:r>
          </w:p>
        </w:tc>
        <w:tc>
          <w:tcPr>
            <w:tcW w:w="240" w:type="dxa"/>
            <w:vAlign w:val="bottom"/>
          </w:tcPr>
          <w:p>
            <w:pPr>
              <w:spacing w:after="0"/>
              <w:rPr>
                <w:sz w:val="16"/>
                <w:szCs w:val="16"/>
                <w:color w:val="auto"/>
              </w:rPr>
            </w:pPr>
          </w:p>
        </w:tc>
        <w:tc>
          <w:tcPr>
            <w:tcW w:w="3920" w:type="dxa"/>
            <w:vAlign w:val="bottom"/>
            <w:gridSpan w:val="2"/>
          </w:tcPr>
          <w:p>
            <w:pPr>
              <w:jc w:val="center"/>
              <w:ind w:right="2660"/>
              <w:spacing w:after="0"/>
              <w:rPr>
                <w:sz w:val="20"/>
                <w:szCs w:val="20"/>
                <w:color w:val="auto"/>
              </w:rPr>
            </w:pPr>
            <w:r>
              <w:rPr>
                <w:rFonts w:ascii="Times New Roman" w:cs="Times New Roman" w:eastAsia="Times New Roman" w:hAnsi="Times New Roman"/>
                <w:sz w:val="16"/>
                <w:szCs w:val="16"/>
                <w:b w:val="1"/>
                <w:bCs w:val="1"/>
                <w:color w:val="auto"/>
                <w:w w:val="97"/>
              </w:rPr>
              <w:t>Average Price</w:t>
            </w:r>
          </w:p>
        </w:tc>
      </w:tr>
      <w:tr>
        <w:trPr>
          <w:trHeight w:val="21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Repurchased</w:t>
            </w:r>
          </w:p>
        </w:tc>
        <w:tc>
          <w:tcPr>
            <w:tcW w:w="26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Repurchased</w:t>
            </w:r>
          </w:p>
        </w:tc>
        <w:tc>
          <w:tcPr>
            <w:tcW w:w="240" w:type="dxa"/>
            <w:vAlign w:val="bottom"/>
          </w:tcPr>
          <w:p>
            <w:pPr>
              <w:spacing w:after="0"/>
              <w:rPr>
                <w:sz w:val="18"/>
                <w:szCs w:val="18"/>
                <w:color w:val="auto"/>
              </w:rPr>
            </w:pPr>
          </w:p>
        </w:tc>
        <w:tc>
          <w:tcPr>
            <w:tcW w:w="3920" w:type="dxa"/>
            <w:vAlign w:val="bottom"/>
            <w:gridSpan w:val="2"/>
          </w:tcPr>
          <w:p>
            <w:pPr>
              <w:jc w:val="center"/>
              <w:ind w:right="2640"/>
              <w:spacing w:after="0"/>
              <w:rPr>
                <w:sz w:val="20"/>
                <w:szCs w:val="20"/>
                <w:color w:val="auto"/>
              </w:rPr>
            </w:pPr>
            <w:r>
              <w:rPr>
                <w:rFonts w:ascii="Times New Roman" w:cs="Times New Roman" w:eastAsia="Times New Roman" w:hAnsi="Times New Roman"/>
                <w:sz w:val="16"/>
                <w:szCs w:val="16"/>
                <w:b w:val="1"/>
                <w:bCs w:val="1"/>
                <w:color w:val="auto"/>
                <w:w w:val="97"/>
              </w:rPr>
              <w:t>Paid per Share</w:t>
            </w:r>
          </w:p>
        </w:tc>
      </w:tr>
      <w:tr>
        <w:trPr>
          <w:trHeight w:val="23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17,681,395</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2400" w:type="dxa"/>
            <w:vAlign w:val="bottom"/>
          </w:tcPr>
          <w:p>
            <w:pPr>
              <w:spacing w:after="0"/>
              <w:rPr>
                <w:sz w:val="20"/>
                <w:szCs w:val="20"/>
                <w:color w:val="auto"/>
              </w:rPr>
            </w:pPr>
          </w:p>
        </w:tc>
      </w:tr>
      <w:tr>
        <w:trPr>
          <w:trHeight w:val="250"/>
        </w:trPr>
        <w:tc>
          <w:tcPr>
            <w:tcW w:w="3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 the first half of 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2,187,336</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2400" w:type="dxa"/>
            <w:vAlign w:val="bottom"/>
          </w:tcPr>
          <w:p>
            <w:pPr>
              <w:spacing w:after="0"/>
              <w:rPr>
                <w:sz w:val="21"/>
                <w:szCs w:val="21"/>
                <w:color w:val="auto"/>
              </w:rPr>
            </w:pPr>
          </w:p>
        </w:tc>
      </w:tr>
      <w:tr>
        <w:trPr>
          <w:trHeight w:val="242"/>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19,868,731</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2400" w:type="dxa"/>
            <w:vAlign w:val="bottom"/>
          </w:tcPr>
          <w:p>
            <w:pPr>
              <w:spacing w:after="0"/>
              <w:rPr>
                <w:sz w:val="20"/>
                <w:szCs w:val="20"/>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538"/>
        </w:trPr>
        <w:tc>
          <w:tcPr>
            <w:tcW w:w="3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454"/>
        </w:trPr>
        <w:tc>
          <w:tcPr>
            <w:tcW w:w="32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740"/>
        <w:spacing w:after="0" w:line="332" w:lineRule="auto"/>
        <w:rPr>
          <w:sz w:val="20"/>
          <w:szCs w:val="20"/>
          <w:color w:val="auto"/>
        </w:rPr>
      </w:pPr>
      <w:r>
        <w:rPr>
          <w:rFonts w:ascii="Times New Roman" w:cs="Times New Roman" w:eastAsia="Times New Roman" w:hAnsi="Times New Roman"/>
          <w:sz w:val="16"/>
          <w:szCs w:val="16"/>
          <w:color w:val="auto"/>
        </w:rPr>
        <w:t>We declared cash dividends to holders of common stock during the first half of 2022 as follows. Any future dividend payments will be subject to the restrictions imposed under the agreements covering our debt, and Board approval. There can be no assurance that we will pay dividends in the future.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Declaration Date</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Shareholder Record Date</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Distribution Date</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Dividend per Share</w:t>
            </w:r>
          </w:p>
        </w:tc>
      </w:tr>
      <w:tr>
        <w:trPr>
          <w:trHeight w:val="232"/>
        </w:trPr>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18, 2022</w:t>
            </w:r>
          </w:p>
        </w:tc>
        <w:tc>
          <w:tcPr>
            <w:tcW w:w="120" w:type="dxa"/>
            <w:vAlign w:val="bottom"/>
            <w:tcBorders>
              <w:top w:val="single" w:sz="8" w:color="CCEEFF"/>
            </w:tcBorders>
            <w:shd w:val="clear" w:color="auto" w:fill="CCEEFF"/>
          </w:tcPr>
          <w:p>
            <w:pPr>
              <w:spacing w:after="0"/>
              <w:rPr>
                <w:sz w:val="20"/>
                <w:szCs w:val="20"/>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March 3, 2022</w:t>
            </w:r>
          </w:p>
        </w:tc>
        <w:tc>
          <w:tcPr>
            <w:tcW w:w="140" w:type="dxa"/>
            <w:vAlign w:val="bottom"/>
            <w:tcBorders>
              <w:top w:val="single" w:sz="8" w:color="CCEEFF"/>
            </w:tcBorders>
            <w:shd w:val="clear" w:color="auto" w:fill="CCEEFF"/>
          </w:tcPr>
          <w:p>
            <w:pPr>
              <w:spacing w:after="0"/>
              <w:rPr>
                <w:sz w:val="20"/>
                <w:szCs w:val="20"/>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March 17, 2022</w:t>
            </w:r>
          </w:p>
        </w:tc>
        <w:tc>
          <w:tcPr>
            <w:tcW w:w="120" w:type="dxa"/>
            <w:vAlign w:val="bottom"/>
            <w:tcBorders>
              <w:top w:val="single" w:sz="8" w:color="CCEEFF"/>
            </w:tcBorders>
            <w:shd w:val="clear" w:color="auto" w:fill="CCEEFF"/>
          </w:tcPr>
          <w:p>
            <w:pPr>
              <w:spacing w:after="0"/>
              <w:rPr>
                <w:sz w:val="20"/>
                <w:szCs w:val="20"/>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$0.62</w:t>
            </w:r>
          </w:p>
        </w:tc>
      </w:tr>
      <w:tr>
        <w:trPr>
          <w:trHeight w:val="236"/>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May 12, 2022</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May 26, 2022</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June 9, 2022</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$0.62</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 Owners’ Associations</w:t>
      </w:r>
    </w:p>
    <w:p>
      <w:pPr>
        <w:spacing w:after="0" w:line="1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consolidate certain owners’ associations. Noncontrolling interests represent the portion of the owners’ associations related to third-party vacation ownership interest owners. Noncontrolling interests of $1 million and $10 million, as of June 30, 2022 and December 31, 2021, respectively, are included on our Balance Sheets as a component of equity.</w:t>
      </w:r>
    </w:p>
    <w:p>
      <w:pPr>
        <w:spacing w:after="0" w:line="257" w:lineRule="exact"/>
        <w:rPr>
          <w:sz w:val="20"/>
          <w:szCs w:val="20"/>
          <w:color w:val="auto"/>
        </w:rPr>
      </w:pPr>
    </w:p>
    <w:p>
      <w:pPr>
        <w:ind w:left="480" w:hanging="457"/>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03"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6"/>
          <w:szCs w:val="16"/>
          <w:color w:val="auto"/>
        </w:rPr>
        <w:t>We maintain the Marriott Vacations Worldwide Corporation 2020 Equity Incentive Plan (the “MVW Equity Plan”) for the benefit of our officers, directors, and employees. Under the MVW Equity Plan, we are authorized to award: (1) restricted stock units (“RSUs”) of our common stock, (2) stock appreciation rights (“SARs”) relating to our common stock, and (3) stock options to purchase our common stock. A total of 1.8 million shares are authorized for issuance pursuant to grants under the MVW Equity Plan. As of June 30, 2022, approximately 1.0 million shares were available for grants under the MVW Equity Plan.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our share-based compensation expense related to award grants to our officers, directors, and employees: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80" w:type="dxa"/>
            <w:vAlign w:val="bottom"/>
            <w:tcBorders>
              <w:bottom w:val="single" w:sz="8" w:color="auto"/>
            </w:tcBorders>
          </w:tcPr>
          <w:p>
            <w:pPr>
              <w:spacing w:after="0"/>
              <w:rPr>
                <w:sz w:val="18"/>
                <w:szCs w:val="18"/>
                <w:color w:val="auto"/>
              </w:rPr>
            </w:pPr>
          </w:p>
        </w:tc>
      </w:tr>
      <w:tr>
        <w:trPr>
          <w:trHeight w:val="205"/>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80" w:type="dxa"/>
            <w:vAlign w:val="bottom"/>
          </w:tcPr>
          <w:p>
            <w:pPr>
              <w:spacing w:after="0"/>
              <w:rPr>
                <w:sz w:val="17"/>
                <w:szCs w:val="17"/>
                <w:color w:val="auto"/>
              </w:rPr>
            </w:pPr>
          </w:p>
        </w:tc>
      </w:tr>
      <w:tr>
        <w:trPr>
          <w:trHeight w:val="231"/>
        </w:trPr>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14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15</w:t>
            </w:r>
          </w:p>
        </w:tc>
      </w:tr>
      <w:tr>
        <w:trPr>
          <w:trHeight w:val="250"/>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18</w:t>
            </w:r>
          </w:p>
        </w:tc>
      </w:tr>
      <w:tr>
        <w:trPr>
          <w:trHeight w:val="250"/>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r>
      <w:tr>
        <w:trPr>
          <w:trHeight w:val="242"/>
        </w:trPr>
        <w:tc>
          <w:tcPr>
            <w:tcW w:w="1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22</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our deferred compensation costs related to unvested awards: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120" w:type="dxa"/>
            <w:vAlign w:val="bottom"/>
          </w:tcPr>
          <w:p>
            <w:pPr>
              <w:spacing w:after="0"/>
              <w:rPr>
                <w:sz w:val="18"/>
                <w:szCs w:val="18"/>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At December 31, 2021</w:t>
            </w:r>
          </w:p>
        </w:tc>
      </w:tr>
      <w:tr>
        <w:trPr>
          <w:trHeight w:val="232"/>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SARs</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r>
      <w:tr>
        <w:trPr>
          <w:trHeight w:val="242"/>
        </w:trPr>
        <w:tc>
          <w:tcPr>
            <w:tcW w:w="4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13"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We granted 177,951 service-based RSUs, which are subject to time-based vesting conditions, with a weighted average grant-date fair value of $152.18, to our employees and non-employee directors during the first half of 2022. During the first half of 2022, we also granted performance-based RSUs, which are subject to performance-based vesting conditions, to members of management. A maximum of 135,012 RSUs may be earned under the performance-based RSU awards granted during the first half of 2022.</w:t>
      </w:r>
    </w:p>
    <w:p>
      <w:pPr>
        <w:spacing w:after="0" w:line="2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1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granted 77,037 SARs, with a weighted average grant-date fair value of $59.68 and a weighted average exercise price of $159.27, to members of management during the first half of 2022.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assumptions used to estimate the fair value of grants during the first half of 2022:</w:t>
      </w:r>
    </w:p>
    <w:p>
      <w:pPr>
        <w:spacing w:after="0" w:line="154" w:lineRule="exact"/>
        <w:rPr>
          <w:sz w:val="20"/>
          <w:szCs w:val="20"/>
          <w:color w:val="auto"/>
        </w:rPr>
      </w:pPr>
    </w:p>
    <w:tbl>
      <w:tblPr>
        <w:tblLayout w:type="fixed"/>
        <w:tblInd w:w="1900" w:type="dxa"/>
        <w:tblCellMar>
          <w:top w:w="0" w:type="dxa"/>
          <w:left w:w="0" w:type="dxa"/>
          <w:bottom w:w="0" w:type="dxa"/>
          <w:right w:w="0" w:type="dxa"/>
        </w:tblCellMar>
      </w:tblPr>
      <w:tr>
        <w:trPr>
          <w:trHeight w:val="25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6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7"/>
              </w:rPr>
              <w:t>42.86%</w:t>
            </w:r>
          </w:p>
        </w:tc>
      </w:tr>
      <w:tr>
        <w:trPr>
          <w:trHeight w:val="25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6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8"/>
              </w:rPr>
              <w:t>1.53%</w:t>
            </w:r>
          </w:p>
        </w:tc>
      </w:tr>
      <w:tr>
        <w:trPr>
          <w:trHeight w:val="25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206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w w:val="98"/>
              </w:rPr>
              <w:t>1.77%</w:t>
            </w:r>
          </w:p>
        </w:tc>
      </w:tr>
      <w:tr>
        <w:trPr>
          <w:trHeight w:val="24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6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w w:val="95"/>
              </w:rPr>
              <w:t>6.25</w:t>
            </w:r>
          </w:p>
        </w:tc>
      </w:tr>
    </w:tbl>
    <w:p>
      <w:pPr>
        <w:spacing w:after="0" w:line="362" w:lineRule="exact"/>
        <w:rPr>
          <w:sz w:val="20"/>
          <w:szCs w:val="20"/>
          <w:color w:val="auto"/>
        </w:rPr>
      </w:pPr>
    </w:p>
    <w:p>
      <w:pPr>
        <w:ind w:left="480" w:hanging="457"/>
        <w:spacing w:after="0"/>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 Related to Our Vacation Ownership Notes Receivable Securitizations</w:t>
      </w:r>
    </w:p>
    <w:p>
      <w:pPr>
        <w:spacing w:after="0" w:line="11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liquidity for general corporate purposes.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The following table shows consolidated assets, which are collateral for the obligations of these VIEs, and consolidated liabilities included on our Balance Sheet at June 30,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Vacation Ownership</w:t>
            </w:r>
          </w:p>
        </w:tc>
        <w:tc>
          <w:tcPr>
            <w:tcW w:w="200" w:type="dxa"/>
            <w:vAlign w:val="bottom"/>
          </w:tcPr>
          <w:p>
            <w:pPr>
              <w:spacing w:after="0"/>
              <w:rPr>
                <w:sz w:val="16"/>
                <w:szCs w:val="16"/>
                <w:color w:val="auto"/>
              </w:rPr>
            </w:pPr>
          </w:p>
        </w:tc>
        <w:tc>
          <w:tcPr>
            <w:tcW w:w="1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Warehouse</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Notes Receivable</w:t>
            </w:r>
          </w:p>
        </w:tc>
        <w:tc>
          <w:tcPr>
            <w:tcW w:w="2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3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Securitizations</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Credit Facility</w:t>
            </w:r>
          </w:p>
        </w:tc>
        <w:tc>
          <w:tcPr>
            <w:tcW w:w="340" w:type="dxa"/>
            <w:vAlign w:val="bottom"/>
          </w:tcPr>
          <w:p>
            <w:pPr>
              <w:spacing w:after="0"/>
              <w:rPr>
                <w:sz w:val="18"/>
                <w:szCs w:val="18"/>
                <w:color w:val="auto"/>
              </w:rPr>
            </w:pPr>
          </w:p>
        </w:tc>
        <w:tc>
          <w:tcPr>
            <w:tcW w:w="3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Assets</w:t>
            </w:r>
          </w:p>
        </w:tc>
        <w:tc>
          <w:tcPr>
            <w:tcW w:w="12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5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Vacation ownership notes receivable, net of</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1,659</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1,779</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Securitized debt</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1,868</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5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1,870</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interest income and expense recognized as a result of our involvement with these VIEs during the second quarter of 2022: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Vacation Ownership</w:t>
            </w:r>
          </w:p>
        </w:tc>
        <w:tc>
          <w:tcPr>
            <w:tcW w:w="220" w:type="dxa"/>
            <w:vAlign w:val="bottom"/>
          </w:tcPr>
          <w:p>
            <w:pPr>
              <w:spacing w:after="0"/>
              <w:rPr>
                <w:sz w:val="16"/>
                <w:szCs w:val="16"/>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Warehouse</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Notes Receivable</w:t>
            </w:r>
          </w:p>
        </w:tc>
        <w:tc>
          <w:tcPr>
            <w:tcW w:w="22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vMerge w:val="restart"/>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Securitizations</w:t>
            </w:r>
          </w:p>
        </w:tc>
        <w:tc>
          <w:tcPr>
            <w:tcW w:w="2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Credit Facility</w:t>
            </w: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to investors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interest income and expense recognized as a result of our involvement with these VIEs during the first half of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Vacation Ownership</w:t>
            </w:r>
          </w:p>
        </w:tc>
        <w:tc>
          <w:tcPr>
            <w:tcW w:w="220" w:type="dxa"/>
            <w:vAlign w:val="bottom"/>
          </w:tcPr>
          <w:p>
            <w:pPr>
              <w:spacing w:after="0"/>
              <w:rPr>
                <w:sz w:val="16"/>
                <w:szCs w:val="16"/>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Warehouse</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Notes Receivable</w:t>
            </w:r>
          </w:p>
        </w:tc>
        <w:tc>
          <w:tcPr>
            <w:tcW w:w="22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vMerge w:val="restart"/>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Securitizations</w:t>
            </w:r>
          </w:p>
        </w:tc>
        <w:tc>
          <w:tcPr>
            <w:tcW w:w="2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7"/>
              </w:rPr>
              <w:t>Credit Facility</w:t>
            </w: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to investors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cash flows between us and the vacation ownership notes receivable securitization VIEs: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1033"/>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3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Inflows</w:t>
            </w:r>
          </w:p>
        </w:tc>
        <w:tc>
          <w:tcPr>
            <w:tcW w:w="24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r>
      <w:tr>
        <w:trPr>
          <w:trHeight w:val="171"/>
        </w:trPr>
        <w:tc>
          <w:tcPr>
            <w:tcW w:w="504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Net proceeds from vacation ownership notes receivable</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7"/>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securitizations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421</w:t>
            </w:r>
          </w:p>
        </w:tc>
      </w:tr>
      <w:tr>
        <w:trPr>
          <w:trHeight w:val="25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receipts</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w:t>
            </w: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receipts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r>
      <w:tr>
        <w:trPr>
          <w:trHeight w:val="25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release</w:t>
            </w: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5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923</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to investors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171"/>
        </w:trPr>
        <w:tc>
          <w:tcPr>
            <w:tcW w:w="504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8"/>
                <w:szCs w:val="18"/>
                <w:color w:val="auto"/>
              </w:rPr>
              <w:t>Voluntary repurchases of defaulted vacation ownership notes</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37"/>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Voluntary clean-up call</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to investors</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Funding of restricted cash</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2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332"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cash flows between us and the Warehouse Credit Facility VIE: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Pr>
          <w:p>
            <w:pPr>
              <w:spacing w:after="0"/>
              <w:rPr>
                <w:sz w:val="20"/>
                <w:szCs w:val="20"/>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3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Inflows</w:t>
            </w:r>
          </w:p>
        </w:tc>
        <w:tc>
          <w:tcPr>
            <w:tcW w:w="24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vacation ownership notes receivable securitizations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receipts</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receipts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release</w:t>
            </w: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to investors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Warehouse Credit Facility</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to investors</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Funding of restricted cash</w:t>
            </w: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Variable Interest Entities</w:t>
      </w:r>
    </w:p>
    <w:p>
      <w:pPr>
        <w:spacing w:after="0" w:line="11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We have a commitment to purchase a property located in Waikiki, Hawaii which is held by a VIE for which we are not the primary beneficiary. Accordingly, we have not consolidated the VIE. During the second quarter of 2022, we extended a loan to the VIE for $47 million and amended the terms of this commitment. If we are unable to negotiate a capital efficient inventory arrangement under which a third party will develop the property and agree to resell it to us at a later date, we are committed to purchase the property, in its then current form, for $80 million in the fourth quarter of 2022, unless it has been sold to another party. The loan extended to the VIE is due in full upon the earlier of sale of the property, including a sale to us, or an amendment and restatement of our purchase commitment. In the latter case, the existing loan of $47 million would be repaid to us as part of that revised purchase commitment. As of June 30, 2022, our Balance Sheet reflected $48 million in Accounts Receivable, including the note receivable of $47 million. We believe that our maximum exposure to loss as a result of our involvement with this VIE is approximately $48 million as of June 30,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1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consolidate the liabilities of the Marriott Vacations Worldwide Deferred Compensation Plan and the related assets, which consist of the COLI policies held in the rabbi trust. The rabbi trust is considered a VIE. We are considered the primary beneficiary of the rabbi trust because we direct the activities of the trust and are the beneficiary of the trust. At June 30, 2022, the value of the assets held in the rabbi trust was $71 million, which is included in the Other line within assets on our Balance Sheets.</w:t>
      </w:r>
    </w:p>
    <w:p>
      <w:pPr>
        <w:spacing w:after="0" w:line="260" w:lineRule="exact"/>
        <w:rPr>
          <w:sz w:val="20"/>
          <w:szCs w:val="20"/>
          <w:color w:val="auto"/>
        </w:rPr>
      </w:pPr>
    </w:p>
    <w:p>
      <w:pPr>
        <w:ind w:left="480" w:hanging="457"/>
        <w:spacing w:after="0"/>
        <w:tabs>
          <w:tab w:leader="none" w:pos="4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w:t>
      </w:r>
    </w:p>
    <w:p>
      <w:pPr>
        <w:spacing w:after="0" w:line="203" w:lineRule="exact"/>
        <w:rPr>
          <w:sz w:val="20"/>
          <w:szCs w:val="20"/>
          <w:color w:val="auto"/>
        </w:rPr>
      </w:pPr>
    </w:p>
    <w:p>
      <w:pPr>
        <w:spacing w:after="0" w:line="332" w:lineRule="auto"/>
        <w:rPr>
          <w:sz w:val="20"/>
          <w:szCs w:val="20"/>
          <w:color w:val="auto"/>
        </w:rPr>
      </w:pPr>
      <w:r>
        <w:rPr>
          <w:rFonts w:ascii="Times New Roman" w:cs="Times New Roman" w:eastAsia="Times New Roman" w:hAnsi="Times New Roman"/>
          <w:sz w:val="16"/>
          <w:szCs w:val="16"/>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17" w:lineRule="exact"/>
        <w:rPr>
          <w:sz w:val="20"/>
          <w:szCs w:val="20"/>
          <w:color w:val="auto"/>
        </w:rPr>
      </w:pPr>
    </w:p>
    <w:p>
      <w:pPr>
        <w:ind w:left="320" w:right="80" w:hanging="315"/>
        <w:spacing w:after="0" w:line="248" w:lineRule="auto"/>
        <w:tabs>
          <w:tab w:leader="none" w:pos="3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have a license to use the St. Regis brand for specified fractional ownership resorts.</w:t>
      </w:r>
    </w:p>
    <w:p>
      <w:pPr>
        <w:spacing w:after="0" w:line="2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20" w:right="460" w:hanging="315"/>
        <w:spacing w:after="0" w:line="256" w:lineRule="auto"/>
        <w:tabs>
          <w:tab w:leader="none" w:pos="3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74" w:lineRule="exact"/>
        <w:rPr>
          <w:rFonts w:ascii="Times New Roman" w:cs="Times New Roman" w:eastAsia="Times New Roman" w:hAnsi="Times New Roman"/>
          <w:sz w:val="18"/>
          <w:szCs w:val="18"/>
          <w:color w:val="auto"/>
        </w:rPr>
      </w:pPr>
    </w:p>
    <w:p>
      <w:pPr>
        <w:ind w:left="320" w:right="220" w:hanging="315"/>
        <w:spacing w:after="0" w:line="250" w:lineRule="auto"/>
        <w:tabs>
          <w:tab w:leader="none" w:pos="316"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Exchange &amp; Third-Party Management includes exchange networks and membership programs, as well as provision of management services to other resorts and lodging properties. We provide these services through Interval International and Aqua-Aston. Exchange &amp; Third-Party Management revenue generally is fee-based and derived from membership, exchange and rental transactions, owners’ association management, and other related products and services. VRI Americas was part of the Exchange &amp; Third-Party Management segment through the date of sale in April 2022. See Footnote 3 “Acquisitions and Dispositions” for more information on the disposition of VRI Americas.</w:t>
      </w:r>
    </w:p>
    <w:p>
      <w:pPr>
        <w:spacing w:after="0" w:line="7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5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Our CODM uses Adjusted EBITDA to evaluate the profitability of our operating segments, and the components of net income or loss attributable to common shareholders excluded from Adjusted EBITDA are not separately evaluated. Adjusted EBITDA is defined as net income or loss attributable to common shareholders, before interest expense (excluding consumer financing interest expense associated with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or loss attributable to common shareholders is presented below.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Pr>
          <w:p>
            <w:pPr>
              <w:spacing w:after="0"/>
              <w:rPr>
                <w:sz w:val="20"/>
                <w:szCs w:val="20"/>
                <w:color w:val="auto"/>
              </w:rPr>
            </w:pPr>
          </w:p>
        </w:tc>
        <w:tc>
          <w:tcPr>
            <w:tcW w:w="3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245"/>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w:t>
            </w: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Exchange &amp; Third-Party</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Management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revenues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1,716</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1,738</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3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i w:val="1"/>
                <w:iCs w:val="1"/>
                <w:color w:val="auto"/>
                <w:w w:val="98"/>
              </w:rPr>
              <w:t>Adjusted EBITDA and Reconciliation to Net Income or Loss Attributable to Common Shareholders</w:t>
            </w:r>
          </w:p>
        </w:tc>
        <w:tc>
          <w:tcPr>
            <w:tcW w:w="12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Pr>
          <w:p>
            <w:pPr>
              <w:spacing w:after="0"/>
              <w:rPr>
                <w:sz w:val="20"/>
                <w:szCs w:val="20"/>
                <w:color w:val="auto"/>
              </w:rPr>
            </w:pPr>
          </w:p>
        </w:tc>
        <w:tc>
          <w:tcPr>
            <w:tcW w:w="3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153"/>
        </w:trPr>
        <w:tc>
          <w:tcPr>
            <w:tcW w:w="250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6"/>
                <w:szCs w:val="16"/>
                <w:color w:val="auto"/>
              </w:rPr>
              <w:t>Adjusted EBITDA Vacation</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Ownership</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250</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Adjusted EBITDA Exchange &amp;</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Management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provision</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500" w:type="dxa"/>
            <w:vAlign w:val="bottom"/>
          </w:tcPr>
          <w:p>
            <w:pPr>
              <w:ind w:left="220"/>
              <w:spacing w:after="0" w:line="171" w:lineRule="exact"/>
              <w:rPr>
                <w:sz w:val="20"/>
                <w:szCs w:val="20"/>
                <w:color w:val="auto"/>
              </w:rPr>
            </w:pPr>
            <w:r>
              <w:rPr>
                <w:rFonts w:ascii="Times New Roman" w:cs="Times New Roman" w:eastAsia="Times New Roman" w:hAnsi="Times New Roman"/>
                <w:sz w:val="18"/>
                <w:szCs w:val="18"/>
                <w:color w:val="auto"/>
              </w:rPr>
              <w:t>Share-based compensation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Certain items</w:t>
            </w:r>
          </w:p>
        </w:tc>
        <w:tc>
          <w:tcPr>
            <w:tcW w:w="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50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1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At June 30, 2022</w:t>
            </w:r>
          </w:p>
        </w:tc>
        <w:tc>
          <w:tcPr>
            <w:tcW w:w="10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7"/>
              </w:rPr>
              <w:t>At December 31, 2021</w:t>
            </w:r>
          </w:p>
        </w:tc>
      </w:tr>
      <w:tr>
        <w:trPr>
          <w:trHeight w:val="23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7,897</w:t>
            </w:r>
          </w:p>
        </w:tc>
      </w:tr>
      <w:tr>
        <w:trPr>
          <w:trHeight w:val="25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911</w:t>
            </w:r>
          </w:p>
        </w:tc>
      </w:tr>
      <w:tr>
        <w:trPr>
          <w:trHeight w:val="230"/>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assets</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8,808</w:t>
            </w:r>
          </w:p>
        </w:tc>
      </w:tr>
      <w:tr>
        <w:trPr>
          <w:trHeight w:val="24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805</w:t>
            </w:r>
          </w:p>
        </w:tc>
      </w:tr>
      <w:tr>
        <w:trPr>
          <w:trHeight w:val="249"/>
        </w:trPr>
        <w:tc>
          <w:tcPr>
            <w:tcW w:w="5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9,613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conduct business globally, and our operations outside the United States represented approximately 11% and 10% of our revenues, excluding cost reimbursements, for the three months ended June 30, 2022 and June 30, 2021, respectively, and 11% and 9% of our revenues, excluding cost reimbursements, for the six months ended June 30, 2022 and June 30, 2021, respectively.</w:t>
      </w:r>
    </w:p>
    <w:p>
      <w:pPr>
        <w:spacing w:after="0" w:line="28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We make forward-looking statements in this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such as our plans to continue to increase our focus on sales of vacation ownership products to first-time buyers and our expectations regarding resulting increases in financing propensity; financing plans; competitive position; potential growth opportunities; potential operating performance improvements, including the expectations that contract sales, resort management, and resort occupancies will continue to remain strong for the remainder of 2022 and that interest income will increase in 2022; our expectations regarding availability of inventory for Getaways and exchange transactions; the effects of competition; and the ongoing effect of the COVID-19 pandemic and actions we or others may take in response to the COVID-19 pandemic.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the continuing effects of the COVID-19 pandemic, including quarantines or other government-imposed travel or health-related restrictions; the length and severity of the COVID-19 pandemic, including its short and longer-term impact on consumer confidence and demand for travel, and the pace of recovery following the COVID-19 pandemic or as effective treatments or vaccines against variants of the COVID-19 virus become widely available; variations in demand for vacation ownership and exchange products and services; worker absenteeism; price inflation; global supply chain disruptions; volatility in the international and national economy and credit markets, including as a result of the COVID-19 pandemic and the ongoing conflict between Russia and Ukraine and related sanctions and other measures; our ability to attract and retain our global workforce; competitive conditions; the availability of capital to finance growth; the effects of steps we have taken and may continue to take to reduce operating costs and/or enhance health and cleanliness protocols at our resorts due to the COVID-19 pandemic; political or social strife, and other matters referred to under the heading “Risk Factors” contained herein and also in our most recent Annual Report on Form 10-K, and as may be updated in our future periodic filings with the U.S. Securities and Exchange Commission (the “SEC”).</w:t>
      </w:r>
    </w:p>
    <w:p>
      <w:pPr>
        <w:spacing w:after="0" w:line="8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All forward-looking statements in this Quarterly Report on Form 10-Q apply only as of the date of this Quarterly Report on Form 10-Q or as of the date they were made or as otherwise specified herein. We do not undertake any obligation to publicly update or revise any forward-looking statement, whether as a result of new information, future events, or otherwise, except as required by law.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80"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Our Financial Statements (as defined below), which we discuss below, reflect our historical financial condition, results of operations and cash flows. However, the financial information discussed below and included in this Quarterly Report on Form 10-Q may not necessarily reflect what our financial condition, results of operations or cash flows may be in the</w:t>
      </w:r>
    </w:p>
    <w:p>
      <w:pPr>
        <w:spacing w:after="0" w:line="2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6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Residence Club brands, as well as under Marriott Vacation Club Pulse, an extension to the Marriott Vacation Club brand. We are also the exclusive worldwide developer, marketer and seller of vacation ownership and related products under The Ritz-Carlton Destination Club brand, we have the non-exclusive right to develop, market and sell whole ownership residential products under The Ritz-Carlton Residences brand and we have a license to use the St. Regis brand for specified fractional ownership resorts.</w:t>
      </w:r>
    </w:p>
    <w:p>
      <w:pPr>
        <w:spacing w:after="0" w:line="53" w:lineRule="exact"/>
        <w:rPr>
          <w:sz w:val="20"/>
          <w:szCs w:val="20"/>
          <w:color w:val="auto"/>
        </w:rPr>
      </w:pPr>
    </w:p>
    <w:p>
      <w:pPr>
        <w:spacing w:after="0" w:line="332" w:lineRule="auto"/>
        <w:rPr>
          <w:sz w:val="20"/>
          <w:szCs w:val="20"/>
          <w:color w:val="auto"/>
        </w:rPr>
      </w:pPr>
      <w:r>
        <w:rPr>
          <w:rFonts w:ascii="Times New Roman" w:cs="Times New Roman" w:eastAsia="Times New Roman" w:hAnsi="Times New Roman"/>
          <w:sz w:val="16"/>
          <w:szCs w:val="16"/>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6"/>
          <w:szCs w:val="16"/>
          <w:color w:val="auto"/>
        </w:rPr>
        <w:t>Our Exchange &amp; Third-Party Management segment includes exchange networks and membership programs, as well as provision of management services to other resorts and lodging properties. As of the end of the second quarter of 2022, we provided these services through Interval International and Aqua-Aston. Exchange &amp; Third-Party Management revenue generally is fee-based and derived from membership, exchange and rental transactions, property and association management, and other related products and services. In April 2022, we disposed of VRI Americas after determining that the business was not a core component of our future growth strategy and operating model. This business was a component of our Exchange and Third-Party Management segment through the date of the sale. See Footnote 3 “Acquisitions and Dispositions” to our Financial Statements for further information regarding this disposition.</w:t>
      </w:r>
    </w:p>
    <w:p>
      <w:pPr>
        <w:spacing w:after="0" w:line="53"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color w:val="auto"/>
        </w:rPr>
        <w:t>Corporate and other represents that portion of our results that are not allocable to our segments, including those relating to consolidated property owners’ associations (“Consolidated Property Owners’ Associations”).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Integration of Marriott, Sheraton and Westin Branded Vacation Ownership Products</w:t>
      </w:r>
    </w:p>
    <w:p>
      <w:pPr>
        <w:spacing w:after="0" w:line="11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6"/>
          <w:szCs w:val="16"/>
          <w:color w:val="auto"/>
        </w:rPr>
        <w:t>Part of the rationale for our acquisition of ILG in 2018 was to achieve operating efficiencies and business growth by leveraging the brands licensed by Marriott International and its subsidiaries to us and to ILG. In 2016, Marriott International purchased Starwood Hotels and Resorts Worldwide, Inc., which at the time exclusively licensed the Sheraton and Westin vacation ownership brands to Legacy-ILG. In August 2022, we launched Abound by Marriott Vacations, a new owner benefit and exchange program which affiliates the Marriott, Sheraton and Westin vacation ownership brands to offer similar benefits to owners of our products under these brands. Under this program, owners of Marriott-, Sheraton- and Westin-branded vacation ownership interests can access over 90 Marriott Vacation Club, Sheraton Vacation Club and Westin Vacation Club resorts using a common currency. The program also harmonizes fee structures and owner benefit levels and allows us to transition certain of our Legacy-ILG sales galleries to sell our Marriott Vacation Club Destinations product. Later in 2022, we plan to add certain Sheraton- and Westin-branded vacation ownership interests to the Marriott Vacation Club Destinations product.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Welk</w:t>
      </w:r>
    </w:p>
    <w:p>
      <w:pPr>
        <w:spacing w:after="0" w:line="11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April 1, 2021, we completed the Welk Acquisition, after which Welk became our indirect wholly-owned subsidiary. We refer to Welk’s business and brands that we acquired as “Legacy-Welk.” In April 2022, we introduced the Hyatt Vacation Club and rebranded Welk’s vacation ownership program as the Hyatt Vacation Club Platinum Program, enabling Legacy-Welk sales centers to sell a Hyatt-branded vacation ownership product. Most Legacy-Welk resorts are now available for rental stays through Hyatt.com.</w:t>
      </w:r>
    </w:p>
    <w:p>
      <w:pPr>
        <w:spacing w:after="0" w:line="2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113"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The COVID-19 pandemic has caused significant disruptions in international and U.S. economies and markets, and has had an unprecedented impact on the travel and hospitality industries, as well as our Company. We discuss the impacts of the COVID-19 pandemic and its potential future implications throughout this report; however, the COVID-19 pandemic, and any recovery therefrom, continues to evolve and further potential impacts on our business in the future remain uncertain.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 Used in Describing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Vacation Ownership Products</w:t>
      </w:r>
    </w:p>
    <w:p>
      <w:pPr>
        <w:spacing w:after="0" w:line="11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We recognize revenues from the sale of vacation ownership products (also referred to as vacation ownership interests or “VOIs”) when control of the vacation ownership product is transferred to the customer and the transaction price is deemed collectible. Based upon the different terms of the contracts with the customer and business practices, control of the vacation ownership product is transferred to the customer at closing for Marriott-branded and Legacy-Welk transactions and upon expiration of the statutory rescission period for Sheraton-,Westin-, and Hyatt-branded transactions. Sales of vacation ownership products may be made for cash or we may provide financing. In addition, we recognize settlement fees associated with the transfer of vacation ownership products and commission revenues from sales of vacation ownership products on behalf of third parties, which we refer to as “resales revenue.”</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provide sales incentives to certain purchasers. These sales incentives typically include Marriott Bonvoy points, World of Hyatt points or an alternative sales incentive that we refer to as “plus points.” These plus points are redeemable for stays at our resorts or for use in other third-party offerings, generally up to two years from the date of issuance. Typically, sales incentives are only awarded if the sale is closed.</w:t>
      </w:r>
    </w:p>
    <w:p>
      <w:pPr>
        <w:spacing w:after="0" w:line="7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Finally, as more fully described in “</w:t>
      </w:r>
      <w:r>
        <w:rPr>
          <w:rFonts w:ascii="Times New Roman" w:cs="Times New Roman" w:eastAsia="Times New Roman" w:hAnsi="Times New Roman"/>
          <w:sz w:val="18"/>
          <w:szCs w:val="18"/>
          <w:i w:val="1"/>
          <w:iCs w:val="1"/>
          <w:color w:val="auto"/>
        </w:rPr>
        <w:t>Financing</w:t>
      </w:r>
      <w:r>
        <w:rPr>
          <w:rFonts w:ascii="Times New Roman" w:cs="Times New Roman" w:eastAsia="Times New Roman" w:hAnsi="Times New Roman"/>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We report, on a supplemental basis, contract sales for our Vacation Ownership segment. Contract sales consist of the total amount of vacation ownership product sales under contract signed during the period where we have generally received a down payment of at least 10% of the contract price, reduced by actual rescissions during the period, inclusive of contracts associated with sales of vacation ownership products on behalf of third-parties,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82"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the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can have a positive or negative impact on our income statements.</w:t>
      </w:r>
    </w:p>
    <w:p>
      <w:pPr>
        <w:spacing w:after="0" w:line="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We refer to revenues from the sale of vacation ownership products less the cost of vacation ownership products and marketing and sales costs as Development profit. Development profit margin is calculated by dividing Development profit by revenues from the Sale of vacation ownership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Change Commencing in August 2022</w:t>
      </w:r>
    </w:p>
    <w:p>
      <w:pPr>
        <w:spacing w:after="0" w:line="11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In connection with the affiliation of the Marriott-, Sheraton-, and Westin-branded vacation ownership products discussed above, in mid-August, we intend to modify our business practices and the terms of our Marriott-branded VOI sales contracts to be consistent with the existing terms of our Sheraton- and Westin-branded VOI sales contracts. As a result of these modifications, control of Marriott-branded vacation ownership products will be transferred to the customer upon expiration of the statutory rescission period, consistent with the current method for Sheraton- and Westin-branded vacation ownership products. This will result in the acceleration of revenue and a one-time benefit to development profit, net income attributable to common shareholders and Adjusted EBITDA (defined below), however at this time we are</w:t>
      </w:r>
    </w:p>
    <w:p>
      <w:pPr>
        <w:spacing w:after="0" w:line="2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unable to quantify the magnitude of this impact. Marriott-branded VOI sales contracts executed prior to these modifications will continue to be accounted for as outlined above, with transfer of control of the VOI occurring at closing.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Exchange</w:t>
      </w:r>
    </w:p>
    <w:p>
      <w:pPr>
        <w:spacing w:after="0" w:line="11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Our management and exchange revenues include revenues generated from fees we earn for managing each of our vacation ownership resorts, providing property management, owners’ association management and related services and fees we earn for providing rental services and related hotel, condominium resort, and owners’ association management services to vacation property owners.</w:t>
      </w:r>
    </w:p>
    <w:p>
      <w:pPr>
        <w:spacing w:after="0" w:line="75" w:lineRule="exact"/>
        <w:rPr>
          <w:sz w:val="20"/>
          <w:szCs w:val="20"/>
          <w:color w:val="auto"/>
        </w:rPr>
      </w:pPr>
    </w:p>
    <w:p>
      <w:pPr>
        <w:jc w:val="both"/>
        <w:ind w:right="440"/>
        <w:spacing w:after="0" w:line="256" w:lineRule="auto"/>
        <w:rPr>
          <w:sz w:val="20"/>
          <w:szCs w:val="20"/>
          <w:color w:val="auto"/>
        </w:rPr>
      </w:pPr>
      <w:r>
        <w:rPr>
          <w:rFonts w:ascii="Times New Roman" w:cs="Times New Roman" w:eastAsia="Times New Roman" w:hAnsi="Times New Roman"/>
          <w:sz w:val="18"/>
          <w:szCs w:val="18"/>
          <w:color w:val="auto"/>
        </w:rPr>
        <w:t>In addition, we earn revenue from ancillary offerings, including food and beverage outlets, golf courses and other retail and service outlets located at our Vacation Ownership resorts. We also receive annual membership fees, club dues and certain transaction-based fees from members, owners and other third parties.</w:t>
      </w:r>
    </w:p>
    <w:p>
      <w:pPr>
        <w:spacing w:after="0" w:line="75"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color w:val="auto"/>
        </w:rPr>
        <w:t>Management and exchange expenses include costs to operate the food and beverage outlets and other ancillary operations and to provide overall customer support services, including reservations, and certain transaction-based expenses relating to external exchange service providers.</w:t>
      </w:r>
    </w:p>
    <w:p>
      <w:pPr>
        <w:spacing w:after="0" w:line="64" w:lineRule="exact"/>
        <w:rPr>
          <w:sz w:val="20"/>
          <w:szCs w:val="20"/>
          <w:color w:val="auto"/>
        </w:rPr>
      </w:pPr>
    </w:p>
    <w:p>
      <w:pPr>
        <w:ind w:right="60"/>
        <w:spacing w:after="0" w:line="396" w:lineRule="auto"/>
        <w:rPr>
          <w:sz w:val="20"/>
          <w:szCs w:val="20"/>
          <w:color w:val="auto"/>
        </w:rPr>
      </w:pPr>
      <w:r>
        <w:rPr>
          <w:rFonts w:ascii="Times New Roman" w:cs="Times New Roman" w:eastAsia="Times New Roman" w:hAnsi="Times New Roman"/>
          <w:sz w:val="18"/>
          <w:szCs w:val="18"/>
          <w:color w:val="auto"/>
        </w:rPr>
        <w:t xml:space="preserve">In our Vacation Ownership segment and Consolidated Property Owners’ Associations, we refer to these activities as “Resort Management and Other Services.” </w:t>
      </w:r>
      <w:r>
        <w:rPr>
          <w:rFonts w:ascii="Times New Roman" w:cs="Times New Roman" w:eastAsia="Times New Roman" w:hAnsi="Times New Roman"/>
          <w:sz w:val="18"/>
          <w:szCs w:val="18"/>
          <w:b w:val="1"/>
          <w:bCs w:val="1"/>
          <w:i w:val="1"/>
          <w:iCs w:val="1"/>
          <w:color w:val="auto"/>
        </w:rPr>
        <w:t>Financing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offer financing to qualified customers for the purchase of most types of our vacation ownership products. The average FICO score of customers who were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citizens or residents who financed a vacation ownership purchase was as follows:</w:t>
      </w:r>
    </w:p>
    <w:p>
      <w:pPr>
        <w:spacing w:after="0" w:line="28" w:lineRule="exact"/>
        <w:rPr>
          <w:sz w:val="20"/>
          <w:szCs w:val="20"/>
          <w:color w:val="auto"/>
        </w:rPr>
      </w:pPr>
    </w:p>
    <w:tbl>
      <w:tblPr>
        <w:tblLayout w:type="fixed"/>
        <w:tblInd w:w="800" w:type="dxa"/>
        <w:tblCellMar>
          <w:top w:w="0" w:type="dxa"/>
          <w:left w:w="0" w:type="dxa"/>
          <w:bottom w:w="0" w:type="dxa"/>
          <w:right w:w="0" w:type="dxa"/>
        </w:tblCellMar>
      </w:tblPr>
      <w:tr>
        <w:trPr>
          <w:trHeight w:val="211"/>
        </w:trPr>
        <w:tc>
          <w:tcPr>
            <w:tcW w:w="4260" w:type="dxa"/>
            <w:vAlign w:val="bottom"/>
          </w:tcPr>
          <w:p>
            <w:pPr>
              <w:spacing w:after="0"/>
              <w:rPr>
                <w:sz w:val="18"/>
                <w:szCs w:val="18"/>
                <w:color w:val="auto"/>
              </w:rPr>
            </w:pPr>
          </w:p>
        </w:tc>
        <w:tc>
          <w:tcPr>
            <w:tcW w:w="26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42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r>
      <w:tr>
        <w:trPr>
          <w:trHeight w:val="231"/>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FICO score</w:t>
            </w:r>
          </w:p>
        </w:tc>
        <w:tc>
          <w:tcPr>
            <w:tcW w:w="1240" w:type="dxa"/>
            <w:vAlign w:val="bottom"/>
            <w:tcBorders>
              <w:top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733</w:t>
            </w:r>
          </w:p>
        </w:tc>
      </w:tr>
    </w:tbl>
    <w:p>
      <w:pPr>
        <w:spacing w:after="0" w:line="2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typical financing agreement provides for monthly payments of principal and interest with the principal balance of the loan fully amortizing over the term of the related vacation ownership note receivable, which is generally ten to fifteen years. While we adjust interest rates from time to time, such changes are typically not made in step with the timing and magnitude of changes in broader market rates. We do use incentives to encourage our customers to take our financing. Included within our vacation ownership notes receivable are originated vacation ownership notes receivable and vacation ownership notes receivable acquired in connection with the ILG Acquisition and the Welk Acquisition.</w:t>
      </w:r>
    </w:p>
    <w:p>
      <w:pPr>
        <w:spacing w:after="0" w:line="8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The interest income earned from our vacation ownership financing arrangements is earned on an accrual basis on the principal balance outstanding over the contractual life of the arrangement and is recorded as Financing revenues on our Income Statements. Financing revenues also include fees earned from servicing the existing vacation ownership notes receivable portfolio.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originated in the period divided by contract sales volume of all contracts originated in the period. We do not include resales contract sales in the financing propensity calculation. Financing propensity was 53% in the second quarter of 2022 and 52% in the second quarter of 2021. We expect to continue offering financing incentive programs throughout the remainder of 2022. Growing sales to first-time buyers, who are more likely to finance their purchases, remains an integral part of our overall marketing and sales strategy. We expect the current financing incentives and other initiatives to increase sales to first-time buyers to further increase propensity and interest income as new originations of vacation ownership notes receivable outpace the decline in principal of existing vacation ownership notes receivable.</w:t>
      </w:r>
    </w:p>
    <w:p>
      <w:pPr>
        <w:spacing w:after="0" w:line="272" w:lineRule="exact"/>
        <w:rPr>
          <w:sz w:val="20"/>
          <w:szCs w:val="20"/>
          <w:color w:val="auto"/>
        </w:rPr>
      </w:pPr>
    </w:p>
    <w:p>
      <w:pPr>
        <w:jc w:val="both"/>
        <w:ind w:right="280"/>
        <w:spacing w:after="0" w:line="293" w:lineRule="auto"/>
        <w:rPr>
          <w:sz w:val="20"/>
          <w:szCs w:val="20"/>
          <w:color w:val="auto"/>
        </w:rPr>
      </w:pPr>
      <w:r>
        <w:rPr>
          <w:rFonts w:ascii="Times New Roman" w:cs="Times New Roman" w:eastAsia="Times New Roman" w:hAnsi="Times New Roman"/>
          <w:sz w:val="16"/>
          <w:szCs w:val="16"/>
          <w:color w:val="auto"/>
        </w:rPr>
        <w:t>Acquired vacation ownership notes receivable are accounted for using the purchased credit deteriorated assets provision of the current expected credit loss model. The estimates of the reserve for credit losses on the acquired vacation ownership notes receivable are based on default rates that are an output of our static pool analyses and estimated value of collateral securing the acquired vacation ownership notes receivable. See Footnote 6 “Vacation Ownership Notes Receivable” to our Financial Statements for further information regarding the accounting for acquired vacation ownership notes receivable.</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In the event of a default, we generally have the right to foreclose on or revoke the underlying VOI. We return VOIs that we reacquire through foreclosure or revocation back to inventory. As discussed above, for originated vacation ownership notes receivable, we record a reserve at the time of sale and classify the reserve as a reduction to revenues from the sale of vacation ownership products on our Income Statements. Revisions to estimates of variable consideration from the sale of vacation ownership products impact the reserve on originated vacation ownership notes receivable and can increase or decrease revenues. In contrast, for acquired vacation ownership notes receivable, we record changes to the reserves, net of collateral value, as adjustments to Financing expenses on our Income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Historical default rates, which represent defaults as a percentage of each year’s beginning gross vacation ownership notes receivable balance, were as follows:</w:t>
      </w:r>
    </w:p>
    <w:p>
      <w:pPr>
        <w:spacing w:after="0" w:line="68" w:lineRule="exact"/>
        <w:rPr>
          <w:sz w:val="20"/>
          <w:szCs w:val="20"/>
          <w:color w:val="auto"/>
        </w:rPr>
      </w:pPr>
    </w:p>
    <w:tbl>
      <w:tblPr>
        <w:tblLayout w:type="fixed"/>
        <w:tblInd w:w="800" w:type="dxa"/>
        <w:tblCellMar>
          <w:top w:w="0" w:type="dxa"/>
          <w:left w:w="0" w:type="dxa"/>
          <w:bottom w:w="0" w:type="dxa"/>
          <w:right w:w="0" w:type="dxa"/>
        </w:tblCellMar>
      </w:tblPr>
      <w:tr>
        <w:trPr>
          <w:trHeight w:val="211"/>
        </w:trPr>
        <w:tc>
          <w:tcPr>
            <w:tcW w:w="4260" w:type="dxa"/>
            <w:vAlign w:val="bottom"/>
          </w:tcPr>
          <w:p>
            <w:pPr>
              <w:spacing w:after="0"/>
              <w:rPr>
                <w:sz w:val="18"/>
                <w:szCs w:val="18"/>
                <w:color w:val="auto"/>
              </w:rPr>
            </w:pPr>
          </w:p>
        </w:tc>
        <w:tc>
          <w:tcPr>
            <w:tcW w:w="26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42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r>
      <w:tr>
        <w:trPr>
          <w:trHeight w:val="231"/>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Historical default rates</w:t>
            </w:r>
          </w:p>
        </w:tc>
        <w:tc>
          <w:tcPr>
            <w:tcW w:w="1240" w:type="dxa"/>
            <w:vAlign w:val="bottom"/>
            <w:tcBorders>
              <w:top w:val="single" w:sz="8" w:color="auto"/>
            </w:tcBorders>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2.4%</w:t>
            </w:r>
          </w:p>
        </w:tc>
      </w:tr>
    </w:tbl>
    <w:p>
      <w:pPr>
        <w:spacing w:after="0" w:line="23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The decrease in default rates in 2022 reflects the continued improvement in the performance of our vacation ownership notes receivable portfolio subsequent to the increased default rates experienced in 2020 as a result of the COVID-19 pandemic.</w:t>
      </w:r>
    </w:p>
    <w:p>
      <w:pPr>
        <w:spacing w:after="0" w:line="6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Financing expenses include consumer financing interest expense, which represents interest expense associated with the securitization of our vacation ownership notes receivable, costs to support the financing, servicing and securitization processes and changes in expected credit losses related to acquired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w:t>
      </w:r>
    </w:p>
    <w:p>
      <w:pPr>
        <w:spacing w:after="0" w:line="11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In our Vacation Ownership segment, we operate a rental business to provide owner flexibility and to help mitigate carrying costs associated with our inventory. We generate revenue from rentals of inventory that we hold for sale as interests in our vacation ownership programs, inventory that we control because our owners have elected alternative usage options permitted under our vacation ownership programs and rentals of owned-hotel properties. We also recognize rental revenue from the utilization of plus points under our points-based products when the points are redeemed for rental stays at one of our resorts or in other third-party offerings, or upon expiration of the points.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ASC Topic 978, “</w:t>
      </w:r>
      <w:r>
        <w:rPr>
          <w:rFonts w:ascii="Times New Roman" w:cs="Times New Roman" w:eastAsia="Times New Roman" w:hAnsi="Times New Roman"/>
          <w:sz w:val="18"/>
          <w:szCs w:val="18"/>
          <w:i w:val="1"/>
          <w:iCs w:val="1"/>
          <w:color w:val="auto"/>
        </w:rPr>
        <w:t>Real Estate - Time-Sharing Activities</w:t>
      </w:r>
      <w:r>
        <w:rPr>
          <w:rFonts w:ascii="Times New Roman" w:cs="Times New Roman" w:eastAsia="Times New Roman" w:hAnsi="Times New Roman"/>
          <w:sz w:val="18"/>
          <w:szCs w:val="18"/>
          <w:color w:val="auto"/>
        </w:rPr>
        <w:t>” (“ASC 978”). The rental activity associated with discounted vacation packages requiring a tour (“preview stays”) is not included in transient rental metrics, and because the majority of these preview stays are sourced directly or indirectly from unsold inventory, the associated revenues and expenses are reported net in Marketing and sales expense.</w:t>
      </w:r>
    </w:p>
    <w:p>
      <w:pPr>
        <w:spacing w:after="0" w:line="8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In our Exchange &amp; Third-Party Management segment, we offer vacation rental opportunities at managed properties. We also offer vacation rental opportunities known as Getaways to members of the Interval International network and certain other membership programs. Getaways allow us to monetize excess availability of resort accommodations within the applicable exchange network, as well as provide additional vacation opportunities to members. Resort accommodations typically become available as Getaways as a result of seasonal oversupply or underutilized space in the applicable exchange program. We also source resort accommodations specifically for the Getaways program. Rental revenues associated with Getaways are reported net of related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expenses include:</w:t>
      </w:r>
    </w:p>
    <w:p>
      <w:pPr>
        <w:spacing w:after="0" w:line="56" w:lineRule="exact"/>
        <w:rPr>
          <w:sz w:val="20"/>
          <w:szCs w:val="20"/>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other fees on unsold inventory;</w:t>
      </w:r>
    </w:p>
    <w:p>
      <w:pPr>
        <w:spacing w:after="0" w:line="56" w:lineRule="exact"/>
        <w:rPr>
          <w:rFonts w:ascii="Times New Roman" w:cs="Times New Roman" w:eastAsia="Times New Roman" w:hAnsi="Times New Roman"/>
          <w:sz w:val="18"/>
          <w:szCs w:val="18"/>
          <w:color w:val="auto"/>
        </w:rPr>
      </w:pPr>
    </w:p>
    <w:p>
      <w:pPr>
        <w:ind w:left="320" w:right="60" w:hanging="315"/>
        <w:spacing w:after="0" w:line="268" w:lineRule="auto"/>
        <w:tabs>
          <w:tab w:leader="none" w:pos="3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provide alternative usage options, including Marriott Bonvoy points, World of Hyatt points and offerings available as part of third-party offerings, for owners who elect to exchange their inventory;</w:t>
      </w:r>
    </w:p>
    <w:p>
      <w:pPr>
        <w:spacing w:after="0" w:line="11" w:lineRule="exact"/>
        <w:rPr>
          <w:rFonts w:ascii="Times New Roman" w:cs="Times New Roman" w:eastAsia="Times New Roman" w:hAnsi="Times New Roman"/>
          <w:sz w:val="18"/>
          <w:szCs w:val="18"/>
          <w:color w:val="auto"/>
        </w:rPr>
      </w:pPr>
    </w:p>
    <w:p>
      <w:pPr>
        <w:ind w:left="320" w:right="200" w:hanging="315"/>
        <w:spacing w:after="0" w:line="268" w:lineRule="auto"/>
        <w:tabs>
          <w:tab w:leader="none" w:pos="3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costs and direct operating and related expenses in connection with the rental business (such as housekeeping, labor costs, credit card expenses and reservation services); and</w:t>
      </w:r>
    </w:p>
    <w:p>
      <w:pPr>
        <w:spacing w:after="0" w:line="1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secure resort accommodations for use in Getaways.</w:t>
      </w:r>
    </w:p>
    <w:p>
      <w:pPr>
        <w:spacing w:after="0" w:line="10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owner use and exchange behavior. In addition, rental metrics may not correlate with rental revenues due to</w:t>
      </w:r>
    </w:p>
    <w:p>
      <w:pPr>
        <w:spacing w:after="0" w:line="2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the requirement to report certain rental revenues net of rental expenses in accordance with ASC 978 (as discussed above). Further, as our ability to rent certain luxury and other inventory is often limited on a site-by-site basis, rental operations may not generate adequate rental revenues to cover associated costs. Our Vacation Ownership segment units are either “full villas” or “lock-off” villas. Lock-off villas are units that can be separated into a primary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Reimbursements</w:t>
      </w:r>
    </w:p>
    <w:p>
      <w:pPr>
        <w:spacing w:after="0" w:line="11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Cost reimbursements include direct and indirect costs that are reimbursed to us by customers under management contracts. All costs reimbursed to us by customers, with the exception of taxes assessed by a governmental authority, are reported on a gross basis. We recognize cost reimbursements when we incur the related reimbursable costs. Cost reimbursements consist of actual expenses with no added margin.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all interest expense other than consumer financing interest expense, which is included within Financing expense.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Integration Costs</w:t>
      </w:r>
    </w:p>
    <w:p>
      <w:pPr>
        <w:spacing w:after="0" w:line="113" w:lineRule="exact"/>
        <w:rPr>
          <w:sz w:val="20"/>
          <w:szCs w:val="20"/>
          <w:color w:val="auto"/>
        </w:rPr>
      </w:pPr>
    </w:p>
    <w:p>
      <w:pPr>
        <w:ind w:right="100"/>
        <w:spacing w:after="0" w:line="303" w:lineRule="auto"/>
        <w:rPr>
          <w:sz w:val="20"/>
          <w:szCs w:val="20"/>
          <w:color w:val="auto"/>
        </w:rPr>
      </w:pPr>
      <w:r>
        <w:rPr>
          <w:rFonts w:ascii="Times New Roman" w:cs="Times New Roman" w:eastAsia="Times New Roman" w:hAnsi="Times New Roman"/>
          <w:sz w:val="16"/>
          <w:szCs w:val="16"/>
          <w:color w:val="auto"/>
        </w:rPr>
        <w:t>Transaction and integration costs include fees paid to change-management consultants and technology-related costs associated with the integration of ILG and Welk and charges for employee retention, severance and other termination related benefits. Transaction and integration costs also include costs related to the ILG and Welk Acquisitions, primarily for financial advisory, legal, and other professional service fees, as well as certain tax related accruals.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operating performance using the key metrics described below.</w:t>
      </w:r>
    </w:p>
    <w:p>
      <w:pPr>
        <w:spacing w:after="0" w:line="54" w:lineRule="exact"/>
        <w:rPr>
          <w:sz w:val="20"/>
          <w:szCs w:val="20"/>
          <w:color w:val="auto"/>
        </w:rPr>
      </w:pPr>
    </w:p>
    <w:p>
      <w:pPr>
        <w:ind w:left="320" w:hanging="315"/>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 sales from the sale of vacation ownership products</w:t>
      </w:r>
      <w:r>
        <w:rPr>
          <w:rFonts w:ascii="Times New Roman" w:cs="Times New Roman" w:eastAsia="Times New Roman" w:hAnsi="Times New Roman"/>
          <w:sz w:val="18"/>
          <w:szCs w:val="18"/>
          <w:color w:val="auto"/>
        </w:rPr>
        <w:t>:</w:t>
      </w:r>
    </w:p>
    <w:p>
      <w:pPr>
        <w:spacing w:after="0" w:line="5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contract sales include contract sales from the sale of vacation ownership products including joint ventures. and</w:t>
      </w:r>
    </w:p>
    <w:p>
      <w:pPr>
        <w:spacing w:after="0" w:line="56" w:lineRule="exact"/>
        <w:rPr>
          <w:rFonts w:ascii="Times New Roman" w:cs="Times New Roman" w:eastAsia="Times New Roman" w:hAnsi="Times New Roman"/>
          <w:sz w:val="18"/>
          <w:szCs w:val="18"/>
          <w:color w:val="auto"/>
        </w:rPr>
      </w:pPr>
    </w:p>
    <w:p>
      <w:pPr>
        <w:ind w:left="320" w:right="1320" w:firstLine="1"/>
        <w:spacing w:after="0" w:line="303" w:lineRule="auto"/>
        <w:tabs>
          <w:tab w:leader="none" w:pos="63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contract sales exclude contract sales from the sale of vacation ownership products for non-consolidated joint ventures. We consider contract sales to be an important operating measure because it reflects the pace of our business.</w:t>
      </w:r>
    </w:p>
    <w:p>
      <w:pPr>
        <w:spacing w:after="0" w:line="1" w:lineRule="exact"/>
        <w:rPr>
          <w:rFonts w:ascii="Times New Roman" w:cs="Times New Roman" w:eastAsia="Times New Roman" w:hAnsi="Times New Roman"/>
          <w:sz w:val="18"/>
          <w:szCs w:val="18"/>
          <w:color w:val="auto"/>
        </w:rPr>
      </w:pPr>
    </w:p>
    <w:p>
      <w:pPr>
        <w:ind w:left="320" w:right="60" w:hanging="315"/>
        <w:spacing w:after="0" w:line="253" w:lineRule="auto"/>
        <w:tabs>
          <w:tab w:leader="none" w:pos="3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per guest </w:t>
      </w:r>
      <w:r>
        <w:rPr>
          <w:rFonts w:ascii="Times New Roman" w:cs="Times New Roman" w:eastAsia="Times New Roman" w:hAnsi="Times New Roman"/>
          <w:sz w:val="18"/>
          <w:szCs w:val="18"/>
          <w:color w:val="auto"/>
        </w:rPr>
        <w:t>(“VPG”) is calculated by dividing consolidated vacation ownership contract sales, excluding fractional sales, telesales, resales,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22" w:lineRule="exact"/>
        <w:rPr>
          <w:rFonts w:ascii="Times New Roman" w:cs="Times New Roman" w:eastAsia="Times New Roman" w:hAnsi="Times New Roman"/>
          <w:sz w:val="18"/>
          <w:szCs w:val="18"/>
          <w:color w:val="auto"/>
        </w:rPr>
      </w:pPr>
    </w:p>
    <w:p>
      <w:pPr>
        <w:ind w:left="320" w:hanging="315"/>
        <w:spacing w:after="0" w:line="271" w:lineRule="auto"/>
        <w:tabs>
          <w:tab w:leader="none" w:pos="3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active members </w:t>
      </w:r>
      <w:r>
        <w:rPr>
          <w:rFonts w:ascii="Times New Roman" w:cs="Times New Roman" w:eastAsia="Times New Roman" w:hAnsi="Times New Roman"/>
          <w:sz w:val="18"/>
          <w:szCs w:val="18"/>
          <w:color w:val="auto"/>
        </w:rPr>
        <w:t>is the number of Interval International network active members at the end of the applicable period. We consider active members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important metric as it provides the population of owners eligible to book transactions using the Interval International network.</w:t>
      </w:r>
    </w:p>
    <w:p>
      <w:pPr>
        <w:spacing w:after="0" w:line="6" w:lineRule="exact"/>
        <w:rPr>
          <w:rFonts w:ascii="Times New Roman" w:cs="Times New Roman" w:eastAsia="Times New Roman" w:hAnsi="Times New Roman"/>
          <w:sz w:val="18"/>
          <w:szCs w:val="18"/>
          <w:color w:val="auto"/>
        </w:rPr>
      </w:pPr>
    </w:p>
    <w:p>
      <w:pPr>
        <w:ind w:left="320" w:right="20" w:hanging="315"/>
        <w:spacing w:after="0" w:line="257" w:lineRule="auto"/>
        <w:tabs>
          <w:tab w:leader="none" w:pos="3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revenue per member </w:t>
      </w:r>
      <w:r>
        <w:rPr>
          <w:rFonts w:ascii="Times New Roman" w:cs="Times New Roman" w:eastAsia="Times New Roman" w:hAnsi="Times New Roman"/>
          <w:sz w:val="18"/>
          <w:szCs w:val="18"/>
          <w:color w:val="auto"/>
        </w:rPr>
        <w:t>is calculated by dividing membership fee revenue, transaction revenue, rental revenue, and other member revenue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Interval International network by the monthly weighted average number of Interval International network active members during the applicable period. We believe this metric is valuable in measuring the overall engagement of our members.</w:t>
      </w:r>
    </w:p>
    <w:p>
      <w:pPr>
        <w:spacing w:after="0" w:line="19" w:lineRule="exact"/>
        <w:rPr>
          <w:rFonts w:ascii="Times New Roman" w:cs="Times New Roman" w:eastAsia="Times New Roman" w:hAnsi="Times New Roman"/>
          <w:sz w:val="18"/>
          <w:szCs w:val="18"/>
          <w:color w:val="auto"/>
        </w:rPr>
      </w:pPr>
    </w:p>
    <w:p>
      <w:pPr>
        <w:ind w:left="320" w:right="580" w:hanging="315"/>
        <w:spacing w:after="0" w:line="253" w:lineRule="auto"/>
        <w:tabs>
          <w:tab w:leader="none" w:pos="3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Segment financial results attributable to common shareholders </w:t>
      </w:r>
      <w:r>
        <w:rPr>
          <w:rFonts w:ascii="Times New Roman" w:cs="Times New Roman" w:eastAsia="Times New Roman" w:hAnsi="Times New Roman"/>
          <w:sz w:val="18"/>
          <w:szCs w:val="18"/>
          <w:color w:val="auto"/>
        </w:rPr>
        <w:t>represents revenues less expenses directly attributable to each applicable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segment (Vacation Ownership and Exchange &amp; Third-Party Management). We consider this measure to be important in evaluating the performance of our reportable business segments. See Footnote 17 “Business Segments” to our Financial Statements for further information on our reportable business segments.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8"/>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6"/>
              </w:rPr>
              <w:t>June 30, 2021</w:t>
            </w:r>
          </w:p>
        </w:tc>
        <w:tc>
          <w:tcPr>
            <w:tcW w:w="0" w:type="dxa"/>
            <w:vAlign w:val="bottom"/>
          </w:tcPr>
          <w:p>
            <w:pPr>
              <w:spacing w:after="0"/>
              <w:rPr>
                <w:sz w:val="1"/>
                <w:szCs w:val="1"/>
                <w:color w:val="auto"/>
              </w:rPr>
            </w:pPr>
          </w:p>
        </w:tc>
      </w:tr>
      <w:tr>
        <w:trPr>
          <w:trHeight w:val="23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5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and exchange</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1,738</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Marketing and sales</w:t>
            </w: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and exchange</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charges</w:t>
            </w: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Royalty fee</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159"/>
        </w:trPr>
        <w:tc>
          <w:tcPr>
            <w:tcW w:w="326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8"/>
                <w:szCs w:val="18"/>
                <w:color w:val="auto"/>
                <w:w w:val="97"/>
              </w:rPr>
              <w:t>Gains (losses) and other income (expense),</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INCOME (LOSS) BEFORE INCOME</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2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TAXES AND NONCONTROLLING</w:t>
            </w:r>
          </w:p>
        </w:tc>
        <w:tc>
          <w:tcPr>
            <w:tcW w:w="1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4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9"/>
        </w:trPr>
        <w:tc>
          <w:tcPr>
            <w:tcW w:w="326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Net loss (income) attributable to</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w w:val="98"/>
              </w:rPr>
              <w:t>NET INCOME (LOSS) ATTRIBUTABLE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40" w:type="dxa"/>
            <w:vAlign w:val="bottom"/>
            <w:gridSpan w:val="2"/>
            <w:vMerge w:val="restart"/>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gridSpan w:val="2"/>
            <w:vMerge w:val="restart"/>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TO COMMON SHAREHOLDERS</w:t>
            </w:r>
          </w:p>
        </w:tc>
        <w:tc>
          <w:tcPr>
            <w:tcW w:w="1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Statistics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3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40" w:type="dxa"/>
            <w:vAlign w:val="bottom"/>
            <w:gridSpan w:val="3"/>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3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Vacation Ownership</w:t>
            </w: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contract sales</w:t>
            </w:r>
          </w:p>
        </w:tc>
        <w:tc>
          <w:tcPr>
            <w:tcW w:w="140" w:type="dxa"/>
            <w:vAlign w:val="bottom"/>
          </w:tcPr>
          <w:p>
            <w:pPr>
              <w:spacing w:after="0"/>
              <w:rPr>
                <w:sz w:val="21"/>
                <w:szCs w:val="21"/>
                <w:color w:val="auto"/>
              </w:rPr>
            </w:pPr>
          </w:p>
        </w:tc>
        <w:tc>
          <w:tcPr>
            <w:tcW w:w="108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21"/>
                <w:szCs w:val="21"/>
                <w:color w:val="auto"/>
              </w:rPr>
            </w:pP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spacing w:after="0"/>
              <w:rPr>
                <w:sz w:val="21"/>
                <w:szCs w:val="21"/>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88"/>
              </w:rPr>
              <w:t>144</w:t>
            </w:r>
          </w:p>
        </w:tc>
        <w:tc>
          <w:tcPr>
            <w:tcW w:w="1080" w:type="dxa"/>
            <w:vAlign w:val="bottom"/>
            <w:gridSpan w:val="3"/>
          </w:tcPr>
          <w:p>
            <w:pPr>
              <w:jc w:val="center"/>
              <w:ind w:left="73"/>
              <w:spacing w:after="0"/>
              <w:rPr>
                <w:sz w:val="20"/>
                <w:szCs w:val="20"/>
                <w:color w:val="auto"/>
              </w:rPr>
            </w:pPr>
            <w:r>
              <w:rPr>
                <w:rFonts w:ascii="Times New Roman" w:cs="Times New Roman" w:eastAsia="Times New Roman" w:hAnsi="Times New Roman"/>
                <w:sz w:val="18"/>
                <w:szCs w:val="18"/>
                <w:color w:val="auto"/>
                <w:w w:val="96"/>
              </w:rPr>
              <w:t>39%</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contract sales</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144</w:t>
            </w:r>
          </w:p>
        </w:tc>
        <w:tc>
          <w:tcPr>
            <w:tcW w:w="1080" w:type="dxa"/>
            <w:vAlign w:val="bottom"/>
            <w:gridSpan w:val="3"/>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50"/>
        </w:trPr>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Joint venture contract sales</w:t>
            </w:r>
          </w:p>
        </w:tc>
        <w:tc>
          <w:tcPr>
            <w:tcW w:w="140" w:type="dxa"/>
            <w:vAlign w:val="bottom"/>
          </w:tcPr>
          <w:p>
            <w:pPr>
              <w:spacing w:after="0"/>
              <w:rPr>
                <w:sz w:val="21"/>
                <w:szCs w:val="21"/>
                <w:color w:val="auto"/>
              </w:rPr>
            </w:pPr>
          </w:p>
        </w:tc>
        <w:tc>
          <w:tcPr>
            <w:tcW w:w="108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center"/>
              <w:ind w:left="73"/>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VPG</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4,613</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4,304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309</w:t>
            </w:r>
          </w:p>
        </w:tc>
        <w:tc>
          <w:tcPr>
            <w:tcW w:w="1080" w:type="dxa"/>
            <w:vAlign w:val="bottom"/>
            <w:gridSpan w:val="3"/>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Total active members at end of period (000's)</w:t>
            </w: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1,596</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275</w:t>
            </w:r>
          </w:p>
        </w:tc>
        <w:tc>
          <w:tcPr>
            <w:tcW w:w="1080" w:type="dxa"/>
            <w:vAlign w:val="bottom"/>
            <w:gridSpan w:val="3"/>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6"/>
              </w:rPr>
              <w:t>21%</w:t>
            </w:r>
          </w:p>
        </w:tc>
        <w:tc>
          <w:tcPr>
            <w:tcW w:w="0" w:type="dxa"/>
            <w:vAlign w:val="bottom"/>
          </w:tcPr>
          <w:p>
            <w:pPr>
              <w:spacing w:after="0"/>
              <w:rPr>
                <w:sz w:val="1"/>
                <w:szCs w:val="1"/>
                <w:color w:val="auto"/>
              </w:rPr>
            </w:pPr>
          </w:p>
        </w:tc>
      </w:tr>
      <w:tr>
        <w:trPr>
          <w:trHeight w:val="249"/>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revenue per member</w:t>
            </w:r>
          </w:p>
        </w:tc>
        <w:tc>
          <w:tcPr>
            <w:tcW w:w="140" w:type="dxa"/>
            <w:vAlign w:val="bottom"/>
          </w:tcPr>
          <w:p>
            <w:pPr>
              <w:spacing w:after="0"/>
              <w:rPr>
                <w:sz w:val="21"/>
                <w:szCs w:val="21"/>
                <w:color w:val="auto"/>
              </w:rPr>
            </w:pPr>
          </w:p>
        </w:tc>
        <w:tc>
          <w:tcPr>
            <w:tcW w:w="108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38.79</w:t>
            </w:r>
          </w:p>
        </w:tc>
        <w:tc>
          <w:tcPr>
            <w:tcW w:w="140" w:type="dxa"/>
            <w:vAlign w:val="bottom"/>
          </w:tcPr>
          <w:p>
            <w:pPr>
              <w:spacing w:after="0"/>
              <w:rPr>
                <w:sz w:val="21"/>
                <w:szCs w:val="21"/>
                <w:color w:val="auto"/>
              </w:rPr>
            </w:pPr>
          </w:p>
        </w:tc>
        <w:tc>
          <w:tcPr>
            <w:tcW w:w="66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46.36</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80" w:type="dxa"/>
            <w:vAlign w:val="bottom"/>
            <w:gridSpan w:val="3"/>
          </w:tcPr>
          <w:p>
            <w:pPr>
              <w:jc w:val="center"/>
              <w:ind w:left="73"/>
              <w:spacing w:after="0"/>
              <w:rPr>
                <w:sz w:val="20"/>
                <w:szCs w:val="20"/>
                <w:color w:val="auto"/>
              </w:rPr>
            </w:pPr>
            <w:r>
              <w:rPr>
                <w:rFonts w:ascii="Times New Roman" w:cs="Times New Roman" w:eastAsia="Times New Roman" w:hAnsi="Times New Roman"/>
                <w:sz w:val="18"/>
                <w:szCs w:val="18"/>
                <w:color w:val="auto"/>
                <w:w w:val="97"/>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332" w:right="1440" w:bottom="1440" w:gutter="0" w:footer="0" w:header="0"/>
        </w:sectPr>
      </w:pPr>
    </w:p>
    <w:p>
      <w:pPr>
        <w:spacing w:after="0" w:line="1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299720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332" w:right="1440"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8"/>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(Contract sales $ in millions)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32"/>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Vacation Ownership</w:t>
            </w: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contract sales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contract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Joint venture contract sales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VPG</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active members at end of period (000's)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revenue per member</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10"/>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(15%)</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Property Owners’ Associations</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2022 First Half</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7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9"/>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Property Owners’ Associations</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Before Interest Expense, Taxes, Depreciation and Amortization (“EBITDA”) and Adjusted EBITDA</w:t>
      </w:r>
    </w:p>
    <w:p>
      <w:pPr>
        <w:spacing w:after="0" w:line="11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EBITDA, a financial measure that is not prescribed by GAAP, is defined as earnings, or net income or loss attributable to common shareholders, before interest expense (excluding consumer financing interest expense associated with term loan securitization transactions), income taxes, depreciation and amortization. Adjusted EBITDA reflects additional adjustments for certain items described below,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loan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shareholders.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vacation companies.</w:t>
      </w:r>
    </w:p>
    <w:p>
      <w:pPr>
        <w:spacing w:after="0" w:line="27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(loss) attributable to common shareholders, which is the most directly comparable GAAP financial measure.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Borders>
              <w:bottom w:val="single" w:sz="8" w:color="CCEEFF"/>
            </w:tcBorders>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items</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(96%)</w:t>
            </w:r>
          </w:p>
        </w:tc>
      </w:tr>
      <w:tr>
        <w:trPr>
          <w:trHeight w:val="217"/>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4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items for the second quarter of 2022 consisted of $37 million of gains and other income, $2 million of revenue associated with an early termination of a VRI management contract, and $3 million of miscellaneous other adjustments, partially offset by $37 million of transaction and integration costs (including $23 million of ILG integration related costs, $10 million of other integration costs, $2 million of Welk Acquisition and integration related costs, and $2 million of other transaction costs), $5 million of purchase accounting adjustments, and $2 million of litigation charges.</w:t>
      </w:r>
    </w:p>
    <w:p>
      <w:pPr>
        <w:spacing w:after="0" w:line="7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The $37 million of gains and other income included $33 million of gains and other income related to the strategic decision to dispose of our hotel in Puerto Vallarta, Mexico, $16 million of gains and other income related to the strategic decision to dispose of our VRI Americas business, and $2 million of proceeds from corporate owned life insurance, partially offset by $8 million of foreign currency translation losses, $3 million of non-cash losses pursuant to a change in control of certain Consolidated Property Owners’ Associations, and $3 million of non-income tax related adjustments to the receivable for the indemnification payment we expect to receive from Marriott International. See Footnote 5 “Income Taxes” to our Financial Statements for further information regarding our indemnification assets.</w:t>
      </w:r>
    </w:p>
    <w:p>
      <w:pPr>
        <w:spacing w:after="0" w:line="2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Certain items for the second quarter of 2021 consisted of $29 million of transaction costs (including $25 million of ILG integration related costs and $3 million of Welk Acquisition and integration related costs), $5 million of impairment charges, $3 million of litigation charges, $2 million of purchase accounting adjustments, and $2 million of losses and other expense, partially offset by $2 million to eliminate the impact of consolidating certain property owners’ associations, and $2 million of activity related to the accrual for health and welfare costs for furloughed associates.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60" w:type="dxa"/>
            <w:vAlign w:val="bottom"/>
          </w:tcPr>
          <w:p>
            <w:pPr>
              <w:spacing w:after="0"/>
              <w:rPr>
                <w:sz w:val="20"/>
                <w:szCs w:val="20"/>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161"/>
        </w:trPr>
        <w:tc>
          <w:tcPr>
            <w:tcW w:w="380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6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(34%)</w:t>
            </w:r>
          </w:p>
        </w:tc>
      </w:tr>
      <w:tr>
        <w:trPr>
          <w:trHeight w:val="2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6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(16%)</w:t>
            </w:r>
          </w:p>
        </w:tc>
      </w:tr>
      <w:tr>
        <w:trPr>
          <w:trHeight w:val="243"/>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6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(8%)</w:t>
            </w:r>
          </w:p>
        </w:tc>
      </w:tr>
      <w:tr>
        <w:trPr>
          <w:trHeight w:val="2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items</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(42%)</w:t>
            </w:r>
          </w:p>
        </w:tc>
      </w:tr>
      <w:tr>
        <w:trPr>
          <w:trHeight w:val="217"/>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90%</w:t>
            </w: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items for the first half of 2022 consisted of $65 million of transaction and integration costs (including $48 million of ILG integration related costs, $10 million of other integration costs, $5 million of Welk Acquisition and integration related costs, and $2 million of other transaction costs), $8 million of purchase accounting adjustments, and $5 million of litigation charges, partially offset by $41 million of gains and other income, $2 million of revenue associated with an early termination of a VRI management contract, and $3 million of miscellaneous other adjustments.</w:t>
      </w:r>
    </w:p>
    <w:p>
      <w:pPr>
        <w:spacing w:after="0" w:line="13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$41 million of gains and other income included $33 million of gains and other income related to the strategic decision to dispose of our hotel in Puerto Vallarta, Mexico, $16 million of gains and other income related to the strategic decision to dispose of our VRI Americas business, $3 million of business interruption insurance proceeds received and $2 million of proceeds from corporate owned life insurance, partially offset by $7 million of foreign currency translation charges, $3 million of non-cash losses pursuant to a change in control of certain Consolidated Property Owners’ Associations, and $3 million of non-income tax related adjustments to the receivable for the indemnification payment we expect to receive from Marriott International. See Footnote 5 “Income Taxes” to our Financial Statements for further information regarding our indemnification assets.</w:t>
      </w:r>
    </w:p>
    <w:p>
      <w:pPr>
        <w:spacing w:after="0" w:line="8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Certain items for the first half of 2021 consisted of $48 million of transaction costs (including $42 million of ILG integration related costs and $5 million of Welk Acquisition and integration related costs), $6 million of litigation charges, $5 million of impairment charges and $2 million of purchase accounting adjustments, partially offset by $4 million of gains and other income net (including $6 million of foreign currency translation gains, partially offset by $2 million of non-income tax related charges), $2 million to eliminate the impact of consolidating certain property owners’ associations, and $2 million of activity related to the accrual for health and welfare costs for furloughed associates.</w:t>
      </w:r>
    </w:p>
    <w:p>
      <w:pPr>
        <w:spacing w:after="0" w:line="2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Adjusted EBITDA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3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51%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41%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42"/>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55%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2022 First Half</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Ownership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89%</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&amp; Third-Party Management</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68%</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42"/>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90%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Adjusted EBITDA for our reportable segments reconciled to segment financial results attributable to common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Vacation Ownership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3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51%</w:t>
            </w:r>
          </w:p>
        </w:tc>
        <w:tc>
          <w:tcPr>
            <w:tcW w:w="0" w:type="dxa"/>
            <w:vAlign w:val="bottom"/>
          </w:tcPr>
          <w:p>
            <w:pPr>
              <w:spacing w:after="0"/>
              <w:rPr>
                <w:sz w:val="1"/>
                <w:szCs w:val="1"/>
                <w:color w:val="auto"/>
              </w:rPr>
            </w:pP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Certain items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Segment financial results attributable to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85%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Certain items in the Vacation Ownership segment for the second quarter of 2022 consisted of $32 million of gains and other income, net (including $33 million related to the strategic decision to dispose of our hotel in Puerto Vallarta, Mexico, partially offset by $1 million of foreign currency translation charges) and $3 million of miscellaneous other adjustments, partially offset by $5 million of purchase accounting adjustments, $2 million of litigation charges and $1 million of miscellaneous other transaction costs.</w:t>
      </w:r>
    </w:p>
    <w:p>
      <w:pPr>
        <w:spacing w:after="0" w:line="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Certain items in the Vacation Ownership segment for the second quarter of 2021 consisted of $3 million of litigation charges, $2 million of purchase accounting adjustments and $1 million of transaction and integration costs.</w:t>
      </w:r>
    </w:p>
    <w:p>
      <w:pPr>
        <w:spacing w:after="0" w:line="2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89%</w:t>
            </w:r>
          </w:p>
        </w:tc>
        <w:tc>
          <w:tcPr>
            <w:tcW w:w="0" w:type="dxa"/>
            <w:vAlign w:val="bottom"/>
          </w:tcPr>
          <w:p>
            <w:pPr>
              <w:spacing w:after="0"/>
              <w:rPr>
                <w:sz w:val="1"/>
                <w:szCs w:val="1"/>
                <w:color w:val="auto"/>
              </w:rPr>
            </w:pP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Certain items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159"/>
        </w:trPr>
        <w:tc>
          <w:tcPr>
            <w:tcW w:w="38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Segment financial results attributable to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Certain items in the Vacation Ownership segment for the first half of 2022 consisted primarily of $35 million of gains and other income, net (including $33 million related to the strategic decision to dispose of our hotel in Puerto Vallarta, Mexico, and $3 million related to business interruption insurance proceeds, partially offset by $1 million of foreign currency translation charges) and $3 million of miscellaneous other adjustments, partially offset by $8 million of purchase accounting adjustments, $5 million of litigation charges, and $1 million of miscellaneous other transaction costs.</w:t>
      </w:r>
    </w:p>
    <w:p>
      <w:pPr>
        <w:spacing w:after="0" w:line="7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color w:val="auto"/>
        </w:rPr>
        <w:t>Certain items in the Vacation Ownership segment for the first half of 2021 consisted of $6 million of litigation charges, $2 million of purchase accounting adjustments, $1 million of transaction and integration costs, and $1 million of restructuring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3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5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16%</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5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items</w:t>
            </w:r>
          </w:p>
        </w:tc>
        <w:tc>
          <w:tcPr>
            <w:tcW w:w="140" w:type="dxa"/>
            <w:vAlign w:val="bottom"/>
          </w:tcPr>
          <w:p>
            <w:pPr>
              <w:spacing w:after="0"/>
              <w:rPr>
                <w:sz w:val="21"/>
                <w:szCs w:val="21"/>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151"/>
        </w:trPr>
        <w:tc>
          <w:tcPr>
            <w:tcW w:w="38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Segment financial results attributable to common</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66%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items for the Exchange &amp; Third-Party Management segment for the second quarter of 2022 consisted of $16 million of gains and other income related to the strategic decision to dispose of our VRI Americas business and $2 million of revenue associated with an early termination of a VRI management contract.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6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32"/>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5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43%</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(23%)</w:t>
            </w:r>
          </w:p>
        </w:tc>
        <w:tc>
          <w:tcPr>
            <w:tcW w:w="0" w:type="dxa"/>
            <w:vAlign w:val="bottom"/>
          </w:tcPr>
          <w:p>
            <w:pPr>
              <w:spacing w:after="0"/>
              <w:rPr>
                <w:sz w:val="1"/>
                <w:szCs w:val="1"/>
                <w:color w:val="auto"/>
              </w:rPr>
            </w:pPr>
          </w:p>
        </w:tc>
      </w:tr>
      <w:tr>
        <w:trPr>
          <w:trHeight w:val="25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items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151"/>
        </w:trPr>
        <w:tc>
          <w:tcPr>
            <w:tcW w:w="38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Segment financial results attributable to common</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63%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line="332" w:lineRule="auto"/>
        <w:rPr>
          <w:sz w:val="20"/>
          <w:szCs w:val="20"/>
          <w:color w:val="auto"/>
        </w:rPr>
      </w:pPr>
      <w:r>
        <w:rPr>
          <w:rFonts w:ascii="Times New Roman" w:cs="Times New Roman" w:eastAsia="Times New Roman" w:hAnsi="Times New Roman"/>
          <w:sz w:val="16"/>
          <w:szCs w:val="16"/>
          <w:color w:val="auto"/>
        </w:rPr>
        <w:t>Certain items for the Exchange &amp; Third-Party Management segment for the first half of 2022 consisted of $16 million of gains and other income related to the strategic decision to dispose of our VRI Americas business and $2 million of revenue associated with an early termination of a VRI management contract.</w:t>
      </w:r>
    </w:p>
    <w:p>
      <w:pPr>
        <w:spacing w:after="0" w:line="18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33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1"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Our business is grouped into two reportable business segments: Vacation Ownership and Exchange &amp; Third-Party Management. See Footnote 17 “Business Segments” to our Financial Statements for further information on our segments.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Vacation Ownership</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0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66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Pr>
          <w:p>
            <w:pPr>
              <w:spacing w:after="0"/>
              <w:rPr>
                <w:sz w:val="21"/>
                <w:szCs w:val="21"/>
                <w:color w:val="auto"/>
              </w:rPr>
            </w:pPr>
          </w:p>
        </w:tc>
        <w:tc>
          <w:tcPr>
            <w:tcW w:w="5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459</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187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554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1,544</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Marketing and sales</w:t>
            </w:r>
          </w:p>
        </w:tc>
        <w:tc>
          <w:tcPr>
            <w:tcW w:w="1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273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w:t>
            </w:r>
          </w:p>
        </w:tc>
        <w:tc>
          <w:tcPr>
            <w:tcW w:w="1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191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42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charges</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Royalty fee</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554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1,349</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jc w:val="right"/>
              <w:ind w:right="2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5"/>
              </w:rPr>
              <w:t>(1)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SEGMENT FINANCIAL RESULTS</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2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ATTRIBUTABLE TO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660" w:type="dxa"/>
            <w:vAlign w:val="bottom"/>
            <w:gridSpan w:val="3"/>
            <w:vMerge w:val="restart"/>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195</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1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300" w:type="dxa"/>
            <w:vAlign w:val="bottom"/>
            <w:gridSpan w:val="3"/>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3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contract sales</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144</w:t>
            </w:r>
          </w:p>
        </w:tc>
        <w:tc>
          <w:tcPr>
            <w:tcW w:w="1100" w:type="dxa"/>
            <w:vAlign w:val="bottom"/>
            <w:gridSpan w:val="3"/>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6"/>
              </w:rPr>
              <w:t>40%</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Joint venture contract sales</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6%</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contract sales</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144</w:t>
            </w:r>
          </w:p>
        </w:tc>
        <w:tc>
          <w:tcPr>
            <w:tcW w:w="1100" w:type="dxa"/>
            <w:vAlign w:val="bottom"/>
            <w:gridSpan w:val="3"/>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6"/>
              </w:rPr>
              <w:t>39%</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2022 First Half</w:t>
            </w: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contract sales</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312</w:t>
            </w:r>
          </w:p>
        </w:tc>
        <w:tc>
          <w:tcPr>
            <w:tcW w:w="1100" w:type="dxa"/>
            <w:vAlign w:val="bottom"/>
            <w:gridSpan w:val="3"/>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6"/>
              </w:rPr>
              <w:t>53%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Joint venture contract sales</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tcPr>
          <w:p>
            <w:pPr>
              <w:spacing w:after="0"/>
              <w:rPr>
                <w:sz w:val="22"/>
                <w:szCs w:val="22"/>
                <w:color w:val="auto"/>
              </w:rPr>
            </w:pP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22%</w:t>
            </w: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contract sales</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315</w:t>
            </w:r>
          </w:p>
        </w:tc>
        <w:tc>
          <w:tcPr>
            <w:tcW w:w="1100" w:type="dxa"/>
            <w:vAlign w:val="bottom"/>
            <w:gridSpan w:val="3"/>
            <w:shd w:val="clear" w:color="auto" w:fill="CCEEFF"/>
          </w:tcPr>
          <w:p>
            <w:pPr>
              <w:jc w:val="center"/>
              <w:ind w:left="93"/>
              <w:spacing w:after="0"/>
              <w:rPr>
                <w:sz w:val="20"/>
                <w:szCs w:val="20"/>
                <w:color w:val="auto"/>
              </w:rPr>
            </w:pPr>
            <w:r>
              <w:rPr>
                <w:rFonts w:ascii="Times New Roman" w:cs="Times New Roman" w:eastAsia="Times New Roman" w:hAnsi="Times New Roman"/>
                <w:sz w:val="18"/>
                <w:szCs w:val="18"/>
                <w:color w:val="auto"/>
                <w:w w:val="96"/>
              </w:rPr>
              <w:t>52%</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w w:val="88"/>
              </w:rPr>
              <w:t>52</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Vacation Ownership Products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39%</w:t>
            </w: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resales contract sales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joint venture contract sales</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contract sales, net of resales</w:t>
            </w:r>
          </w:p>
        </w:tc>
        <w:tc>
          <w:tcPr>
            <w:tcW w:w="1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39%</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revenue</w:t>
            </w: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Resales revenue</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Reportability</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reserve</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9"/>
                <w:szCs w:val="9"/>
                <w:color w:val="auto"/>
              </w:rPr>
              <w:t>(1)</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129</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44%</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6" w:lineRule="exact"/>
        <w:rPr>
          <w:sz w:val="20"/>
          <w:szCs w:val="20"/>
          <w:color w:val="auto"/>
        </w:rPr>
      </w:pPr>
    </w:p>
    <w:p>
      <w:pPr>
        <w:ind w:left="320" w:right="280" w:hanging="315"/>
        <w:spacing w:after="0" w:line="223" w:lineRule="auto"/>
        <w:tabs>
          <w:tab w:leader="none" w:pos="30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Adjustment for sales incentives that will not be recognized as Sale of vacation ownership products revenue and other adjustments to Sale of vacation ownership products revenue.</w:t>
      </w:r>
    </w:p>
    <w:p>
      <w:pPr>
        <w:spacing w:after="0" w:line="14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The higher contract sales performance reflects the continued ramp-up of the business subsequent to the initial impact of the COVID-19 pandemic. Higher settlement and resales revenues, sales incentives issued, and sales reserve activity were driven by the higher contract sales volumes.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315</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52%</w:t>
            </w: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resales contract sales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joint venture contract sales</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contract sales, net of resales</w:t>
            </w:r>
          </w:p>
        </w:tc>
        <w:tc>
          <w:tcPr>
            <w:tcW w:w="12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304</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53%</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revenue</w:t>
            </w: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Resales revenue</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Reportability</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reserve</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9"/>
                <w:szCs w:val="9"/>
                <w:color w:val="auto"/>
              </w:rPr>
              <w:t>(1)</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276</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60%</w:t>
            </w:r>
          </w:p>
        </w:tc>
      </w:tr>
      <w:tr>
        <w:trPr>
          <w:trHeight w:val="20"/>
        </w:trPr>
        <w:tc>
          <w:tcPr>
            <w:tcW w:w="3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6" w:lineRule="exact"/>
        <w:rPr>
          <w:sz w:val="20"/>
          <w:szCs w:val="20"/>
          <w:color w:val="auto"/>
        </w:rPr>
      </w:pPr>
    </w:p>
    <w:p>
      <w:pPr>
        <w:ind w:left="320" w:right="280" w:hanging="315"/>
        <w:spacing w:after="0" w:line="223" w:lineRule="auto"/>
        <w:tabs>
          <w:tab w:leader="none" w:pos="308"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Adjustment for sales incentives that will not be recognized as Sale of vacation ownership products revenue and other adjustments to Sale of vacation ownership products revenue.</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higher contract sales performance reflects the continued ramp-up of the business subsequent to the initial impact of the COVID-19 pandemic, as well as $29 million in contract sales relating to the Welk Acquisition, which we acquired in the second quarter of 2021. Higher settlement and resales revenues, sales incentives issued and sales reserve activity were driven by the higher contract sales volumes as well as the Welk Acquisition.</w:t>
      </w:r>
    </w:p>
    <w:p>
      <w:pPr>
        <w:spacing w:after="0" w:line="2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320" w:top="332"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Profit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44%</w:t>
            </w: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(18%)</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sales</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(32%)</w:t>
            </w: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(100%)</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profit margin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8.7 pts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bl>
    <w:p>
      <w:pPr>
        <w:spacing w:after="0" w:line="2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increase in Development profit reflects $50 million as a result of higher contract sales volumes net of the sales reserve and direct variable expenses (i.e. cost of vacation ownership products and marketing and sales), in part from continued strong VPG and lower marketing and sales spending as a percentage of revenue, $11 million from a favorable mix of lower cost inventory being sold, $3 million of favorable product cost true-up activity, and $2 million of favorable revenue reportability.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735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276</w:t>
            </w:r>
          </w:p>
        </w:tc>
        <w:tc>
          <w:tcPr>
            <w:tcW w:w="104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60%</w:t>
            </w:r>
          </w:p>
        </w:tc>
      </w:tr>
      <w:tr>
        <w:trPr>
          <w:trHeight w:val="25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20" w:type="dxa"/>
            <w:vAlign w:val="bottom"/>
          </w:tcPr>
          <w:p>
            <w:pPr>
              <w:spacing w:after="0"/>
              <w:rPr>
                <w:sz w:val="21"/>
                <w:szCs w:val="21"/>
                <w:color w:val="auto"/>
              </w:rPr>
            </w:pPr>
          </w:p>
        </w:tc>
        <w:tc>
          <w:tcPr>
            <w:tcW w:w="1120" w:type="dxa"/>
            <w:vAlign w:val="bottom"/>
          </w:tcPr>
          <w:p>
            <w:pPr>
              <w:jc w:val="center"/>
              <w:ind w:left="575"/>
              <w:spacing w:after="0"/>
              <w:rPr>
                <w:sz w:val="20"/>
                <w:szCs w:val="20"/>
                <w:color w:val="auto"/>
              </w:rPr>
            </w:pPr>
            <w:r>
              <w:rPr>
                <w:rFonts w:ascii="Times New Roman" w:cs="Times New Roman" w:eastAsia="Times New Roman" w:hAnsi="Times New Roman"/>
                <w:sz w:val="18"/>
                <w:szCs w:val="18"/>
                <w:color w:val="auto"/>
                <w:w w:val="97"/>
              </w:rPr>
              <w:t>(140)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gridSpan w:val="2"/>
          </w:tcPr>
          <w:p>
            <w:pPr>
              <w:jc w:val="right"/>
              <w:ind w:right="157"/>
              <w:spacing w:after="0"/>
              <w:rPr>
                <w:sz w:val="20"/>
                <w:szCs w:val="20"/>
                <w:color w:val="auto"/>
              </w:rPr>
            </w:pPr>
            <w:r>
              <w:rPr>
                <w:rFonts w:ascii="Times New Roman" w:cs="Times New Roman" w:eastAsia="Times New Roman" w:hAnsi="Times New Roman"/>
                <w:sz w:val="18"/>
                <w:szCs w:val="18"/>
                <w:color w:val="auto"/>
              </w:rPr>
              <w:t>(31%)</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sales</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7"/>
              </w:rPr>
              <w:t>(396)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4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(45%)</w:t>
            </w: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575"/>
              <w:spacing w:after="0"/>
              <w:rPr>
                <w:sz w:val="20"/>
                <w:szCs w:val="20"/>
                <w:color w:val="auto"/>
              </w:rPr>
            </w:pPr>
            <w:r>
              <w:rPr>
                <w:rFonts w:ascii="Times New Roman" w:cs="Times New Roman" w:eastAsia="Times New Roman" w:hAnsi="Times New Roman"/>
                <w:sz w:val="18"/>
                <w:szCs w:val="18"/>
                <w:color w:val="auto"/>
                <w:w w:val="96"/>
              </w:rPr>
              <w:t>199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9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profit margin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9.8 pts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bl>
    <w:p>
      <w:pPr>
        <w:spacing w:after="0" w:line="2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increase in Development profit reflects $93 million as a result of higher contract sales volumes net of the sales reserve and direct variable expenses (i.e. cost of vacation ownership products and marketing and sales), in part from continued strong VPGs and lower marketing and sales spending as a percentage of revenue, $14 million from a favorable mix of lower cost inventory being sold, $9 million of favorable product cost true-up activity, and $4 million of favorable revenue reportability.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Profit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4"/>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3%</w:t>
            </w:r>
          </w:p>
        </w:tc>
      </w:tr>
      <w:tr>
        <w:trPr>
          <w:trHeight w:val="26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Ancillary revenues</w:t>
            </w:r>
          </w:p>
        </w:tc>
        <w:tc>
          <w:tcPr>
            <w:tcW w:w="12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27%</w:t>
            </w:r>
          </w:p>
        </w:tc>
      </w:tr>
      <w:tr>
        <w:trPr>
          <w:trHeight w:val="2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management and exchange revenues</w:t>
            </w: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5%</w:t>
            </w: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14%</w:t>
            </w:r>
          </w:p>
        </w:tc>
      </w:tr>
      <w:tr>
        <w:trPr>
          <w:trHeight w:val="2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(31%)</w:t>
            </w:r>
          </w:p>
        </w:tc>
      </w:tr>
      <w:tr>
        <w:trPr>
          <w:trHeight w:val="21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Resort management and other services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3%</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Resort management and other services profit margin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99"/>
              </w:rPr>
              <w:t>(5.7 pts)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bl>
    <w:p>
      <w:pPr>
        <w:spacing w:after="0" w:line="21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Resort management and other services revenues reflected higher ancillary revenues, including revenues from food and beverage and golf offerings, as a result of the continued ramp-up of the business subsequent to the initial impact of the COVID-19 pandemic, and higher management fees. attributed to budgeted expense increases at owners’ associations, as our management fees are largely calculated as a percentage of budgeted costs to operate resorts. Resort occupancies continued to increase subsequent to the initial impact of the pandemic as travel and tourism trends continue to recover. We expect resort occupancies to remain strong for the remainder of 2022 and this trend in business improvement to continue for the remainder of 2022.</w:t>
      </w:r>
    </w:p>
    <w:p>
      <w:pPr>
        <w:spacing w:after="0" w:line="80"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color w:val="auto"/>
        </w:rPr>
        <w:t>The increase in resort management and other services profit reflected the higher ancillary expenses as a result of the higher ancillary revenues mentioned above.</w:t>
      </w: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332" w:right="4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Management fee revenues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Ancillary revenues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management and exchange revenues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Resort management and other services revenues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Resort management and other services expenses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Resort management and other services profit</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Resort management and other services profit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4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7%</w:t>
            </w:r>
          </w:p>
        </w:tc>
      </w:tr>
      <w:tr>
        <w:trPr>
          <w:trHeight w:val="263"/>
        </w:trPr>
        <w:tc>
          <w:tcPr>
            <w:tcW w:w="12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50%</w:t>
            </w:r>
          </w:p>
        </w:tc>
      </w:tr>
      <w:tr>
        <w:trPr>
          <w:trHeight w:val="263"/>
        </w:trPr>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6%</w:t>
            </w:r>
          </w:p>
        </w:tc>
      </w:tr>
      <w:tr>
        <w:trPr>
          <w:trHeight w:val="243"/>
        </w:trPr>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23%</w:t>
            </w:r>
          </w:p>
        </w:tc>
      </w:tr>
      <w:tr>
        <w:trPr>
          <w:trHeight w:val="263"/>
        </w:trPr>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(41%)</w:t>
            </w:r>
          </w:p>
        </w:tc>
      </w:tr>
      <w:tr>
        <w:trPr>
          <w:trHeight w:val="217"/>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12%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1"/>
        </w:trPr>
        <w:tc>
          <w:tcPr>
            <w:tcW w:w="120" w:type="dxa"/>
            <w:vAlign w:val="bottom"/>
          </w:tcPr>
          <w:p>
            <w:pPr>
              <w:spacing w:after="0"/>
              <w:rPr>
                <w:sz w:val="19"/>
                <w:szCs w:val="19"/>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99"/>
              </w:rPr>
              <w:t>(5.6 pts)</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-1163955</wp:posOffset>
            </wp:positionV>
            <wp:extent cx="5414645" cy="167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14645" cy="16700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-829310</wp:posOffset>
            </wp:positionV>
            <wp:extent cx="5414645" cy="167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14645" cy="16700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-495300</wp:posOffset>
            </wp:positionV>
            <wp:extent cx="5414645" cy="167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14645" cy="167005"/>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-161290</wp:posOffset>
            </wp:positionV>
            <wp:extent cx="5414645" cy="158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14645" cy="1587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100"/>
            <w:col w:w="7340"/>
          </w:cols>
          <w:pgMar w:left="320" w:top="332" w:right="439" w:bottom="1440" w:gutter="0" w:footer="0" w:header="0"/>
        </w:sectPr>
      </w:pPr>
    </w:p>
    <w:p>
      <w:pPr>
        <w:spacing w:after="0" w:line="2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Resort management and other services revenues reflected higher ancillary revenues, including revenues from food and beverage and golf offerings, as a result of the continued ramp-up of the business subsequent to the initial impact of the COVID-19 pandemic, $5 million of revenues relating to the Welk Acquisition, which we acquired in the second quarter of 2021, and higher management fees.</w:t>
      </w:r>
    </w:p>
    <w:p>
      <w:pPr>
        <w:spacing w:after="0" w:line="7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The increase in resort management and other services profit reflected the higher ancillary expenses as a result of the higher ancillary revenues mentioned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Revenues, Expenses and Profit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3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Borders>
              <w:bottom w:val="single" w:sz="8" w:color="CCEEFF"/>
            </w:tcBorders>
            <w:gridSpan w:val="2"/>
          </w:tcPr>
          <w:p>
            <w:pPr>
              <w:jc w:val="right"/>
              <w:ind w:right="257"/>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2"/>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Rental profit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15"/>
              <w:spacing w:after="0" w:line="201" w:lineRule="exact"/>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14"/>
              <w:spacing w:after="0" w:line="201" w:lineRule="exact"/>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34"/>
              <w:spacing w:after="0" w:line="201" w:lineRule="exact"/>
              <w:rPr>
                <w:sz w:val="20"/>
                <w:szCs w:val="20"/>
                <w:color w:val="auto"/>
              </w:rPr>
            </w:pPr>
            <w:r>
              <w:rPr>
                <w:rFonts w:ascii="Times New Roman" w:cs="Times New Roman" w:eastAsia="Times New Roman" w:hAnsi="Times New Roman"/>
                <w:sz w:val="18"/>
                <w:szCs w:val="18"/>
                <w:color w:val="auto"/>
              </w:rPr>
              <w:t>16.3 pts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332" w:right="4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Transient keys rented</w:t>
      </w:r>
      <w:r>
        <w:rPr>
          <w:rFonts w:ascii="Times New Roman" w:cs="Times New Roman" w:eastAsia="Times New Roman" w:hAnsi="Times New Roman"/>
          <w:sz w:val="10"/>
          <w:szCs w:val="10"/>
          <w:color w:val="auto"/>
        </w:rPr>
        <w:t>(1)</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Average transient key rate</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Resort occupancy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40" w:type="dxa"/>
            <w:vAlign w:val="bottom"/>
          </w:tcPr>
          <w:p>
            <w:pPr>
              <w:spacing w:after="0"/>
              <w:rPr>
                <w:sz w:val="18"/>
                <w:szCs w:val="18"/>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0"/>
        </w:trPr>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577,114</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547,041</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30,073</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230.67</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tcPr>
          <w:p>
            <w:pPr>
              <w:spacing w:after="0"/>
              <w:rPr>
                <w:sz w:val="21"/>
                <w:szCs w:val="21"/>
                <w:color w:val="auto"/>
              </w:rPr>
            </w:pPr>
          </w:p>
        </w:tc>
        <w:tc>
          <w:tcPr>
            <w:tcW w:w="9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14%</w:t>
            </w:r>
          </w:p>
        </w:tc>
      </w:tr>
      <w:tr>
        <w:trPr>
          <w:trHeight w:val="237"/>
        </w:trPr>
        <w:tc>
          <w:tcPr>
            <w:tcW w:w="140" w:type="dxa"/>
            <w:vAlign w:val="bottom"/>
          </w:tcPr>
          <w:p>
            <w:pPr>
              <w:spacing w:after="0"/>
              <w:rPr>
                <w:sz w:val="20"/>
                <w:szCs w:val="20"/>
                <w:color w:val="auto"/>
              </w:rPr>
            </w:pPr>
          </w:p>
        </w:tc>
        <w:tc>
          <w:tcPr>
            <w:tcW w:w="11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5.5 pts</w:t>
            </w:r>
          </w:p>
        </w:tc>
        <w:tc>
          <w:tcPr>
            <w:tcW w:w="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-466725</wp:posOffset>
            </wp:positionV>
            <wp:extent cx="5414645" cy="158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14645" cy="15875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-149225</wp:posOffset>
            </wp:positionV>
            <wp:extent cx="5414645" cy="158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14645" cy="158750"/>
                    </a:xfrm>
                    <a:prstGeom prst="rect">
                      <a:avLst/>
                    </a:prstGeom>
                    <a:noFill/>
                  </pic:spPr>
                </pic:pic>
              </a:graphicData>
            </a:graphic>
          </wp:anchor>
        </w:drawing>
      </w:r>
    </w:p>
    <w:p>
      <w:pPr>
        <w:spacing w:after="0" w:line="301" w:lineRule="exact"/>
        <w:rPr>
          <w:sz w:val="20"/>
          <w:szCs w:val="20"/>
          <w:color w:val="auto"/>
        </w:rPr>
      </w:pPr>
    </w:p>
    <w:p>
      <w:pPr>
        <w:sectPr>
          <w:pgSz w:w="11900" w:h="16838" w:orient="portrait"/>
          <w:cols w:equalWidth="0" w:num="2">
            <w:col w:w="3020" w:space="720"/>
            <w:col w:w="7400"/>
          </w:cols>
          <w:pgMar w:left="320" w:top="332" w:right="439" w:bottom="1440" w:gutter="0" w:footer="0" w:header="0"/>
          <w:type w:val="continuous"/>
        </w:sectPr>
      </w:pPr>
    </w:p>
    <w:p>
      <w:pPr>
        <w:ind w:left="300" w:hanging="295"/>
        <w:spacing w:after="0"/>
        <w:tabs>
          <w:tab w:leader="none" w:pos="30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Transient keys rented exclude those occupied through the use of plus points and preview stays.</w:t>
      </w:r>
    </w:p>
    <w:p>
      <w:pPr>
        <w:spacing w:after="0" w:line="14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Rental revenues increased by $37 million due to additional transient keys rented at a higher average transient rate, partially offset by $18 million of increased rental expenses recorded as a reduction to rental revenues.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Rental expenses decreased by $4 million attributed to $18 million of costs recorded as a reduction to rental revenues and $1 million of lower administrative expenses, partially offset by a $6 million increase in operating hotel expenses attributable to higher revenues, $5 million of higher carry costs of excess inventory on hand resulting from our fulfillment of purchase commitments in 2021 and $4 million of additional costs attributed to higher utilization in 2022 of third-party vacation offerings by owners.</w:t>
      </w:r>
    </w:p>
    <w:p>
      <w:pPr>
        <w:spacing w:after="0" w:line="78"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As the majority of the governmental restrictions in response to the COVID-19 pandemic that caused rental activity to decline (such as travel restrictions and quarantine requirements) have been lifted, we expect high resort occupancies throughout the remainder of 2022. However, we do not expect this part of our business to fully recover to pre-pandemic levels in 2022 as a result of reduced rental inventory availability due to higher owner usage as well as higher inventory carrying costs, as described above.</w:t>
      </w:r>
    </w:p>
    <w:p>
      <w:pPr>
        <w:spacing w:after="0" w:line="2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332" w:right="4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34%</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42"/>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profit (loss)</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Rental profit margin</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7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95"/>
              <w:spacing w:after="0" w:line="201" w:lineRule="exact"/>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color w:val="auto"/>
                <w:w w:val="96"/>
              </w:rPr>
              <w:t>NM</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3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6"/>
              </w:rPr>
              <w:t>June 30, 2022</w:t>
            </w:r>
          </w:p>
        </w:tc>
        <w:tc>
          <w:tcPr>
            <w:tcW w:w="14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Transient keys rented</w:t>
            </w:r>
            <w:r>
              <w:rPr>
                <w:rFonts w:ascii="Times New Roman" w:cs="Times New Roman" w:eastAsia="Times New Roman" w:hAnsi="Times New Roman"/>
                <w:sz w:val="10"/>
                <w:szCs w:val="10"/>
                <w:color w:val="auto"/>
              </w:rPr>
              <w:t>(1)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1,116,673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932,786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183,887</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5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38.72</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17%</w:t>
            </w:r>
          </w:p>
        </w:tc>
        <w:tc>
          <w:tcPr>
            <w:tcW w:w="0" w:type="dxa"/>
            <w:vAlign w:val="bottom"/>
          </w:tcPr>
          <w:p>
            <w:pPr>
              <w:spacing w:after="0"/>
              <w:rPr>
                <w:sz w:val="1"/>
                <w:szCs w:val="1"/>
                <w:color w:val="auto"/>
              </w:rPr>
            </w:pPr>
          </w:p>
        </w:tc>
      </w:tr>
      <w:tr>
        <w:trPr>
          <w:trHeight w:val="25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Resort occupancy</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w w:val="94"/>
              </w:rPr>
              <w:t>76.1%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w w:val="98"/>
              </w:rPr>
              <w:t>13.0 pts</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p>
    <w:p>
      <w:pPr>
        <w:ind w:left="300" w:hanging="295"/>
        <w:spacing w:after="0"/>
        <w:tabs>
          <w:tab w:leader="none" w:pos="30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Transient keys rented exclude those occupied through the use of plus points and preview stays.</w:t>
      </w:r>
    </w:p>
    <w:p>
      <w:pPr>
        <w:spacing w:after="0" w:line="14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color w:val="auto"/>
        </w:rPr>
        <w:t>Rental revenues increased by $115 million due to the increase in transient keys rented and a higher average transient rate, partially offset by $51 million of increased rental expenses recorded as a reduction to rental revenues.</w:t>
      </w:r>
    </w:p>
    <w:p>
      <w:pPr>
        <w:spacing w:after="0" w:line="64"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Rental expenses decreased by $10 million attributed to $51 million of costs recorded as a reduction to rental revenues and $11 million of higher allocations of rental costs to marketing and sales expense for marketing purposes partially offset by $15 million in operating hotel expenses attributable to higher revenues, $13 million of additional tidy and variable costs associated with increased transient keys rented, $8 million of higher carry costs of excess inventory on hand resulting from our fulfillment of purchase commitments in 2021, $8 million of additional costs attributed to higher utilization in 2022 of third-party vacation offerings by owners, $5 million of higher subsidy expenses, and $3 million of higher owner list for rent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Revenues, Expenses and Profit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revenues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72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5%</w:t>
            </w:r>
          </w:p>
        </w:tc>
      </w:tr>
      <w:tr>
        <w:trPr>
          <w:trHeight w:val="25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expenses</w:t>
            </w:r>
          </w:p>
        </w:tc>
        <w:tc>
          <w:tcPr>
            <w:tcW w:w="140" w:type="dxa"/>
            <w:vAlign w:val="bottom"/>
          </w:tcPr>
          <w:p>
            <w:pPr>
              <w:spacing w:after="0"/>
              <w:rPr>
                <w:sz w:val="21"/>
                <w:szCs w:val="21"/>
                <w:color w:val="auto"/>
              </w:rPr>
            </w:pPr>
          </w:p>
        </w:tc>
        <w:tc>
          <w:tcPr>
            <w:tcW w:w="1120" w:type="dxa"/>
            <w:vAlign w:val="bottom"/>
          </w:tcPr>
          <w:p>
            <w:pPr>
              <w:jc w:val="center"/>
              <w:ind w:left="655"/>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(22%)</w:t>
            </w: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4%</w:t>
            </w:r>
          </w:p>
        </w:tc>
      </w:tr>
      <w:tr>
        <w:trPr>
          <w:trHeight w:val="21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695"/>
              <w:spacing w:after="0"/>
              <w:rPr>
                <w:sz w:val="20"/>
                <w:szCs w:val="20"/>
                <w:color w:val="auto"/>
              </w:rPr>
            </w:pPr>
            <w:r>
              <w:rPr>
                <w:rFonts w:ascii="Times New Roman" w:cs="Times New Roman" w:eastAsia="Times New Roman" w:hAnsi="Times New Roman"/>
                <w:sz w:val="18"/>
                <w:szCs w:val="18"/>
                <w:color w:val="auto"/>
                <w:w w:val="99"/>
              </w:rPr>
              <w:t>49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5%</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propensity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bl>
    <w:p>
      <w:pPr>
        <w:spacing w:after="0" w:line="21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Financing revenues reflected $3 million of higher interest income as a result of a higher average notes receivable balance, a slightly higher average interest rate driven by mix of customers and brands, and $1 million of lower plus point financing incentive costs year-over-year. The higher average notes receivable balance was the result of new loan originations in excess of the amount of the continued pay-down of the existing vacation ownership notes receivable portfolio. We expect the average notes receivable balance, and resulting interest income, to continue to increase with the expected growth in contract sales and loan originations. Financing expenses increased primarily due to the timing of when lien fee income is recognized. As we move through 2022, we expect to continue to increase our focus on sales to first-time buyers, which should further increase financing propensity.</w:t>
      </w:r>
    </w:p>
    <w:p>
      <w:pPr>
        <w:spacing w:after="0" w:line="25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332"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revenues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12%</w:t>
            </w:r>
          </w:p>
        </w:tc>
      </w:tr>
      <w:tr>
        <w:trPr>
          <w:trHeight w:val="25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(17%)</w:t>
            </w: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4%</w:t>
            </w:r>
          </w:p>
        </w:tc>
      </w:tr>
      <w:tr>
        <w:trPr>
          <w:trHeight w:val="217"/>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0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6"/>
              </w:rPr>
              <w:t>17%</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propensity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bl>
    <w:p>
      <w:pPr>
        <w:spacing w:after="0" w:line="2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Financing revenues reflected $13 million of higher interest income (including $10 million due to the Welk Acquisition and $3 million as a result of a higher average vacation ownership notes receivable balance and a slightly higher average interest rate driven by mix of customers and brands) and $3 million of lower plus point financing incentive costs year-over-year. Financing expenses increased primarily due to the timing of when lien fee income is recognized. The higher financing propensity is primarily a result of the Welk Acquisition in the second quarter of 2021. Legacy-Welk customers have a higher financing propensity than Legacy-MVW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Fee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7%</w:t>
            </w:r>
          </w:p>
        </w:tc>
      </w:tr>
    </w:tbl>
    <w:p>
      <w:pPr>
        <w:spacing w:after="0" w:line="232"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The increase in royalty fee expense in the second quarter of 2022 included $2 million from an increase in the dollar volume of closings and $1 million from a contractual increase in the fixed portion of the royalty fee owed to Marriott International, partially offset by $1 million from an increase in sales of pre-owned inventory, which carry a lower royalty fee as compared to initial sales of our inventory (one percent versus two percent).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fee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8%</w:t>
            </w:r>
          </w:p>
        </w:tc>
      </w:tr>
    </w:tbl>
    <w:p>
      <w:pPr>
        <w:spacing w:after="0" w:line="21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increase in royalty fee expense in the first half of 2022 included $4 million from an increase in the dollar volume of closings and $2 million from a contractual increase in the fixed portion of the royalty fee owed to Marriott International, partially offset by $2 million from an increase in sales of pre-owned inventory, which carry a lower royalty fee as compared to initial sales of our inventory (one percent versus two percent).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Charges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44"/>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r>
      <w:tr>
        <w:trPr>
          <w:trHeight w:val="460"/>
        </w:trPr>
        <w:tc>
          <w:tcPr>
            <w:tcW w:w="3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First Half</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5"/>
        </w:trPr>
        <w:tc>
          <w:tcPr>
            <w:tcW w:w="37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45"/>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charges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r>
    </w:tbl>
    <w:p>
      <w:pPr>
        <w:spacing w:after="0" w:line="232"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color w:val="auto"/>
        </w:rPr>
        <w:t>During the second quarter and first half of 2022, as well as the second quarter and first half of 2021, the litigation charges related primarily to projects in Europe.</w:t>
      </w:r>
    </w:p>
    <w:p>
      <w:pPr>
        <w:spacing w:after="0" w:line="2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and Other Income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4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23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During the second quarter of 2022, we recorded $33 million related to the strategic decision to dispose of our hotel in Puerto Vallarta, Mexico, partially offset by $1 million of foreign currency translation charges.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30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4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23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During the first half of 2022, we recorded $33 million related to the strategic decision to dispose of our hotel in Puerto Vallarta, Mexico, and $3 million related to receipt of business interruption insurance proceeds, partially offset by $1 million of foreign currency translation charges.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&amp; Third-Party Management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Management and exchange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Management and exchange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124</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326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SEGMENT FINANCIAL RESULTS</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and Exchange Profit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3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exchange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88"/>
              </w:rPr>
              <w:t>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60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Management and exchange expense</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9"/>
              </w:rPr>
              <w:t>(32)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8"/>
                <w:szCs w:val="18"/>
                <w:color w:val="auto"/>
                <w:w w:val="99"/>
              </w:rPr>
              <w:t>(35)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left="434"/>
              <w:spacing w:after="0"/>
              <w:rPr>
                <w:sz w:val="20"/>
                <w:szCs w:val="20"/>
                <w:color w:val="auto"/>
              </w:rPr>
            </w:pPr>
            <w:r>
              <w:rPr>
                <w:rFonts w:ascii="Times New Roman" w:cs="Times New Roman" w:eastAsia="Times New Roman" w:hAnsi="Times New Roman"/>
                <w:sz w:val="18"/>
                <w:szCs w:val="18"/>
                <w:color w:val="auto"/>
                <w:w w:val="88"/>
              </w:rPr>
              <w:t>3</w:t>
            </w:r>
          </w:p>
        </w:tc>
        <w:tc>
          <w:tcPr>
            <w:tcW w:w="1040" w:type="dxa"/>
            <w:vAlign w:val="bottom"/>
            <w:tcBorders>
              <w:bottom w:val="single" w:sz="8" w:color="CCEEFF"/>
            </w:tcBorders>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exchange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88"/>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88"/>
              </w:rPr>
              <w:t>1</w:t>
            </w:r>
          </w:p>
        </w:tc>
        <w:tc>
          <w:tcPr>
            <w:tcW w:w="1040" w:type="dxa"/>
            <w:vAlign w:val="bottom"/>
            <w:tcBorders>
              <w:bottom w:val="single" w:sz="8" w:color="CCEEFF"/>
            </w:tcBorders>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Management and exchange profit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15"/>
              <w:spacing w:after="0" w:line="201" w:lineRule="exact"/>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14"/>
              <w:spacing w:after="0" w:line="201" w:lineRule="exact"/>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center"/>
              <w:ind w:right="94"/>
              <w:spacing w:after="0" w:line="201" w:lineRule="exact"/>
              <w:rPr>
                <w:sz w:val="20"/>
                <w:szCs w:val="20"/>
                <w:color w:val="auto"/>
              </w:rPr>
            </w:pPr>
            <w:r>
              <w:rPr>
                <w:rFonts w:ascii="Times New Roman" w:cs="Times New Roman" w:eastAsia="Times New Roman" w:hAnsi="Times New Roman"/>
                <w:sz w:val="18"/>
                <w:szCs w:val="18"/>
                <w:color w:val="auto"/>
                <w:w w:val="95"/>
              </w:rPr>
              <w:t>3.0 pts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 decrease in management and exchange revenue reflected $4 million of lower revenue due to the disposition of our VRI Americas business during the second quarter of 2022 and $1 million of lower Interval International transaction fee revenue due to fewer exchanges as more members chose to occupy their home resorts rather than exchange for usage through Interval International, partially offset by $2 million of higher management fees at Aqua-Aston managed properties due to the continued ramp-up of the business in Hawaii subsequent to the initial impact of the COVID-19 pandemic. For Interval International, average revenue per member decreased 16% over the prior year comparable period. This decline was due, in part, to recently added affiliations, for which we expect exchange activity to ramp-up over time, as well as the decline in exchange revenue. The increase in management and exchange profit primarily reflected the higher management fees at Aqua Aston.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exchange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Management and exchange expense</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42"/>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exchange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Management and exchange profit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1.9 pts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The increase in management and exchange revenue and profit reflects higher management fees at Aqua-Aston managed properties due to continued ramp-up of business in Hawaii subsequent to the initial impact of the COVID-19 pandemic, partially offset by lower Interval International transaction fee revenue and profit due to fewer exchanges as more members chose to occupy their home resorts rather than exchange for usage through Interval International. The management and exchange revenue was also negatively impacted by the disposition of our VRI Americas business during the second quarter of 2022 as discussed above. For Interval International, average revenue per member decreased 11% over the prior year comparable period. This decline was due, in part, to recently added affiliations, for which we expect exchange activity to ramp-up over time, as well as the decline in exchange revenue.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(3%)</w:t>
            </w:r>
          </w:p>
        </w:tc>
      </w:tr>
    </w:tbl>
    <w:p>
      <w:pPr>
        <w:spacing w:after="0" w:line="21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Results reflect a $2 million decrease in gross Getaway revenues, which resulted from an 18% decline in transactions, partially offset by a 7% increase in the average Getaway fee. Rental revenues remain flat to the prior year, as rental inventory procurement costs, which are recorded net within Rental revenues, declined by $2 million. The decline in Getaway transactions reflected fewer owner deposits as more members chose to occupy their home resorts rather than exchange for usage through Interval International, which put pressure on the inventory available for Getaways. We expect the reduced exchange volume and Getaway specific inventory sourcing to continue through the remainder of the year.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(6%)</w:t>
            </w:r>
          </w:p>
        </w:tc>
      </w:tr>
    </w:tbl>
    <w:p>
      <w:pPr>
        <w:spacing w:after="0" w:line="23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Results reflect a $2 million decrease in gross Getaway revenues, which resulted from a 15% decline in transactions, partially offset by an 11% increase in the average Getaway fee. This was partially offset by lower rental inventory procurement costs, which are recorded net within Rental revenues, of $1 million. The decline in Getaway transactions reflected fewer owner deposits as more members chose to occupy their home resorts rather than exchange for usage through Interval International, which put pressure on the inventory available for Getaways.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r>
      <w:tr>
        <w:trPr>
          <w:trHeight w:val="460"/>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First Half</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3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depreciation expense in the first half of 2022 relates to a true-up made in the prior year to accelerate depreciation on a technology asset.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and Other Income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460"/>
        </w:trPr>
        <w:tc>
          <w:tcPr>
            <w:tcW w:w="3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First Half</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3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and other income,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23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During the second quarter and first half of 2022, we recorded a $16 million gain related to the strategic decision to dispose of our VRI Americas business</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See Footnote 3 “Acquisitions and Dispositions” for more information on the disposition of VRI Americas.</w:t>
      </w:r>
    </w:p>
    <w:p>
      <w:pPr>
        <w:spacing w:after="0" w:line="2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33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11"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the Consolidated Property Owners’ Associations.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4"/>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260" w:type="dxa"/>
            <w:vAlign w:val="bottom"/>
          </w:tcPr>
          <w:p>
            <w:pPr>
              <w:ind w:left="220"/>
              <w:spacing w:after="0" w:line="159" w:lineRule="exact"/>
              <w:rPr>
                <w:sz w:val="20"/>
                <w:szCs w:val="20"/>
                <w:color w:val="auto"/>
              </w:rPr>
            </w:pPr>
            <w:r>
              <w:rPr>
                <w:rFonts w:ascii="Times New Roman" w:cs="Times New Roman" w:eastAsia="Times New Roman" w:hAnsi="Times New Roman"/>
                <w:sz w:val="18"/>
                <w:szCs w:val="18"/>
                <w:color w:val="auto"/>
              </w:rPr>
              <w:t>(Losses) gains and other (expense)</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FINANCIAL RESULTS BEFORE</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2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INCOME TAXES AND</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326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Net loss (income) attributable to</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26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FINANCIAL RESULTS</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2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6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1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61</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3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Property Owners’ Associations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impact of certain Consolidated Property Owners’ Associations under the relevant accounting guidance.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6"/>
          </w:tcPr>
          <w:p>
            <w:pPr>
              <w:jc w:val="right"/>
              <w:ind w:right="577"/>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6"/>
              </w:rPr>
              <w:t>June 30, 2021</w:t>
            </w:r>
          </w:p>
        </w:tc>
        <w:tc>
          <w:tcPr>
            <w:tcW w:w="0" w:type="dxa"/>
            <w:vAlign w:val="bottom"/>
          </w:tcPr>
          <w:p>
            <w:pPr>
              <w:spacing w:after="0"/>
              <w:rPr>
                <w:sz w:val="1"/>
                <w:szCs w:val="1"/>
                <w:color w:val="auto"/>
              </w:rPr>
            </w:pPr>
          </w:p>
        </w:tc>
      </w:tr>
      <w:tr>
        <w:trPr>
          <w:trHeight w:val="23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20" w:type="dxa"/>
            <w:vAlign w:val="bottom"/>
          </w:tcPr>
          <w:p>
            <w:pPr>
              <w:spacing w:after="0"/>
              <w:rPr>
                <w:sz w:val="21"/>
                <w:szCs w:val="21"/>
                <w:color w:val="auto"/>
              </w:rPr>
            </w:pPr>
          </w:p>
        </w:tc>
        <w:tc>
          <w:tcPr>
            <w:tcW w:w="11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Cost reimbursements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Losses and other expense, net</w:t>
            </w: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328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FINANCIAL RESULTS BEFORE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2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INCOME TAXES AND</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9"/>
        </w:trPr>
        <w:tc>
          <w:tcPr>
            <w:tcW w:w="32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Net loss (income) attributable to</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7"/>
        </w:trPr>
        <w:tc>
          <w:tcPr>
            <w:tcW w:w="3280" w:type="dxa"/>
            <w:vAlign w:val="bottom"/>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w w:val="96"/>
              </w:rPr>
              <w:t>FINANCIAL RESULTS ATTRIBUTABLE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5"/>
        </w:trPr>
        <w:tc>
          <w:tcPr>
            <w:tcW w:w="32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TO COMMON SHAREHOLDERS</w:t>
            </w:r>
          </w:p>
        </w:tc>
        <w:tc>
          <w:tcPr>
            <w:tcW w:w="12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2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3"/>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2022, General and administrative expenses decreased due primarily to lower bonus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Pr>
          <w:p>
            <w:pPr>
              <w:spacing w:after="0"/>
              <w:rPr>
                <w:sz w:val="18"/>
                <w:szCs w:val="18"/>
                <w:color w:val="auto"/>
              </w:rPr>
            </w:pPr>
          </w:p>
        </w:tc>
        <w:tc>
          <w:tcPr>
            <w:tcW w:w="262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30"/>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For the first half of 2022, General and administrative expenses increased primarily due to $12 million of higher salary costs due to reduced work week programs in the prior year and a $2 million decrease in credits related to incentives under the CARES Act, partially offset by $1 million in lower overall spending.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 Losses and Other Income / Expense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other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2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second quarter of 2022, we recorded $7 million of foreign currency translation losses, a tax related charge of $3 million, and $3 million of non-cash losses pursuant to a change in control of certain Consolidated Property Owners’ Associations, partially offset by $2 million of proceeds from corporate owned life insurance. In the second quarter of 2021, we recorded a tax related charge of $2 million.</w:t>
      </w:r>
    </w:p>
    <w:p>
      <w:pPr>
        <w:spacing w:after="0" w:line="2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33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 income,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232" w:lineRule="exact"/>
        <w:rPr>
          <w:sz w:val="20"/>
          <w:szCs w:val="20"/>
          <w:color w:val="auto"/>
        </w:rPr>
      </w:pPr>
    </w:p>
    <w:p>
      <w:pPr>
        <w:jc w:val="both"/>
        <w:ind w:right="260"/>
        <w:spacing w:after="0" w:line="303" w:lineRule="auto"/>
        <w:rPr>
          <w:sz w:val="20"/>
          <w:szCs w:val="20"/>
          <w:color w:val="auto"/>
        </w:rPr>
      </w:pPr>
      <w:r>
        <w:rPr>
          <w:rFonts w:ascii="Times New Roman" w:cs="Times New Roman" w:eastAsia="Times New Roman" w:hAnsi="Times New Roman"/>
          <w:sz w:val="16"/>
          <w:szCs w:val="16"/>
          <w:color w:val="auto"/>
        </w:rPr>
        <w:t>In the first half of 2022, we recorded $6 million of foreign currency translation losses, a tax related charge of $3 million, and $3 million of non-cash losses pursuant to a change in control of certain Consolidated Property Owners’ Associations, partially offset by $2 million of proceeds from corporate owned life insurance. In the first half of 2021, we recorded $6 million of foreign currency translation gains, partially offset by a tax related charge of $2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32%</w:t>
            </w:r>
          </w:p>
        </w:tc>
      </w:tr>
    </w:tbl>
    <w:p>
      <w:pPr>
        <w:spacing w:after="0" w:line="232"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6"/>
          <w:szCs w:val="16"/>
          <w:color w:val="auto"/>
        </w:rPr>
        <w:t>Interest expense decreased $14 million, including $12 million due to the early redemption of the 2026 Notes in 2021, $7 million due to the adoption of new accounting guidance related to our convertible debt (see Footnote 2 “Significant Accounting Policies and Recent Accounting Standards” to our Financial Statements), and $4 million due to the early redemption of a portion of the 2025 Notes in 2021, partially offset by $5 million due to the issuance of the 2029 Notes in June 2021, $3 million of non-income tax related interest expense and $1 million of higher interest related to finance leases.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34%</w:t>
            </w:r>
          </w:p>
        </w:tc>
      </w:tr>
    </w:tbl>
    <w:p>
      <w:pPr>
        <w:spacing w:after="0" w:line="21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Interest expense decreased $30 million, including $25 million due to the early redemption of the 2026 Notes in 2021, $13 million due to the adoption of new accounting guidance related to our convertible debt (see Footnote 2 “Significant Accounting Policies and Recent Accounting Standards” to our Financial Statements), and $8 million due to the early redemption of a portion of the 2025 Notes in 2021, partially offset by $11 million due to the issuance of the 2029 Notes in June 2021, $3 million of non-income tax related interest expense and $2 million of higher interest related to finance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and Integration Costs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(27%)</w:t>
            </w:r>
          </w:p>
        </w:tc>
      </w:tr>
    </w:tbl>
    <w:p>
      <w:pPr>
        <w:spacing w:after="0" w:line="23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In the second quarter of 2022, Transaction and integration costs included $23 million of ILG integration related costs, $10 million of other integration costs, $2 million of Welk Acquisition and integration related costs, and $1 million of other transactions costs.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In the second quarter of 2021, Transaction and integration costs included $25 million of ILG integration related costs, and $3 million of Welk Acquisition and integration related costs.</w:t>
      </w:r>
    </w:p>
    <w:p>
      <w:pPr>
        <w:spacing w:after="0" w:line="2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332"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(36%)</w:t>
            </w:r>
          </w:p>
        </w:tc>
      </w:tr>
    </w:tbl>
    <w:p>
      <w:pPr>
        <w:spacing w:after="0" w:line="232"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color w:val="auto"/>
        </w:rPr>
        <w:t>In the first half of 2022, Transaction and integration costs included $48 million of ILG integration related costs, $10 million of other integration costs, $5 million of Welk Acquisition and integration related costs and $1 million of other transaction costs.</w:t>
      </w:r>
    </w:p>
    <w:p>
      <w:pPr>
        <w:spacing w:after="0" w:line="117"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In the first half of 2021, Transaction and integration costs included $42 million of ILG integration related costs and $5 million of Welk Acquisition and integration related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Second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3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(65%)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Provision for income taxes is predominately attributable to an increase in pre-tax income for the three months ended June 30,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First Half</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7"/>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Change</w:t>
            </w:r>
          </w:p>
        </w:tc>
      </w:tr>
      <w:tr>
        <w:trPr>
          <w:trHeight w:val="231"/>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Provision for income taxes is predominately attributable to an increase in pre-tax income for the six months ended June 30,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Typically, our capital needs are supported by cash on hand ($0.3 billion at the end of the second quarter of 2022), cash generated from operations, our ability to raise capital through securitizations in the asset-backed securities market, our ability to issue new, and refinance existing, debt and, to the extent necessary, our ability to access funds under the Warehouse Credit Facility and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w:t>
      </w:r>
    </w:p>
    <w:p>
      <w:pPr>
        <w:spacing w:after="0" w:line="80"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During the first quarter of 2022, we entered into an amendment to the Revolving Corporate Credit Facility, which increased the borrowing capacity of the existing revolving credit facility from $600 million to $750 million and extended the maturity date from August 31, 2023 to March 31, 2027.</w:t>
      </w:r>
    </w:p>
    <w:p>
      <w:pPr>
        <w:spacing w:after="0" w:line="64" w:lineRule="exact"/>
        <w:rPr>
          <w:sz w:val="20"/>
          <w:szCs w:val="20"/>
          <w:color w:val="auto"/>
        </w:rPr>
      </w:pPr>
    </w:p>
    <w:p>
      <w:pPr>
        <w:ind w:right="500"/>
        <w:spacing w:after="0" w:line="332" w:lineRule="auto"/>
        <w:rPr>
          <w:sz w:val="20"/>
          <w:szCs w:val="20"/>
          <w:color w:val="auto"/>
        </w:rPr>
      </w:pPr>
      <w:r>
        <w:rPr>
          <w:rFonts w:ascii="Times New Roman" w:cs="Times New Roman" w:eastAsia="Times New Roman" w:hAnsi="Times New Roman"/>
          <w:sz w:val="16"/>
          <w:szCs w:val="16"/>
          <w:color w:val="auto"/>
        </w:rPr>
        <w:t>Subsequent to the end of the second quarter of 2022, we amended certain agreements associated with our Warehouse Credit Facility, which increased the borrowing capacity of the existing facility from $350 million to $425 million and extended the revolving period from April 21, 2023 to July 28, 2024.</w:t>
      </w:r>
    </w:p>
    <w:p>
      <w:pPr>
        <w:spacing w:after="0" w:line="1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At June 30, 2022, we had $4.7 billion of total gross debt outstanding, which included $1.9 billion of non-recourse debt associated with vacation ownership notes receivable securitizations, $1.1 billion of senior notes, $0.8 billion of convertible notes, $0.8 billion of debt under our Corporate Credit Facility, $84 million related to finance lease obligations, and $10 million related to a non-interest bearing note payable. During the second quarter of 2022, we issued irrevocable notice of our intent to settle the 2022 Convertible Notes in cash. Excluding repayment of non-recourse debt, which is funded by the performance of vacation ownership notes receivable, principal repayments for the remainder of 2022 and 2023 consist of $230 million related to the 2022 Convertible Notes and $6 million related to a non-interest bearing note payable, respectively.</w:t>
      </w:r>
    </w:p>
    <w:p>
      <w:pPr>
        <w:spacing w:after="0" w:line="80" w:lineRule="exact"/>
        <w:rPr>
          <w:sz w:val="20"/>
          <w:szCs w:val="20"/>
          <w:color w:val="auto"/>
        </w:rPr>
      </w:pPr>
    </w:p>
    <w:p>
      <w:pPr>
        <w:ind w:right="200"/>
        <w:spacing w:after="0" w:line="332" w:lineRule="auto"/>
        <w:rPr>
          <w:sz w:val="20"/>
          <w:szCs w:val="20"/>
          <w:color w:val="auto"/>
        </w:rPr>
      </w:pPr>
      <w:r>
        <w:rPr>
          <w:rFonts w:ascii="Times New Roman" w:cs="Times New Roman" w:eastAsia="Times New Roman" w:hAnsi="Times New Roman"/>
          <w:sz w:val="16"/>
          <w:szCs w:val="16"/>
          <w:color w:val="auto"/>
        </w:rPr>
        <w:t>At June 30, 2022, we had $686 million of completed real estate inventory on hand and $506 million of completed vacation ownership units that have been classified as a component of Property and equipment until the time at which they are legally registered and available for sale as vacation ownership products.</w:t>
      </w:r>
    </w:p>
    <w:p>
      <w:pPr>
        <w:spacing w:after="0" w:line="18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18"/>
          <w:szCs w:val="18"/>
          <w:color w:val="auto"/>
        </w:rPr>
        <w:t>Our material cash requirements from known contractual or other obligations were $6 billion as of June 30, 2022, of which we expect $569 million to be payable during the second half of 2022. These obligations primarily relate to our debt, securitized debt, and purchase obligations. See “Material Cash Requirements” below for additional information.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cash, cash equivalents, and restricted cash:</w:t>
      </w:r>
    </w:p>
    <w:p>
      <w:pPr>
        <w:spacing w:after="0" w:line="4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10"/>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provided by (used in):</w:t>
            </w: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50"/>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w:t>
            </w:r>
          </w:p>
        </w:tc>
      </w:tr>
      <w:tr>
        <w:trPr>
          <w:trHeight w:val="25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50"/>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716</w:t>
            </w:r>
          </w:p>
        </w:tc>
      </w:tr>
      <w:tr>
        <w:trPr>
          <w:trHeight w:val="179"/>
        </w:trPr>
        <w:tc>
          <w:tcPr>
            <w:tcW w:w="5640" w:type="dxa"/>
            <w:vAlign w:val="bottom"/>
            <w:shd w:val="clear" w:color="auto" w:fill="CCEEFF"/>
          </w:tcPr>
          <w:p>
            <w:pPr>
              <w:ind w:left="120"/>
              <w:spacing w:after="0" w:line="179" w:lineRule="exact"/>
              <w:rPr>
                <w:sz w:val="20"/>
                <w:szCs w:val="20"/>
                <w:color w:val="auto"/>
              </w:rPr>
            </w:pPr>
            <w:r>
              <w:rPr>
                <w:rFonts w:ascii="Times New Roman" w:cs="Times New Roman" w:eastAsia="Times New Roman" w:hAnsi="Times New Roman"/>
                <w:sz w:val="18"/>
                <w:szCs w:val="18"/>
                <w:color w:val="auto"/>
              </w:rPr>
              <w:t>Effect of change in exchange rates on cash, cash equivalents, and restricted</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688</w:t>
            </w:r>
          </w:p>
        </w:tc>
      </w:tr>
      <w:tr>
        <w:trPr>
          <w:trHeight w:val="20"/>
        </w:trPr>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from Operating Activities</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 Outflows include spending for the development of new phases of existing resorts, the acquisition of additional inventory, enhancement of our inventory exchange network of resorts and related technology infrastructure and funding our working capital needs.</w:t>
      </w:r>
    </w:p>
    <w:p>
      <w:pPr>
        <w:spacing w:after="0" w:line="80"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6"/>
          <w:szCs w:val="16"/>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 and development.</w:t>
      </w:r>
    </w:p>
    <w:p>
      <w:pPr>
        <w:spacing w:after="0" w:line="49"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Excluding the impact of changes in net income or loss and adjustments for non-cash items, the change in cash flows from operations increased as a result of lower inventory spending, higher collections of vacation ownership notes receivable, higher sales and rental deposits due to the continued ramp-up of the business, and higher operational expense accruals, partially offset by timing of certain employee benefit payments and recognition of previously deferred revenues.</w:t>
      </w:r>
    </w:p>
    <w:p>
      <w:pPr>
        <w:spacing w:after="0" w:line="78"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8"/>
          <w:szCs w:val="18"/>
          <w:color w:val="auto"/>
        </w:rPr>
        <w:t>In addition to net income or loss and adjustments for non-cash items, the following operating activities are key drivers of our cash flow from operating activities: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Spending Less Than (In Excess of) Cost of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Pr>
          <w:p>
            <w:pPr>
              <w:spacing w:after="0"/>
              <w:rPr>
                <w:sz w:val="17"/>
                <w:szCs w:val="17"/>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31"/>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spending</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874"/>
              <w:spacing w:after="0"/>
              <w:rPr>
                <w:sz w:val="20"/>
                <w:szCs w:val="20"/>
                <w:color w:val="auto"/>
              </w:rPr>
            </w:pPr>
            <w:r>
              <w:rPr>
                <w:rFonts w:ascii="Times New Roman" w:cs="Times New Roman" w:eastAsia="Times New Roman" w:hAnsi="Times New Roman"/>
                <w:sz w:val="18"/>
                <w:szCs w:val="18"/>
                <w:color w:val="auto"/>
                <w:w w:val="99"/>
              </w:rPr>
              <w:t>(77)</w:t>
            </w:r>
          </w:p>
        </w:tc>
      </w:tr>
      <w:tr>
        <w:trPr>
          <w:trHeight w:val="25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vacation ownership units for future transfer to inventory</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center"/>
              <w:ind w:left="874"/>
              <w:spacing w:after="0"/>
              <w:rPr>
                <w:sz w:val="20"/>
                <w:szCs w:val="20"/>
                <w:color w:val="auto"/>
              </w:rPr>
            </w:pPr>
            <w:r>
              <w:rPr>
                <w:rFonts w:ascii="Times New Roman" w:cs="Times New Roman" w:eastAsia="Times New Roman" w:hAnsi="Times New Roman"/>
                <w:sz w:val="18"/>
                <w:szCs w:val="18"/>
                <w:color w:val="auto"/>
                <w:w w:val="99"/>
              </w:rPr>
              <w:t>(99)</w:t>
            </w:r>
          </w:p>
        </w:tc>
      </w:tr>
      <w:tr>
        <w:trPr>
          <w:trHeight w:val="25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costs</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left="894"/>
              <w:spacing w:after="0"/>
              <w:rPr>
                <w:sz w:val="20"/>
                <w:szCs w:val="20"/>
                <w:color w:val="auto"/>
              </w:rPr>
            </w:pPr>
            <w:r>
              <w:rPr>
                <w:rFonts w:ascii="Times New Roman" w:cs="Times New Roman" w:eastAsia="Times New Roman" w:hAnsi="Times New Roman"/>
                <w:sz w:val="18"/>
                <w:szCs w:val="18"/>
                <w:color w:val="auto"/>
                <w:w w:val="88"/>
              </w:rPr>
              <w:t>90</w:t>
            </w:r>
          </w:p>
        </w:tc>
      </w:tr>
      <w:tr>
        <w:trPr>
          <w:trHeight w:val="217"/>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Inventory spending less than (in excess of) cost of sales</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4"/>
              <w:spacing w:after="0"/>
              <w:rPr>
                <w:sz w:val="20"/>
                <w:szCs w:val="20"/>
                <w:color w:val="auto"/>
              </w:rPr>
            </w:pPr>
            <w:r>
              <w:rPr>
                <w:rFonts w:ascii="Times New Roman" w:cs="Times New Roman" w:eastAsia="Times New Roman" w:hAnsi="Times New Roman"/>
                <w:sz w:val="18"/>
                <w:szCs w:val="18"/>
                <w:color w:val="auto"/>
                <w:w w:val="99"/>
              </w:rPr>
              <w:t>(86)</w:t>
            </w: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While we have significant excess inventory on hand, we will continue to selectively pursue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vacation ownership deal structures may consist of the development of new inventory, or the conversion of previously built units by third parties, just prior to sale.</w:t>
      </w:r>
    </w:p>
    <w:p>
      <w:pPr>
        <w:spacing w:after="0" w:line="78" w:lineRule="exact"/>
        <w:rPr>
          <w:sz w:val="20"/>
          <w:szCs w:val="20"/>
          <w:color w:val="auto"/>
        </w:rPr>
      </w:pPr>
    </w:p>
    <w:p>
      <w:pPr>
        <w:jc w:val="both"/>
        <w:ind w:right="120"/>
        <w:spacing w:after="0" w:line="332" w:lineRule="auto"/>
        <w:rPr>
          <w:sz w:val="20"/>
          <w:szCs w:val="20"/>
          <w:color w:val="auto"/>
        </w:rPr>
      </w:pPr>
      <w:r>
        <w:rPr>
          <w:rFonts w:ascii="Times New Roman" w:cs="Times New Roman" w:eastAsia="Times New Roman" w:hAnsi="Times New Roman"/>
          <w:sz w:val="16"/>
          <w:szCs w:val="16"/>
          <w:color w:val="auto"/>
        </w:rPr>
        <w:t>Through our existing vacation ownership interest repurchase program, we proactively acquire previously sold vacation ownership interests at lower costs than would be required to develop new inventory. By repurchasing inventory, we expect to be able to help stabilize the future cost of vacation ownership products.</w:t>
      </w:r>
    </w:p>
    <w:p>
      <w:pPr>
        <w:spacing w:after="0" w:line="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Our spending for real estate inventory in the first half of 2022 was lower than real estate inventory costs and was primarily related to our vacation ownership interest repurchase program. We acquired a higher amount of previously sold</w:t>
      </w:r>
    </w:p>
    <w:p>
      <w:pPr>
        <w:spacing w:after="0" w:line="2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vacation ownership interests in the first half of 2022 due to the reinstatement of our vacation ownership interest repurchase program that was suspended as part of the cash preservation measures implemented in response to the COVID-19 pandemic. We expect inventory spending to be less than cost of sales for the remainder of 2022 as we intend to repurchase less inventory and provided we are able to negotiate a capital efficient inventory arrangement under which a third party will develop the Waikiki property we are committed to purchase and agree to resell it to us at a later date. See Footnote 16 “Variable Interest Entities” to our Financial Statements for more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Vacation Ownership Notes Receivable Collections (Less Than) In Excess of Originations</w:t>
      </w:r>
    </w:p>
    <w:p>
      <w:pPr>
        <w:spacing w:after="0" w:line="4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3370580</wp:posOffset>
            </wp:positionH>
            <wp:positionV relativeFrom="paragraph">
              <wp:posOffset>18415</wp:posOffset>
            </wp:positionV>
            <wp:extent cx="20472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47240" cy="825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5600" w:val="left"/>
          <w:tab w:leader="none" w:pos="7280" w:val="left"/>
        </w:tabs>
        <w:rPr>
          <w:sz w:val="20"/>
          <w:szCs w:val="20"/>
          <w:color w:val="auto"/>
        </w:rPr>
      </w:pPr>
      <w:r>
        <w:rPr>
          <w:rFonts w:ascii="Times New Roman" w:cs="Times New Roman" w:eastAsia="Times New Roman" w:hAnsi="Times New Roman"/>
          <w:sz w:val="14"/>
          <w:szCs w:val="14"/>
          <w:b w:val="1"/>
          <w:bCs w:val="1"/>
          <w:i w:val="1"/>
          <w:iCs w:val="1"/>
          <w:color w:val="auto"/>
        </w:rPr>
        <w:t>($ in millions)</w:t>
      </w:r>
      <w:r>
        <w:rPr>
          <w:sz w:val="20"/>
          <w:szCs w:val="20"/>
          <w:color w:val="auto"/>
        </w:rPr>
        <w:tab/>
      </w:r>
      <w:r>
        <w:rPr>
          <w:rFonts w:ascii="Times New Roman" w:cs="Times New Roman" w:eastAsia="Times New Roman" w:hAnsi="Times New Roman"/>
          <w:sz w:val="16"/>
          <w:szCs w:val="16"/>
          <w:b w:val="1"/>
          <w:bCs w:val="1"/>
          <w:color w:val="auto"/>
        </w:rPr>
        <w:t>June 30, 2022</w:t>
      </w:r>
      <w:r>
        <w:rPr>
          <w:sz w:val="20"/>
          <w:szCs w:val="20"/>
          <w:color w:val="auto"/>
        </w:rPr>
        <w:tab/>
      </w:r>
      <w:r>
        <w:rPr>
          <w:rFonts w:ascii="Times New Roman" w:cs="Times New Roman" w:eastAsia="Times New Roman" w:hAnsi="Times New Roman"/>
          <w:sz w:val="15"/>
          <w:szCs w:val="15"/>
          <w:b w:val="1"/>
          <w:bCs w:val="1"/>
          <w:color w:val="auto"/>
        </w:rPr>
        <w:t>June 30, 2021</w:t>
      </w:r>
    </w:p>
    <w:p>
      <w:pPr>
        <w:sectPr>
          <w:pgSz w:w="11900" w:h="16838" w:orient="portrait"/>
          <w:cols w:equalWidth="0" w:num="1">
            <w:col w:w="11200"/>
          </w:cols>
          <w:pgMar w:left="320" w:top="332" w:right="379" w:bottom="1440" w:gutter="0" w:footer="0" w:header="0"/>
        </w:sectPr>
      </w:pP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collections — non-securitized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collections — securitized</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originations</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260" w:type="dxa"/>
            <w:vAlign w:val="bottom"/>
          </w:tcPr>
          <w:p>
            <w:pPr>
              <w:ind w:left="220"/>
              <w:spacing w:after="0" w:line="206" w:lineRule="exact"/>
              <w:rPr>
                <w:sz w:val="20"/>
                <w:szCs w:val="20"/>
                <w:color w:val="auto"/>
              </w:rPr>
            </w:pPr>
            <w:r>
              <w:rPr>
                <w:rFonts w:ascii="Times New Roman" w:cs="Times New Roman" w:eastAsia="Times New Roman" w:hAnsi="Times New Roman"/>
                <w:sz w:val="18"/>
                <w:szCs w:val="18"/>
                <w:color w:val="auto"/>
                <w:w w:val="97"/>
              </w:rPr>
              <w:t>Vacation ownership notes receivable collections (less than) in excess of</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originations</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5414645" cy="158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14645" cy="1587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-734060</wp:posOffset>
            </wp:positionV>
            <wp:extent cx="5414645" cy="158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14645"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80"/>
        <w:spacing w:after="0"/>
        <w:tabs>
          <w:tab w:leader="none" w:pos="560" w:val="left"/>
          <w:tab w:leader="none" w:pos="1740" w:val="left"/>
        </w:tabs>
        <w:rPr>
          <w:sz w:val="20"/>
          <w:szCs w:val="20"/>
          <w:color w:val="auto"/>
        </w:rPr>
      </w:pPr>
      <w:r>
        <w:rPr>
          <w:rFonts w:ascii="Times New Roman" w:cs="Times New Roman" w:eastAsia="Times New Roman" w:hAnsi="Times New Roman"/>
          <w:sz w:val="18"/>
          <w:szCs w:val="18"/>
          <w:color w:val="auto"/>
        </w:rPr>
        <w:t>133</w:t>
        <w:tab/>
        <w:t>$</w:t>
      </w:r>
      <w:r>
        <w:rPr>
          <w:sz w:val="20"/>
          <w:szCs w:val="20"/>
          <w:color w:val="auto"/>
        </w:rPr>
        <w:tab/>
      </w:r>
      <w:r>
        <w:rPr>
          <w:rFonts w:ascii="Times New Roman" w:cs="Times New Roman" w:eastAsia="Times New Roman" w:hAnsi="Times New Roman"/>
          <w:sz w:val="16"/>
          <w:szCs w:val="16"/>
          <w:color w:val="auto"/>
        </w:rPr>
        <w:t>110</w:t>
      </w:r>
    </w:p>
    <w:p>
      <w:pPr>
        <w:spacing w:after="0" w:line="43" w:lineRule="exact"/>
        <w:rPr>
          <w:sz w:val="20"/>
          <w:szCs w:val="20"/>
          <w:color w:val="auto"/>
        </w:rPr>
      </w:pPr>
    </w:p>
    <w:p>
      <w:pPr>
        <w:ind w:left="80"/>
        <w:spacing w:after="0"/>
        <w:tabs>
          <w:tab w:leader="none" w:pos="17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252</w:t>
      </w:r>
    </w:p>
    <w:p>
      <w:pPr>
        <w:spacing w:after="0" w:line="43" w:lineRule="exact"/>
        <w:rPr>
          <w:sz w:val="20"/>
          <w:szCs w:val="20"/>
          <w:color w:val="auto"/>
        </w:rPr>
      </w:pPr>
    </w:p>
    <w:p>
      <w:pPr>
        <w:ind w:left="1680" w:hanging="1678"/>
        <w:spacing w:after="0"/>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28575</wp:posOffset>
            </wp:positionV>
            <wp:extent cx="20472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47240" cy="8255"/>
                    </a:xfrm>
                    <a:prstGeom prst="rect">
                      <a:avLst/>
                    </a:prstGeom>
                    <a:noFill/>
                  </pic:spPr>
                </pic:pic>
              </a:graphicData>
            </a:graphic>
          </wp:anchor>
        </w:drawing>
      </w:r>
    </w:p>
    <w:p>
      <w:pPr>
        <w:spacing w:after="0" w:line="178" w:lineRule="exact"/>
        <w:rPr>
          <w:sz w:val="20"/>
          <w:szCs w:val="20"/>
          <w:color w:val="auto"/>
        </w:rPr>
      </w:pPr>
    </w:p>
    <w:p>
      <w:pPr>
        <w:spacing w:after="0"/>
        <w:tabs>
          <w:tab w:leader="none" w:pos="560" w:val="left"/>
          <w:tab w:leader="none" w:pos="1820" w:val="left"/>
        </w:tabs>
        <w:rPr>
          <w:sz w:val="20"/>
          <w:szCs w:val="20"/>
          <w:color w:val="auto"/>
        </w:rPr>
      </w:pPr>
      <w:r>
        <w:rPr>
          <w:rFonts w:ascii="Times New Roman" w:cs="Times New Roman" w:eastAsia="Times New Roman" w:hAnsi="Times New Roman"/>
          <w:sz w:val="18"/>
          <w:szCs w:val="18"/>
          <w:color w:val="auto"/>
        </w:rPr>
        <w:t>(118)</w:t>
        <w:tab/>
        <w:t>$</w:t>
      </w:r>
      <w:r>
        <w:rPr>
          <w:sz w:val="20"/>
          <w:szCs w:val="20"/>
          <w:color w:val="auto"/>
        </w:rPr>
        <w:tab/>
      </w: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13970</wp:posOffset>
            </wp:positionV>
            <wp:extent cx="2047240" cy="33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47240" cy="33655"/>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720" w:space="720"/>
            <w:col w:w="4760"/>
          </w:cols>
          <w:pgMar w:left="320" w:top="332" w:right="379" w:bottom="1440" w:gutter="0" w:footer="0" w:header="0"/>
          <w:type w:val="continuous"/>
        </w:sectPr>
      </w:pPr>
    </w:p>
    <w:p>
      <w:pPr>
        <w:spacing w:after="0" w:line="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Vacation ownership notes receivable collections increased during the first half of 2022, as compared to the first half of 2021, due to an increase in the portfolio of outstanding vacation ownership notes receivable, reflecting the continued ramp up of sales and higher financing propensity (52% for the first half of 2022, compared to 49% for the first half of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from Investing Activities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 Business, Net of Cash and Restricted Cash Acquired</w:t>
      </w:r>
    </w:p>
    <w:p>
      <w:pPr>
        <w:spacing w:after="0" w:line="11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Net cash outflows of $157 million in the first half of 2021 were due to the Welk Acquisition. See Footnote 3 “Acquisitions and Dispositions” to our Financial Statements for more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Proceeds from Disposition of Subsidiaries, Net of Cash and Restricted Cash Transferred</w:t>
      </w:r>
    </w:p>
    <w:p>
      <w:pPr>
        <w:spacing w:after="0" w:line="11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Proceeds from disposition of subsidiaries, net of cash and restricted cash transferred of $93 million in the first half of 2022 were due to the disposition of various subsidiaries, including $55 million for the VRI Americas business entities and $38 million for the entities that owned and operated the hotel in Puerto Vallarta, Mexico. See Footnote 3 “Acquisitions and Dispositions” to our Financial Statements for more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for Property and Equipment</w:t>
      </w:r>
    </w:p>
    <w:p>
      <w:pPr>
        <w:spacing w:after="0" w:line="111"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In the first half of 2022, capital expenditures for property and equipment included $23 million to support business operations (including $15 million for ancillary and other operations assets and $7 million for sales locations) and $1 million for technology.</w:t>
      </w:r>
    </w:p>
    <w:p>
      <w:pPr>
        <w:spacing w:after="0" w:line="64"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color w:val="auto"/>
        </w:rPr>
        <w:t>In the first half of 2021, capital expenditures for property and equipment of $11 million included $8 million to support business operations (including $5 million for ancillary and other operations assets and $3 million for sales locations) and $3 million for technology.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Note Receivable to VIE</w:t>
      </w:r>
    </w:p>
    <w:p>
      <w:pPr>
        <w:spacing w:after="0" w:line="11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During the second quarter of 2022, in connection with the amendment of an inventory purchase commitment, we extended a loan to a VIE, which we do not consolidate, for $47 million. The loan is due in full upon the earlier of either a sale of the property, including a sale to us, or an amendment and restatement of our purchase commitment, one of which is expected to occur in 2022. See Footnote 16 “Variable Interest Entities” to our Financial Statements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from Financing Activities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 from / Repayment of Debt Related to Securitization Transactions</w:t>
      </w:r>
    </w:p>
    <w:p>
      <w:pPr>
        <w:spacing w:after="0" w:line="11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During the first quarter of 2022, we securitized vacation ownership notes receivable under our Warehouse Credit Facility. The carrying amount of the vacation ownership notes receivable securitized was $125 million. The average advance rate was 81%, which resulted in gross proceeds of $102 million. Net proceeds were $101 million due to the funding of reserve accounts of $1 million.</w:t>
      </w:r>
    </w:p>
    <w:p>
      <w:pPr>
        <w:spacing w:after="0" w:line="2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332" w:right="37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During the second quarter of 2022, we completed the securitization of a pool of $383 million of vacation ownership notes receivable. Approximately $342 million of the vacation ownership notes receivable were purchased by the 2022-1 LLC during the second quarter of 2022.</w:t>
      </w:r>
    </w:p>
    <w:p>
      <w:pPr>
        <w:spacing w:after="0" w:line="6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Of the $375 million in proceeds from the transaction, $40 million was held by the 2022-1 LLC as of June 30, 2022 and released subsequently as it purchased all of the remaining loans. In addition, approximately $98 million was used to repay all outstanding amounts previously drawn under our Warehouse Credit Facility, approximately $7 million was used to pay transaction expenses and fund required reserves, and the remaining $176 million will be used for general corporate purposes. In connection with this securitization, we redeemed the remaining vacation ownership loan backed notes, issued in a prior securitization, for approximately $38 million; the majority of the loans acquired through the redemption were purchased by the 2022-1 LLC.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$106 million of gross vacation ownership notes receivable were eligible for securitization.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Proceeds from / Repayments of Debt</w:t>
      </w:r>
    </w:p>
    <w:p>
      <w:pPr>
        <w:spacing w:after="0" w:line="11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All proceeds from and repayments of debt during the first half of 2022 were related to borrowings from and repayments of our Corporate Credit Facility. Our Corporate Credit Facility includes the Term Loan and our Revolving Corporate Credit Facility, which is further discussed in Footnote 13 “Debt” to our Financial Statements. No principal payments were made on our Term Loan during the first half of 2022. During the first half of 2022, we borrowed and repaid $125 million under our Revolving Corporate Credit Facility. There were no borrowed amounts outstanding under our Revolving Corporate Credit Facility as of June 30, 2022. As of June 30, 2022, we had $1 million of letters of credit outstanding under our Revolving Corporate Credit Facility.</w:t>
      </w:r>
    </w:p>
    <w:p>
      <w:pPr>
        <w:spacing w:after="0" w:line="80"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8"/>
          <w:szCs w:val="18"/>
          <w:color w:val="auto"/>
        </w:rPr>
        <w:t>During the first half of 2021, we repaid $100 million of the amount outstanding under the Term Loan. We had no borrowings or repayments under our Revolving Corporate Credit Facility during the first half of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 Payment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half of 2022, we paid $2 million related to our finance lease obligations for technology and business operations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1"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During the first half of 2022, we paid $9 million of debt issuance costs, which included $5 million associated with the vacation ownership notes receivable securitization completed in 2022 and $4 million associated with an amendment to the Revolving Corporate Credit Facility, which is further discussed in Footnote 13 “Debt” to our Financial Statements.</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first half of 2021, we paid $15 million of debt issuance costs, which included $6 million associated with the vacation ownership notes receivable securitization we completed in 2021, $7 million associated with the issuance of the 2029 Notes, $1 million associated with the issuance of the 2026 Convertible Notes, and $1 million associated with the amendment of a waiver to the agreement that governs our Corporate Credit Facility.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Common Stock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under our current share repurchase program: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4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Cost of Shares</w:t>
            </w:r>
          </w:p>
        </w:tc>
        <w:tc>
          <w:tcPr>
            <w:tcW w:w="120" w:type="dxa"/>
            <w:vAlign w:val="bottom"/>
          </w:tcPr>
          <w:p>
            <w:pPr>
              <w:spacing w:after="0"/>
              <w:rPr>
                <w:sz w:val="16"/>
                <w:szCs w:val="16"/>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Average Price</w:t>
            </w:r>
          </w:p>
        </w:tc>
      </w:tr>
      <w:tr>
        <w:trPr>
          <w:trHeight w:val="21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Repurchased</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Repurchased</w:t>
            </w:r>
          </w:p>
        </w:tc>
        <w:tc>
          <w:tcPr>
            <w:tcW w:w="120" w:type="dxa"/>
            <w:vAlign w:val="bottom"/>
          </w:tcPr>
          <w:p>
            <w:pPr>
              <w:spacing w:after="0"/>
              <w:rPr>
                <w:sz w:val="18"/>
                <w:szCs w:val="18"/>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9"/>
              </w:rPr>
              <w:t>Paid per Share</w:t>
            </w:r>
          </w:p>
        </w:tc>
      </w:tr>
      <w:tr>
        <w:trPr>
          <w:trHeight w:val="231"/>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17,681,395</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80.17</w:t>
            </w:r>
          </w:p>
        </w:tc>
      </w:tr>
      <w:tr>
        <w:trPr>
          <w:trHeight w:val="250"/>
        </w:trPr>
        <w:tc>
          <w:tcPr>
            <w:tcW w:w="4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 the first half of 2022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2,187,336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143.02</w:t>
            </w:r>
          </w:p>
        </w:tc>
      </w:tr>
      <w:tr>
        <w:trPr>
          <w:trHeight w:val="242"/>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19,868,731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87.09</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See Footnote 14 “Shareholders' Equity” to our Financial Statements for further information related to our share repurchase program, including the additional share repurchase authorization and extension approved by our Board of Directors during the first half of 2022.</w:t>
      </w:r>
    </w:p>
    <w:p>
      <w:pPr>
        <w:spacing w:after="0" w:line="2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distributed cash dividends to holders of our common stock during the first half of 2022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Declaration Date</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Shareholder Record Date</w:t>
            </w: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Distribution Date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Dividend per Share</w:t>
            </w:r>
          </w:p>
        </w:tc>
      </w:tr>
      <w:tr>
        <w:trPr>
          <w:trHeight w:val="232"/>
        </w:trPr>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9, 2021</w:t>
            </w:r>
          </w:p>
        </w:tc>
        <w:tc>
          <w:tcPr>
            <w:tcW w:w="160" w:type="dxa"/>
            <w:vAlign w:val="bottom"/>
            <w:tcBorders>
              <w:top w:val="single" w:sz="8" w:color="CCEEFF"/>
            </w:tcBorders>
            <w:shd w:val="clear" w:color="auto" w:fill="CCEEFF"/>
          </w:tcPr>
          <w:p>
            <w:pPr>
              <w:spacing w:after="0"/>
              <w:rPr>
                <w:sz w:val="20"/>
                <w:szCs w:val="20"/>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December 23, 2021</w:t>
            </w:r>
          </w:p>
        </w:tc>
        <w:tc>
          <w:tcPr>
            <w:tcW w:w="160" w:type="dxa"/>
            <w:vAlign w:val="bottom"/>
            <w:tcBorders>
              <w:top w:val="single" w:sz="8" w:color="CCEEFF"/>
            </w:tcBorders>
            <w:shd w:val="clear" w:color="auto" w:fill="CCEEFF"/>
          </w:tcPr>
          <w:p>
            <w:pPr>
              <w:spacing w:after="0"/>
              <w:rPr>
                <w:sz w:val="20"/>
                <w:szCs w:val="20"/>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January 6, 2022</w:t>
            </w:r>
          </w:p>
        </w:tc>
        <w:tc>
          <w:tcPr>
            <w:tcW w:w="160" w:type="dxa"/>
            <w:vAlign w:val="bottom"/>
            <w:tcBorders>
              <w:top w:val="single" w:sz="8" w:color="CCEEFF"/>
            </w:tcBorders>
            <w:shd w:val="clear" w:color="auto" w:fill="CCEEFF"/>
          </w:tcPr>
          <w:p>
            <w:pPr>
              <w:spacing w:after="0"/>
              <w:rPr>
                <w:sz w:val="20"/>
                <w:szCs w:val="20"/>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$0.54</w:t>
            </w:r>
          </w:p>
        </w:tc>
      </w:tr>
      <w:tr>
        <w:trPr>
          <w:trHeight w:val="243"/>
        </w:trPr>
        <w:tc>
          <w:tcPr>
            <w:tcW w:w="21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February 18, 2022</w:t>
            </w:r>
          </w:p>
        </w:tc>
        <w:tc>
          <w:tcPr>
            <w:tcW w:w="2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March 3, 2022</w:t>
            </w: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March 17, 2022</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$0.62</w:t>
            </w:r>
          </w:p>
        </w:tc>
      </w:tr>
      <w:tr>
        <w:trPr>
          <w:trHeight w:val="257"/>
        </w:trPr>
        <w:tc>
          <w:tcPr>
            <w:tcW w:w="2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May 12, 2022</w:t>
            </w:r>
          </w:p>
        </w:tc>
        <w:tc>
          <w:tcPr>
            <w:tcW w:w="2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May 26, 2022</w:t>
            </w:r>
          </w:p>
        </w:tc>
        <w:tc>
          <w:tcPr>
            <w:tcW w:w="2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June 9, 2022</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$0.62</w:t>
            </w:r>
          </w:p>
        </w:tc>
      </w:tr>
    </w:tbl>
    <w:p>
      <w:pPr>
        <w:spacing w:after="0" w:line="2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currently expect to pay quarterly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future material cash requirements from known contractual or other obligations as of June 30,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gridSpan w:val="3"/>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9"/>
              </w:rPr>
              <w:t>Remainder</w:t>
            </w:r>
          </w:p>
        </w:tc>
        <w:tc>
          <w:tcPr>
            <w:tcW w:w="160" w:type="dxa"/>
            <w:vAlign w:val="bottom"/>
          </w:tcPr>
          <w:p>
            <w:pPr>
              <w:spacing w:after="0"/>
              <w:rPr>
                <w:sz w:val="15"/>
                <w:szCs w:val="15"/>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1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of 2022</w:t>
            </w: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1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920" w:type="dxa"/>
            <w:vAlign w:val="bottom"/>
          </w:tcPr>
          <w:p>
            <w:pPr>
              <w:ind w:left="100"/>
              <w:spacing w:after="0" w:line="250"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2"/>
                <w:szCs w:val="22"/>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50"/>
        </w:trPr>
        <w:tc>
          <w:tcPr>
            <w:tcW w:w="1920" w:type="dxa"/>
            <w:vAlign w:val="bottom"/>
            <w:shd w:val="clear" w:color="auto" w:fill="CCEEFF"/>
          </w:tcPr>
          <w:p>
            <w:pPr>
              <w:ind w:left="100"/>
              <w:spacing w:after="0" w:line="250" w:lineRule="exact"/>
              <w:rPr>
                <w:sz w:val="20"/>
                <w:szCs w:val="20"/>
                <w:color w:val="auto"/>
              </w:rPr>
            </w:pPr>
            <w:r>
              <w:rPr>
                <w:rFonts w:ascii="Times New Roman" w:cs="Times New Roman" w:eastAsia="Times New Roman" w:hAnsi="Times New Roman"/>
                <w:sz w:val="18"/>
                <w:szCs w:val="18"/>
                <w:color w:val="auto"/>
              </w:rPr>
              <w:t>Securitized debt</w:t>
            </w:r>
            <w:r>
              <w:rPr>
                <w:rFonts w:ascii="Times New Roman" w:cs="Times New Roman" w:eastAsia="Times New Roman" w:hAnsi="Times New Roman"/>
                <w:sz w:val="22"/>
                <w:szCs w:val="22"/>
                <w:color w:val="auto"/>
                <w:vertAlign w:val="superscript"/>
              </w:rPr>
              <w:t>(1)(2)</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50"/>
        </w:trPr>
        <w:tc>
          <w:tcPr>
            <w:tcW w:w="1920" w:type="dxa"/>
            <w:vAlign w:val="bottom"/>
          </w:tcPr>
          <w:p>
            <w:pPr>
              <w:ind w:left="100"/>
              <w:spacing w:after="0" w:line="25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8"/>
                <w:szCs w:val="18"/>
                <w:color w:val="auto"/>
              </w:rPr>
              <w:t>Operating lease</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ind w:left="100"/>
              <w:spacing w:after="0" w:line="237" w:lineRule="exact"/>
              <w:rPr>
                <w:sz w:val="20"/>
                <w:szCs w:val="20"/>
                <w:color w:val="auto"/>
              </w:rPr>
            </w:pPr>
            <w:r>
              <w:rPr>
                <w:rFonts w:ascii="Times New Roman" w:cs="Times New Roman" w:eastAsia="Times New Roman" w:hAnsi="Times New Roman"/>
                <w:sz w:val="18"/>
                <w:szCs w:val="18"/>
                <w:color w:val="auto"/>
              </w:rPr>
              <w:t>obligations</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71"/>
        </w:trPr>
        <w:tc>
          <w:tcPr>
            <w:tcW w:w="192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color w:val="auto"/>
              </w:rPr>
              <w:t>Finance lease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20" w:type="dxa"/>
            <w:vAlign w:val="bottom"/>
          </w:tcPr>
          <w:p>
            <w:pPr>
              <w:ind w:left="100"/>
              <w:spacing w:after="0" w:line="237" w:lineRule="exact"/>
              <w:rPr>
                <w:sz w:val="20"/>
                <w:szCs w:val="20"/>
                <w:color w:val="auto"/>
              </w:rPr>
            </w:pPr>
            <w:r>
              <w:rPr>
                <w:rFonts w:ascii="Times New Roman" w:cs="Times New Roman" w:eastAsia="Times New Roman" w:hAnsi="Times New Roman"/>
                <w:sz w:val="18"/>
                <w:szCs w:val="18"/>
                <w:color w:val="auto"/>
              </w:rPr>
              <w:t>obligations</w:t>
            </w:r>
            <w:r>
              <w:rPr>
                <w:rFonts w:ascii="Times New Roman" w:cs="Times New Roman" w:eastAsia="Times New Roman" w:hAnsi="Times New Roman"/>
                <w:sz w:val="22"/>
                <w:szCs w:val="22"/>
                <w:color w:val="auto"/>
                <w:vertAlign w:val="superscript"/>
              </w:rPr>
              <w:t>(4)</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8"/>
                <w:szCs w:val="18"/>
                <w:color w:val="auto"/>
              </w:rPr>
              <w:t>Other long-term</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ind w:left="100"/>
              <w:spacing w:after="0" w:line="237" w:lineRule="exact"/>
              <w:rPr>
                <w:sz w:val="20"/>
                <w:szCs w:val="20"/>
                <w:color w:val="auto"/>
              </w:rPr>
            </w:pPr>
            <w:r>
              <w:rPr>
                <w:rFonts w:ascii="Times New Roman" w:cs="Times New Roman" w:eastAsia="Times New Roman" w:hAnsi="Times New Roman"/>
                <w:sz w:val="18"/>
                <w:szCs w:val="18"/>
                <w:color w:val="auto"/>
              </w:rPr>
              <w:t>obligations</w:t>
            </w:r>
            <w:r>
              <w:rPr>
                <w:rFonts w:ascii="Times New Roman" w:cs="Times New Roman" w:eastAsia="Times New Roman" w:hAnsi="Times New Roman"/>
                <w:sz w:val="22"/>
                <w:szCs w:val="22"/>
                <w:color w:val="auto"/>
                <w:vertAlign w:val="superscript"/>
              </w:rPr>
              <w:t>(5)</w:t>
            </w: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7"/>
        </w:trPr>
        <w:tc>
          <w:tcPr>
            <w:tcW w:w="19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p>
    <w:p>
      <w:pPr>
        <w:ind w:left="620" w:hanging="615"/>
        <w:spacing w:after="0"/>
        <w:tabs>
          <w:tab w:leader="none" w:pos="62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principal as well as interest payments and excludes unamortized debt discount and issuance costs.</w:t>
      </w:r>
    </w:p>
    <w:p>
      <w:pPr>
        <w:spacing w:after="0" w:line="54" w:lineRule="exact"/>
        <w:rPr>
          <w:rFonts w:ascii="Times New Roman" w:cs="Times New Roman" w:eastAsia="Times New Roman" w:hAnsi="Times New Roman"/>
          <w:sz w:val="23"/>
          <w:szCs w:val="23"/>
          <w:color w:val="auto"/>
          <w:vertAlign w:val="superscript"/>
        </w:rPr>
      </w:pPr>
    </w:p>
    <w:p>
      <w:pPr>
        <w:ind w:left="620" w:hanging="615"/>
        <w:spacing w:after="0" w:line="189" w:lineRule="auto"/>
        <w:tabs>
          <w:tab w:leader="none" w:pos="62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Payments based on estimated timing of cash flow associated with securitized notes receivable.</w:t>
      </w:r>
    </w:p>
    <w:p>
      <w:pPr>
        <w:spacing w:after="0" w:line="54" w:lineRule="exact"/>
        <w:rPr>
          <w:rFonts w:ascii="Times New Roman" w:cs="Times New Roman" w:eastAsia="Times New Roman" w:hAnsi="Times New Roman"/>
          <w:sz w:val="23"/>
          <w:szCs w:val="23"/>
          <w:color w:val="auto"/>
          <w:vertAlign w:val="superscript"/>
        </w:rPr>
      </w:pPr>
    </w:p>
    <w:p>
      <w:pPr>
        <w:ind w:left="640" w:right="20" w:hanging="635"/>
        <w:spacing w:after="0" w:line="222" w:lineRule="auto"/>
        <w:tabs>
          <w:tab w:leader="none" w:pos="62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1" w:lineRule="exact"/>
        <w:rPr>
          <w:rFonts w:ascii="Times New Roman" w:cs="Times New Roman" w:eastAsia="Times New Roman" w:hAnsi="Times New Roman"/>
          <w:sz w:val="23"/>
          <w:szCs w:val="23"/>
          <w:color w:val="auto"/>
          <w:vertAlign w:val="superscript"/>
        </w:rPr>
      </w:pPr>
    </w:p>
    <w:p>
      <w:pPr>
        <w:ind w:left="620" w:hanging="615"/>
        <w:spacing w:after="0" w:line="238" w:lineRule="auto"/>
        <w:tabs>
          <w:tab w:leader="none" w:pos="62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interest.</w:t>
      </w:r>
    </w:p>
    <w:p>
      <w:pPr>
        <w:spacing w:after="0" w:line="55" w:lineRule="exact"/>
        <w:rPr>
          <w:rFonts w:ascii="Times New Roman" w:cs="Times New Roman" w:eastAsia="Times New Roman" w:hAnsi="Times New Roman"/>
          <w:sz w:val="23"/>
          <w:szCs w:val="23"/>
          <w:color w:val="auto"/>
          <w:vertAlign w:val="superscript"/>
        </w:rPr>
      </w:pPr>
    </w:p>
    <w:p>
      <w:pPr>
        <w:ind w:left="640" w:right="120" w:hanging="635"/>
        <w:spacing w:after="0" w:line="222" w:lineRule="auto"/>
        <w:tabs>
          <w:tab w:leader="none" w:pos="62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future guaranteed purchases of rental inventory of $8 million and our commitment to an owners’ association that we manage to pay for any shortfall between the actual expenses incurred by the owners’ association and the income received by the owners’ association, in lieu of maintenance fees, of $5 million.</w:t>
      </w:r>
    </w:p>
    <w:p>
      <w:pPr>
        <w:spacing w:after="0" w:line="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normal course of our resort management business, we enter into purchase commitments on behalf of owners’ associations to manage the daily operating needs of our resorts. Since we are reimbursed for these commitments from the cash flows of the resorts, these obligations have minimal impact on our net income and cash flow. These purchase commitments are excluded from the table above.</w:t>
      </w:r>
    </w:p>
    <w:p>
      <w:pPr>
        <w:spacing w:after="0" w:line="2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33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That Have Not Yet Commenced</w:t>
      </w:r>
    </w:p>
    <w:p>
      <w:pPr>
        <w:spacing w:after="0" w:line="11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During 2020, we entered into a finance lease arrangement, that was amended in 2021, for our new global headquarters office building, which is being constructed in Orlando, Florida. The new Orlando corporate office building is currently expected to be completed in 2023, at which time the lease term will commence and a right-of-use asset and corresponding liability will be recorded on our balance sheet. The initial lease term is approximately 16 years with total lease payments of $137 million for the aforementioned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1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78"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The following tables present consolidating financial information as of June 30, 2022 and December 31, 2021, and for the six months ended June 30, 2022 for MVWC and MORI on a stand-alone basis (collectively, the “Issuers”), the Senior Notes Guarantors, the combined non-guarantor subsidiaries of MVW, and MVW on a consolidated basis.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Condensed Consolidating Balance Sheet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Issuers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8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3"/>
            <w:vMerge w:val="restart"/>
          </w:tcPr>
          <w:p>
            <w:pPr>
              <w:jc w:val="center"/>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Senior Notes</w:t>
            </w:r>
          </w:p>
        </w:tc>
        <w:tc>
          <w:tcPr>
            <w:tcW w:w="120" w:type="dxa"/>
            <w:vAlign w:val="bottom"/>
          </w:tcPr>
          <w:p>
            <w:pPr>
              <w:spacing w:after="0"/>
              <w:rPr>
                <w:sz w:val="4"/>
                <w:szCs w:val="4"/>
                <w:color w:val="auto"/>
              </w:rPr>
            </w:pPr>
          </w:p>
        </w:tc>
        <w:tc>
          <w:tcPr>
            <w:tcW w:w="1060" w:type="dxa"/>
            <w:vAlign w:val="bottom"/>
            <w:gridSpan w:val="2"/>
            <w:vMerge w:val="restart"/>
          </w:tcPr>
          <w:p>
            <w:pPr>
              <w:jc w:val="center"/>
              <w:ind w:right="260"/>
              <w:spacing w:after="0" w:line="118" w:lineRule="exact"/>
              <w:rPr>
                <w:sz w:val="20"/>
                <w:szCs w:val="20"/>
                <w:color w:val="auto"/>
              </w:rPr>
            </w:pPr>
            <w:r>
              <w:rPr>
                <w:rFonts w:ascii="Times New Roman" w:cs="Times New Roman" w:eastAsia="Times New Roman" w:hAnsi="Times New Roman"/>
                <w:sz w:val="12"/>
                <w:szCs w:val="12"/>
                <w:b w:val="1"/>
                <w:bCs w:val="1"/>
                <w:color w:val="auto"/>
              </w:rPr>
              <w:t>Guarantor</w:t>
            </w:r>
          </w:p>
        </w:tc>
        <w:tc>
          <w:tcPr>
            <w:tcW w:w="220" w:type="dxa"/>
            <w:vAlign w:val="bottom"/>
          </w:tcPr>
          <w:p>
            <w:pPr>
              <w:spacing w:after="0"/>
              <w:rPr>
                <w:sz w:val="4"/>
                <w:szCs w:val="4"/>
                <w:color w:val="auto"/>
              </w:rPr>
            </w:pPr>
          </w:p>
        </w:tc>
        <w:tc>
          <w:tcPr>
            <w:tcW w:w="980" w:type="dxa"/>
            <w:vAlign w:val="bottom"/>
            <w:gridSpan w:val="2"/>
            <w:vMerge w:val="restart"/>
          </w:tcPr>
          <w:p>
            <w:pPr>
              <w:ind w:left="140"/>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4"/>
                <w:szCs w:val="4"/>
                <w:color w:val="auto"/>
              </w:rPr>
            </w:pPr>
          </w:p>
        </w:tc>
        <w:tc>
          <w:tcPr>
            <w:tcW w:w="860" w:type="dxa"/>
            <w:vAlign w:val="bottom"/>
            <w:vMerge w:val="restart"/>
          </w:tcPr>
          <w:p>
            <w:pPr>
              <w:jc w:val="right"/>
              <w:ind w:right="253"/>
              <w:spacing w:after="0" w:line="118" w:lineRule="exact"/>
              <w:rPr>
                <w:sz w:val="20"/>
                <w:szCs w:val="20"/>
                <w:color w:val="auto"/>
              </w:rPr>
            </w:pPr>
            <w:r>
              <w:rPr>
                <w:rFonts w:ascii="Times New Roman" w:cs="Times New Roman" w:eastAsia="Times New Roman" w:hAnsi="Times New Roman"/>
                <w:sz w:val="12"/>
                <w:szCs w:val="12"/>
                <w:b w:val="1"/>
                <w:bCs w:val="1"/>
                <w:color w:val="auto"/>
              </w:rPr>
              <w:t>MVW</w:t>
            </w:r>
          </w:p>
        </w:tc>
        <w:tc>
          <w:tcPr>
            <w:tcW w:w="0" w:type="dxa"/>
            <w:vAlign w:val="bottom"/>
          </w:tcPr>
          <w:p>
            <w:pPr>
              <w:spacing w:after="0"/>
              <w:rPr>
                <w:sz w:val="1"/>
                <w:szCs w:val="1"/>
                <w:color w:val="auto"/>
              </w:rPr>
            </w:pPr>
          </w:p>
        </w:tc>
      </w:tr>
      <w:tr>
        <w:trPr>
          <w:trHeight w:val="46"/>
        </w:trPr>
        <w:tc>
          <w:tcPr>
            <w:tcW w:w="1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MVWC</w:t>
            </w:r>
          </w:p>
        </w:tc>
        <w:tc>
          <w:tcPr>
            <w:tcW w:w="220" w:type="dxa"/>
            <w:vAlign w:val="bottom"/>
          </w:tcPr>
          <w:p>
            <w:pPr>
              <w:spacing w:after="0"/>
              <w:rPr>
                <w:sz w:val="3"/>
                <w:szCs w:val="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MORI</w:t>
            </w:r>
          </w:p>
        </w:tc>
        <w:tc>
          <w:tcPr>
            <w:tcW w:w="11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Guarantors</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Subsidiaries</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8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60"/>
        </w:trPr>
        <w:tc>
          <w:tcPr>
            <w:tcW w:w="1800" w:type="dxa"/>
            <w:vAlign w:val="bottom"/>
            <w:tcBorders>
              <w:top w:val="single" w:sz="8" w:color="CCEEFF"/>
            </w:tcBorders>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Cash and cash</w:t>
            </w: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Accounts receivable, net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79"/>
        </w:trPr>
        <w:tc>
          <w:tcPr>
            <w:tcW w:w="18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Vacation ownership</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net</w:t>
            </w: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179"/>
        </w:trPr>
        <w:tc>
          <w:tcPr>
            <w:tcW w:w="18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Investments in</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subsidiaries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42"/>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9,340</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deposits</w:t>
            </w: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79"/>
        </w:trPr>
        <w:tc>
          <w:tcPr>
            <w:tcW w:w="18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Payroll and benefits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79"/>
        </w:trPr>
        <w:tc>
          <w:tcPr>
            <w:tcW w:w="18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net</w:t>
            </w: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179"/>
        </w:trPr>
        <w:tc>
          <w:tcPr>
            <w:tcW w:w="18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MVW shareholders'</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2,745</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9"/>
        </w:trPr>
        <w:tc>
          <w:tcPr>
            <w:tcW w:w="180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Total liabilities and</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5,803</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9,340</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32" w:right="359" w:bottom="1440" w:gutter="0" w:footer="0" w:header="0"/>
        </w:sectPr>
      </w:pPr>
    </w:p>
    <w:p>
      <w:pPr>
        <w:spacing w:after="0" w:line="13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299720</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As of December 31, 2021</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Issuers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8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gridSpan w:val="4"/>
            <w:vMerge w:val="restart"/>
          </w:tcPr>
          <w:p>
            <w:pPr>
              <w:jc w:val="center"/>
              <w:ind w:right="140"/>
              <w:spacing w:after="0" w:line="118" w:lineRule="exact"/>
              <w:rPr>
                <w:sz w:val="20"/>
                <w:szCs w:val="20"/>
                <w:color w:val="auto"/>
              </w:rPr>
            </w:pPr>
            <w:r>
              <w:rPr>
                <w:rFonts w:ascii="Times New Roman" w:cs="Times New Roman" w:eastAsia="Times New Roman" w:hAnsi="Times New Roman"/>
                <w:sz w:val="12"/>
                <w:szCs w:val="12"/>
                <w:b w:val="1"/>
                <w:bCs w:val="1"/>
                <w:color w:val="auto"/>
              </w:rPr>
              <w:t>Senior Notes</w:t>
            </w:r>
          </w:p>
        </w:tc>
        <w:tc>
          <w:tcPr>
            <w:tcW w:w="120" w:type="dxa"/>
            <w:vAlign w:val="bottom"/>
          </w:tcPr>
          <w:p>
            <w:pPr>
              <w:spacing w:after="0"/>
              <w:rPr>
                <w:sz w:val="4"/>
                <w:szCs w:val="4"/>
                <w:color w:val="auto"/>
              </w:rPr>
            </w:pPr>
          </w:p>
        </w:tc>
        <w:tc>
          <w:tcPr>
            <w:tcW w:w="1080" w:type="dxa"/>
            <w:vAlign w:val="bottom"/>
            <w:gridSpan w:val="3"/>
            <w:vMerge w:val="restart"/>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Guarantor</w:t>
            </w:r>
          </w:p>
        </w:tc>
        <w:tc>
          <w:tcPr>
            <w:tcW w:w="200" w:type="dxa"/>
            <w:vAlign w:val="bottom"/>
          </w:tcPr>
          <w:p>
            <w:pPr>
              <w:spacing w:after="0"/>
              <w:rPr>
                <w:sz w:val="4"/>
                <w:szCs w:val="4"/>
                <w:color w:val="auto"/>
              </w:rPr>
            </w:pPr>
          </w:p>
        </w:tc>
        <w:tc>
          <w:tcPr>
            <w:tcW w:w="980" w:type="dxa"/>
            <w:vAlign w:val="bottom"/>
            <w:gridSpan w:val="2"/>
            <w:vMerge w:val="restart"/>
          </w:tcPr>
          <w:p>
            <w:pPr>
              <w:jc w:val="center"/>
              <w:ind w:right="360"/>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4"/>
                <w:szCs w:val="4"/>
                <w:color w:val="auto"/>
              </w:rPr>
            </w:pPr>
          </w:p>
        </w:tc>
        <w:tc>
          <w:tcPr>
            <w:tcW w:w="860" w:type="dxa"/>
            <w:vAlign w:val="bottom"/>
            <w:vMerge w:val="restart"/>
          </w:tcPr>
          <w:p>
            <w:pPr>
              <w:jc w:val="center"/>
              <w:ind w:right="154"/>
              <w:spacing w:after="0" w:line="118" w:lineRule="exact"/>
              <w:rPr>
                <w:sz w:val="20"/>
                <w:szCs w:val="20"/>
                <w:color w:val="auto"/>
              </w:rPr>
            </w:pPr>
            <w:r>
              <w:rPr>
                <w:rFonts w:ascii="Times New Roman" w:cs="Times New Roman" w:eastAsia="Times New Roman" w:hAnsi="Times New Roman"/>
                <w:sz w:val="12"/>
                <w:szCs w:val="12"/>
                <w:b w:val="1"/>
                <w:bCs w:val="1"/>
                <w:color w:val="auto"/>
              </w:rPr>
              <w:t>MVW</w:t>
            </w:r>
          </w:p>
        </w:tc>
        <w:tc>
          <w:tcPr>
            <w:tcW w:w="0" w:type="dxa"/>
            <w:vAlign w:val="bottom"/>
          </w:tcPr>
          <w:p>
            <w:pPr>
              <w:spacing w:after="0"/>
              <w:rPr>
                <w:sz w:val="1"/>
                <w:szCs w:val="1"/>
                <w:color w:val="auto"/>
              </w:rPr>
            </w:pPr>
          </w:p>
        </w:tc>
      </w:tr>
      <w:tr>
        <w:trPr>
          <w:trHeight w:val="46"/>
        </w:trPr>
        <w:tc>
          <w:tcPr>
            <w:tcW w:w="1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MVWC</w:t>
            </w: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MORI</w:t>
            </w:r>
          </w:p>
        </w:tc>
        <w:tc>
          <w:tcPr>
            <w:tcW w:w="114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Guarantors</w:t>
            </w:r>
          </w:p>
        </w:tc>
        <w:tc>
          <w:tcPr>
            <w:tcW w:w="12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Subsidiaries</w:t>
            </w: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Eliminations</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52"/>
        </w:trPr>
        <w:tc>
          <w:tcPr>
            <w:tcW w:w="180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Cash and cash</w:t>
            </w: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Accounts receivable, net</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Vacation ownership</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net</w:t>
            </w:r>
          </w:p>
        </w:tc>
        <w:tc>
          <w:tcPr>
            <w:tcW w:w="160" w:type="dxa"/>
            <w:vAlign w:val="bottom"/>
          </w:tcPr>
          <w:p>
            <w:pPr>
              <w:spacing w:after="0"/>
              <w:rPr>
                <w:sz w:val="21"/>
                <w:szCs w:val="21"/>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Investments in</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subsidiaries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42"/>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9,613</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deposits</w:t>
            </w:r>
          </w:p>
        </w:tc>
        <w:tc>
          <w:tcPr>
            <w:tcW w:w="16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Payroll and benefits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16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net</w:t>
            </w:r>
          </w:p>
        </w:tc>
        <w:tc>
          <w:tcPr>
            <w:tcW w:w="16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2,631</w:t>
            </w:r>
          </w:p>
        </w:tc>
        <w:tc>
          <w:tcPr>
            <w:tcW w:w="0" w:type="dxa"/>
            <w:vAlign w:val="bottom"/>
          </w:tcPr>
          <w:p>
            <w:pPr>
              <w:spacing w:after="0"/>
              <w:rPr>
                <w:sz w:val="1"/>
                <w:szCs w:val="1"/>
                <w:color w:val="auto"/>
              </w:rPr>
            </w:pPr>
          </w:p>
        </w:tc>
      </w:tr>
      <w:tr>
        <w:trPr>
          <w:trHeight w:val="263"/>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MVW shareholders'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1"/>
        </w:trPr>
        <w:tc>
          <w:tcPr>
            <w:tcW w:w="180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Total liabilities and</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9,613</w:t>
            </w:r>
          </w:p>
        </w:tc>
        <w:tc>
          <w:tcPr>
            <w:tcW w:w="0" w:type="dxa"/>
            <w:vAlign w:val="bottom"/>
          </w:tcPr>
          <w:p>
            <w:pPr>
              <w:spacing w:after="0"/>
              <w:rPr>
                <w:sz w:val="1"/>
                <w:szCs w:val="1"/>
                <w:color w:val="auto"/>
              </w:rPr>
            </w:pPr>
          </w:p>
        </w:tc>
      </w:tr>
      <w:tr>
        <w:trPr>
          <w:trHeight w:val="231"/>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40" w:type="dxa"/>
            <w:vAlign w:val="bottom"/>
            <w:gridSpan w:val="11"/>
          </w:tcPr>
          <w:p>
            <w:pPr>
              <w:spacing w:after="0"/>
              <w:rPr>
                <w:sz w:val="20"/>
                <w:szCs w:val="20"/>
                <w:color w:val="auto"/>
              </w:rPr>
            </w:pPr>
            <w:r>
              <w:rPr>
                <w:rFonts w:ascii="Times New Roman" w:cs="Times New Roman" w:eastAsia="Times New Roman" w:hAnsi="Times New Roman"/>
                <w:sz w:val="18"/>
                <w:szCs w:val="18"/>
                <w:i w:val="1"/>
                <w:iCs w:val="1"/>
                <w:color w:val="auto"/>
              </w:rPr>
              <w:t>Condensed Consolidating Statements of Income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Six Months Ended June 30, 2022</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Issuers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Non-</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8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gridSpan w:val="4"/>
            <w:vMerge w:val="restart"/>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rPr>
              <w:t>Senior Notes</w:t>
            </w:r>
          </w:p>
        </w:tc>
        <w:tc>
          <w:tcPr>
            <w:tcW w:w="120" w:type="dxa"/>
            <w:vAlign w:val="bottom"/>
          </w:tcPr>
          <w:p>
            <w:pPr>
              <w:spacing w:after="0"/>
              <w:rPr>
                <w:sz w:val="4"/>
                <w:szCs w:val="4"/>
                <w:color w:val="auto"/>
              </w:rPr>
            </w:pPr>
          </w:p>
        </w:tc>
        <w:tc>
          <w:tcPr>
            <w:tcW w:w="1080" w:type="dxa"/>
            <w:vAlign w:val="bottom"/>
            <w:gridSpan w:val="3"/>
            <w:vMerge w:val="restart"/>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Guarantor</w:t>
            </w:r>
          </w:p>
        </w:tc>
        <w:tc>
          <w:tcPr>
            <w:tcW w:w="200" w:type="dxa"/>
            <w:vAlign w:val="bottom"/>
          </w:tcPr>
          <w:p>
            <w:pPr>
              <w:spacing w:after="0"/>
              <w:rPr>
                <w:sz w:val="4"/>
                <w:szCs w:val="4"/>
                <w:color w:val="auto"/>
              </w:rPr>
            </w:pPr>
          </w:p>
        </w:tc>
        <w:tc>
          <w:tcPr>
            <w:tcW w:w="980" w:type="dxa"/>
            <w:vAlign w:val="bottom"/>
            <w:gridSpan w:val="2"/>
            <w:vMerge w:val="restart"/>
          </w:tcPr>
          <w:p>
            <w:pPr>
              <w:jc w:val="center"/>
              <w:ind w:right="360"/>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Pr>
          <w:p>
            <w:pPr>
              <w:spacing w:after="0"/>
              <w:rPr>
                <w:sz w:val="4"/>
                <w:szCs w:val="4"/>
                <w:color w:val="auto"/>
              </w:rPr>
            </w:pPr>
          </w:p>
        </w:tc>
        <w:tc>
          <w:tcPr>
            <w:tcW w:w="860" w:type="dxa"/>
            <w:vAlign w:val="bottom"/>
            <w:vMerge w:val="restart"/>
          </w:tcPr>
          <w:p>
            <w:pPr>
              <w:jc w:val="center"/>
              <w:ind w:right="154"/>
              <w:spacing w:after="0" w:line="118" w:lineRule="exact"/>
              <w:rPr>
                <w:sz w:val="20"/>
                <w:szCs w:val="20"/>
                <w:color w:val="auto"/>
              </w:rPr>
            </w:pPr>
            <w:r>
              <w:rPr>
                <w:rFonts w:ascii="Times New Roman" w:cs="Times New Roman" w:eastAsia="Times New Roman" w:hAnsi="Times New Roman"/>
                <w:sz w:val="12"/>
                <w:szCs w:val="12"/>
                <w:b w:val="1"/>
                <w:bCs w:val="1"/>
                <w:color w:val="auto"/>
              </w:rPr>
              <w:t>MVW</w:t>
            </w:r>
          </w:p>
        </w:tc>
        <w:tc>
          <w:tcPr>
            <w:tcW w:w="0" w:type="dxa"/>
            <w:vAlign w:val="bottom"/>
          </w:tcPr>
          <w:p>
            <w:pPr>
              <w:spacing w:after="0"/>
              <w:rPr>
                <w:sz w:val="1"/>
                <w:szCs w:val="1"/>
                <w:color w:val="auto"/>
              </w:rPr>
            </w:pPr>
          </w:p>
        </w:tc>
      </w:tr>
      <w:tr>
        <w:trPr>
          <w:trHeight w:val="46"/>
        </w:trPr>
        <w:tc>
          <w:tcPr>
            <w:tcW w:w="1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MVWC</w:t>
            </w:r>
          </w:p>
        </w:tc>
        <w:tc>
          <w:tcPr>
            <w:tcW w:w="120" w:type="dxa"/>
            <w:vAlign w:val="bottom"/>
            <w:vMerge w:val="restart"/>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MORI</w:t>
            </w:r>
          </w:p>
        </w:tc>
        <w:tc>
          <w:tcPr>
            <w:tcW w:w="140" w:type="dxa"/>
            <w:vAlign w:val="bottom"/>
            <w:gridSpan w:val="2"/>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1140" w:type="dxa"/>
            <w:vAlign w:val="bottom"/>
            <w:gridSpan w:val="4"/>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7"/>
              </w:rPr>
              <w:t>Guarantors</w:t>
            </w:r>
          </w:p>
        </w:tc>
        <w:tc>
          <w:tcPr>
            <w:tcW w:w="140" w:type="dxa"/>
            <w:vAlign w:val="bottom"/>
            <w:tcBorders>
              <w:bottom w:val="single" w:sz="8" w:color="CCEEFF"/>
            </w:tcBorders>
            <w:gridSpan w:val="2"/>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Eliminations</w:t>
            </w: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44"/>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2,216</w:t>
            </w: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185"/>
        </w:trPr>
        <w:tc>
          <w:tcPr>
            <w:tcW w:w="18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Benefit (provision) for</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in net income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of subsidiaries</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84"/>
        </w:trPr>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loss attributable to</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20"/>
                <w:szCs w:val="20"/>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1"/>
        </w:trPr>
        <w:tc>
          <w:tcPr>
            <w:tcW w:w="180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attributable to common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1"/>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332" w:right="1440" w:bottom="1440" w:gutter="0" w:footer="0" w:header="0"/>
        </w:sectPr>
      </w:pPr>
    </w:p>
    <w:p>
      <w:pPr>
        <w:spacing w:after="0" w:line="13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299720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332" w:right="1440"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18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 to market risk has not changed materially from that disclosed in Part I, Item 7A of the 2021 Annual Report.</w:t>
      </w:r>
    </w:p>
    <w:p>
      <w:pPr>
        <w:spacing w:after="0" w:line="21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June 30, 2022,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1" w:lineRule="exact"/>
        <w:rPr>
          <w:sz w:val="20"/>
          <w:szCs w:val="20"/>
          <w:color w:val="auto"/>
        </w:rPr>
      </w:pPr>
    </w:p>
    <w:p>
      <w:pPr>
        <w:jc w:val="both"/>
        <w:ind w:right="380"/>
        <w:spacing w:after="0" w:line="256" w:lineRule="auto"/>
        <w:rPr>
          <w:sz w:val="20"/>
          <w:szCs w:val="20"/>
          <w:color w:val="auto"/>
        </w:rPr>
      </w:pPr>
      <w:r>
        <w:rPr>
          <w:rFonts w:ascii="Times New Roman" w:cs="Times New Roman" w:eastAsia="Times New Roman" w:hAnsi="Times New Roman"/>
          <w:sz w:val="18"/>
          <w:szCs w:val="18"/>
          <w:color w:val="auto"/>
        </w:rPr>
        <w:t>We made no changes in our internal control over financial reporting during the period covered by this Quarterly Report on Form 10-Q that have materially affected, or are reasonably likely to materially affect, our internal control over financial reporting other than changes in control over financial reporting to integrate the business we acquired in the Welk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Currently, and from time to time, we are subject to claims in legal proceedings arising in the normal course of business, including, among others, the legal actions discussed under “Loss Contingencies” in Footnote 11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color w:val="auto"/>
        </w:rPr>
        <w:t>There have been no material changes to the risk factors set forth in Item 1A to Part 1 of our 2021 Annual Report, except to the extent factual information disclosed elsewhere in this Quarterly Report on Form 10-Q relates to such risk factors, which is incorporated herein by reference.</w:t>
      </w:r>
    </w:p>
    <w:p>
      <w:pPr>
        <w:spacing w:after="0" w:line="23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7"/>
              </w:rPr>
              <w:t>Maximum Dollar</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Total Number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Shares Purchased as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ind w:right="56"/>
              <w:spacing w:after="0" w:line="158" w:lineRule="exact"/>
              <w:rPr>
                <w:sz w:val="20"/>
                <w:szCs w:val="20"/>
                <w:color w:val="auto"/>
              </w:rPr>
            </w:pPr>
            <w:r>
              <w:rPr>
                <w:rFonts w:ascii="Times New Roman" w:cs="Times New Roman" w:eastAsia="Times New Roman" w:hAnsi="Times New Roman"/>
                <w:sz w:val="16"/>
                <w:szCs w:val="16"/>
                <w:b w:val="1"/>
                <w:bCs w:val="1"/>
                <w:color w:val="auto"/>
                <w:w w:val="98"/>
              </w:rPr>
              <w:t>Amount of Shares</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center"/>
              <w:ind w:right="56"/>
              <w:spacing w:after="0" w:line="158" w:lineRule="exact"/>
              <w:rPr>
                <w:sz w:val="20"/>
                <w:szCs w:val="20"/>
                <w:color w:val="auto"/>
              </w:rPr>
            </w:pPr>
            <w:r>
              <w:rPr>
                <w:rFonts w:ascii="Times New Roman" w:cs="Times New Roman" w:eastAsia="Times New Roman" w:hAnsi="Times New Roman"/>
                <w:sz w:val="16"/>
                <w:szCs w:val="16"/>
                <w:b w:val="1"/>
                <w:bCs w:val="1"/>
                <w:color w:val="auto"/>
                <w:w w:val="96"/>
              </w:rPr>
              <w:t>That May Yet Be</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of Shares</w:t>
            </w:r>
          </w:p>
        </w:tc>
        <w:tc>
          <w:tcPr>
            <w:tcW w:w="120" w:type="dxa"/>
            <w:vAlign w:val="bottom"/>
          </w:tcPr>
          <w:p>
            <w:pPr>
              <w:spacing w:after="0"/>
              <w:rPr>
                <w:sz w:val="13"/>
                <w:szCs w:val="13"/>
                <w:color w:val="auto"/>
              </w:rPr>
            </w:pPr>
          </w:p>
        </w:tc>
        <w:tc>
          <w:tcPr>
            <w:tcW w:w="1260" w:type="dxa"/>
            <w:vAlign w:val="bottom"/>
            <w:gridSpan w:val="3"/>
          </w:tcPr>
          <w:p>
            <w:pPr>
              <w:jc w:val="right"/>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Price Paid per</w:t>
            </w:r>
          </w:p>
        </w:tc>
        <w:tc>
          <w:tcPr>
            <w:tcW w:w="14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Announced Plans or</w:t>
            </w:r>
          </w:p>
        </w:tc>
        <w:tc>
          <w:tcPr>
            <w:tcW w:w="140" w:type="dxa"/>
            <w:vAlign w:val="bottom"/>
          </w:tcPr>
          <w:p>
            <w:pPr>
              <w:spacing w:after="0"/>
              <w:rPr>
                <w:sz w:val="13"/>
                <w:szCs w:val="13"/>
                <w:color w:val="auto"/>
              </w:rPr>
            </w:pPr>
          </w:p>
        </w:tc>
        <w:tc>
          <w:tcPr>
            <w:tcW w:w="3760" w:type="dxa"/>
            <w:vAlign w:val="bottom"/>
            <w:gridSpan w:val="3"/>
          </w:tcPr>
          <w:p>
            <w:pPr>
              <w:jc w:val="center"/>
              <w:ind w:right="2112"/>
              <w:spacing w:after="0" w:line="158" w:lineRule="exact"/>
              <w:rPr>
                <w:sz w:val="20"/>
                <w:szCs w:val="20"/>
                <w:color w:val="auto"/>
              </w:rPr>
            </w:pPr>
            <w:r>
              <w:rPr>
                <w:rFonts w:ascii="Times New Roman" w:cs="Times New Roman" w:eastAsia="Times New Roman" w:hAnsi="Times New Roman"/>
                <w:sz w:val="16"/>
                <w:szCs w:val="16"/>
                <w:b w:val="1"/>
                <w:bCs w:val="1"/>
                <w:color w:val="auto"/>
                <w:w w:val="99"/>
              </w:rPr>
              <w:t>Purchased Under the</w:t>
            </w:r>
          </w:p>
        </w:tc>
        <w:tc>
          <w:tcPr>
            <w:tcW w:w="0" w:type="dxa"/>
            <w:vAlign w:val="bottom"/>
          </w:tcPr>
          <w:p>
            <w:pPr>
              <w:spacing w:after="0"/>
              <w:rPr>
                <w:sz w:val="1"/>
                <w:szCs w:val="1"/>
                <w:color w:val="auto"/>
              </w:rPr>
            </w:pPr>
          </w:p>
        </w:tc>
      </w:tr>
      <w:tr>
        <w:trPr>
          <w:trHeight w:val="211"/>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Purchased</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line="210" w:lineRule="exact"/>
              <w:rPr>
                <w:sz w:val="20"/>
                <w:szCs w:val="20"/>
                <w:color w:val="auto"/>
              </w:rPr>
            </w:pPr>
            <w:r>
              <w:rPr>
                <w:rFonts w:ascii="Times New Roman" w:cs="Times New Roman" w:eastAsia="Times New Roman" w:hAnsi="Times New Roman"/>
                <w:sz w:val="16"/>
                <w:szCs w:val="16"/>
                <w:b w:val="1"/>
                <w:bCs w:val="1"/>
                <w:color w:val="auto"/>
                <w:w w:val="93"/>
              </w:rPr>
              <w:t>Programs</w:t>
            </w:r>
            <w:r>
              <w:rPr>
                <w:rFonts w:ascii="Times New Roman" w:cs="Times New Roman" w:eastAsia="Times New Roman" w:hAnsi="Times New Roman"/>
                <w:sz w:val="20"/>
                <w:szCs w:val="20"/>
                <w:b w:val="1"/>
                <w:bCs w:val="1"/>
                <w:color w:val="auto"/>
                <w:w w:val="93"/>
                <w:vertAlign w:val="superscript"/>
              </w:rPr>
              <w:t>(1)</w:t>
            </w:r>
          </w:p>
        </w:tc>
        <w:tc>
          <w:tcPr>
            <w:tcW w:w="1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gridSpan w:val="2"/>
          </w:tcPr>
          <w:p>
            <w:pPr>
              <w:jc w:val="center"/>
              <w:spacing w:after="0" w:line="210" w:lineRule="exact"/>
              <w:rPr>
                <w:sz w:val="20"/>
                <w:szCs w:val="20"/>
                <w:color w:val="auto"/>
              </w:rPr>
            </w:pPr>
            <w:r>
              <w:rPr>
                <w:rFonts w:ascii="Times New Roman" w:cs="Times New Roman" w:eastAsia="Times New Roman" w:hAnsi="Times New Roman"/>
                <w:sz w:val="16"/>
                <w:szCs w:val="16"/>
                <w:b w:val="1"/>
                <w:bCs w:val="1"/>
                <w:color w:val="auto"/>
                <w:w w:val="96"/>
              </w:rPr>
              <w:t>Plans or Programs</w:t>
            </w:r>
            <w:r>
              <w:rPr>
                <w:rFonts w:ascii="Times New Roman" w:cs="Times New Roman" w:eastAsia="Times New Roman" w:hAnsi="Times New Roman"/>
                <w:sz w:val="20"/>
                <w:szCs w:val="20"/>
                <w:b w:val="1"/>
                <w:bCs w:val="1"/>
                <w:color w:val="auto"/>
                <w:w w:val="96"/>
                <w:vertAlign w:val="superscript"/>
              </w:rPr>
              <w:t>(1)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 April 30, 2022</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305,037</w:t>
            </w:r>
          </w:p>
        </w:tc>
        <w:tc>
          <w:tcPr>
            <w:tcW w:w="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306,897,878</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 May 31, 2022</w:t>
            </w: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528,675</w:t>
            </w:r>
          </w:p>
        </w:tc>
        <w:tc>
          <w:tcPr>
            <w:tcW w:w="3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232,275,751</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2022 – June 30, 2022</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588,800</w:t>
            </w:r>
          </w:p>
        </w:tc>
        <w:tc>
          <w:tcPr>
            <w:tcW w:w="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4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159,463,717</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1,422,512</w:t>
            </w:r>
          </w:p>
        </w:tc>
        <w:tc>
          <w:tcPr>
            <w:tcW w:w="32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1,422,512</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159,463,717</w:t>
            </w:r>
          </w:p>
        </w:tc>
        <w:tc>
          <w:tcPr>
            <w:tcW w:w="2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_________________________</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20" w:right="20" w:hanging="315"/>
        <w:spacing w:after="0" w:line="233" w:lineRule="auto"/>
        <w:tabs>
          <w:tab w:leader="none" w:pos="30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September 13, 2021, we announced that our Board of Directors authorized a share repurchase program under which we may purchase shares of our common stock for an aggregate purchase price not to exceed $250 million, prior to December 31, 2022. On February 22, 2022, we announced that our Board of Directors authorized the repurchase of up to an additional $300 million of our common stock, as well as the extension of the term of our existing share repurchase program to March 31, 2023.</w:t>
      </w:r>
    </w:p>
    <w:p>
      <w:pPr>
        <w:spacing w:after="0" w:line="35" w:lineRule="exact"/>
        <w:rPr>
          <w:rFonts w:ascii="Times New Roman" w:cs="Times New Roman" w:eastAsia="Times New Roman" w:hAnsi="Times New Roman"/>
          <w:sz w:val="23"/>
          <w:szCs w:val="23"/>
          <w:color w:val="auto"/>
          <w:vertAlign w:val="superscript"/>
        </w:rPr>
      </w:pPr>
    </w:p>
    <w:p>
      <w:pPr>
        <w:ind w:left="320"/>
        <w:spacing w:after="0" w:line="25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Additionally, on August 1, 2022, we announced that our Board of Directors authorized the repurchase of up to an additional $500 million of our common stock, as well as the extension of the term of our existing share repurchase program to June 30, 2023. Prior to this authorization we had approximately $28 million of capacity remaining under our previous authorization.</w:t>
      </w:r>
    </w:p>
    <w:p>
      <w:pPr>
        <w:spacing w:after="0" w:line="17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documents referenced below are being filed as a part of this Quarterly Report on Form 10-Q, unless otherwise noted.</w:t>
      </w:r>
    </w:p>
    <w:p>
      <w:pPr>
        <w:sectPr>
          <w:pgSz w:w="11900" w:h="16838" w:orient="portrait"/>
          <w:cols w:equalWidth="0" w:num="1">
            <w:col w:w="11160"/>
          </w:cols>
          <w:pgMar w:left="320" w:top="332" w:right="419" w:bottom="1440" w:gutter="0" w:footer="0" w:header="0"/>
        </w:sectPr>
      </w:pPr>
    </w:p>
    <w:p>
      <w:pPr>
        <w:spacing w:after="0" w:line="2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p>
      <w:pPr>
        <w:ind w:left="120"/>
        <w:spacing w:after="0"/>
        <w:rPr>
          <w:sz w:val="20"/>
          <w:szCs w:val="20"/>
          <w:color w:val="auto"/>
        </w:rPr>
      </w:pPr>
      <w:r>
        <w:rPr>
          <w:rFonts w:ascii="Times New Roman" w:cs="Times New Roman" w:eastAsia="Times New Roman" w:hAnsi="Times New Roman"/>
          <w:sz w:val="15"/>
          <w:szCs w:val="15"/>
          <w:b w:val="1"/>
          <w:bCs w:val="1"/>
          <w:color w:val="auto"/>
        </w:rPr>
        <w:t>Number</w:t>
      </w:r>
    </w:p>
    <w:p>
      <w:pPr>
        <w:spacing w:after="0" w:line="200" w:lineRule="exact"/>
        <w:rPr>
          <w:sz w:val="20"/>
          <w:szCs w:val="20"/>
          <w:color w:val="auto"/>
        </w:rPr>
      </w:pPr>
    </w:p>
    <w:p>
      <w:pPr>
        <w:spacing w:after="0" w:line="289" w:lineRule="exact"/>
        <w:rPr>
          <w:sz w:val="20"/>
          <w:szCs w:val="20"/>
          <w:color w:val="auto"/>
        </w:rPr>
      </w:pPr>
    </w:p>
    <w:p>
      <w:pPr>
        <w:ind w:left="280"/>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2.2</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3.1</w:t>
        </w:r>
      </w:hyperlink>
    </w:p>
    <w:p>
      <w:pPr>
        <w:spacing w:after="0" w:line="306" w:lineRule="exact"/>
        <w:rPr>
          <w:sz w:val="20"/>
          <w:szCs w:val="20"/>
          <w:color w:val="auto"/>
        </w:rPr>
      </w:pPr>
    </w:p>
    <w:p>
      <w:pPr>
        <w:ind w:left="280"/>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3.2</w:t>
        </w:r>
      </w:hyperlink>
    </w:p>
    <w:p>
      <w:pPr>
        <w:spacing w:after="0" w:line="385" w:lineRule="exact"/>
        <w:rPr>
          <w:sz w:val="20"/>
          <w:szCs w:val="20"/>
          <w:color w:val="auto"/>
        </w:rPr>
      </w:pPr>
    </w:p>
    <w:p>
      <w:pPr>
        <w:ind w:left="28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4.1</w:t>
        </w:r>
      </w:hyperlink>
    </w:p>
    <w:p>
      <w:pPr>
        <w:spacing w:after="0" w:line="200" w:lineRule="exact"/>
        <w:rPr>
          <w:sz w:val="20"/>
          <w:szCs w:val="20"/>
          <w:color w:val="auto"/>
        </w:rPr>
      </w:pPr>
    </w:p>
    <w:p>
      <w:pPr>
        <w:spacing w:after="0" w:line="277" w:lineRule="exact"/>
        <w:rPr>
          <w:sz w:val="20"/>
          <w:szCs w:val="20"/>
          <w:color w:val="auto"/>
        </w:rPr>
      </w:pPr>
    </w:p>
    <w:p>
      <w:pPr>
        <w:ind w:left="28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4.2</w:t>
        </w:r>
      </w:hyperlink>
    </w:p>
    <w:p>
      <w:pPr>
        <w:spacing w:after="0" w:line="398" w:lineRule="exact"/>
        <w:rPr>
          <w:sz w:val="20"/>
          <w:szCs w:val="20"/>
          <w:color w:val="auto"/>
        </w:rPr>
      </w:pPr>
    </w:p>
    <w:p>
      <w:pPr>
        <w:ind w:left="28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4.3</w:t>
        </w:r>
      </w:hyperlink>
    </w:p>
    <w:p>
      <w:pPr>
        <w:spacing w:after="0" w:line="200" w:lineRule="exact"/>
        <w:rPr>
          <w:sz w:val="20"/>
          <w:szCs w:val="20"/>
          <w:color w:val="auto"/>
        </w:rPr>
      </w:pPr>
    </w:p>
    <w:p>
      <w:pPr>
        <w:spacing w:after="0" w:line="317" w:lineRule="exact"/>
        <w:rPr>
          <w:sz w:val="20"/>
          <w:szCs w:val="20"/>
          <w:color w:val="auto"/>
        </w:rPr>
      </w:pPr>
    </w:p>
    <w:p>
      <w:pPr>
        <w:ind w:left="28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4.4</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8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4.5</w:t>
        </w:r>
      </w:hyperlink>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Filed</w:t>
      </w:r>
    </w:p>
    <w:p>
      <w:pPr>
        <w:jc w:val="both"/>
        <w:ind w:left="1500"/>
        <w:spacing w:after="0"/>
        <w:tabs>
          <w:tab w:leader="none" w:pos="4000" w:val="left"/>
        </w:tabs>
        <w:rPr>
          <w:sz w:val="20"/>
          <w:szCs w:val="20"/>
          <w:color w:val="auto"/>
        </w:rPr>
      </w:pPr>
      <w:r>
        <w:rPr>
          <w:rFonts w:ascii="Times New Roman" w:cs="Times New Roman" w:eastAsia="Times New Roman" w:hAnsi="Times New Roman"/>
          <w:sz w:val="16"/>
          <w:szCs w:val="16"/>
          <w:b w:val="1"/>
          <w:bCs w:val="1"/>
          <w:color w:val="auto"/>
        </w:rPr>
        <w:t>Description</w:t>
      </w:r>
      <w:r>
        <w:rPr>
          <w:sz w:val="20"/>
          <w:szCs w:val="20"/>
          <w:color w:val="auto"/>
        </w:rPr>
        <w:tab/>
      </w:r>
      <w:r>
        <w:rPr>
          <w:rFonts w:ascii="Times New Roman" w:cs="Times New Roman" w:eastAsia="Times New Roman" w:hAnsi="Times New Roman"/>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5715</wp:posOffset>
            </wp:positionV>
            <wp:extent cx="5414645" cy="7353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5414645" cy="735330"/>
                    </a:xfrm>
                    <a:prstGeom prst="rect">
                      <a:avLst/>
                    </a:prstGeom>
                    <a:noFill/>
                  </pic:spPr>
                </pic:pic>
              </a:graphicData>
            </a:graphic>
          </wp:anchor>
        </w:drawing>
      </w:r>
    </w:p>
    <w:p>
      <w:pPr>
        <w:spacing w:after="0" w:line="103" w:lineRule="exact"/>
        <w:rPr>
          <w:sz w:val="20"/>
          <w:szCs w:val="20"/>
          <w:color w:val="auto"/>
        </w:rPr>
      </w:pPr>
    </w:p>
    <w:p>
      <w:pPr>
        <w:jc w:val="both"/>
        <w:ind w:right="960"/>
        <w:spacing w:after="0" w:line="237" w:lineRule="auto"/>
        <w:rPr>
          <w:sz w:val="20"/>
          <w:szCs w:val="20"/>
          <w:color w:val="auto"/>
        </w:rPr>
      </w:pPr>
      <w:r>
        <w:rPr>
          <w:rFonts w:ascii="Times New Roman" w:cs="Times New Roman" w:eastAsia="Times New Roman" w:hAnsi="Times New Roman"/>
          <w:sz w:val="16"/>
          <w:szCs w:val="16"/>
          <w:color w:val="auto"/>
        </w:rPr>
        <w:t>Agreement and Plan of Merger, dated as of April 30, 2018, by and among Marriott Vacations Worldwide Corporation, ILG, Inc., Ignite Holdco, Inc., Ignite</w:t>
      </w:r>
    </w:p>
    <w:p>
      <w:pPr>
        <w:spacing w:after="0" w:line="1" w:lineRule="exact"/>
        <w:rPr>
          <w:sz w:val="20"/>
          <w:szCs w:val="20"/>
          <w:color w:val="auto"/>
        </w:rPr>
      </w:pPr>
    </w:p>
    <w:p>
      <w:pPr>
        <w:ind w:right="1040"/>
        <w:spacing w:after="0" w:line="219" w:lineRule="auto"/>
        <w:rPr>
          <w:sz w:val="20"/>
          <w:szCs w:val="20"/>
          <w:color w:val="auto"/>
        </w:rPr>
      </w:pPr>
      <w:r>
        <w:rPr>
          <w:rFonts w:ascii="Times New Roman" w:cs="Times New Roman" w:eastAsia="Times New Roman" w:hAnsi="Times New Roman"/>
          <w:sz w:val="18"/>
          <w:szCs w:val="18"/>
          <w:color w:val="auto"/>
        </w:rPr>
        <w:t>Holdco Subsidiary, Inc., Volt Merger Sub, Inc., and Volt Merger Sub LLC*</w:t>
      </w:r>
    </w:p>
    <w:p>
      <w:pPr>
        <w:spacing w:after="0" w:line="115" w:lineRule="exact"/>
        <w:rPr>
          <w:sz w:val="20"/>
          <w:szCs w:val="20"/>
          <w:color w:val="auto"/>
        </w:rPr>
      </w:pPr>
    </w:p>
    <w:p>
      <w:pPr>
        <w:ind w:right="1040"/>
        <w:spacing w:after="0" w:line="237" w:lineRule="auto"/>
        <w:rPr>
          <w:sz w:val="20"/>
          <w:szCs w:val="20"/>
          <w:color w:val="auto"/>
        </w:rPr>
      </w:pPr>
      <w:r>
        <w:rPr>
          <w:rFonts w:ascii="Times New Roman" w:cs="Times New Roman" w:eastAsia="Times New Roman" w:hAnsi="Times New Roman"/>
          <w:sz w:val="16"/>
          <w:szCs w:val="16"/>
          <w:color w:val="auto"/>
        </w:rPr>
        <w:t>Agreement and Plan of Merger by and among Marriott Vacations Worldwide Corporation, Sommelier Acquisition Corp., Champagne Resorts,</w:t>
      </w:r>
    </w:p>
    <w:p>
      <w:pPr>
        <w:spacing w:after="0" w:line="1" w:lineRule="exact"/>
        <w:rPr>
          <w:sz w:val="20"/>
          <w:szCs w:val="20"/>
          <w:color w:val="auto"/>
        </w:rPr>
      </w:pPr>
    </w:p>
    <w:p>
      <w:pPr>
        <w:ind w:right="1020"/>
        <w:spacing w:after="0" w:line="212" w:lineRule="auto"/>
        <w:rPr>
          <w:sz w:val="20"/>
          <w:szCs w:val="20"/>
          <w:color w:val="auto"/>
        </w:rPr>
      </w:pPr>
      <w:r>
        <w:rPr>
          <w:rFonts w:ascii="Times New Roman" w:cs="Times New Roman" w:eastAsia="Times New Roman" w:hAnsi="Times New Roman"/>
          <w:sz w:val="18"/>
          <w:szCs w:val="18"/>
          <w:color w:val="auto"/>
        </w:rPr>
        <w:t>Inc., Welk Hospitality Group, Inc. and the Shareholder Representative, dated as of January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10160</wp:posOffset>
            </wp:positionV>
            <wp:extent cx="5414645" cy="3257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5414645" cy="325755"/>
                    </a:xfrm>
                    <a:prstGeom prst="rect">
                      <a:avLst/>
                    </a:prstGeom>
                    <a:noFill/>
                  </pic:spPr>
                </pic:pic>
              </a:graphicData>
            </a:graphic>
          </wp:anchor>
        </w:drawing>
      </w:r>
    </w:p>
    <w:p>
      <w:pPr>
        <w:spacing w:after="0" w:line="43" w:lineRule="exact"/>
        <w:rPr>
          <w:sz w:val="20"/>
          <w:szCs w:val="20"/>
          <w:color w:val="auto"/>
        </w:rPr>
      </w:pPr>
    </w:p>
    <w:p>
      <w:pPr>
        <w:ind w:right="1260"/>
        <w:spacing w:after="0" w:line="231" w:lineRule="auto"/>
        <w:rPr>
          <w:sz w:val="20"/>
          <w:szCs w:val="20"/>
          <w:color w:val="auto"/>
        </w:rPr>
      </w:pPr>
      <w:r>
        <w:rPr>
          <w:rFonts w:ascii="Times New Roman" w:cs="Times New Roman" w:eastAsia="Times New Roman" w:hAnsi="Times New Roman"/>
          <w:sz w:val="18"/>
          <w:szCs w:val="18"/>
          <w:color w:val="auto"/>
        </w:rPr>
        <w:t>Restated Certificate of Incorporation of Marriott Vacations Worldwide Corporation</w:t>
      </w:r>
    </w:p>
    <w:p>
      <w:pPr>
        <w:spacing w:after="0" w:line="115" w:lineRule="exact"/>
        <w:rPr>
          <w:sz w:val="20"/>
          <w:szCs w:val="20"/>
          <w:color w:val="auto"/>
        </w:rPr>
      </w:pPr>
    </w:p>
    <w:p>
      <w:pPr>
        <w:ind w:right="1120"/>
        <w:spacing w:after="0" w:line="231" w:lineRule="auto"/>
        <w:rPr>
          <w:sz w:val="20"/>
          <w:szCs w:val="20"/>
          <w:color w:val="auto"/>
        </w:rPr>
      </w:pPr>
      <w:r>
        <w:rPr>
          <w:rFonts w:ascii="Times New Roman" w:cs="Times New Roman" w:eastAsia="Times New Roman" w:hAnsi="Times New Roman"/>
          <w:sz w:val="18"/>
          <w:szCs w:val="18"/>
          <w:color w:val="auto"/>
        </w:rPr>
        <w:t>Restated Bylaws of Marriott Vacations Worldwide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42545</wp:posOffset>
            </wp:positionV>
            <wp:extent cx="5414645" cy="434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5414645" cy="434340"/>
                    </a:xfrm>
                    <a:prstGeom prst="rect">
                      <a:avLst/>
                    </a:prstGeom>
                    <a:noFill/>
                  </pic:spPr>
                </pic:pic>
              </a:graphicData>
            </a:graphic>
          </wp:anchor>
        </w:drawing>
      </w:r>
    </w:p>
    <w:p>
      <w:pPr>
        <w:spacing w:after="0" w:line="95" w:lineRule="exact"/>
        <w:rPr>
          <w:sz w:val="20"/>
          <w:szCs w:val="20"/>
          <w:color w:val="auto"/>
        </w:rPr>
      </w:pPr>
    </w:p>
    <w:p>
      <w:pPr>
        <w:ind w:right="1100"/>
        <w:spacing w:after="0" w:line="220" w:lineRule="auto"/>
        <w:rPr>
          <w:sz w:val="20"/>
          <w:szCs w:val="20"/>
          <w:color w:val="auto"/>
        </w:rPr>
      </w:pPr>
      <w:r>
        <w:rPr>
          <w:rFonts w:ascii="Times New Roman" w:cs="Times New Roman" w:eastAsia="Times New Roman" w:hAnsi="Times New Roman"/>
          <w:sz w:val="18"/>
          <w:szCs w:val="18"/>
          <w:color w:val="auto"/>
        </w:rPr>
        <w:t>Form of certificate representing shares of common stock, par value $0.01 per share, of Marriott Vacations Worldwide Corporation</w:t>
      </w:r>
    </w:p>
    <w:p>
      <w:pPr>
        <w:spacing w:after="0" w:line="115" w:lineRule="exact"/>
        <w:rPr>
          <w:sz w:val="20"/>
          <w:szCs w:val="20"/>
          <w:color w:val="auto"/>
        </w:rPr>
      </w:pPr>
    </w:p>
    <w:p>
      <w:pPr>
        <w:ind w:right="860"/>
        <w:spacing w:after="0" w:line="252" w:lineRule="auto"/>
        <w:rPr>
          <w:sz w:val="20"/>
          <w:szCs w:val="20"/>
          <w:color w:val="auto"/>
        </w:rPr>
      </w:pPr>
      <w:r>
        <w:rPr>
          <w:rFonts w:ascii="Times New Roman" w:cs="Times New Roman" w:eastAsia="Times New Roman" w:hAnsi="Times New Roman"/>
          <w:sz w:val="16"/>
          <w:szCs w:val="16"/>
          <w:color w:val="auto"/>
        </w:rPr>
        <w:t>Indenture between Marriott Vacations Worldwide Corporation and The Bank of New York Mellon Trust Company, N.A., as trustee, dated September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36195</wp:posOffset>
            </wp:positionV>
            <wp:extent cx="5414645" cy="325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5414645" cy="325755"/>
                    </a:xfrm>
                    <a:prstGeom prst="rect">
                      <a:avLst/>
                    </a:prstGeom>
                    <a:noFill/>
                  </pic:spPr>
                </pic:pic>
              </a:graphicData>
            </a:graphic>
          </wp:anchor>
        </w:drawing>
      </w:r>
    </w:p>
    <w:p>
      <w:pPr>
        <w:spacing w:after="0" w:line="85" w:lineRule="exact"/>
        <w:rPr>
          <w:sz w:val="20"/>
          <w:szCs w:val="20"/>
          <w:color w:val="auto"/>
        </w:rPr>
      </w:pPr>
    </w:p>
    <w:p>
      <w:pPr>
        <w:ind w:right="1140"/>
        <w:spacing w:after="0" w:line="280" w:lineRule="auto"/>
        <w:rPr>
          <w:sz w:val="20"/>
          <w:szCs w:val="20"/>
          <w:color w:val="auto"/>
        </w:rPr>
      </w:pPr>
      <w:r>
        <w:rPr>
          <w:rFonts w:ascii="Times New Roman" w:cs="Times New Roman" w:eastAsia="Times New Roman" w:hAnsi="Times New Roman"/>
          <w:sz w:val="16"/>
          <w:szCs w:val="16"/>
          <w:color w:val="auto"/>
        </w:rPr>
        <w:t>Form of 1.50% Convertible Senior Note due 2022 (included as Exhibit A to Exhibit 4.2 above)</w:t>
      </w:r>
    </w:p>
    <w:p>
      <w:pPr>
        <w:spacing w:after="0" w:line="31" w:lineRule="exact"/>
        <w:rPr>
          <w:sz w:val="20"/>
          <w:szCs w:val="20"/>
          <w:color w:val="auto"/>
        </w:rPr>
      </w:pPr>
    </w:p>
    <w:p>
      <w:pPr>
        <w:ind w:right="860"/>
        <w:spacing w:after="0" w:line="237" w:lineRule="auto"/>
        <w:rPr>
          <w:sz w:val="20"/>
          <w:szCs w:val="20"/>
          <w:color w:val="auto"/>
        </w:rPr>
      </w:pPr>
      <w:r>
        <w:rPr>
          <w:rFonts w:ascii="Times New Roman" w:cs="Times New Roman" w:eastAsia="Times New Roman" w:hAnsi="Times New Roman"/>
          <w:sz w:val="16"/>
          <w:szCs w:val="16"/>
          <w:color w:val="auto"/>
        </w:rPr>
        <w:t>Joinder Agreement to Registration Rights Agreement, dated as of September 1, 2018, by and among ILG, LLC, the guarantors party thereto and Merrill Lynch,</w:t>
      </w:r>
    </w:p>
    <w:p>
      <w:pPr>
        <w:spacing w:after="0" w:line="1" w:lineRule="exact"/>
        <w:rPr>
          <w:sz w:val="20"/>
          <w:szCs w:val="20"/>
          <w:color w:val="auto"/>
        </w:rPr>
      </w:pPr>
    </w:p>
    <w:p>
      <w:pPr>
        <w:ind w:right="1600"/>
        <w:spacing w:after="0" w:line="219" w:lineRule="auto"/>
        <w:rPr>
          <w:sz w:val="20"/>
          <w:szCs w:val="20"/>
          <w:color w:val="auto"/>
        </w:rPr>
      </w:pPr>
      <w:r>
        <w:rPr>
          <w:rFonts w:ascii="Times New Roman" w:cs="Times New Roman" w:eastAsia="Times New Roman" w:hAnsi="Times New Roman"/>
          <w:sz w:val="18"/>
          <w:szCs w:val="18"/>
          <w:color w:val="auto"/>
        </w:rPr>
        <w:t>Pierce, Fenner &amp; Smith Incorporated as the representative of the initial purchasers</w:t>
      </w:r>
    </w:p>
    <w:p>
      <w:pPr>
        <w:spacing w:after="0" w:line="10" w:lineRule="exact"/>
        <w:rPr>
          <w:sz w:val="20"/>
          <w:szCs w:val="20"/>
          <w:color w:val="auto"/>
        </w:rPr>
      </w:pPr>
    </w:p>
    <w:p>
      <w:pPr>
        <w:jc w:val="both"/>
        <w:ind w:right="860"/>
        <w:spacing w:after="0" w:line="237" w:lineRule="auto"/>
        <w:rPr>
          <w:sz w:val="20"/>
          <w:szCs w:val="20"/>
          <w:color w:val="auto"/>
        </w:rPr>
      </w:pPr>
      <w:r>
        <w:rPr>
          <w:rFonts w:ascii="Times New Roman" w:cs="Times New Roman" w:eastAsia="Times New Roman" w:hAnsi="Times New Roman"/>
          <w:sz w:val="16"/>
          <w:szCs w:val="16"/>
          <w:color w:val="auto"/>
        </w:rPr>
        <w:t>Indenture, dated as of October 1, 2019, by and among Marriott Ownership Resorts, Inc., Marriott Vacations Worldwide Corporation, as guarantor,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-342265</wp:posOffset>
            </wp:positionV>
            <wp:extent cx="5414645" cy="5930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5414645" cy="593090"/>
                    </a:xfrm>
                    <a:prstGeom prst="rect">
                      <a:avLst/>
                    </a:prstGeom>
                    <a:noFill/>
                  </pic:spPr>
                </pic:pic>
              </a:graphicData>
            </a:graphic>
          </wp:anchor>
        </w:drawing>
      </w:r>
    </w:p>
    <w:p>
      <w:pPr>
        <w:ind w:right="1000"/>
        <w:spacing w:after="0" w:line="219" w:lineRule="auto"/>
        <w:rPr>
          <w:sz w:val="20"/>
          <w:szCs w:val="20"/>
          <w:color w:val="auto"/>
        </w:rPr>
      </w:pPr>
      <w:r>
        <w:rPr>
          <w:rFonts w:ascii="Times New Roman" w:cs="Times New Roman" w:eastAsia="Times New Roman" w:hAnsi="Times New Roman"/>
          <w:sz w:val="18"/>
          <w:szCs w:val="18"/>
          <w:color w:val="auto"/>
        </w:rPr>
        <w:t>guarantors party thereto and The Bank of New York Mellon Trust Company, N.A., as trustee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7297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172974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40" w:type="dxa"/>
            <w:vAlign w:val="bottom"/>
          </w:tcPr>
          <w:p>
            <w:pPr>
              <w:spacing w:after="0"/>
              <w:rPr>
                <w:sz w:val="18"/>
                <w:szCs w:val="18"/>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679"/>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5/1/2018</w:t>
            </w:r>
          </w:p>
        </w:tc>
      </w:tr>
      <w:tr>
        <w:trPr>
          <w:trHeight w:val="1118"/>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1/26/2021</w:t>
            </w:r>
          </w:p>
        </w:tc>
      </w:tr>
      <w:tr>
        <w:trPr>
          <w:trHeight w:val="816"/>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11/22/2011</w:t>
            </w:r>
          </w:p>
        </w:tc>
      </w:tr>
      <w:tr>
        <w:trPr>
          <w:trHeight w:val="513"/>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11/22/2011</w:t>
            </w:r>
          </w:p>
        </w:tc>
      </w:tr>
      <w:tr>
        <w:trPr>
          <w:trHeight w:val="59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10/14/2011</w:t>
            </w:r>
          </w:p>
        </w:tc>
      </w:tr>
      <w:tr>
        <w:trPr>
          <w:trHeight w:val="684"/>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11/2/2017</w:t>
            </w:r>
          </w:p>
        </w:tc>
      </w:tr>
      <w:tr>
        <w:trPr>
          <w:trHeight w:val="605"/>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10-Q</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11/2/2017</w:t>
            </w:r>
          </w:p>
        </w:tc>
      </w:tr>
      <w:tr>
        <w:trPr>
          <w:trHeight w:val="724"/>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9/5/2018</w:t>
            </w:r>
          </w:p>
        </w:tc>
      </w:tr>
      <w:tr>
        <w:trPr>
          <w:trHeight w:val="934"/>
        </w:trPr>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10/1/2019</w:t>
            </w:r>
          </w:p>
        </w:tc>
      </w:tr>
    </w:tbl>
    <w:p>
      <w:pPr>
        <w:spacing w:after="0" w:line="540" w:lineRule="exact"/>
        <w:rPr>
          <w:sz w:val="20"/>
          <w:szCs w:val="20"/>
          <w:color w:val="auto"/>
        </w:rPr>
      </w:pPr>
    </w:p>
    <w:p>
      <w:pPr>
        <w:sectPr>
          <w:pgSz w:w="11900" w:h="16838" w:orient="portrait"/>
          <w:cols w:equalWidth="0" w:num="3">
            <w:col w:w="680" w:space="260"/>
            <w:col w:w="4640" w:space="220"/>
            <w:col w:w="5360"/>
          </w:cols>
          <w:pgMar w:left="320" w:top="332" w:right="419" w:bottom="1440" w:gutter="0" w:footer="0" w:header="0"/>
          <w:type w:val="continuous"/>
        </w:sectPr>
      </w:pPr>
    </w:p>
    <w:p>
      <w:pPr>
        <w:spacing w:after="0" w:line="15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299720</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332" w:right="41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840" w:type="dxa"/>
            <w:vAlign w:val="bottom"/>
            <w:vMerge w:val="restart"/>
          </w:tcPr>
          <w:p>
            <w:pPr>
              <w:ind w:left="1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0"/>
        </w:trPr>
        <w:tc>
          <w:tcPr>
            <w:tcW w:w="92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color w:val="auto"/>
              </w:rPr>
              <w:t>Supplemental Indenture, dated December 31, 2019,</w:t>
            </w:r>
          </w:p>
        </w:tc>
        <w:tc>
          <w:tcPr>
            <w:tcW w:w="0" w:type="dxa"/>
            <w:vAlign w:val="bottom"/>
          </w:tcPr>
          <w:p>
            <w:pPr>
              <w:spacing w:after="0"/>
              <w:rPr>
                <w:sz w:val="1"/>
                <w:szCs w:val="1"/>
                <w:color w:val="auto"/>
              </w:rPr>
            </w:pPr>
          </w:p>
        </w:tc>
      </w:tr>
      <w:tr>
        <w:trPr>
          <w:trHeight w:val="179"/>
        </w:trPr>
        <w:tc>
          <w:tcPr>
            <w:tcW w:w="500" w:type="dxa"/>
            <w:vAlign w:val="bottom"/>
            <w:gridSpan w:val="3"/>
            <w:vMerge w:val="restart"/>
          </w:tcPr>
          <w:p>
            <w:pPr>
              <w:jc w:val="center"/>
              <w:ind w:left="213"/>
              <w:spacing w:after="0"/>
              <w:rPr>
                <w:rFonts w:ascii="Times New Roman" w:cs="Times New Roman" w:eastAsia="Times New Roman" w:hAnsi="Times New Roman"/>
                <w:sz w:val="18"/>
                <w:szCs w:val="18"/>
                <w:color w:val="0000FF"/>
                <w:w w:val="88"/>
              </w:rPr>
            </w:pPr>
            <w:hyperlink r:id="rId155">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6</w:t>
              </w:r>
            </w:hyperlink>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by and among Marriott Ownership Resorts, Inc.,</w:t>
            </w:r>
          </w:p>
        </w:tc>
        <w:tc>
          <w:tcPr>
            <w:tcW w:w="0" w:type="dxa"/>
            <w:vAlign w:val="bottom"/>
          </w:tcPr>
          <w:p>
            <w:pPr>
              <w:spacing w:after="0"/>
              <w:rPr>
                <w:sz w:val="1"/>
                <w:szCs w:val="1"/>
                <w:color w:val="auto"/>
              </w:rPr>
            </w:pPr>
          </w:p>
        </w:tc>
      </w:tr>
      <w:tr>
        <w:trPr>
          <w:trHeight w:val="97"/>
        </w:trPr>
        <w:tc>
          <w:tcPr>
            <w:tcW w:w="5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MVW Vacations, LLC and the Bank of New York</w:t>
            </w:r>
          </w:p>
        </w:tc>
        <w:tc>
          <w:tcPr>
            <w:tcW w:w="0" w:type="dxa"/>
            <w:vAlign w:val="bottom"/>
          </w:tcPr>
          <w:p>
            <w:pPr>
              <w:spacing w:after="0"/>
              <w:rPr>
                <w:sz w:val="1"/>
                <w:szCs w:val="1"/>
                <w:color w:val="auto"/>
              </w:rPr>
            </w:pPr>
          </w:p>
        </w:tc>
      </w:tr>
      <w:tr>
        <w:trPr>
          <w:trHeight w:val="59"/>
        </w:trPr>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Mellon Trust Company, N.A., as trustee</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Second Supplemental Indenture, dated February 26,</w:t>
            </w:r>
          </w:p>
        </w:tc>
        <w:tc>
          <w:tcPr>
            <w:tcW w:w="0" w:type="dxa"/>
            <w:vAlign w:val="bottom"/>
          </w:tcPr>
          <w:p>
            <w:pPr>
              <w:spacing w:after="0"/>
              <w:rPr>
                <w:sz w:val="1"/>
                <w:szCs w:val="1"/>
                <w:color w:val="auto"/>
              </w:rPr>
            </w:pPr>
          </w:p>
        </w:tc>
      </w:tr>
      <w:tr>
        <w:trPr>
          <w:trHeight w:val="179"/>
        </w:trPr>
        <w:tc>
          <w:tcPr>
            <w:tcW w:w="500" w:type="dxa"/>
            <w:vAlign w:val="bottom"/>
            <w:gridSpan w:val="3"/>
            <w:vMerge w:val="restart"/>
          </w:tcPr>
          <w:p>
            <w:pPr>
              <w:jc w:val="center"/>
              <w:ind w:left="213"/>
              <w:spacing w:after="0"/>
              <w:rPr>
                <w:rFonts w:ascii="Times New Roman" w:cs="Times New Roman" w:eastAsia="Times New Roman" w:hAnsi="Times New Roman"/>
                <w:sz w:val="18"/>
                <w:szCs w:val="18"/>
                <w:color w:val="0000FF"/>
                <w:w w:val="88"/>
              </w:rPr>
            </w:pPr>
            <w:hyperlink r:id="rId156">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7</w:t>
              </w:r>
            </w:hyperlink>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2020, by and among Marriott Ownership Resorts,</w:t>
            </w:r>
          </w:p>
        </w:tc>
        <w:tc>
          <w:tcPr>
            <w:tcW w:w="0" w:type="dxa"/>
            <w:vAlign w:val="bottom"/>
          </w:tcPr>
          <w:p>
            <w:pPr>
              <w:spacing w:after="0"/>
              <w:rPr>
                <w:sz w:val="1"/>
                <w:szCs w:val="1"/>
                <w:color w:val="auto"/>
              </w:rPr>
            </w:pPr>
          </w:p>
        </w:tc>
      </w:tr>
      <w:tr>
        <w:trPr>
          <w:trHeight w:val="97"/>
        </w:trPr>
        <w:tc>
          <w:tcPr>
            <w:tcW w:w="5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Inc., MVW Services Corporation, and the Bank of</w:t>
            </w:r>
          </w:p>
        </w:tc>
        <w:tc>
          <w:tcPr>
            <w:tcW w:w="0" w:type="dxa"/>
            <w:vAlign w:val="bottom"/>
          </w:tcPr>
          <w:p>
            <w:pPr>
              <w:spacing w:after="0"/>
              <w:rPr>
                <w:sz w:val="1"/>
                <w:szCs w:val="1"/>
                <w:color w:val="auto"/>
              </w:rPr>
            </w:pPr>
          </w:p>
        </w:tc>
      </w:tr>
      <w:tr>
        <w:trPr>
          <w:trHeight w:val="59"/>
        </w:trPr>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Mellon Trust Company, N.A., as trustee</w:t>
            </w:r>
          </w:p>
        </w:tc>
        <w:tc>
          <w:tcPr>
            <w:tcW w:w="0" w:type="dxa"/>
            <w:vAlign w:val="bottom"/>
          </w:tcPr>
          <w:p>
            <w:pPr>
              <w:spacing w:after="0"/>
              <w:rPr>
                <w:sz w:val="1"/>
                <w:szCs w:val="1"/>
                <w:color w:val="auto"/>
              </w:rPr>
            </w:pPr>
          </w:p>
        </w:tc>
      </w:tr>
      <w:tr>
        <w:trPr>
          <w:trHeight w:val="180"/>
        </w:trPr>
        <w:tc>
          <w:tcPr>
            <w:tcW w:w="500" w:type="dxa"/>
            <w:vAlign w:val="bottom"/>
            <w:gridSpan w:val="3"/>
            <w:vMerge w:val="restart"/>
          </w:tcPr>
          <w:p>
            <w:pPr>
              <w:jc w:val="center"/>
              <w:ind w:left="213"/>
              <w:spacing w:after="0"/>
              <w:rPr>
                <w:rFonts w:ascii="Times New Roman" w:cs="Times New Roman" w:eastAsia="Times New Roman" w:hAnsi="Times New Roman"/>
                <w:sz w:val="18"/>
                <w:szCs w:val="18"/>
                <w:color w:val="0000FF"/>
                <w:w w:val="88"/>
              </w:rPr>
            </w:pPr>
            <w:hyperlink r:id="rId147">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8</w:t>
              </w:r>
            </w:hyperlink>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Form of 4.750% Senior Notes due 2028 (included as</w:t>
            </w:r>
          </w:p>
        </w:tc>
        <w:tc>
          <w:tcPr>
            <w:tcW w:w="0" w:type="dxa"/>
            <w:vAlign w:val="bottom"/>
          </w:tcPr>
          <w:p>
            <w:pPr>
              <w:spacing w:after="0"/>
              <w:rPr>
                <w:sz w:val="1"/>
                <w:szCs w:val="1"/>
                <w:color w:val="auto"/>
              </w:rPr>
            </w:pPr>
          </w:p>
        </w:tc>
      </w:tr>
      <w:tr>
        <w:trPr>
          <w:trHeight w:val="105"/>
        </w:trPr>
        <w:tc>
          <w:tcPr>
            <w:tcW w:w="5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Exhibit A to Exhibit 4.5 above)</w:t>
            </w: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Registration Rights Agreement, dated as of October</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1, 2019, by and among Marriott Ownership Resorts,</w:t>
            </w:r>
          </w:p>
        </w:tc>
        <w:tc>
          <w:tcPr>
            <w:tcW w:w="0" w:type="dxa"/>
            <w:vAlign w:val="bottom"/>
          </w:tcPr>
          <w:p>
            <w:pPr>
              <w:spacing w:after="0"/>
              <w:rPr>
                <w:sz w:val="1"/>
                <w:szCs w:val="1"/>
                <w:color w:val="auto"/>
              </w:rPr>
            </w:pPr>
          </w:p>
        </w:tc>
      </w:tr>
      <w:tr>
        <w:trPr>
          <w:trHeight w:val="189"/>
        </w:trPr>
        <w:tc>
          <w:tcPr>
            <w:tcW w:w="500" w:type="dxa"/>
            <w:vAlign w:val="bottom"/>
            <w:gridSpan w:val="3"/>
          </w:tcPr>
          <w:p>
            <w:pPr>
              <w:jc w:val="center"/>
              <w:ind w:left="213"/>
              <w:spacing w:after="0" w:line="189" w:lineRule="exact"/>
              <w:rPr>
                <w:rFonts w:ascii="Times New Roman" w:cs="Times New Roman" w:eastAsia="Times New Roman" w:hAnsi="Times New Roman"/>
                <w:sz w:val="18"/>
                <w:szCs w:val="18"/>
                <w:color w:val="0000FF"/>
                <w:w w:val="88"/>
              </w:rPr>
            </w:pPr>
            <w:hyperlink r:id="rId157">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9</w:t>
              </w:r>
            </w:hyperlink>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Inc., Marriott Vacations Worldwide Corporation, as</w:t>
            </w:r>
          </w:p>
        </w:tc>
        <w:tc>
          <w:tcPr>
            <w:tcW w:w="0" w:type="dxa"/>
            <w:vAlign w:val="bottom"/>
          </w:tcPr>
          <w:p>
            <w:pPr>
              <w:spacing w:after="0"/>
              <w:rPr>
                <w:sz w:val="1"/>
                <w:szCs w:val="1"/>
                <w:color w:val="auto"/>
              </w:rPr>
            </w:pPr>
          </w:p>
        </w:tc>
      </w:tr>
      <w:tr>
        <w:trPr>
          <w:trHeight w:val="138"/>
        </w:trPr>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4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guarantor, the other guarantors party thereto and J.P.</w:t>
            </w: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Morgan Securities LLC</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Indenture, dated as of May 13, 2020, by and among</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w w:val="98"/>
              </w:rPr>
              <w:t>Marriott Ownership Resorts, Inc., Marriott Vacations</w:t>
            </w:r>
          </w:p>
        </w:tc>
        <w:tc>
          <w:tcPr>
            <w:tcW w:w="0" w:type="dxa"/>
            <w:vAlign w:val="bottom"/>
          </w:tcPr>
          <w:p>
            <w:pPr>
              <w:spacing w:after="0"/>
              <w:rPr>
                <w:sz w:val="1"/>
                <w:szCs w:val="1"/>
                <w:color w:val="auto"/>
              </w:rPr>
            </w:pPr>
          </w:p>
        </w:tc>
      </w:tr>
      <w:tr>
        <w:trPr>
          <w:trHeight w:val="176"/>
        </w:trPr>
        <w:tc>
          <w:tcPr>
            <w:tcW w:w="800" w:type="dxa"/>
            <w:vAlign w:val="bottom"/>
            <w:gridSpan w:val="5"/>
            <w:vMerge w:val="restart"/>
          </w:tcPr>
          <w:p>
            <w:pPr>
              <w:jc w:val="cente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10</w:t>
              </w:r>
            </w:hyperlink>
          </w:p>
        </w:tc>
        <w:tc>
          <w:tcPr>
            <w:tcW w:w="12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Worldwide Corporation, as guarantor, the other</w:t>
            </w:r>
          </w:p>
        </w:tc>
        <w:tc>
          <w:tcPr>
            <w:tcW w:w="0" w:type="dxa"/>
            <w:vAlign w:val="bottom"/>
          </w:tcPr>
          <w:p>
            <w:pPr>
              <w:spacing w:after="0"/>
              <w:rPr>
                <w:sz w:val="1"/>
                <w:szCs w:val="1"/>
                <w:color w:val="auto"/>
              </w:rPr>
            </w:pPr>
          </w:p>
        </w:tc>
      </w:tr>
      <w:tr>
        <w:trPr>
          <w:trHeight w:val="92"/>
        </w:trPr>
        <w:tc>
          <w:tcPr>
            <w:tcW w:w="8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guarantors party thereto and The Bank of New York</w:t>
            </w:r>
          </w:p>
        </w:tc>
        <w:tc>
          <w:tcPr>
            <w:tcW w:w="0" w:type="dxa"/>
            <w:vAlign w:val="bottom"/>
          </w:tcPr>
          <w:p>
            <w:pPr>
              <w:spacing w:after="0"/>
              <w:rPr>
                <w:sz w:val="1"/>
                <w:szCs w:val="1"/>
                <w:color w:val="auto"/>
              </w:rPr>
            </w:pPr>
          </w:p>
        </w:tc>
      </w:tr>
      <w:tr>
        <w:trPr>
          <w:trHeight w:val="59"/>
        </w:trPr>
        <w:tc>
          <w:tcPr>
            <w:tcW w:w="2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Mellon Trust Company, N.A., as trustee and</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 agent</w:t>
            </w:r>
          </w:p>
        </w:tc>
        <w:tc>
          <w:tcPr>
            <w:tcW w:w="0" w:type="dxa"/>
            <w:vAlign w:val="bottom"/>
          </w:tcPr>
          <w:p>
            <w:pPr>
              <w:spacing w:after="0"/>
              <w:rPr>
                <w:sz w:val="1"/>
                <w:szCs w:val="1"/>
                <w:color w:val="auto"/>
              </w:rPr>
            </w:pPr>
          </w:p>
        </w:tc>
      </w:tr>
      <w:tr>
        <w:trPr>
          <w:trHeight w:val="176"/>
        </w:trPr>
        <w:tc>
          <w:tcPr>
            <w:tcW w:w="560" w:type="dxa"/>
            <w:vAlign w:val="bottom"/>
            <w:gridSpan w:val="4"/>
            <w:vMerge w:val="restart"/>
          </w:tcPr>
          <w:p>
            <w:pPr>
              <w:jc w:val="center"/>
              <w:ind w:left="153"/>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11</w:t>
              </w:r>
            </w:hyperlink>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Form of 6.125% Senior Secured Notes due 2025</w:t>
            </w:r>
          </w:p>
        </w:tc>
        <w:tc>
          <w:tcPr>
            <w:tcW w:w="0" w:type="dxa"/>
            <w:vAlign w:val="bottom"/>
          </w:tcPr>
          <w:p>
            <w:pPr>
              <w:spacing w:after="0"/>
              <w:rPr>
                <w:sz w:val="1"/>
                <w:szCs w:val="1"/>
                <w:color w:val="auto"/>
              </w:rPr>
            </w:pPr>
          </w:p>
        </w:tc>
      </w:tr>
      <w:tr>
        <w:trPr>
          <w:trHeight w:val="105"/>
        </w:trPr>
        <w:tc>
          <w:tcPr>
            <w:tcW w:w="56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(included as Exhibit A to Exhibit 4.10)</w:t>
            </w: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Indenture, dated as of February 2, 2021, by and</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among Marriott Vacations Worldwide Corporation,</w:t>
            </w:r>
          </w:p>
        </w:tc>
        <w:tc>
          <w:tcPr>
            <w:tcW w:w="0" w:type="dxa"/>
            <w:vAlign w:val="bottom"/>
          </w:tcPr>
          <w:p>
            <w:pPr>
              <w:spacing w:after="0"/>
              <w:rPr>
                <w:sz w:val="1"/>
                <w:szCs w:val="1"/>
                <w:color w:val="auto"/>
              </w:rPr>
            </w:pPr>
          </w:p>
        </w:tc>
      </w:tr>
      <w:tr>
        <w:trPr>
          <w:trHeight w:val="189"/>
        </w:trPr>
        <w:tc>
          <w:tcPr>
            <w:tcW w:w="800" w:type="dxa"/>
            <w:vAlign w:val="bottom"/>
            <w:gridSpan w:val="5"/>
          </w:tcPr>
          <w:p>
            <w:pPr>
              <w:jc w:val="center"/>
              <w:spacing w:after="0" w:line="18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hyperlink>
          </w:p>
        </w:tc>
        <w:tc>
          <w:tcPr>
            <w:tcW w:w="120" w:type="dxa"/>
            <w:vAlign w:val="bottom"/>
          </w:tcPr>
          <w:p>
            <w:pPr>
              <w:spacing w:after="0"/>
              <w:rPr>
                <w:sz w:val="16"/>
                <w:szCs w:val="16"/>
                <w:color w:val="auto"/>
              </w:rPr>
            </w:pPr>
          </w:p>
        </w:tc>
        <w:tc>
          <w:tcPr>
            <w:tcW w:w="3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Marriott Ownership Resorts, Inc. and the other</w:t>
            </w:r>
          </w:p>
        </w:tc>
        <w:tc>
          <w:tcPr>
            <w:tcW w:w="0" w:type="dxa"/>
            <w:vAlign w:val="bottom"/>
          </w:tcPr>
          <w:p>
            <w:pPr>
              <w:spacing w:after="0"/>
              <w:rPr>
                <w:sz w:val="1"/>
                <w:szCs w:val="1"/>
                <w:color w:val="auto"/>
              </w:rPr>
            </w:pPr>
          </w:p>
        </w:tc>
      </w:tr>
      <w:tr>
        <w:trPr>
          <w:trHeight w:val="138"/>
        </w:trPr>
        <w:tc>
          <w:tcPr>
            <w:tcW w:w="24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4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guarantors party thereto and The Bank of New York</w:t>
            </w: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Mellon Trust Company, N.A., as trustee</w:t>
            </w:r>
          </w:p>
        </w:tc>
        <w:tc>
          <w:tcPr>
            <w:tcW w:w="0" w:type="dxa"/>
            <w:vAlign w:val="bottom"/>
          </w:tcPr>
          <w:p>
            <w:pPr>
              <w:spacing w:after="0"/>
              <w:rPr>
                <w:sz w:val="1"/>
                <w:szCs w:val="1"/>
                <w:color w:val="auto"/>
              </w:rPr>
            </w:pPr>
          </w:p>
        </w:tc>
      </w:tr>
      <w:tr>
        <w:trPr>
          <w:trHeight w:val="180"/>
        </w:trPr>
        <w:tc>
          <w:tcPr>
            <w:tcW w:w="800" w:type="dxa"/>
            <w:vAlign w:val="bottom"/>
            <w:gridSpan w:val="5"/>
            <w:vMerge w:val="restart"/>
          </w:tcPr>
          <w:p>
            <w:pPr>
              <w:jc w:val="cente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13</w:t>
              </w:r>
            </w:hyperlink>
          </w:p>
        </w:tc>
        <w:tc>
          <w:tcPr>
            <w:tcW w:w="120" w:type="dxa"/>
            <w:vAlign w:val="bottom"/>
          </w:tcPr>
          <w:p>
            <w:pPr>
              <w:spacing w:after="0"/>
              <w:rPr>
                <w:sz w:val="15"/>
                <w:szCs w:val="15"/>
                <w:color w:val="auto"/>
              </w:rPr>
            </w:pPr>
          </w:p>
        </w:tc>
        <w:tc>
          <w:tcPr>
            <w:tcW w:w="38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Form of 0.00% Convertible Senior Note due 2026</w:t>
            </w:r>
          </w:p>
        </w:tc>
        <w:tc>
          <w:tcPr>
            <w:tcW w:w="0" w:type="dxa"/>
            <w:vAlign w:val="bottom"/>
          </w:tcPr>
          <w:p>
            <w:pPr>
              <w:spacing w:after="0"/>
              <w:rPr>
                <w:sz w:val="1"/>
                <w:szCs w:val="1"/>
                <w:color w:val="auto"/>
              </w:rPr>
            </w:pPr>
          </w:p>
        </w:tc>
      </w:tr>
      <w:tr>
        <w:trPr>
          <w:trHeight w:val="105"/>
        </w:trPr>
        <w:tc>
          <w:tcPr>
            <w:tcW w:w="8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(included as Exhibit A to Exhibit 4.12 above)</w:t>
            </w: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Indenture, dated as of June 21, 2021, by and among</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w w:val="98"/>
              </w:rPr>
              <w:t>Marriott Ownership Resorts, Inc., Marriott Vacations</w:t>
            </w:r>
          </w:p>
        </w:tc>
        <w:tc>
          <w:tcPr>
            <w:tcW w:w="0" w:type="dxa"/>
            <w:vAlign w:val="bottom"/>
          </w:tcPr>
          <w:p>
            <w:pPr>
              <w:spacing w:after="0"/>
              <w:rPr>
                <w:sz w:val="1"/>
                <w:szCs w:val="1"/>
                <w:color w:val="auto"/>
              </w:rPr>
            </w:pPr>
          </w:p>
        </w:tc>
      </w:tr>
      <w:tr>
        <w:trPr>
          <w:trHeight w:val="189"/>
        </w:trPr>
        <w:tc>
          <w:tcPr>
            <w:tcW w:w="800" w:type="dxa"/>
            <w:vAlign w:val="bottom"/>
            <w:gridSpan w:val="5"/>
          </w:tcPr>
          <w:p>
            <w:pPr>
              <w:jc w:val="center"/>
              <w:spacing w:after="0" w:line="18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14</w:t>
              </w:r>
            </w:hyperlink>
          </w:p>
        </w:tc>
        <w:tc>
          <w:tcPr>
            <w:tcW w:w="120" w:type="dxa"/>
            <w:vAlign w:val="bottom"/>
          </w:tcPr>
          <w:p>
            <w:pPr>
              <w:spacing w:after="0"/>
              <w:rPr>
                <w:sz w:val="16"/>
                <w:szCs w:val="16"/>
                <w:color w:val="auto"/>
              </w:rPr>
            </w:pPr>
          </w:p>
        </w:tc>
        <w:tc>
          <w:tcPr>
            <w:tcW w:w="38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Worldwide Corporation, as guarantor, the other</w:t>
            </w:r>
          </w:p>
        </w:tc>
        <w:tc>
          <w:tcPr>
            <w:tcW w:w="0" w:type="dxa"/>
            <w:vAlign w:val="bottom"/>
          </w:tcPr>
          <w:p>
            <w:pPr>
              <w:spacing w:after="0"/>
              <w:rPr>
                <w:sz w:val="1"/>
                <w:szCs w:val="1"/>
                <w:color w:val="auto"/>
              </w:rPr>
            </w:pPr>
          </w:p>
        </w:tc>
      </w:tr>
      <w:tr>
        <w:trPr>
          <w:trHeight w:val="138"/>
        </w:trPr>
        <w:tc>
          <w:tcPr>
            <w:tcW w:w="240" w:type="dxa"/>
            <w:vAlign w:val="bottom"/>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40" w:type="dxa"/>
            <w:vAlign w:val="bottom"/>
          </w:tcPr>
          <w:p>
            <w:pPr>
              <w:ind w:left="20"/>
              <w:spacing w:after="0" w:line="138" w:lineRule="exact"/>
              <w:rPr>
                <w:sz w:val="20"/>
                <w:szCs w:val="20"/>
                <w:color w:val="auto"/>
              </w:rPr>
            </w:pPr>
            <w:r>
              <w:rPr>
                <w:rFonts w:ascii="Times New Roman" w:cs="Times New Roman" w:eastAsia="Times New Roman" w:hAnsi="Times New Roman"/>
                <w:sz w:val="15"/>
                <w:szCs w:val="15"/>
                <w:color w:val="auto"/>
              </w:rPr>
              <w:t>guarantors party thereto and The Bank of New York</w:t>
            </w:r>
          </w:p>
        </w:tc>
        <w:tc>
          <w:tcPr>
            <w:tcW w:w="0" w:type="dxa"/>
            <w:vAlign w:val="bottom"/>
          </w:tcPr>
          <w:p>
            <w:pPr>
              <w:spacing w:after="0"/>
              <w:rPr>
                <w:sz w:val="1"/>
                <w:szCs w:val="1"/>
                <w:color w:val="auto"/>
              </w:rPr>
            </w:pPr>
          </w:p>
        </w:tc>
      </w:tr>
      <w:tr>
        <w:trPr>
          <w:trHeight w:val="228"/>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Mellon Trust Company, N.A., as trustee</w:t>
            </w:r>
          </w:p>
        </w:tc>
        <w:tc>
          <w:tcPr>
            <w:tcW w:w="0" w:type="dxa"/>
            <w:vAlign w:val="bottom"/>
          </w:tcPr>
          <w:p>
            <w:pPr>
              <w:spacing w:after="0"/>
              <w:rPr>
                <w:sz w:val="1"/>
                <w:szCs w:val="1"/>
                <w:color w:val="auto"/>
              </w:rPr>
            </w:pPr>
          </w:p>
        </w:tc>
      </w:tr>
      <w:tr>
        <w:trPr>
          <w:trHeight w:val="180"/>
        </w:trPr>
        <w:tc>
          <w:tcPr>
            <w:tcW w:w="800" w:type="dxa"/>
            <w:vAlign w:val="bottom"/>
            <w:gridSpan w:val="5"/>
            <w:vMerge w:val="restart"/>
          </w:tcPr>
          <w:p>
            <w:pPr>
              <w:jc w:val="cente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15</w:t>
              </w:r>
            </w:hyperlink>
          </w:p>
        </w:tc>
        <w:tc>
          <w:tcPr>
            <w:tcW w:w="120" w:type="dxa"/>
            <w:vAlign w:val="bottom"/>
          </w:tcPr>
          <w:p>
            <w:pPr>
              <w:spacing w:after="0"/>
              <w:rPr>
                <w:sz w:val="15"/>
                <w:szCs w:val="15"/>
                <w:color w:val="auto"/>
              </w:rPr>
            </w:pPr>
          </w:p>
        </w:tc>
        <w:tc>
          <w:tcPr>
            <w:tcW w:w="38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Form of 4.500% Senior Notes due 2029 (included as</w:t>
            </w:r>
          </w:p>
        </w:tc>
        <w:tc>
          <w:tcPr>
            <w:tcW w:w="0" w:type="dxa"/>
            <w:vAlign w:val="bottom"/>
          </w:tcPr>
          <w:p>
            <w:pPr>
              <w:spacing w:after="0"/>
              <w:rPr>
                <w:sz w:val="1"/>
                <w:szCs w:val="1"/>
                <w:color w:val="auto"/>
              </w:rPr>
            </w:pPr>
          </w:p>
        </w:tc>
      </w:tr>
      <w:tr>
        <w:trPr>
          <w:trHeight w:val="105"/>
        </w:trPr>
        <w:tc>
          <w:tcPr>
            <w:tcW w:w="8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Exhibit A to Exhibit 4.14 above)</w:t>
            </w: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0" w:type="dxa"/>
            <w:vAlign w:val="bottom"/>
            <w:gridSpan w:val="5"/>
          </w:tcPr>
          <w:p>
            <w:pPr>
              <w:jc w:val="center"/>
              <w:spacing w:after="0" w:line="20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16</w:t>
              </w:r>
            </w:hyperlink>
          </w:p>
        </w:tc>
        <w:tc>
          <w:tcPr>
            <w:tcW w:w="120" w:type="dxa"/>
            <w:vAlign w:val="bottom"/>
          </w:tcPr>
          <w:p>
            <w:pPr>
              <w:spacing w:after="0"/>
              <w:rPr>
                <w:sz w:val="17"/>
                <w:szCs w:val="17"/>
                <w:color w:val="auto"/>
              </w:rPr>
            </w:pPr>
          </w:p>
        </w:tc>
        <w:tc>
          <w:tcPr>
            <w:tcW w:w="38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Description of Registered Securities</w:t>
            </w: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Incremental Facility Amendment, dated as of March</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31, 2022, by and among Marriott Vacations</w:t>
            </w:r>
          </w:p>
        </w:tc>
        <w:tc>
          <w:tcPr>
            <w:tcW w:w="0" w:type="dxa"/>
            <w:vAlign w:val="bottom"/>
          </w:tcPr>
          <w:p>
            <w:pPr>
              <w:spacing w:after="0"/>
              <w:rPr>
                <w:sz w:val="1"/>
                <w:szCs w:val="1"/>
                <w:color w:val="auto"/>
              </w:rPr>
            </w:pPr>
          </w:p>
        </w:tc>
      </w:tr>
      <w:tr>
        <w:trPr>
          <w:trHeight w:val="176"/>
        </w:trPr>
        <w:tc>
          <w:tcPr>
            <w:tcW w:w="800" w:type="dxa"/>
            <w:vAlign w:val="bottom"/>
            <w:gridSpan w:val="5"/>
            <w:vMerge w:val="restart"/>
          </w:tcPr>
          <w:p>
            <w:pPr>
              <w:jc w:val="cente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2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7"/>
              </w:rPr>
              <w:t>Worldwide Corporation, Marriott Ownership Resorts,</w:t>
            </w:r>
          </w:p>
        </w:tc>
        <w:tc>
          <w:tcPr>
            <w:tcW w:w="0" w:type="dxa"/>
            <w:vAlign w:val="bottom"/>
          </w:tcPr>
          <w:p>
            <w:pPr>
              <w:spacing w:after="0"/>
              <w:rPr>
                <w:sz w:val="1"/>
                <w:szCs w:val="1"/>
                <w:color w:val="auto"/>
              </w:rPr>
            </w:pPr>
          </w:p>
        </w:tc>
      </w:tr>
      <w:tr>
        <w:trPr>
          <w:trHeight w:val="92"/>
        </w:trPr>
        <w:tc>
          <w:tcPr>
            <w:tcW w:w="8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Inc., as borrower, JPMorgan Chase Bank, N.A., as</w:t>
            </w:r>
          </w:p>
        </w:tc>
        <w:tc>
          <w:tcPr>
            <w:tcW w:w="0" w:type="dxa"/>
            <w:vAlign w:val="bottom"/>
          </w:tcPr>
          <w:p>
            <w:pPr>
              <w:spacing w:after="0"/>
              <w:rPr>
                <w:sz w:val="1"/>
                <w:szCs w:val="1"/>
                <w:color w:val="auto"/>
              </w:rPr>
            </w:pPr>
          </w:p>
        </w:tc>
      </w:tr>
      <w:tr>
        <w:trPr>
          <w:trHeight w:val="59"/>
        </w:trPr>
        <w:tc>
          <w:tcPr>
            <w:tcW w:w="2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administrative agent and collateral agent, and the</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lenders party thereto</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Umbrella IP Amendment, dated as of March 4, 2022,</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to the Marriott License, Services and Development</w:t>
            </w:r>
          </w:p>
        </w:tc>
        <w:tc>
          <w:tcPr>
            <w:tcW w:w="0" w:type="dxa"/>
            <w:vAlign w:val="bottom"/>
          </w:tcPr>
          <w:p>
            <w:pPr>
              <w:spacing w:after="0"/>
              <w:rPr>
                <w:sz w:val="1"/>
                <w:szCs w:val="1"/>
                <w:color w:val="auto"/>
              </w:rPr>
            </w:pPr>
          </w:p>
        </w:tc>
      </w:tr>
      <w:tr>
        <w:trPr>
          <w:trHeight w:val="176"/>
        </w:trPr>
        <w:tc>
          <w:tcPr>
            <w:tcW w:w="800" w:type="dxa"/>
            <w:vAlign w:val="bottom"/>
            <w:gridSpan w:val="5"/>
            <w:vMerge w:val="restart"/>
          </w:tcPr>
          <w:p>
            <w:pPr>
              <w:jc w:val="cente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2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Agreement for Marriott Projects dated November 19,</w:t>
            </w:r>
          </w:p>
        </w:tc>
        <w:tc>
          <w:tcPr>
            <w:tcW w:w="0" w:type="dxa"/>
            <w:vAlign w:val="bottom"/>
          </w:tcPr>
          <w:p>
            <w:pPr>
              <w:spacing w:after="0"/>
              <w:rPr>
                <w:sz w:val="1"/>
                <w:szCs w:val="1"/>
                <w:color w:val="auto"/>
              </w:rPr>
            </w:pPr>
          </w:p>
        </w:tc>
      </w:tr>
      <w:tr>
        <w:trPr>
          <w:trHeight w:val="92"/>
        </w:trPr>
        <w:tc>
          <w:tcPr>
            <w:tcW w:w="8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2011, by and among Marriott International, Inc.,</w:t>
            </w:r>
          </w:p>
        </w:tc>
        <w:tc>
          <w:tcPr>
            <w:tcW w:w="0" w:type="dxa"/>
            <w:vAlign w:val="bottom"/>
          </w:tcPr>
          <w:p>
            <w:pPr>
              <w:spacing w:after="0"/>
              <w:rPr>
                <w:sz w:val="1"/>
                <w:szCs w:val="1"/>
                <w:color w:val="auto"/>
              </w:rPr>
            </w:pPr>
          </w:p>
        </w:tc>
      </w:tr>
      <w:tr>
        <w:trPr>
          <w:trHeight w:val="59"/>
        </w:trPr>
        <w:tc>
          <w:tcPr>
            <w:tcW w:w="2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Marriott Worldwide Corporation, and Marriott</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Vacations Worldwide Corporation.</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Marketing Track Amendment, dated as of May 19,</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2022, to the Marriott License, Services and</w:t>
            </w:r>
          </w:p>
        </w:tc>
        <w:tc>
          <w:tcPr>
            <w:tcW w:w="0" w:type="dxa"/>
            <w:vAlign w:val="bottom"/>
          </w:tcPr>
          <w:p>
            <w:pPr>
              <w:spacing w:after="0"/>
              <w:rPr>
                <w:sz w:val="1"/>
                <w:szCs w:val="1"/>
                <w:color w:val="auto"/>
              </w:rPr>
            </w:pPr>
          </w:p>
        </w:tc>
      </w:tr>
      <w:tr>
        <w:trPr>
          <w:trHeight w:val="176"/>
        </w:trPr>
        <w:tc>
          <w:tcPr>
            <w:tcW w:w="8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p>
        </w:tc>
        <w:tc>
          <w:tcPr>
            <w:tcW w:w="12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Development Agreement for Marriott Projects dated</w:t>
            </w:r>
          </w:p>
        </w:tc>
        <w:tc>
          <w:tcPr>
            <w:tcW w:w="0" w:type="dxa"/>
            <w:vAlign w:val="bottom"/>
          </w:tcPr>
          <w:p>
            <w:pPr>
              <w:spacing w:after="0"/>
              <w:rPr>
                <w:sz w:val="1"/>
                <w:szCs w:val="1"/>
                <w:color w:val="auto"/>
              </w:rPr>
            </w:pPr>
          </w:p>
        </w:tc>
      </w:tr>
      <w:tr>
        <w:trPr>
          <w:trHeight w:val="92"/>
        </w:trPr>
        <w:tc>
          <w:tcPr>
            <w:tcW w:w="8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November 19, 2011, by and among Marriott</w:t>
            </w:r>
          </w:p>
        </w:tc>
        <w:tc>
          <w:tcPr>
            <w:tcW w:w="0" w:type="dxa"/>
            <w:vAlign w:val="bottom"/>
          </w:tcPr>
          <w:p>
            <w:pPr>
              <w:spacing w:after="0"/>
              <w:rPr>
                <w:sz w:val="1"/>
                <w:szCs w:val="1"/>
                <w:color w:val="auto"/>
              </w:rPr>
            </w:pPr>
          </w:p>
        </w:tc>
      </w:tr>
      <w:tr>
        <w:trPr>
          <w:trHeight w:val="59"/>
        </w:trPr>
        <w:tc>
          <w:tcPr>
            <w:tcW w:w="2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International, Inc., Marriott Worldwide Corporation,</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Marriott Vacations Worldwide Corporation.</w:t>
            </w:r>
          </w:p>
        </w:tc>
        <w:tc>
          <w:tcPr>
            <w:tcW w:w="0" w:type="dxa"/>
            <w:vAlign w:val="bottom"/>
          </w:tcPr>
          <w:p>
            <w:pPr>
              <w:spacing w:after="0"/>
              <w:rPr>
                <w:sz w:val="1"/>
                <w:szCs w:val="1"/>
                <w:color w:val="auto"/>
              </w:rPr>
            </w:pPr>
          </w:p>
        </w:tc>
      </w:tr>
      <w:tr>
        <w:trPr>
          <w:trHeight w:val="176"/>
        </w:trPr>
        <w:tc>
          <w:tcPr>
            <w:tcW w:w="8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p>
        </w:tc>
        <w:tc>
          <w:tcPr>
            <w:tcW w:w="120" w:type="dxa"/>
            <w:vAlign w:val="bottom"/>
          </w:tcPr>
          <w:p>
            <w:pPr>
              <w:spacing w:after="0"/>
              <w:rPr>
                <w:sz w:val="15"/>
                <w:szCs w:val="15"/>
                <w:color w:val="auto"/>
              </w:rPr>
            </w:pPr>
          </w:p>
        </w:tc>
        <w:tc>
          <w:tcPr>
            <w:tcW w:w="3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Marriott Vacations Worldwide Corporation Deferred</w:t>
            </w:r>
          </w:p>
        </w:tc>
        <w:tc>
          <w:tcPr>
            <w:tcW w:w="0" w:type="dxa"/>
            <w:vAlign w:val="bottom"/>
          </w:tcPr>
          <w:p>
            <w:pPr>
              <w:spacing w:after="0"/>
              <w:rPr>
                <w:sz w:val="1"/>
                <w:szCs w:val="1"/>
                <w:color w:val="auto"/>
              </w:rPr>
            </w:pPr>
          </w:p>
        </w:tc>
      </w:tr>
      <w:tr>
        <w:trPr>
          <w:trHeight w:val="105"/>
        </w:trPr>
        <w:tc>
          <w:tcPr>
            <w:tcW w:w="8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Compensation Plan Revised July 29, 2022**</w:t>
            </w:r>
          </w:p>
        </w:tc>
        <w:tc>
          <w:tcPr>
            <w:tcW w:w="0" w:type="dxa"/>
            <w:vAlign w:val="bottom"/>
          </w:tcPr>
          <w:p>
            <w:pPr>
              <w:spacing w:after="0"/>
              <w:rPr>
                <w:sz w:val="1"/>
                <w:szCs w:val="1"/>
                <w:color w:val="auto"/>
              </w:rPr>
            </w:pPr>
          </w:p>
        </w:tc>
      </w:tr>
      <w:tr>
        <w:trPr>
          <w:trHeight w:val="103"/>
        </w:trPr>
        <w:tc>
          <w:tcPr>
            <w:tcW w:w="240" w:type="dxa"/>
            <w:vAlign w:val="bottom"/>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40" w:type="dxa"/>
            <w:vAlign w:val="bottom"/>
          </w:tcPr>
          <w:p>
            <w:pPr>
              <w:spacing w:after="0"/>
              <w:rPr>
                <w:sz w:val="17"/>
                <w:szCs w:val="17"/>
                <w:color w:val="auto"/>
              </w:rPr>
            </w:pPr>
          </w:p>
        </w:tc>
        <w:tc>
          <w:tcPr>
            <w:tcW w:w="320" w:type="dxa"/>
            <w:vAlign w:val="bottom"/>
            <w:tcBorders>
              <w:bottom w:val="single" w:sz="8" w:color="0000FF"/>
            </w:tcBorders>
            <w:gridSpan w:val="3"/>
          </w:tcPr>
          <w:p>
            <w:pPr>
              <w:jc w:val="center"/>
              <w:spacing w:after="0" w:line="20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22.</w:t>
              </w:r>
              <w:r>
                <w:rPr>
                  <w:rFonts w:ascii="Times New Roman" w:cs="Times New Roman" w:eastAsia="Times New Roman" w:hAnsi="Times New Roman"/>
                  <w:sz w:val="18"/>
                  <w:szCs w:val="18"/>
                  <w:u w:val="single" w:color="auto"/>
                  <w:color w:val="0000FF"/>
                </w:rPr>
                <w:t>1</w:t>
              </w:r>
            </w:hyperlink>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List of the Issuer and its Guarantor Subsidiaries</w:t>
            </w:r>
          </w:p>
        </w:tc>
        <w:tc>
          <w:tcPr>
            <w:tcW w:w="0" w:type="dxa"/>
            <w:vAlign w:val="bottom"/>
          </w:tcPr>
          <w:p>
            <w:pPr>
              <w:spacing w:after="0"/>
              <w:rPr>
                <w:sz w:val="1"/>
                <w:szCs w:val="1"/>
                <w:color w:val="auto"/>
              </w:rPr>
            </w:pPr>
          </w:p>
        </w:tc>
      </w:tr>
      <w:tr>
        <w:trPr>
          <w:trHeight w:val="204"/>
        </w:trPr>
        <w:tc>
          <w:tcPr>
            <w:tcW w:w="8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20" w:type="dxa"/>
            <w:vAlign w:val="bottom"/>
          </w:tcPr>
          <w:p>
            <w:pPr>
              <w:spacing w:after="0"/>
              <w:rPr>
                <w:sz w:val="17"/>
                <w:szCs w:val="17"/>
                <w:color w:val="auto"/>
              </w:rPr>
            </w:pPr>
          </w:p>
        </w:tc>
        <w:tc>
          <w:tcPr>
            <w:tcW w:w="384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Certification of Chief Executive Officer pursuant to</w:t>
            </w:r>
          </w:p>
        </w:tc>
        <w:tc>
          <w:tcPr>
            <w:tcW w:w="0" w:type="dxa"/>
            <w:vAlign w:val="bottom"/>
          </w:tcPr>
          <w:p>
            <w:pPr>
              <w:spacing w:after="0"/>
              <w:rPr>
                <w:sz w:val="1"/>
                <w:szCs w:val="1"/>
                <w:color w:val="auto"/>
              </w:rPr>
            </w:pPr>
          </w:p>
        </w:tc>
      </w:tr>
      <w:tr>
        <w:trPr>
          <w:trHeight w:val="184"/>
        </w:trPr>
        <w:tc>
          <w:tcPr>
            <w:tcW w:w="8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Rule 13a-14(a) of the Securities Exchange Act of</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-7063105</wp:posOffset>
            </wp:positionV>
            <wp:extent cx="5414645" cy="4927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5414645" cy="4927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-6310630</wp:posOffset>
            </wp:positionV>
            <wp:extent cx="5414645" cy="5930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5414645" cy="5930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-5015865</wp:posOffset>
            </wp:positionV>
            <wp:extent cx="5414645" cy="2590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5414645" cy="2590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-4163695</wp:posOffset>
            </wp:positionV>
            <wp:extent cx="5414645" cy="2590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5414645" cy="2590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-3310890</wp:posOffset>
            </wp:positionV>
            <wp:extent cx="5414645" cy="2590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5414645" cy="2590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-2893060</wp:posOffset>
            </wp:positionV>
            <wp:extent cx="5414645" cy="7016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5414645" cy="7016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-1489710</wp:posOffset>
            </wp:positionV>
            <wp:extent cx="5414645" cy="7016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5414645" cy="7016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-528955</wp:posOffset>
            </wp:positionV>
            <wp:extent cx="5414645" cy="1587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5414645" cy="158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p>
      <w:pPr>
        <w:jc w:val="center"/>
        <w:spacing w:after="0"/>
        <w:rPr>
          <w:sz w:val="20"/>
          <w:szCs w:val="20"/>
          <w:color w:val="auto"/>
        </w:rPr>
      </w:pPr>
      <w:r>
        <w:rPr>
          <w:rFonts w:ascii="Times New Roman" w:cs="Times New Roman" w:eastAsia="Times New Roman" w:hAnsi="Times New Roman"/>
          <w:sz w:val="15"/>
          <w:szCs w:val="15"/>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13335</wp:posOffset>
            </wp:positionV>
            <wp:extent cx="5099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172148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172148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0" w:type="dxa"/>
            <w:vAlign w:val="bottom"/>
          </w:tcPr>
          <w:p>
            <w:pPr>
              <w:spacing w:after="0"/>
              <w:rPr>
                <w:sz w:val="18"/>
                <w:szCs w:val="18"/>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8"/>
                <w:szCs w:val="18"/>
                <w:color w:val="auto"/>
              </w:rPr>
            </w:pP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482"/>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3/2/2020</w:t>
            </w:r>
          </w:p>
        </w:tc>
      </w:tr>
      <w:tr>
        <w:trPr>
          <w:trHeight w:val="776"/>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3/2/2020</w:t>
            </w:r>
          </w:p>
        </w:tc>
      </w:tr>
      <w:tr>
        <w:trPr>
          <w:trHeight w:val="592"/>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10/1/2019</w:t>
            </w:r>
          </w:p>
        </w:tc>
      </w:tr>
      <w:tr>
        <w:trPr>
          <w:trHeight w:val="671"/>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10/1/2019</w:t>
            </w:r>
          </w:p>
        </w:tc>
      </w:tr>
      <w:tr>
        <w:trPr>
          <w:trHeight w:val="1013"/>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5/15/2020</w:t>
            </w:r>
          </w:p>
        </w:tc>
      </w:tr>
      <w:tr>
        <w:trPr>
          <w:trHeight w:val="763"/>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5/15/2020</w:t>
            </w:r>
          </w:p>
        </w:tc>
      </w:tr>
      <w:tr>
        <w:trPr>
          <w:trHeight w:val="671"/>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2/3/2021</w:t>
            </w:r>
          </w:p>
        </w:tc>
      </w:tr>
      <w:tr>
        <w:trPr>
          <w:trHeight w:val="671"/>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2/3/2021</w:t>
            </w:r>
          </w:p>
        </w:tc>
      </w:tr>
      <w:tr>
        <w:trPr>
          <w:trHeight w:val="671"/>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6/22/2021</w:t>
            </w:r>
          </w:p>
        </w:tc>
      </w:tr>
      <w:tr>
        <w:trPr>
          <w:trHeight w:val="671"/>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6/22/2021</w:t>
            </w:r>
          </w:p>
        </w:tc>
      </w:tr>
      <w:tr>
        <w:trPr>
          <w:trHeight w:val="329"/>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3/2/2020</w:t>
            </w:r>
          </w:p>
        </w:tc>
      </w:tr>
      <w:tr>
        <w:trPr>
          <w:trHeight w:val="671"/>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2"/>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04/4/2022</w:t>
            </w:r>
          </w:p>
        </w:tc>
      </w:tr>
      <w:tr>
        <w:trPr>
          <w:trHeight w:val="1105"/>
        </w:trPr>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80"/>
        <w:spacing w:after="0"/>
        <w:tabs>
          <w:tab w:leader="none" w:pos="1040" w:val="left"/>
          <w:tab w:leader="none" w:pos="182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6"/>
          <w:szCs w:val="16"/>
          <w:color w:val="auto"/>
        </w:rPr>
        <w:t>03/1/2022</w:t>
      </w:r>
    </w:p>
    <w:p>
      <w:pPr>
        <w:spacing w:after="0" w:line="818" w:lineRule="exact"/>
        <w:rPr>
          <w:sz w:val="20"/>
          <w:szCs w:val="20"/>
          <w:color w:val="auto"/>
        </w:rPr>
      </w:pPr>
    </w:p>
    <w:p>
      <w:pPr>
        <w:sectPr>
          <w:pgSz w:w="11900" w:h="16838" w:orient="portrait"/>
          <w:cols w:equalWidth="0" w:num="3">
            <w:col w:w="4760" w:space="220"/>
            <w:col w:w="620" w:space="220"/>
            <w:col w:w="4319"/>
          </w:cols>
          <w:pgMar w:left="320" w:top="332" w:right="1440" w:bottom="1440" w:gutter="0" w:footer="0" w:header="0"/>
        </w:sectPr>
      </w:pPr>
    </w:p>
    <w:p>
      <w:pPr>
        <w:spacing w:after="0" w:line="1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299720</wp:posOffset>
            </wp:positionV>
            <wp:extent cx="716089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332" w:right="1440"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27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Incorporation By Reference From</w:t>
            </w:r>
          </w:p>
        </w:tc>
        <w:tc>
          <w:tcPr>
            <w:tcW w:w="0" w:type="dxa"/>
            <w:vAlign w:val="bottom"/>
          </w:tcPr>
          <w:p>
            <w:pPr>
              <w:spacing w:after="0"/>
              <w:rPr>
                <w:sz w:val="1"/>
                <w:szCs w:val="1"/>
                <w:color w:val="auto"/>
              </w:rPr>
            </w:pPr>
          </w:p>
        </w:tc>
      </w:tr>
      <w:tr>
        <w:trPr>
          <w:trHeight w:val="22"/>
        </w:trPr>
        <w:tc>
          <w:tcPr>
            <w:tcW w:w="920" w:type="dxa"/>
            <w:vAlign w:val="bottom"/>
            <w:gridSpan w:val="4"/>
            <w:vMerge w:val="continue"/>
          </w:tcPr>
          <w:p>
            <w:pPr>
              <w:spacing w:after="0" w:line="20" w:lineRule="exact"/>
              <w:rPr>
                <w:sz w:val="1"/>
                <w:szCs w:val="1"/>
                <w:color w:val="auto"/>
              </w:rPr>
            </w:pPr>
          </w:p>
        </w:tc>
        <w:tc>
          <w:tcPr>
            <w:tcW w:w="3860" w:type="dxa"/>
            <w:vAlign w:val="bottom"/>
            <w:vMerge w:val="restart"/>
          </w:tcPr>
          <w:p>
            <w:pPr>
              <w:ind w:left="15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vMerge w:val="restart"/>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20" w:type="dxa"/>
            <w:vAlign w:val="bottom"/>
            <w:vMerge w:val="restart"/>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vMerge w:val="restart"/>
          </w:tcPr>
          <w:p>
            <w:pPr>
              <w:spacing w:after="0" w:line="20" w:lineRule="exact"/>
              <w:rPr>
                <w:sz w:val="1"/>
                <w:szCs w:val="1"/>
                <w:color w:val="auto"/>
              </w:rPr>
            </w:pPr>
          </w:p>
        </w:tc>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line="20" w:lineRule="exact"/>
              <w:rPr>
                <w:sz w:val="1"/>
                <w:szCs w:val="1"/>
                <w:color w:val="auto"/>
              </w:rPr>
            </w:pPr>
          </w:p>
        </w:tc>
      </w:tr>
      <w:tr>
        <w:trPr>
          <w:trHeight w:val="210"/>
        </w:trPr>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20" w:type="dxa"/>
            <w:vAlign w:val="bottom"/>
            <w:tcBorders>
              <w:bottom w:val="single" w:sz="8" w:color="CCEEFF"/>
            </w:tcBorders>
          </w:tcPr>
          <w:p>
            <w:pPr>
              <w:spacing w:after="0"/>
              <w:rPr>
                <w:sz w:val="18"/>
                <w:szCs w:val="18"/>
                <w:color w:val="auto"/>
              </w:rPr>
            </w:pPr>
          </w:p>
        </w:tc>
        <w:tc>
          <w:tcPr>
            <w:tcW w:w="38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Herewith</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60" w:type="dxa"/>
            <w:vAlign w:val="bottom"/>
            <w:gridSpan w:val="2"/>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Certification of Chief Financial Officer pursuant to</w:t>
            </w: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Rule 13a-14(a) of the Securities Exchange Act of</w:t>
            </w:r>
          </w:p>
        </w:tc>
        <w:tc>
          <w:tcPr>
            <w:tcW w:w="92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1934</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60" w:type="dxa"/>
            <w:vAlign w:val="bottom"/>
            <w:gridSpan w:val="2"/>
            <w:vMerge w:val="restart"/>
          </w:tcPr>
          <w:p>
            <w:pPr>
              <w:jc w:val="center"/>
              <w:ind w:left="157"/>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8"/>
                <w:szCs w:val="18"/>
                <w:color w:val="auto"/>
              </w:rPr>
              <w:t>Certification of Chief Executive Officer pursuant to</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vMerge w:val="restart"/>
          </w:tcPr>
          <w:p>
            <w:pPr>
              <w:ind w:left="540"/>
              <w:spacing w:after="0"/>
              <w:rPr>
                <w:sz w:val="20"/>
                <w:szCs w:val="20"/>
                <w:color w:val="auto"/>
              </w:rPr>
            </w:pPr>
            <w:r>
              <w:rPr>
                <w:rFonts w:ascii="Times New Roman" w:cs="Times New Roman" w:eastAsia="Times New Roman" w:hAnsi="Times New Roman"/>
                <w:sz w:val="18"/>
                <w:szCs w:val="18"/>
                <w:color w:val="auto"/>
              </w:rPr>
              <w:t>Furnished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Rule 13a-14(b) and Section 906 of the Sarbanes-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Oxley Act of 2002</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 w:type="dxa"/>
            <w:vAlign w:val="bottom"/>
            <w:vMerge w:val="restart"/>
          </w:tcPr>
          <w:p>
            <w:pPr>
              <w:spacing w:after="0"/>
              <w:rPr>
                <w:sz w:val="15"/>
                <w:szCs w:val="15"/>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4"/>
            <w:vMerge w:val="restart"/>
          </w:tcPr>
          <w:p>
            <w:pPr>
              <w:ind w:left="540"/>
              <w:spacing w:after="0"/>
              <w:rPr>
                <w:sz w:val="20"/>
                <w:szCs w:val="20"/>
                <w:color w:val="auto"/>
              </w:rPr>
            </w:pPr>
            <w:r>
              <w:rPr>
                <w:rFonts w:ascii="Times New Roman" w:cs="Times New Roman" w:eastAsia="Times New Roman" w:hAnsi="Times New Roman"/>
                <w:sz w:val="18"/>
                <w:szCs w:val="18"/>
                <w:color w:val="auto"/>
              </w:rPr>
              <w:t>Furnished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 w:type="dxa"/>
            <w:vAlign w:val="bottom"/>
            <w:vMerge w:val="continue"/>
          </w:tcPr>
          <w:p>
            <w:pPr>
              <w:spacing w:after="0"/>
              <w:rPr>
                <w:sz w:val="16"/>
                <w:szCs w:val="16"/>
                <w:color w:val="auto"/>
              </w:rPr>
            </w:pPr>
          </w:p>
        </w:tc>
        <w:tc>
          <w:tcPr>
            <w:tcW w:w="320" w:type="dxa"/>
            <w:vAlign w:val="bottom"/>
            <w:tcBorders>
              <w:bottom w:val="single" w:sz="8" w:color="0000FF"/>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Rule 13a-14(b) and Section 906 of the Sarbanes-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5414645" cy="3676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5414645" cy="367665"/>
                    </a:xfrm>
                    <a:prstGeom prst="rect">
                      <a:avLst/>
                    </a:prstGeom>
                    <a:noFill/>
                  </pic:spPr>
                </pic:pic>
              </a:graphicData>
            </a:graphic>
          </wp:anchor>
        </w:drawing>
      </w:r>
    </w:p>
    <w:p>
      <w:pPr>
        <w:ind w:left="940"/>
        <w:spacing w:after="0"/>
        <w:rPr>
          <w:sz w:val="20"/>
          <w:szCs w:val="20"/>
          <w:color w:val="auto"/>
        </w:rPr>
      </w:pPr>
      <w:r>
        <w:rPr>
          <w:rFonts w:ascii="Times New Roman" w:cs="Times New Roman" w:eastAsia="Times New Roman" w:hAnsi="Times New Roman"/>
          <w:sz w:val="18"/>
          <w:szCs w:val="18"/>
          <w:color w:val="auto"/>
        </w:rPr>
        <w:t>Oxley Act of 2002</w:t>
      </w:r>
    </w:p>
    <w:p>
      <w:pPr>
        <w:spacing w:after="0" w:line="3" w:lineRule="exact"/>
        <w:rPr>
          <w:sz w:val="20"/>
          <w:szCs w:val="20"/>
          <w:color w:val="auto"/>
        </w:rPr>
      </w:pPr>
    </w:p>
    <w:p>
      <w:pPr>
        <w:ind w:left="940" w:right="1939"/>
        <w:spacing w:after="0" w:line="241" w:lineRule="auto"/>
        <w:rPr>
          <w:sz w:val="20"/>
          <w:szCs w:val="20"/>
          <w:color w:val="auto"/>
        </w:rPr>
      </w:pPr>
      <w:r>
        <w:rPr>
          <w:rFonts w:ascii="Times New Roman" w:cs="Times New Roman" w:eastAsia="Times New Roman" w:hAnsi="Times New Roman"/>
          <w:sz w:val="16"/>
          <w:szCs w:val="16"/>
          <w:color w:val="auto"/>
        </w:rPr>
        <w:t>The following financial statements from the Company’s Quarterly Report on Form 10-Q for the quarter ended June 30, 2022, formatted in Inline XBRL: (i) Interim Consolidated Statements of Income, (ii)</w:t>
      </w:r>
    </w:p>
    <w:p>
      <w:pPr>
        <w:spacing w:after="0" w:line="1" w:lineRule="exact"/>
        <w:rPr>
          <w:sz w:val="20"/>
          <w:szCs w:val="20"/>
          <w:color w:val="auto"/>
        </w:rPr>
      </w:pPr>
    </w:p>
    <w:p>
      <w:pPr>
        <w:ind w:left="940" w:right="1659" w:hanging="672"/>
        <w:spacing w:after="0" w:line="212" w:lineRule="auto"/>
        <w:tabs>
          <w:tab w:leader="none" w:pos="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Consolidated Statements of Comprehensive Income, (iii) Interim Consolidated Balance Sheets, (iv) Interim Consolidated Statements of Cash Flows, (v) Interim Consolidated Statements of Shareholders’ Equity, and (vi) Notes to Interim Consolidated Financial Statements</w:t>
      </w:r>
    </w:p>
    <w:p>
      <w:pPr>
        <w:spacing w:after="0" w:line="10" w:lineRule="exact"/>
        <w:rPr>
          <w:sz w:val="20"/>
          <w:szCs w:val="20"/>
          <w:color w:val="auto"/>
        </w:rPr>
      </w:pPr>
    </w:p>
    <w:p>
      <w:pPr>
        <w:ind w:left="940" w:right="1759" w:hanging="672"/>
        <w:spacing w:after="0" w:line="181" w:lineRule="auto"/>
        <w:tabs>
          <w:tab w:leader="none" w:pos="940" w:val="left"/>
        </w:tabs>
        <w:numPr>
          <w:ilvl w:val="0"/>
          <w:numId w:val="46"/>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The cover page from the Company’s Quarterly Report on Form 10-Q for the quarter ended June 30, 2022,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5414645" cy="2590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5414645" cy="259080"/>
                    </a:xfrm>
                    <a:prstGeom prst="rect">
                      <a:avLst/>
                    </a:prstGeom>
                    <a:noFill/>
                  </pic:spPr>
                </pic:pic>
              </a:graphicData>
            </a:graphic>
          </wp:anchor>
        </w:drawing>
      </w:r>
    </w:p>
    <w:p>
      <w:pPr>
        <w:spacing w:after="0" w:line="213" w:lineRule="exact"/>
        <w:rPr>
          <w:sz w:val="20"/>
          <w:szCs w:val="20"/>
          <w:color w:val="auto"/>
        </w:rPr>
      </w:pPr>
    </w:p>
    <w:p>
      <w:pPr>
        <w:ind w:left="900" w:right="1679" w:hanging="570"/>
        <w:spacing w:after="0" w:line="181" w:lineRule="auto"/>
        <w:tabs>
          <w:tab w:leader="none" w:pos="900" w:val="left"/>
        </w:tabs>
        <w:numPr>
          <w:ilvl w:val="0"/>
          <w:numId w:val="47"/>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Schedules have been omitted pursuant to Item 601(b)(2) of Regulation S-K. The Company agrees to furnish supplemental copies to the SEC of any omitted schedule upon request by the SEC.</w:t>
      </w:r>
    </w:p>
    <w:p>
      <w:pPr>
        <w:spacing w:after="0" w:line="22" w:lineRule="exact"/>
        <w:rPr>
          <w:sz w:val="20"/>
          <w:szCs w:val="20"/>
          <w:color w:val="auto"/>
        </w:rPr>
      </w:pPr>
    </w:p>
    <w:p>
      <w:pPr>
        <w:ind w:left="900" w:hanging="614"/>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089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332" w:right="1440" w:bottom="1440" w:gutter="0" w:footer="0" w:header="0"/>
        </w:sectPr>
      </w:pPr>
    </w:p>
    <w:bookmarkStart w:id="76" w:name="page77"/>
    <w:bookmarkEnd w:id="76"/>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869"/>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MARRIOTT VACATIONS WORLDWIDE CORPORATION</w:t>
      </w:r>
    </w:p>
    <w:p>
      <w:pPr>
        <w:spacing w:after="0" w:line="280" w:lineRule="exact"/>
        <w:rPr>
          <w:sz w:val="20"/>
          <w:szCs w:val="20"/>
          <w:color w:val="auto"/>
        </w:rPr>
      </w:pPr>
    </w:p>
    <w:tbl>
      <w:tblPr>
        <w:tblLayout w:type="fixed"/>
        <w:tblInd w:w="1380" w:type="dxa"/>
        <w:tblCellMar>
          <w:top w:w="0" w:type="dxa"/>
          <w:left w:w="0" w:type="dxa"/>
          <w:bottom w:w="0" w:type="dxa"/>
          <w:right w:w="0" w:type="dxa"/>
        </w:tblCellMar>
      </w:tblPr>
      <w:tr>
        <w:trPr>
          <w:trHeight w:val="26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P. Weisz</w:t>
            </w:r>
          </w:p>
        </w:tc>
      </w:tr>
      <w:tr>
        <w:trPr>
          <w:trHeight w:val="243"/>
        </w:trPr>
        <w:tc>
          <w:tcPr>
            <w:tcW w:w="3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Stephen P. Weisz</w:t>
            </w:r>
          </w:p>
        </w:tc>
      </w:tr>
      <w:tr>
        <w:trPr>
          <w:trHeight w:val="263"/>
        </w:trPr>
        <w:tc>
          <w:tcPr>
            <w:tcW w:w="3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27"/>
        </w:trPr>
        <w:tc>
          <w:tcPr>
            <w:tcW w:w="3240" w:type="dxa"/>
            <w:vAlign w:val="bottom"/>
          </w:tcPr>
          <w:p>
            <w:pPr>
              <w:spacing w:after="0"/>
              <w:rPr>
                <w:sz w:val="24"/>
                <w:szCs w:val="24"/>
                <w:color w:val="auto"/>
              </w:rPr>
            </w:pPr>
          </w:p>
        </w:tc>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E. Terry</w:t>
            </w:r>
          </w:p>
        </w:tc>
      </w:tr>
      <w:tr>
        <w:trPr>
          <w:trHeight w:val="243"/>
        </w:trPr>
        <w:tc>
          <w:tcPr>
            <w:tcW w:w="324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Anthony E. Terry</w:t>
            </w:r>
          </w:p>
        </w:tc>
      </w:tr>
      <w:tr>
        <w:trPr>
          <w:trHeight w:val="263"/>
        </w:trPr>
        <w:tc>
          <w:tcPr>
            <w:tcW w:w="3240" w:type="dxa"/>
            <w:vAlign w:val="bottom"/>
          </w:tcPr>
          <w:p>
            <w:pPr>
              <w:spacing w:after="0"/>
              <w:rPr>
                <w:sz w:val="22"/>
                <w:szCs w:val="22"/>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566"/>
        </w:trPr>
        <w:tc>
          <w:tcPr>
            <w:tcW w:w="3240" w:type="dxa"/>
            <w:vAlign w:val="bottom"/>
          </w:tcPr>
          <w:p>
            <w:pPr>
              <w:spacing w:after="0"/>
              <w:rPr>
                <w:sz w:val="24"/>
                <w:szCs w:val="24"/>
                <w:color w:val="auto"/>
              </w:rPr>
            </w:pPr>
          </w:p>
        </w:tc>
        <w:tc>
          <w:tcPr>
            <w:tcW w:w="52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75</w:t>
            </w:r>
          </w:p>
        </w:tc>
      </w:tr>
    </w:tbl>
    <w:p>
      <w:pPr>
        <w:sectPr>
          <w:pgSz w:w="11900" w:h="16838" w:orient="portrait"/>
          <w:cols w:equalWidth="0" w:num="1">
            <w:col w:w="10880"/>
          </w:cols>
          <w:pgMar w:left="320" w:top="1145" w:right="69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934085</wp:posOffset>
            </wp:positionV>
            <wp:extent cx="1512570" cy="7600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1512570"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Marriott International,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10400 Fernwood Rd,</w:t>
      </w:r>
    </w:p>
    <w:p>
      <w:pPr>
        <w:spacing w:after="0"/>
        <w:rPr>
          <w:sz w:val="20"/>
          <w:szCs w:val="20"/>
          <w:color w:val="auto"/>
        </w:rPr>
      </w:pPr>
      <w:r>
        <w:rPr>
          <w:rFonts w:ascii="Times New Roman" w:cs="Times New Roman" w:eastAsia="Times New Roman" w:hAnsi="Times New Roman"/>
          <w:sz w:val="18"/>
          <w:szCs w:val="18"/>
          <w:color w:val="auto"/>
        </w:rPr>
        <w:t>Bethesda, MD 20817</w:t>
      </w:r>
    </w:p>
    <w:p>
      <w:pPr>
        <w:spacing w:after="0" w:line="200" w:lineRule="exact"/>
        <w:rPr>
          <w:sz w:val="20"/>
          <w:szCs w:val="20"/>
          <w:color w:val="auto"/>
        </w:rPr>
      </w:pPr>
    </w:p>
    <w:p>
      <w:pPr>
        <w:spacing w:after="0" w:line="2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Re: </w:t>
      </w:r>
      <w:r>
        <w:rPr>
          <w:rFonts w:ascii="Times New Roman" w:cs="Times New Roman" w:eastAsia="Times New Roman" w:hAnsi="Times New Roman"/>
          <w:sz w:val="16"/>
          <w:szCs w:val="16"/>
          <w:b w:val="1"/>
          <w:bCs w:val="1"/>
          <w:u w:val="single" w:color="auto"/>
          <w:color w:val="auto"/>
        </w:rPr>
        <w:t>Marriott License, Services and Development Agreement for Marriott Projects dated November 19, 2011 – Marketing Track Amendment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61" w:lineRule="exact"/>
        <w:rPr>
          <w:sz w:val="20"/>
          <w:szCs w:val="20"/>
          <w:color w:val="auto"/>
        </w:rPr>
      </w:pPr>
    </w:p>
    <w:p>
      <w:pPr>
        <w:jc w:val="both"/>
        <w:ind w:firstLine="632"/>
        <w:spacing w:after="0" w:line="247" w:lineRule="auto"/>
        <w:rPr>
          <w:sz w:val="20"/>
          <w:szCs w:val="20"/>
          <w:color w:val="auto"/>
        </w:rPr>
      </w:pPr>
      <w:r>
        <w:rPr>
          <w:rFonts w:ascii="Times New Roman" w:cs="Times New Roman" w:eastAsia="Times New Roman" w:hAnsi="Times New Roman"/>
          <w:sz w:val="18"/>
          <w:szCs w:val="18"/>
          <w:color w:val="auto"/>
        </w:rPr>
        <w:t>Marriott International, Inc. (“MII”), Marriott Worldwide Corporation (“MWC”) and Starwood Hotels and Resorts Worldwide, LLC (“Starwood”) (together, “Marriott”), and Marriott Vacations Worldwide Corporation (“MVW”) are parties to that certain License, Services and Development Agreement for Marriott Projects dated November 19, 2011, as amended by that certain First Amendment to License, Services, and Development Agreement dated February 26, 2018, that certain letter regarding Consent to Limited Marketing Access dated February 26, 2018, that certain Letter of Acknowledgment (the “Merger Letter Agreement”) regarding MVW’s acquisition of the Vistana Destination Club Business (defined below) dated September 1, 2018, the Bonvoy Track Amendment dated as of November 10, 2021 and the Umbrella IP Amendment dated March 4, 2022 (the “Umbrella IP Amendment”) (as may be further amended, collectively, the “MVW License Agreement”), under which Marriott granted MVW the right to operate the Licensed Business in accordance with the terms and conditions of the MVW License Agreement.</w:t>
      </w:r>
    </w:p>
    <w:p>
      <w:pPr>
        <w:spacing w:after="0" w:line="138" w:lineRule="exact"/>
        <w:rPr>
          <w:sz w:val="20"/>
          <w:szCs w:val="20"/>
          <w:color w:val="auto"/>
        </w:rPr>
      </w:pPr>
    </w:p>
    <w:p>
      <w:pPr>
        <w:jc w:val="both"/>
        <w:ind w:firstLine="632"/>
        <w:spacing w:after="0" w:line="250" w:lineRule="auto"/>
        <w:rPr>
          <w:sz w:val="20"/>
          <w:szCs w:val="20"/>
          <w:color w:val="auto"/>
        </w:rPr>
      </w:pPr>
      <w:r>
        <w:rPr>
          <w:rFonts w:ascii="Times New Roman" w:cs="Times New Roman" w:eastAsia="Times New Roman" w:hAnsi="Times New Roman"/>
          <w:sz w:val="18"/>
          <w:szCs w:val="18"/>
          <w:color w:val="auto"/>
        </w:rPr>
        <w:t>Starwood (formerly known as Starwood Hotels &amp; Resorts Worldwide, Inc.), an Affiliate of Marriott, and Vistana Signature Experiences, Inc. (“Vistana”) and ILG, LLC (as successor to ILG, Inc., formerly known as Interval Leisure Group, Inc. (“ILG”)), both Affiliates of MVW, are parties to that certain License, Services and Development Agreement (as amended, the “Vistana License Agreement”) dated effective May 11, 2016 pursuant to which Vistana was granted a license to operate the Licensed Business in accordance with the terms of, and as defined in, the Vistana License Agreement (referred to herein as the “Vistana Destination Club Business”).</w:t>
      </w:r>
    </w:p>
    <w:p>
      <w:pPr>
        <w:spacing w:after="0" w:line="133" w:lineRule="exact"/>
        <w:rPr>
          <w:sz w:val="20"/>
          <w:szCs w:val="20"/>
          <w:color w:val="auto"/>
        </w:rPr>
      </w:pPr>
    </w:p>
    <w:p>
      <w:pPr>
        <w:jc w:val="both"/>
        <w:ind w:firstLine="632"/>
        <w:spacing w:after="0" w:line="249" w:lineRule="auto"/>
        <w:rPr>
          <w:sz w:val="20"/>
          <w:szCs w:val="20"/>
          <w:color w:val="auto"/>
        </w:rPr>
      </w:pPr>
      <w:r>
        <w:rPr>
          <w:rFonts w:ascii="Times New Roman" w:cs="Times New Roman" w:eastAsia="Times New Roman" w:hAnsi="Times New Roman"/>
          <w:sz w:val="18"/>
          <w:szCs w:val="18"/>
          <w:color w:val="auto"/>
        </w:rPr>
        <w:t>Pursuant to the Merger Letter Agreement, Marriott and MVW agreed, among other things, to amend the MVW License Agreement and related agreements to encompass (i) the Sheraton and Westin brands, (ii) with respect to the Specified Fractional Projects, the St. Regis and Luxury Collection brands, and (iii) the Licensed Unbranded Projects. The parties anticipated that the integration and combination of the MVW Licensed Destination Club Business and Vistana Destination Club Business would occur in steps and phases. This agreement (the “Marketing Track Amendment”) is one of a series of amendments (the “Track Amendments”), including the Umbrella IP Amendment, that align with such steps and phases and, together with the Merger Letter Agreement, will ultimately be incorporated into the A&amp;R MVW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853730_2</w:t>
      </w:r>
    </w:p>
    <w:p>
      <w:pPr>
        <w:sectPr>
          <w:pgSz w:w="11900" w:h="16838" w:orient="portrait"/>
          <w:cols w:equalWidth="0" w:num="1">
            <w:col w:w="11240"/>
          </w:cols>
          <w:pgMar w:left="320" w:top="119" w:right="339" w:bottom="1440" w:gutter="0" w:footer="0" w:header="0"/>
        </w:sectPr>
      </w:pPr>
    </w:p>
    <w:bookmarkStart w:id="78" w:name="page79"/>
    <w:bookmarkEnd w:id="78"/>
    <w:p>
      <w:pPr>
        <w:spacing w:after="0" w:line="1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Agreement (as defined in the Umbrella IP Amendment) entered into in connection with the consolidation of the Vistana License Agreement into the MVW License Agreement. This Marketing Track Amendment integrates the Vistana Destination Club Business into the MVW License Agreement for purposes of (i) selling, marketing and financing Destination Club Units and Destination Club Products, (ii) selling and marketing Exchange Programs, and (iii) establishing and operating sales facilities for Destination Club Products as contemplated in clauses (ii), (iii) and (v) of the definition of Destination Club Business (collectively, “Marketing and Sales Activity”). All initially capitalized terms used but not defined herein have the meaning set forth in the MVW License Agreement (as may be amended).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furtherance thereof and for good and valuable consideration, the parties hereto agree as follows:</w:t>
      </w:r>
    </w:p>
    <w:p>
      <w:pPr>
        <w:spacing w:after="0" w:line="161" w:lineRule="exact"/>
        <w:rPr>
          <w:sz w:val="20"/>
          <w:szCs w:val="20"/>
          <w:color w:val="auto"/>
        </w:rPr>
      </w:pPr>
    </w:p>
    <w:p>
      <w:pPr>
        <w:ind w:left="1120" w:hanging="246"/>
        <w:spacing w:after="0"/>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420" w:hanging="309"/>
        <w:spacing w:after="0" w:line="252" w:lineRule="auto"/>
        <w:tabs>
          <w:tab w:leader="none" w:pos="141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in this Marketing Track Amendment are effective as of date of this Marketing Track Amendment and will govern in all respects from and after the date of this Marketing Track Amendment (including with respect to any provisions of the Vistana License Agreement that are in effect at any time between the date of this Marketing Track Amendment and the consolidation of the Vistana License Agreement into the MVW License Agreement).</w:t>
      </w:r>
    </w:p>
    <w:p>
      <w:pPr>
        <w:spacing w:after="0" w:line="130" w:lineRule="exact"/>
        <w:rPr>
          <w:rFonts w:ascii="Times New Roman" w:cs="Times New Roman" w:eastAsia="Times New Roman" w:hAnsi="Times New Roman"/>
          <w:sz w:val="18"/>
          <w:szCs w:val="18"/>
          <w:color w:val="auto"/>
        </w:rPr>
      </w:pPr>
    </w:p>
    <w:p>
      <w:pPr>
        <w:jc w:val="both"/>
        <w:ind w:left="1420" w:hanging="309"/>
        <w:spacing w:after="0" w:line="252" w:lineRule="auto"/>
        <w:tabs>
          <w:tab w:leader="none" w:pos="142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and “date of the Spin-Off Transaction” as applied to the Vistana Destination Club Business in the Marketing Track Sections and related defined terms is May 19, 2022, except with respect to Section 3.2 of the MVW License Agreement (under which “date of the Spin-Off Transaction” will mean November 19, 2011) and Sections 5.8.B, 7.2 and 9.5.A of the MVW License Agreement (under which “Effective Date” will mean the Effective Date of the MVW License Agreement).</w:t>
      </w:r>
    </w:p>
    <w:p>
      <w:pPr>
        <w:spacing w:after="0" w:line="130" w:lineRule="exact"/>
        <w:rPr>
          <w:rFonts w:ascii="Times New Roman" w:cs="Times New Roman" w:eastAsia="Times New Roman" w:hAnsi="Times New Roman"/>
          <w:sz w:val="18"/>
          <w:szCs w:val="18"/>
          <w:color w:val="auto"/>
        </w:rPr>
      </w:pPr>
    </w:p>
    <w:p>
      <w:pPr>
        <w:ind w:left="880" w:hanging="322"/>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Marketing Track Sections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420" w:hanging="309"/>
        <w:spacing w:after="0" w:line="256" w:lineRule="auto"/>
        <w:tabs>
          <w:tab w:leader="none" w:pos="141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of the Vistana License Agreement will no longer be effective as of the date of this Marketing Track Amendment: Sections 7.4, 8.1, 8.3, 8.4, 8.5, and 8.6 (superseded by MVW License Agreement Sections 9.1, 9.5 and 9.6 to the extent that such provisions are not already superseded pursuant to the Umbrella IP Amendment).</w:t>
      </w:r>
    </w:p>
    <w:p>
      <w:pPr>
        <w:spacing w:after="0" w:line="127" w:lineRule="exact"/>
        <w:rPr>
          <w:rFonts w:ascii="Times New Roman" w:cs="Times New Roman" w:eastAsia="Times New Roman" w:hAnsi="Times New Roman"/>
          <w:sz w:val="18"/>
          <w:szCs w:val="18"/>
          <w:color w:val="auto"/>
        </w:rPr>
      </w:pPr>
    </w:p>
    <w:p>
      <w:pPr>
        <w:jc w:val="both"/>
        <w:ind w:left="1420" w:hanging="309"/>
        <w:spacing w:after="0" w:line="252" w:lineRule="auto"/>
        <w:tabs>
          <w:tab w:leader="none" w:pos="14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of the Vistana License Agreement will no longer be effective as of the date of this Marketing Track Amendment as the same relate to the Marketing and Sales Activity: Sections 7.1A, 7.1B, and 7.1C (superseded by MVW License Agreement Sections 7.1 and 7.2), 7.3B (superseded by MVW License Agreement Section 11.1), 7.7 (superseded by MVW License Agreement Section 5.8.B), and 10 (superseded by MVW License Agreement Section 11.2.A).</w:t>
      </w:r>
    </w:p>
    <w:p>
      <w:pPr>
        <w:spacing w:after="0" w:line="130" w:lineRule="exact"/>
        <w:rPr>
          <w:rFonts w:ascii="Times New Roman" w:cs="Times New Roman" w:eastAsia="Times New Roman" w:hAnsi="Times New Roman"/>
          <w:sz w:val="18"/>
          <w:szCs w:val="18"/>
          <w:color w:val="auto"/>
        </w:rPr>
      </w:pPr>
    </w:p>
    <w:p>
      <w:pPr>
        <w:ind w:left="1420" w:hanging="309"/>
        <w:spacing w:after="0"/>
        <w:tabs>
          <w:tab w:leader="none" w:pos="1420" w:val="left"/>
        </w:tabs>
        <w:numPr>
          <w:ilvl w:val="2"/>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MVW License Agreement Sections 5.8.B, 7.1, 7.2, 9.1, 9.5, 9.6, 11.1, and 11.2.A are referred to herein as the “Marketing Track Sections.”</w:t>
      </w:r>
    </w:p>
    <w:p>
      <w:pPr>
        <w:spacing w:after="0" w:line="184" w:lineRule="exact"/>
        <w:rPr>
          <w:rFonts w:ascii="Times New Roman" w:cs="Times New Roman" w:eastAsia="Times New Roman" w:hAnsi="Times New Roman"/>
          <w:sz w:val="16"/>
          <w:szCs w:val="16"/>
          <w:color w:val="auto"/>
        </w:rPr>
      </w:pPr>
    </w:p>
    <w:p>
      <w:pPr>
        <w:ind w:left="1120" w:hanging="246"/>
        <w:spacing w:after="0"/>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Amendments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420" w:hanging="309"/>
        <w:spacing w:after="0"/>
        <w:tabs>
          <w:tab w:leader="none" w:pos="142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is added to Exhibit A of the MVW License Agreement:</w:t>
      </w:r>
    </w:p>
    <w:p>
      <w:pPr>
        <w:spacing w:after="0" w:line="161" w:lineRule="exact"/>
        <w:rPr>
          <w:rFonts w:ascii="Times New Roman" w:cs="Times New Roman" w:eastAsia="Times New Roman" w:hAnsi="Times New Roman"/>
          <w:sz w:val="18"/>
          <w:szCs w:val="18"/>
          <w:color w:val="auto"/>
        </w:rPr>
      </w:pPr>
    </w:p>
    <w:p>
      <w:pPr>
        <w:ind w:left="14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Variations” means (i) amendments, insertions and/or deletions to the “Insurance and Indemnification” provisions in Section 4 of Exhibit F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853730_2</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03" w:lineRule="exact"/>
        <w:rPr>
          <w:sz w:val="20"/>
          <w:szCs w:val="20"/>
          <w:color w:val="auto"/>
        </w:rPr>
      </w:pPr>
    </w:p>
    <w:p>
      <w:pPr>
        <w:ind w:left="1500"/>
        <w:spacing w:after="0" w:line="268" w:lineRule="auto"/>
        <w:rPr>
          <w:sz w:val="20"/>
          <w:szCs w:val="20"/>
          <w:color w:val="auto"/>
        </w:rPr>
      </w:pPr>
      <w:r>
        <w:rPr>
          <w:rFonts w:ascii="Times New Roman" w:cs="Times New Roman" w:eastAsia="Times New Roman" w:hAnsi="Times New Roman"/>
          <w:sz w:val="18"/>
          <w:szCs w:val="18"/>
          <w:color w:val="auto"/>
        </w:rPr>
        <w:t>and/or (ii) such amendments, insertions and/or deletions to the provisions set forth in Exhibit F of this Agreement as are necessary or advisable in order to ensure the effectiveness of the sublicense under the laws of a jurisdiction outside of the United States of America.</w:t>
      </w:r>
    </w:p>
    <w:p>
      <w:pPr>
        <w:spacing w:after="0" w:line="117" w:lineRule="exact"/>
        <w:rPr>
          <w:sz w:val="20"/>
          <w:szCs w:val="20"/>
          <w:color w:val="auto"/>
        </w:rPr>
      </w:pPr>
    </w:p>
    <w:p>
      <w:pPr>
        <w:ind w:left="1500" w:hanging="310"/>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“Licensed Business Customer Information” in the MVW License Agreement is amended to read as follows:</w:t>
      </w:r>
    </w:p>
    <w:p>
      <w:pPr>
        <w:spacing w:after="0" w:line="161" w:lineRule="exact"/>
        <w:rPr>
          <w:rFonts w:ascii="Times New Roman" w:cs="Times New Roman" w:eastAsia="Times New Roman" w:hAnsi="Times New Roman"/>
          <w:sz w:val="18"/>
          <w:szCs w:val="18"/>
          <w:color w:val="auto"/>
        </w:rPr>
      </w:pPr>
    </w:p>
    <w:p>
      <w:pPr>
        <w:jc w:val="both"/>
        <w:ind w:left="150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Business Customer Information” means the names, addresses, phone and fax numbers, email addresses and other personal information of owners, customers or potential owners or customers (including all Members and their family members), mailing lists, “lead” lists, contact lists, or similar lists or databases, and related data, in each case in whatever form and to the extent such information (i) was in Licensee’s possession as of the date of the Spin-Off Transaction, (ii) obtained by Licensee in connection with the Licensed Business on or after the date of the Spin-Off Transaction (including directly or indirectly obtained from Licensor or its Affiliates, by or through the Brand Loyalty Program, or as a result of Licensee’s acquisition of Vistana Signature Experiences, Inc.), or (iii) any Modified Third-Party List.</w:t>
      </w:r>
    </w:p>
    <w:p>
      <w:pPr>
        <w:spacing w:after="0" w:line="134" w:lineRule="exact"/>
        <w:rPr>
          <w:rFonts w:ascii="Times New Roman" w:cs="Times New Roman" w:eastAsia="Times New Roman" w:hAnsi="Times New Roman"/>
          <w:sz w:val="18"/>
          <w:szCs w:val="18"/>
          <w:color w:val="auto"/>
        </w:rPr>
      </w:pPr>
    </w:p>
    <w:p>
      <w:pPr>
        <w:ind w:left="1500" w:hanging="310"/>
        <w:spacing w:after="0" w:line="268" w:lineRule="auto"/>
        <w:tabs>
          <w:tab w:leader="none" w:pos="149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“Upscale Brand Segment” and “Upper-Upscale Brand Segment” in the MVW License Agreement is amended to read as follows:</w:t>
      </w:r>
    </w:p>
    <w:p>
      <w:pPr>
        <w:spacing w:after="0" w:line="116" w:lineRule="exact"/>
        <w:rPr>
          <w:rFonts w:ascii="Times New Roman" w:cs="Times New Roman" w:eastAsia="Times New Roman" w:hAnsi="Times New Roman"/>
          <w:sz w:val="18"/>
          <w:szCs w:val="18"/>
          <w:color w:val="auto"/>
        </w:rPr>
      </w:pPr>
    </w:p>
    <w:p>
      <w:pPr>
        <w:jc w:val="both"/>
        <w:ind w:left="150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Upscale Brand Segment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Upper-Upscale Brand Segment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Luxury Brand Segment</w:t>
      </w:r>
      <w:r>
        <w:rPr>
          <w:rFonts w:ascii="Times New Roman" w:cs="Times New Roman" w:eastAsia="Times New Roman" w:hAnsi="Times New Roman"/>
          <w:sz w:val="18"/>
          <w:szCs w:val="18"/>
          <w:color w:val="auto"/>
        </w:rPr>
        <w:t>” mean the “upscale”, “upper-upscale” and “luxury” brand segments, respectively, of the hospitality industry as defined by Smith Travel Research (or its successor). If at any time such segments are not then defined by Smith Travel Research (or its successor), then such segments shall be replaced by comparable segments as are then defined by Smith Travel Research (or its successor). In the event Smith Travel Research (or its successor) ceases to define comparable segmentation or in the event that Smith Travel Research (or its successor) ceases to exist, then the parties shall identify a replacement source and a replacement definition of segments comparable to “upscale”, “upper-upscale” and “luxury” as previously defined by Smith Travel Research (or its successor). Any dispute regarding the selection of replacement definitions or sources shall be settled by Expert resolution in accordance with Section 22.5.</w:t>
      </w:r>
    </w:p>
    <w:p>
      <w:pPr>
        <w:spacing w:after="0" w:line="138" w:lineRule="exact"/>
        <w:rPr>
          <w:rFonts w:ascii="Times New Roman" w:cs="Times New Roman" w:eastAsia="Times New Roman" w:hAnsi="Times New Roman"/>
          <w:sz w:val="18"/>
          <w:szCs w:val="18"/>
          <w:color w:val="auto"/>
        </w:rPr>
      </w:pPr>
    </w:p>
    <w:p>
      <w:pPr>
        <w:ind w:left="1500" w:hanging="310"/>
        <w:spacing w:after="0"/>
        <w:tabs>
          <w:tab w:leader="none" w:pos="1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5.8.B of the MVW License Agreement is amended as follows:</w:t>
      </w:r>
    </w:p>
    <w:p>
      <w:pPr>
        <w:spacing w:after="0" w:line="161" w:lineRule="exact"/>
        <w:rPr>
          <w:rFonts w:ascii="Times New Roman" w:cs="Times New Roman" w:eastAsia="Times New Roman" w:hAnsi="Times New Roman"/>
          <w:sz w:val="18"/>
          <w:szCs w:val="18"/>
          <w:color w:val="auto"/>
        </w:rPr>
      </w:pPr>
    </w:p>
    <w:p>
      <w:pPr>
        <w:ind w:left="1500" w:right="43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Licensee may delegate non-management functions of the Licensed Business involving regional and/or local sales and marketing (including brokerage</w:t>
      </w:r>
    </w:p>
    <w:p>
      <w:pPr>
        <w:ind w:left="1500" w:right="8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of Licensed Destination Club Products and Licensed Residential Units for Licensed Residential Projects to any Affiliate or unrelated third party, provided,</w:t>
      </w:r>
    </w:p>
    <w:p>
      <w:pPr>
        <w:ind w:left="1500" w:right="430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that other than for Permitted Variations in connection with a sublicense of the Licensed Marks with an unrelated third party, (i) Licensee must ensure such</w:t>
      </w:r>
    </w:p>
    <w:p>
      <w:pPr>
        <w:ind w:left="1500" w:right="60"/>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functions are conducted in accordance with the Brand Standards and this Agreement; (ii) such functions are covered by insurance policies that satisfy the applicable requirements of Sections 16.2 and 16.4; (iii) any party to which such function has</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delegated or subcontracted and that will have access to any Licensor</w:t>
      </w:r>
    </w:p>
    <w:p>
      <w:pPr>
        <w:spacing w:after="0" w:line="3" w:lineRule="exact"/>
        <w:rPr>
          <w:rFonts w:ascii="Times New Roman" w:cs="Times New Roman" w:eastAsia="Times New Roman" w:hAnsi="Times New Roman"/>
          <w:sz w:val="18"/>
          <w:szCs w:val="18"/>
          <w:color w:val="auto"/>
        </w:rPr>
      </w:pPr>
    </w:p>
    <w:p>
      <w:pPr>
        <w:ind w:left="1500" w:right="10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agrees to keep such Licensor Confidential Information confidential in accordance with this Agreement; (iv) any Affiliate to which such function has been delegated or subcontracted will agree to be bound by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853730_2</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03" w:lineRule="exact"/>
        <w:rPr>
          <w:sz w:val="20"/>
          <w:szCs w:val="20"/>
          <w:color w:val="auto"/>
        </w:rPr>
      </w:pPr>
    </w:p>
    <w:p>
      <w:pPr>
        <w:ind w:left="1500" w:right="280"/>
        <w:spacing w:after="0" w:line="250" w:lineRule="auto"/>
        <w:rPr>
          <w:sz w:val="20"/>
          <w:szCs w:val="20"/>
          <w:color w:val="auto"/>
        </w:rPr>
      </w:pPr>
      <w:r>
        <w:rPr>
          <w:rFonts w:ascii="Times New Roman" w:cs="Times New Roman" w:eastAsia="Times New Roman" w:hAnsi="Times New Roman"/>
          <w:sz w:val="18"/>
          <w:szCs w:val="18"/>
          <w:color w:val="auto"/>
        </w:rPr>
        <w:t>responsibilities, limitations, and duties of Licensee hereunder that have been delegated to such party, and any third party to which such function has been delegated will agree to be bound by certain terms and conditions as set forth in the applicable sublicense and undertaking; and (v) where the sublicense of the right to</w:t>
      </w:r>
    </w:p>
    <w:p>
      <w:pPr>
        <w:spacing w:after="0" w:line="3" w:lineRule="exact"/>
        <w:rPr>
          <w:sz w:val="20"/>
          <w:szCs w:val="20"/>
          <w:color w:val="auto"/>
        </w:rPr>
      </w:pPr>
    </w:p>
    <w:p>
      <w:pPr>
        <w:ind w:left="1500" w:right="300"/>
        <w:spacing w:after="0" w:line="244" w:lineRule="auto"/>
        <w:rPr>
          <w:sz w:val="20"/>
          <w:szCs w:val="20"/>
          <w:color w:val="auto"/>
        </w:rPr>
      </w:pPr>
      <w:r>
        <w:rPr>
          <w:rFonts w:ascii="Times New Roman" w:cs="Times New Roman" w:eastAsia="Times New Roman" w:hAnsi="Times New Roman"/>
          <w:sz w:val="18"/>
          <w:szCs w:val="18"/>
          <w:color w:val="auto"/>
        </w:rPr>
        <w:t>use the Licensed Marks and System is required in Licensor’s judgment, (i) if the sublicensee is an Affiliate of Licensee, Licensee shall sublicense to such Affiliate the right to use the Licensed Marks and the System, as necessary to fulfill such</w:t>
      </w:r>
    </w:p>
    <w:p>
      <w:pPr>
        <w:ind w:left="1500" w:right="60"/>
        <w:spacing w:after="0" w:line="244" w:lineRule="auto"/>
        <w:rPr>
          <w:sz w:val="20"/>
          <w:szCs w:val="20"/>
          <w:color w:val="auto"/>
        </w:rPr>
      </w:pPr>
      <w:r>
        <w:rPr>
          <w:rFonts w:ascii="Times New Roman" w:cs="Times New Roman" w:eastAsia="Times New Roman" w:hAnsi="Times New Roman"/>
          <w:sz w:val="18"/>
          <w:szCs w:val="18"/>
          <w:color w:val="auto"/>
        </w:rPr>
        <w:t>function(s) under a sublicense agreement in a form substantially similar to the form attached hereto as Exhibit E and (ii) if the sublicensee is an unrelated third party, Licensee shall sublicense to such third party the right to use the Licensed Marks, as necessary to fulfill such function(s) under an undertaking and sublicense that contains provisions in a form substantially similar to the provisions set forth in Exhibit F.</w:t>
      </w:r>
    </w:p>
    <w:p>
      <w:pPr>
        <w:ind w:left="1500"/>
        <w:spacing w:after="0" w:line="274" w:lineRule="auto"/>
        <w:rPr>
          <w:sz w:val="20"/>
          <w:szCs w:val="20"/>
          <w:color w:val="auto"/>
        </w:rPr>
      </w:pPr>
      <w:r>
        <w:rPr>
          <w:rFonts w:ascii="Times New Roman" w:cs="Times New Roman" w:eastAsia="Times New Roman" w:hAnsi="Times New Roman"/>
          <w:sz w:val="16"/>
          <w:szCs w:val="16"/>
          <w:color w:val="auto"/>
        </w:rPr>
        <w:t>Such delegation shall not result in a novation of any of Licensee’s obligations under this Agreement. Licensee shall provide Licensor with a fully-executed copy of each sublicense agreement and undertaking entered into hereunder promptly following their execution and will notify Licensor in writing upon the termination or expiration of any sublicense agreement or undertaking. In the event Licensee enters into a sublicense agreement that includes a Permitted Variation, the following additional requirements will apply: (x) Licensee will ensure that no Permitted Variation will in any way adversely affect Licensor’s ownership and control of the Licensed Marks</w:t>
      </w:r>
    </w:p>
    <w:p>
      <w:pPr>
        <w:spacing w:after="0" w:line="2" w:lineRule="exact"/>
        <w:rPr>
          <w:sz w:val="20"/>
          <w:szCs w:val="20"/>
          <w:color w:val="auto"/>
        </w:rPr>
      </w:pPr>
    </w:p>
    <w:p>
      <w:pPr>
        <w:ind w:left="1500"/>
        <w:spacing w:after="0" w:line="244" w:lineRule="auto"/>
        <w:rPr>
          <w:sz w:val="20"/>
          <w:szCs w:val="20"/>
          <w:color w:val="auto"/>
        </w:rPr>
      </w:pPr>
      <w:r>
        <w:rPr>
          <w:rFonts w:ascii="Times New Roman" w:cs="Times New Roman" w:eastAsia="Times New Roman" w:hAnsi="Times New Roman"/>
          <w:sz w:val="18"/>
          <w:szCs w:val="18"/>
          <w:color w:val="auto"/>
        </w:rPr>
        <w:t>and (y) Licensee will provide a mark-up of such sublicense agreement showing the Permitted Variations. Licensee shall not, without Licensor’s prior consent in Licensor’s sole discretion, delegate such functions to an unrelated third party who is known in the community as being of bad moral character; has been convicted in any court of a felony or other offense that could result in imprisonment for one (1) year or more or a fine or penalty of one million dollars ($1,000,000) (as adjusted annually after the Effective Date by the GDP Deflator) or more (or is in control of or controlled by Persons who have been convicted in any court of felonies or such offenses); is a Specially Designated National or Blocked Person; or is a Lodging Competitor.</w:t>
      </w:r>
    </w:p>
    <w:p>
      <w:pPr>
        <w:spacing w:after="0" w:line="141" w:lineRule="exact"/>
        <w:rPr>
          <w:sz w:val="20"/>
          <w:szCs w:val="20"/>
          <w:color w:val="auto"/>
        </w:rPr>
      </w:pPr>
    </w:p>
    <w:p>
      <w:pPr>
        <w:ind w:left="1500" w:hanging="310"/>
        <w:spacing w:after="0"/>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7.1.C of the MVW License Agreement is amended as follows:</w:t>
      </w:r>
    </w:p>
    <w:p>
      <w:pPr>
        <w:spacing w:after="0" w:line="161" w:lineRule="exact"/>
        <w:rPr>
          <w:rFonts w:ascii="Times New Roman" w:cs="Times New Roman" w:eastAsia="Times New Roman" w:hAnsi="Times New Roman"/>
          <w:sz w:val="18"/>
          <w:szCs w:val="18"/>
          <w:color w:val="auto"/>
        </w:rPr>
      </w:pPr>
    </w:p>
    <w:p>
      <w:pPr>
        <w:jc w:val="both"/>
        <w:ind w:left="150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Licensor shall have the right to review (on a periodic basis) Marketing Content and other communications using Licensed Marks and to review significant changes in such programs implemented throughout the Licensed Business and significant changes in templates that are widely-used in the Licensed Business, all of which must be in compliance with the Brand Standards at all times. The distribution, marketing and advertising channels for all Projects shall be consistent with the positioning of the Licensed Business and Licensor Lodging Facilities in the Upscale Brand Segment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Upper-Upscale Brand Segment or Luxury Brand Segment, as applicable. The parties agree to conduct reviews of such channels no less often than annually at the annual meeting contemplated in Section 11.2.E.</w:t>
      </w:r>
    </w:p>
    <w:p>
      <w:pPr>
        <w:spacing w:after="0" w:line="105" w:lineRule="exact"/>
        <w:rPr>
          <w:rFonts w:ascii="Times New Roman" w:cs="Times New Roman" w:eastAsia="Times New Roman" w:hAnsi="Times New Roman"/>
          <w:sz w:val="18"/>
          <w:szCs w:val="18"/>
          <w:color w:val="auto"/>
        </w:rPr>
      </w:pPr>
    </w:p>
    <w:p>
      <w:pPr>
        <w:ind w:left="1500" w:hanging="310"/>
        <w:spacing w:after="0"/>
        <w:tabs>
          <w:tab w:leader="none" w:pos="1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7.2.B(i) of the MVW License Agreement is amended as follows:</w:t>
      </w:r>
    </w:p>
    <w:p>
      <w:pPr>
        <w:spacing w:after="0" w:line="161" w:lineRule="exact"/>
        <w:rPr>
          <w:rFonts w:ascii="Times New Roman" w:cs="Times New Roman" w:eastAsia="Times New Roman" w:hAnsi="Times New Roman"/>
          <w:sz w:val="18"/>
          <w:szCs w:val="18"/>
          <w:color w:val="auto"/>
        </w:rPr>
      </w:pPr>
    </w:p>
    <w:p>
      <w:pPr>
        <w:jc w:val="both"/>
        <w:ind w:left="15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expressly reserves the right to modify the Brand Standards to make appropriate changes consistent with changes to Licensor’s brand standards for the Upscale Brand Segment, Upper-Upscale Brand Segment and/or Luxury Brand Segment of Licensor Lodging Facilities, but only to the extent applicable to the Licensed Business and with appropriate modifications to reflect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853730_2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03" w:lineRule="exact"/>
        <w:rPr>
          <w:sz w:val="20"/>
          <w:szCs w:val="20"/>
          <w:color w:val="auto"/>
        </w:rPr>
      </w:pPr>
    </w:p>
    <w:p>
      <w:pPr>
        <w:ind w:left="1420"/>
        <w:spacing w:after="0" w:line="268" w:lineRule="auto"/>
        <w:rPr>
          <w:sz w:val="20"/>
          <w:szCs w:val="20"/>
          <w:color w:val="auto"/>
        </w:rPr>
      </w:pPr>
      <w:r>
        <w:rPr>
          <w:rFonts w:ascii="Times New Roman" w:cs="Times New Roman" w:eastAsia="Times New Roman" w:hAnsi="Times New Roman"/>
          <w:sz w:val="18"/>
          <w:szCs w:val="18"/>
          <w:color w:val="auto"/>
        </w:rPr>
        <w:t>differences between hotel service levels and service levels applicable to the Licensed Destination Club Business and the Licensed Whole Ownership Residential Business. Licensor shall provide notice to Licensee of any such modifications proposed by Licensor.</w:t>
      </w:r>
    </w:p>
    <w:p>
      <w:pPr>
        <w:spacing w:after="0" w:line="117" w:lineRule="exact"/>
        <w:rPr>
          <w:sz w:val="20"/>
          <w:szCs w:val="20"/>
          <w:color w:val="auto"/>
        </w:rPr>
      </w:pPr>
    </w:p>
    <w:p>
      <w:pPr>
        <w:ind w:left="1420" w:hanging="309"/>
        <w:spacing w:after="0"/>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7.2.D(ii) of the MVW License Agreement is amended as follows:</w:t>
      </w:r>
    </w:p>
    <w:p>
      <w:pPr>
        <w:spacing w:after="0" w:line="161" w:lineRule="exact"/>
        <w:rPr>
          <w:rFonts w:ascii="Times New Roman" w:cs="Times New Roman" w:eastAsia="Times New Roman" w:hAnsi="Times New Roman"/>
          <w:sz w:val="18"/>
          <w:szCs w:val="18"/>
          <w:color w:val="auto"/>
        </w:rPr>
      </w:pPr>
    </w:p>
    <w:p>
      <w:pPr>
        <w:jc w:val="both"/>
        <w:ind w:left="142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modifications proposed by Licensee, the Expert will determine whether Licensor’s objection to Licensee’s proposed modifications is reasonable, taking into account Licensor’s brand standards for the Upscale Brand Segment, Upper-Upscale Brand Segment and/or Luxury Brand Segment, as applicable, of Licensor Lodging Facilities, the applicability of such standards to Licensed Destination Club Projects and Licensed Residential Projects, the appropriate differences between hotel service levels and service levels applicable to the Licensed Destination Club Business and the Licensed Whole Ownership Residential Business, and whether the failure to implement such modifications will or may adversely affect the Upscale Brand Segment and Upper-Upscale Brand Segment of Licensor Lodging Facilities that bear the Marriott, Sheraton or Westin name or the Luxury Brand Segment of Licensor Lodging Facilities that bear the St. Regis or Luxury Collection Name.</w:t>
      </w:r>
    </w:p>
    <w:p>
      <w:pPr>
        <w:spacing w:after="0" w:line="138" w:lineRule="exact"/>
        <w:rPr>
          <w:rFonts w:ascii="Times New Roman" w:cs="Times New Roman" w:eastAsia="Times New Roman" w:hAnsi="Times New Roman"/>
          <w:sz w:val="18"/>
          <w:szCs w:val="18"/>
          <w:color w:val="auto"/>
        </w:rPr>
      </w:pPr>
    </w:p>
    <w:p>
      <w:pPr>
        <w:ind w:left="1500" w:hanging="310"/>
        <w:spacing w:after="0"/>
        <w:tabs>
          <w:tab w:leader="none" w:pos="15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9.1.C of the MVW License Agreement is amended as follows:</w:t>
      </w:r>
    </w:p>
    <w:p>
      <w:pPr>
        <w:spacing w:after="0" w:line="161" w:lineRule="exact"/>
        <w:rPr>
          <w:rFonts w:ascii="Times New Roman" w:cs="Times New Roman" w:eastAsia="Times New Roman" w:hAnsi="Times New Roman"/>
          <w:sz w:val="18"/>
          <w:szCs w:val="18"/>
          <w:color w:val="auto"/>
        </w:rPr>
      </w:pPr>
    </w:p>
    <w:p>
      <w:pPr>
        <w:jc w:val="both"/>
        <w:ind w:left="150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shall, as part of the sales process, provide disclosure to each prospective purchaser in the form attached as Exhibit L, subject to modifications required by governmental authorities for the subject jurisdiction or that are necessary to properly describe the subject Project, and have each purchaser acknowledge receipt of such disclosure in writing, which, among other things, discloses to prospective purchasers that (i) the Licensed Business is owned and managed by Licensee; (ii) neither Licensor nor any of its Affiliates is the seller of the interests in the Licensed Destination Club Units or Licensed Residential Units, as applicable; and (iii) that the Marriott, Westin, Sheraton, St. Regis and Luxury Collection names, as applicable, are used by Licensee pursuant to a license, and that if such license is revoked, terminated, or expires, Licensee shall no longer have the right to use the applicable Licensed Marks in connection with the Licensed Business or the relevant Project. Licensee shall be permitted to incorporate such disclosure with other disclosures Licensee makes to prospective purchasers.</w:t>
      </w:r>
    </w:p>
    <w:p>
      <w:pPr>
        <w:spacing w:after="0" w:line="135" w:lineRule="exact"/>
        <w:rPr>
          <w:rFonts w:ascii="Times New Roman" w:cs="Times New Roman" w:eastAsia="Times New Roman" w:hAnsi="Times New Roman"/>
          <w:sz w:val="18"/>
          <w:szCs w:val="18"/>
          <w:color w:val="auto"/>
        </w:rPr>
      </w:pPr>
    </w:p>
    <w:p>
      <w:pPr>
        <w:ind w:left="1500" w:hanging="310"/>
        <w:spacing w:after="0"/>
        <w:tabs>
          <w:tab w:leader="none" w:pos="15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9.1.G of the MVW License Agreement is amended as follows:</w:t>
      </w:r>
    </w:p>
    <w:p>
      <w:pPr>
        <w:spacing w:after="0" w:line="161" w:lineRule="exact"/>
        <w:rPr>
          <w:rFonts w:ascii="Times New Roman" w:cs="Times New Roman" w:eastAsia="Times New Roman" w:hAnsi="Times New Roman"/>
          <w:sz w:val="18"/>
          <w:szCs w:val="18"/>
          <w:color w:val="auto"/>
        </w:rPr>
      </w:pPr>
    </w:p>
    <w:p>
      <w:pPr>
        <w:jc w:val="both"/>
        <w:ind w:left="150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will be permitted to use the Licensed Marks on logoed collateral merchandise, such as golf shirts, other apparel and promotional items (collectively, “Logoed Merchandise”) that is provided solely to promote the Projects and solely through gift or retail shops located at Projects or Sales Facilities or through Licensee’s Website, all in a manner that is consistent with Licensee’s or its Affiliates’ use of the Licensed Marks in such respect as of the Effective Date and with an overall level of quality of Logoed Merchandise that is consistent with the Upscale Brand Segment, Upper-Upscale Brand Segment and Luxury Brand Segment, as applicable. Licensee acknowledges and agrees that (i) Licensor has not applied for and does not maintain registrations for the Licensed Marks covering some or all of the Logoed Merchandise in any jurisdiction and has no obligation to apply for or maintain such registrations in the future; (ii) Licensor makes no representations or warranties regarding 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853730_2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03" w:lineRule="exact"/>
        <w:rPr>
          <w:sz w:val="20"/>
          <w:szCs w:val="20"/>
          <w:color w:val="auto"/>
        </w:rPr>
      </w:pPr>
    </w:p>
    <w:p>
      <w:pPr>
        <w:jc w:val="both"/>
        <w:ind w:left="1420"/>
        <w:spacing w:after="0" w:line="282" w:lineRule="auto"/>
        <w:rPr>
          <w:sz w:val="20"/>
          <w:szCs w:val="20"/>
          <w:color w:val="auto"/>
        </w:rPr>
      </w:pPr>
      <w:r>
        <w:rPr>
          <w:rFonts w:ascii="Times New Roman" w:cs="Times New Roman" w:eastAsia="Times New Roman" w:hAnsi="Times New Roman"/>
          <w:sz w:val="16"/>
          <w:szCs w:val="16"/>
          <w:color w:val="auto"/>
        </w:rPr>
        <w:t>ability to use the Licensed Marks on Logoed Merchandise in any jurisdiction or that Licensee’s use of the Licensed Marks on Logoed Merchandise in any jurisdiction will not infringe, dilute or otherwise violate the trademark or other rights of any third party; (iii) Licensee’s use of the Licensed Marks on Logoed Merchandise shall be at Licensee’s sole risk and without recourse against Licensor or its Affiliates;</w:t>
      </w:r>
    </w:p>
    <w:p>
      <w:pPr>
        <w:spacing w:after="0" w:line="1" w:lineRule="exact"/>
        <w:rPr>
          <w:sz w:val="20"/>
          <w:szCs w:val="20"/>
          <w:color w:val="auto"/>
        </w:rPr>
      </w:pPr>
    </w:p>
    <w:p>
      <w:pPr>
        <w:jc w:val="both"/>
        <w:ind w:left="1420"/>
        <w:spacing w:after="0" w:line="277" w:lineRule="auto"/>
        <w:rPr>
          <w:sz w:val="20"/>
          <w:szCs w:val="20"/>
          <w:color w:val="auto"/>
        </w:rPr>
      </w:pPr>
      <w:r>
        <w:rPr>
          <w:rFonts w:ascii="Times New Roman" w:cs="Times New Roman" w:eastAsia="Times New Roman" w:hAnsi="Times New Roman"/>
          <w:sz w:val="16"/>
          <w:szCs w:val="16"/>
          <w:color w:val="auto"/>
        </w:rPr>
        <w:t>(iv) Licensee shall not knowingly engage in any act or omission which may diminish, impair or damage the goodwill, name or reputation of Licensor or its Affiliates or the Licensed Marks, including without limitation by utilizing any facility which manufactures or assembles Logoed Merchandise in violation of the laws of the country in which such facility is located or in a manner that fails to comply with the International Labor Organization’s Minimum Age Convention No. 138 and the Worst Forms of Child Labour Convention No. 182 (“Illegal Facilities”); (v) Licensee will comply, at its sole expense, with all Applicable Laws in connection with the manufacture, sale, marketing, and promotion of the Logoed Merchandise in the countries where such activities take place, including without limitation any prohibitions against Illegal Facilities; (vi) at Licensor’s request, Licensee will promptly provide to Licensor representative samples of then-current Logoed Merchandise and any associated packaging and displays; (vii) at Licensor’s request, Licensee will promptly make any changes to its Logoed Merchandise or its uses of the Licensed Marks on Logoed Merchandise that do not comply with this Section 9.1.G; (viii) Licensee will use the Licensed Marks on Logoed Merchandise in accordance with the then-current Brand Standards; and (ix) Licensee shall promptly cease use, distribution, promotion, marketing and sale of Logoed Merchandise bearing the Licensed Marks in any jurisdiction where Licensor requests such use to cease as a result of a claim or challenge raised by a third party or if Licensor in its sole discretion believes such use diminishes, impairs or damages the goodwill, name or reputation of Licensor or its Affiliates or the Licensed Marks.</w:t>
      </w:r>
    </w:p>
    <w:p>
      <w:pPr>
        <w:spacing w:after="0" w:line="328" w:lineRule="exact"/>
        <w:rPr>
          <w:sz w:val="20"/>
          <w:szCs w:val="20"/>
          <w:color w:val="auto"/>
        </w:rPr>
      </w:pPr>
    </w:p>
    <w:p>
      <w:pPr>
        <w:ind w:left="1420" w:hanging="230"/>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9.5.A of the MVW License Agreement is amended as follows:</w:t>
      </w:r>
    </w:p>
    <w:p>
      <w:pPr>
        <w:spacing w:after="0" w:line="108" w:lineRule="exact"/>
        <w:rPr>
          <w:rFonts w:ascii="Times New Roman" w:cs="Times New Roman" w:eastAsia="Times New Roman" w:hAnsi="Times New Roman"/>
          <w:sz w:val="18"/>
          <w:szCs w:val="18"/>
          <w:color w:val="auto"/>
        </w:rPr>
      </w:pPr>
    </w:p>
    <w:p>
      <w:pPr>
        <w:jc w:val="both"/>
        <w:ind w:left="14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may only enter into marketing arrangements with respect to the Licensed Business with third parties, and may only make available to Members those products and services (including Exchange Programs), (i) that are consistent with the brand positioning of the Licensed Business and, with respect to such marketing arrangements, are in compliance with the Brand Standards or (ii) that are in place as of the Effective Date or that are consistent with Licensee’s practice during the period from January 1, 2005 until such date, as reasonably demonstrated by Licensee. Licensor may object if Licensor becomes aware of any such practice that Licensor believes is inconsistent with the Brand Standards. Licensor will notify Licensee of such objection, and the parties will engage in discussions and attempt to agree on modifications to such practice(s) so that such practice(s) will be in compliance with the Brand Standards. For local marketing alliances, the positioning of the Project in the local market shall be the governing standard.</w:t>
      </w:r>
    </w:p>
    <w:p>
      <w:pPr>
        <w:spacing w:after="0" w:line="77" w:lineRule="exact"/>
        <w:rPr>
          <w:rFonts w:ascii="Times New Roman" w:cs="Times New Roman" w:eastAsia="Times New Roman" w:hAnsi="Times New Roman"/>
          <w:sz w:val="18"/>
          <w:szCs w:val="18"/>
          <w:color w:val="auto"/>
        </w:rPr>
      </w:pPr>
    </w:p>
    <w:p>
      <w:pPr>
        <w:ind w:left="1500" w:hanging="232"/>
        <w:spacing w:after="0"/>
        <w:tabs>
          <w:tab w:leader="none" w:pos="15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16.1.A(xv) of the MVW License Agreement is amended as follows:</w:t>
      </w:r>
    </w:p>
    <w:p>
      <w:pPr>
        <w:spacing w:after="0" w:line="108" w:lineRule="exact"/>
        <w:rPr>
          <w:rFonts w:ascii="Times New Roman" w:cs="Times New Roman" w:eastAsia="Times New Roman" w:hAnsi="Times New Roman"/>
          <w:sz w:val="18"/>
          <w:szCs w:val="18"/>
          <w:color w:val="auto"/>
        </w:rPr>
      </w:pPr>
    </w:p>
    <w:p>
      <w:pPr>
        <w:ind w:left="1500"/>
        <w:spacing w:after="0" w:line="3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(xv) any claim arising from the operation, ownership or use of the Licensed Business, the Projects or of any other business conducted on, related to, or in connection with the Projects, including, without limitation, any claim arising as a result of any Permitted Variation;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853730_2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03" w:lineRule="exact"/>
        <w:rPr>
          <w:sz w:val="20"/>
          <w:szCs w:val="20"/>
          <w:color w:val="auto"/>
        </w:rPr>
      </w:pPr>
    </w:p>
    <w:p>
      <w:pPr>
        <w:jc w:val="both"/>
        <w:ind w:left="880" w:hanging="322"/>
        <w:spacing w:after="0" w:line="252"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the avoidance of doubt, when used in the Marketing Track Sections, defined terms that were amended by the Umbrella IP Amendment or that incorporate defined terms that were amended by the Umbrella IP Amendment (including, by way of example, the definitions of “Brand Standards” and “Brand Style and Communication Standards,” which include the defined terms “Licensed Marks” and “Licensed Business”) shall be construed using the amended definition for each such defined term.</w:t>
      </w:r>
    </w:p>
    <w:p>
      <w:pPr>
        <w:spacing w:after="0" w:line="78" w:lineRule="exact"/>
        <w:rPr>
          <w:rFonts w:ascii="Times New Roman" w:cs="Times New Roman" w:eastAsia="Times New Roman" w:hAnsi="Times New Roman"/>
          <w:sz w:val="18"/>
          <w:szCs w:val="18"/>
          <w:color w:val="auto"/>
        </w:rPr>
      </w:pPr>
    </w:p>
    <w:p>
      <w:pPr>
        <w:jc w:val="both"/>
        <w:ind w:left="880" w:hanging="322"/>
        <w:spacing w:after="0" w:line="247"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Branded Elements</w:t>
      </w:r>
      <w:r>
        <w:rPr>
          <w:rFonts w:ascii="Times New Roman" w:cs="Times New Roman" w:eastAsia="Times New Roman" w:hAnsi="Times New Roman"/>
          <w:sz w:val="18"/>
          <w:szCs w:val="18"/>
          <w:color w:val="auto"/>
        </w:rPr>
        <w:t>. References to “Branded Elements” in Section 13.5.B of the MVW License Agreement shall mean (i) the Brand Loyalty Programs or successor thereto, (ii) Licensor-owned or -controlled branded elements of the Reservation System, (iii) Licensor-owned or -controlled branded elements of Licensor’s website, marriott.com, or any additional pages or sites within marriott.com, (iv) use of the Brand Loyalty Programs member lists, (v) access to the Specified Branded Hotels for marketing of Destination Club Products, and (vi) access to the Specified Branded Hotels as an ancillary benefit exchange option for Destination Club Products (for the avoidance of doubt, rights and benefits under or in connection with the Brand Loyalty Programs are not considered to be “ancillary benefit exchange options”). Notwithstanding the foregoing, the platform, infrastructure, coding, and non-customer facing elements of the Brand Loyalty Programs, the Reservation System, and the Licensor website(s) shall not be considered “Branded Elements” for purposes of Section 13.5.B of the MVW License Agreement.</w:t>
      </w:r>
    </w:p>
    <w:p>
      <w:pPr>
        <w:spacing w:after="0" w:line="85" w:lineRule="exact"/>
        <w:rPr>
          <w:rFonts w:ascii="Times New Roman" w:cs="Times New Roman" w:eastAsia="Times New Roman" w:hAnsi="Times New Roman"/>
          <w:sz w:val="18"/>
          <w:szCs w:val="18"/>
          <w:color w:val="auto"/>
        </w:rPr>
      </w:pPr>
    </w:p>
    <w:p>
      <w:pPr>
        <w:ind w:left="880" w:hanging="322"/>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Exhibit B to the MVW License Agreement is amended by adding the information set forth on Schedule 1 hereto.</w:t>
      </w:r>
    </w:p>
    <w:p>
      <w:pPr>
        <w:spacing w:after="0" w:line="108" w:lineRule="exact"/>
        <w:rPr>
          <w:rFonts w:ascii="Times New Roman" w:cs="Times New Roman" w:eastAsia="Times New Roman" w:hAnsi="Times New Roman"/>
          <w:sz w:val="18"/>
          <w:szCs w:val="18"/>
          <w:color w:val="auto"/>
        </w:rPr>
      </w:pPr>
    </w:p>
    <w:p>
      <w:pPr>
        <w:ind w:left="880" w:hanging="322"/>
        <w:spacing w:after="0" w:line="247"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For the avoidance of doubt, in lieu of the fees payable pursuant to Sections 3.2, 3.3, and 3.5 of the MVW License Agreement, the Centralized Services Fees payable pursuant to Section 6 of the Vistana License Agreement shall continue to apply to the Vistana Destination Club Business for Marketing and Sales Activity through December 31, 2022. Commencing January 1, 2023, (a) Vistana License Agreement Section 6 will no longer be effective as of such date as the same relates to the Marketing and Sales Activity operated under the Westin and Sheraton Licensed Marks (superseded by MVW License Agreement Sections 3.2, 3.3 and 3.5) and (b) MVW License Agreement Sections 3.2, 3.3 and 3.5 shall be included in the “Marketing Track Sections” for purposes of this Amendment (“(a)” and “(b)” collectively, the “Marketing Fees Harmonization”). Notwithstanding the foregoing, if</w:t>
      </w:r>
    </w:p>
    <w:p>
      <w:pPr>
        <w:ind w:left="880" w:right="384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is unable to implement the Marketing Fees Harmonization on January 1, 2023 despite good faith efforts to meet the implementation date, the Marketing Fee Harmonization will occur as soon as reasonably practicable thereafter, but in no event later than January 1, 2024</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and such delay will not be deemed a default under the Agreement. Licensor will keep Licensee reasonably apprised of possible delays to the Marketing Fee Harmonization in advance of the implementation date.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853730_2</w:t>
      </w:r>
    </w:p>
    <w:p>
      <w:pPr>
        <w:sectPr>
          <w:pgSz w:w="11900" w:h="16838" w:orient="portrait"/>
          <w:cols w:equalWidth="0" w:num="1">
            <w:col w:w="11240"/>
          </w:cols>
          <w:pgMar w:left="320" w:top="1440" w:right="339" w:bottom="1440" w:gutter="0" w:footer="0" w:header="0"/>
        </w:sectPr>
      </w:pPr>
    </w:p>
    <w:bookmarkStart w:id="84" w:name="page85"/>
    <w:bookmarkEnd w:id="84"/>
    <w:p>
      <w:pPr>
        <w:spacing w:after="0" w:line="8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Sincerely,</w:t>
      </w:r>
    </w:p>
    <w:p>
      <w:pPr>
        <w:spacing w:after="0" w:line="4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MARRIOTT VACATIONS WORLDWIDE CORPORATION</w:t>
      </w:r>
    </w:p>
    <w:p>
      <w:pPr>
        <w:spacing w:after="0" w:line="46" w:lineRule="exact"/>
        <w:rPr>
          <w:sz w:val="20"/>
          <w:szCs w:val="20"/>
          <w:color w:val="auto"/>
        </w:rPr>
      </w:pPr>
    </w:p>
    <w:p>
      <w:pPr>
        <w:ind w:left="4240"/>
        <w:spacing w:after="0"/>
        <w:tabs>
          <w:tab w:leader="none" w:pos="4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John E. Geller, Jr.</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Name: John E. Geller, Jr.</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39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ILG, LLC</w:t>
      </w:r>
    </w:p>
    <w:p>
      <w:pPr>
        <w:spacing w:after="0" w:line="23" w:lineRule="exact"/>
        <w:rPr>
          <w:sz w:val="20"/>
          <w:szCs w:val="20"/>
          <w:color w:val="auto"/>
        </w:rPr>
      </w:pPr>
    </w:p>
    <w:p>
      <w:pPr>
        <w:ind w:left="4100"/>
        <w:spacing w:after="0"/>
        <w:tabs>
          <w:tab w:leader="none" w:pos="4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John E. Geller</w:t>
      </w:r>
    </w:p>
    <w:p>
      <w:pPr>
        <w:spacing w:after="0" w:line="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John E. Geller</w:t>
      </w:r>
    </w:p>
    <w:p>
      <w:pPr>
        <w:spacing w:after="0" w:line="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Manager</w:t>
      </w:r>
    </w:p>
    <w:p>
      <w:pPr>
        <w:spacing w:after="0" w:line="37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VISTANA SIGNATURE EXPERIENCES, INC.</w:t>
      </w:r>
    </w:p>
    <w:p>
      <w:pPr>
        <w:spacing w:after="0" w:line="23" w:lineRule="exact"/>
        <w:rPr>
          <w:sz w:val="20"/>
          <w:szCs w:val="20"/>
          <w:color w:val="auto"/>
        </w:rPr>
      </w:pPr>
    </w:p>
    <w:p>
      <w:pPr>
        <w:ind w:left="4100"/>
        <w:spacing w:after="0"/>
        <w:tabs>
          <w:tab w:leader="none" w:pos="4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John E. Geller</w:t>
      </w:r>
    </w:p>
    <w:p>
      <w:pPr>
        <w:spacing w:after="0" w:line="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Name: John E. Geller</w:t>
      </w:r>
    </w:p>
    <w:p>
      <w:pPr>
        <w:spacing w:after="0" w:line="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853730_2</w:t>
      </w:r>
    </w:p>
    <w:p>
      <w:pPr>
        <w:sectPr>
          <w:pgSz w:w="11900" w:h="16838" w:orient="portrait"/>
          <w:cols w:equalWidth="0" w:num="1">
            <w:col w:w="10139"/>
          </w:cols>
          <w:pgMar w:left="320" w:top="1440" w:right="1440" w:bottom="1440" w:gutter="0" w:footer="0" w:header="0"/>
        </w:sectPr>
      </w:pPr>
    </w:p>
    <w:bookmarkStart w:id="85" w:name="page86"/>
    <w:bookmarkEnd w:id="85"/>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19</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8"/>
          <w:szCs w:val="18"/>
          <w:b w:val="1"/>
          <w:bCs w:val="1"/>
          <w:color w:val="auto"/>
        </w:rPr>
        <w:t xml:space="preserve"> DAY OF MAY, 2022</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MARRIOTT INTERNATIONAL, INC.</w:t>
      </w:r>
    </w:p>
    <w:p>
      <w:pPr>
        <w:spacing w:after="0" w:line="23"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Timothy Grisius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Timothy Grisius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Global Real Estate Officer</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MARRIOTT WORLDWIDE CORPORATION</w:t>
      </w:r>
    </w:p>
    <w:p>
      <w:pPr>
        <w:spacing w:after="0" w:line="23"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Timothy Grisius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Timothy Grisius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STARWOOD HOTELS &amp; RESORTS WORLDWIDE, LLC</w:t>
      </w:r>
    </w:p>
    <w:p>
      <w:pPr>
        <w:spacing w:after="0" w:line="23"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Timothy Grisius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Timothy Grisius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9"/>
          <w:szCs w:val="19"/>
          <w:color w:val="auto"/>
        </w:rPr>
        <w:t>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853730_2</w:t>
      </w:r>
    </w:p>
    <w:p>
      <w:pPr>
        <w:sectPr>
          <w:pgSz w:w="11900" w:h="16838" w:orient="portrait"/>
          <w:cols w:equalWidth="0" w:num="1">
            <w:col w:w="10139"/>
          </w:cols>
          <w:pgMar w:left="320" w:top="1440" w:right="1440" w:bottom="1440" w:gutter="0" w:footer="0" w:header="0"/>
        </w:sectPr>
      </w:pPr>
    </w:p>
    <w:bookmarkStart w:id="86" w:name="page87"/>
    <w:bookmarkEnd w:id="86"/>
    <w:p>
      <w:pPr>
        <w:spacing w:after="0" w:line="16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SCHEDULE 1 - ADDITIONS TO EXHIBIT B EXISTING PROJECTS</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420" w:type="dxa"/>
            <w:vAlign w:val="bottom"/>
            <w:tcBorders>
              <w:top w:val="single" w:sz="8" w:color="auto"/>
              <w:left w:val="single" w:sz="8" w:color="auto"/>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Approved Name of Project</w:t>
            </w:r>
          </w:p>
        </w:tc>
        <w:tc>
          <w:tcPr>
            <w:tcW w:w="2400" w:type="dxa"/>
            <w:vAlign w:val="bottom"/>
            <w:tcBorders>
              <w:top w:val="single" w:sz="8" w:color="auto"/>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Address of Project</w:t>
            </w:r>
          </w:p>
        </w:tc>
        <w:tc>
          <w:tcPr>
            <w:tcW w:w="2800" w:type="dxa"/>
            <w:vAlign w:val="bottom"/>
            <w:tcBorders>
              <w:top w:val="single" w:sz="8" w:color="auto"/>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Project Operator</w:t>
            </w:r>
          </w:p>
        </w:tc>
        <w:tc>
          <w:tcPr>
            <w:tcW w:w="2340" w:type="dxa"/>
            <w:vAlign w:val="bottom"/>
            <w:tcBorders>
              <w:top w:val="single" w:sz="8" w:color="auto"/>
              <w:right w:val="single" w:sz="8" w:color="auto"/>
            </w:tcBorders>
            <w:shd w:val="clear" w:color="auto" w:fill="A6A6A6"/>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6"/>
              </w:rPr>
              <w:t>Destination Club and/or</w:t>
            </w:r>
          </w:p>
        </w:tc>
        <w:tc>
          <w:tcPr>
            <w:tcW w:w="0" w:type="dxa"/>
            <w:vAlign w:val="bottom"/>
          </w:tcPr>
          <w:p>
            <w:pPr>
              <w:spacing w:after="0"/>
              <w:rPr>
                <w:sz w:val="1"/>
                <w:szCs w:val="1"/>
                <w:color w:val="auto"/>
              </w:rPr>
            </w:pPr>
          </w:p>
        </w:tc>
      </w:tr>
      <w:tr>
        <w:trPr>
          <w:trHeight w:val="125"/>
        </w:trPr>
        <w:tc>
          <w:tcPr>
            <w:tcW w:w="2420" w:type="dxa"/>
            <w:vAlign w:val="bottom"/>
            <w:tcBorders>
              <w:left w:val="single" w:sz="8" w:color="auto"/>
              <w:right w:val="single" w:sz="8" w:color="auto"/>
            </w:tcBorders>
            <w:vMerge w:val="continue"/>
            <w:shd w:val="clear" w:color="auto" w:fill="A6A6A6"/>
          </w:tcPr>
          <w:p>
            <w:pPr>
              <w:spacing w:after="0"/>
              <w:rPr>
                <w:sz w:val="10"/>
                <w:szCs w:val="10"/>
                <w:color w:val="auto"/>
              </w:rPr>
            </w:pPr>
          </w:p>
        </w:tc>
        <w:tc>
          <w:tcPr>
            <w:tcW w:w="2400" w:type="dxa"/>
            <w:vAlign w:val="bottom"/>
            <w:tcBorders>
              <w:right w:val="single" w:sz="8" w:color="auto"/>
            </w:tcBorders>
            <w:vMerge w:val="continue"/>
            <w:shd w:val="clear" w:color="auto" w:fill="A6A6A6"/>
          </w:tcPr>
          <w:p>
            <w:pPr>
              <w:spacing w:after="0"/>
              <w:rPr>
                <w:sz w:val="10"/>
                <w:szCs w:val="10"/>
                <w:color w:val="auto"/>
              </w:rPr>
            </w:pPr>
          </w:p>
        </w:tc>
        <w:tc>
          <w:tcPr>
            <w:tcW w:w="2800" w:type="dxa"/>
            <w:vAlign w:val="bottom"/>
            <w:tcBorders>
              <w:right w:val="single" w:sz="8" w:color="auto"/>
            </w:tcBorders>
            <w:vMerge w:val="continue"/>
            <w:shd w:val="clear" w:color="auto" w:fill="A6A6A6"/>
          </w:tcPr>
          <w:p>
            <w:pPr>
              <w:spacing w:after="0"/>
              <w:rPr>
                <w:sz w:val="10"/>
                <w:szCs w:val="10"/>
                <w:color w:val="auto"/>
              </w:rPr>
            </w:pPr>
          </w:p>
        </w:tc>
        <w:tc>
          <w:tcPr>
            <w:tcW w:w="234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Residential</w:t>
            </w:r>
          </w:p>
        </w:tc>
        <w:tc>
          <w:tcPr>
            <w:tcW w:w="0" w:type="dxa"/>
            <w:vAlign w:val="bottom"/>
          </w:tcPr>
          <w:p>
            <w:pPr>
              <w:spacing w:after="0"/>
              <w:rPr>
                <w:sz w:val="1"/>
                <w:szCs w:val="1"/>
                <w:color w:val="auto"/>
              </w:rPr>
            </w:pPr>
          </w:p>
        </w:tc>
      </w:tr>
      <w:tr>
        <w:trPr>
          <w:trHeight w:val="132"/>
        </w:trPr>
        <w:tc>
          <w:tcPr>
            <w:tcW w:w="2420" w:type="dxa"/>
            <w:vAlign w:val="bottom"/>
            <w:tcBorders>
              <w:left w:val="single" w:sz="8" w:color="auto"/>
              <w:bottom w:val="single" w:sz="8" w:color="A6A6A6"/>
              <w:right w:val="single" w:sz="8" w:color="auto"/>
            </w:tcBorders>
            <w:shd w:val="clear" w:color="auto" w:fill="A6A6A6"/>
          </w:tcPr>
          <w:p>
            <w:pPr>
              <w:spacing w:after="0"/>
              <w:rPr>
                <w:sz w:val="11"/>
                <w:szCs w:val="11"/>
                <w:color w:val="auto"/>
              </w:rPr>
            </w:pPr>
          </w:p>
        </w:tc>
        <w:tc>
          <w:tcPr>
            <w:tcW w:w="2400" w:type="dxa"/>
            <w:vAlign w:val="bottom"/>
            <w:tcBorders>
              <w:bottom w:val="single" w:sz="8" w:color="A6A6A6"/>
              <w:right w:val="single" w:sz="8" w:color="auto"/>
            </w:tcBorders>
            <w:shd w:val="clear" w:color="auto" w:fill="A6A6A6"/>
          </w:tcPr>
          <w:p>
            <w:pPr>
              <w:spacing w:after="0"/>
              <w:rPr>
                <w:sz w:val="11"/>
                <w:szCs w:val="11"/>
                <w:color w:val="auto"/>
              </w:rPr>
            </w:pPr>
          </w:p>
        </w:tc>
        <w:tc>
          <w:tcPr>
            <w:tcW w:w="2800" w:type="dxa"/>
            <w:vAlign w:val="bottom"/>
            <w:tcBorders>
              <w:bottom w:val="single" w:sz="8" w:color="A6A6A6"/>
              <w:right w:val="single" w:sz="8" w:color="auto"/>
            </w:tcBorders>
            <w:shd w:val="clear" w:color="auto" w:fill="A6A6A6"/>
          </w:tcPr>
          <w:p>
            <w:pPr>
              <w:spacing w:after="0"/>
              <w:rPr>
                <w:sz w:val="11"/>
                <w:szCs w:val="11"/>
                <w:color w:val="auto"/>
              </w:rPr>
            </w:pPr>
          </w:p>
        </w:tc>
        <w:tc>
          <w:tcPr>
            <w:tcW w:w="2340" w:type="dxa"/>
            <w:vAlign w:val="bottom"/>
            <w:tcBorders>
              <w:bottom w:val="single" w:sz="8" w:color="A6A6A6"/>
              <w:right w:val="single" w:sz="8" w:color="auto"/>
            </w:tcBorders>
            <w:vMerge w:val="continue"/>
            <w:shd w:val="clear" w:color="auto" w:fill="A6A6A6"/>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420" w:type="dxa"/>
            <w:vAlign w:val="bottom"/>
            <w:tcBorders>
              <w:top w:val="single" w:sz="8" w:color="auto"/>
              <w:left w:val="single" w:sz="8" w:color="auto"/>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5"/>
              </w:rPr>
              <w:t>Sheraton Vistana Resort</w:t>
            </w:r>
          </w:p>
        </w:tc>
        <w:tc>
          <w:tcPr>
            <w:tcW w:w="2400" w:type="dxa"/>
            <w:vAlign w:val="bottom"/>
            <w:tcBorders>
              <w:top w:val="single" w:sz="8" w:color="auto"/>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5"/>
              </w:rPr>
              <w:t>Orlando, Florida</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Vistana Management, Inc.</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4"/>
              </w:rPr>
              <w:t>Sheraton Vistana Villages</w:t>
            </w:r>
          </w:p>
        </w:tc>
        <w:tc>
          <w:tcPr>
            <w:tcW w:w="2400" w:type="dxa"/>
            <w:vAlign w:val="bottom"/>
            <w:tcBorders>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5"/>
              </w:rPr>
              <w:t>Orlando, Florida</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Vistana Management, Inc.</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5"/>
              </w:rPr>
              <w:t>Vistana Beach Club</w:t>
            </w:r>
          </w:p>
        </w:tc>
        <w:tc>
          <w:tcPr>
            <w:tcW w:w="2400" w:type="dxa"/>
            <w:vAlign w:val="bottom"/>
            <w:tcBorders>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5"/>
              </w:rPr>
              <w:t>Jensen Beach, Florida</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Vistana Management, Inc.</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4"/>
              </w:rPr>
              <w:t>Sheraton PGA Vacation Resort</w:t>
            </w:r>
          </w:p>
        </w:tc>
        <w:tc>
          <w:tcPr>
            <w:tcW w:w="2400" w:type="dxa"/>
            <w:vAlign w:val="bottom"/>
            <w:tcBorders>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5"/>
              </w:rPr>
              <w:t>Port St. Lucie, Florida</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Vistana Management, Inc.</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420" w:type="dxa"/>
            <w:vAlign w:val="bottom"/>
            <w:tcBorders>
              <w:left w:val="single" w:sz="8" w:color="auto"/>
              <w:right w:val="single" w:sz="8" w:color="auto"/>
            </w:tcBorders>
          </w:tcPr>
          <w:p>
            <w:pPr>
              <w:jc w:val="center"/>
              <w:spacing w:after="0" w:line="208" w:lineRule="exact"/>
              <w:rPr>
                <w:sz w:val="20"/>
                <w:szCs w:val="20"/>
                <w:color w:val="auto"/>
              </w:rPr>
            </w:pPr>
            <w:r>
              <w:rPr>
                <w:rFonts w:ascii="Cambria" w:cs="Cambria" w:eastAsia="Cambria" w:hAnsi="Cambria"/>
                <w:sz w:val="18"/>
                <w:szCs w:val="18"/>
                <w:b w:val="1"/>
                <w:bCs w:val="1"/>
                <w:color w:val="auto"/>
                <w:w w:val="94"/>
              </w:rPr>
              <w:t>The Westin Nanea Ocean</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5"/>
              </w:rPr>
              <w:t>Maui, Hawaii</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Vistana Hawaii Management, Inc.</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00"/>
        </w:trPr>
        <w:tc>
          <w:tcPr>
            <w:tcW w:w="2420" w:type="dxa"/>
            <w:vAlign w:val="bottom"/>
            <w:tcBorders>
              <w:left w:val="single" w:sz="8" w:color="auto"/>
              <w:right w:val="single" w:sz="8" w:color="auto"/>
            </w:tcBorders>
            <w:vMerge w:val="restart"/>
          </w:tcPr>
          <w:p>
            <w:pPr>
              <w:jc w:val="center"/>
              <w:spacing w:after="0" w:line="204" w:lineRule="exact"/>
              <w:rPr>
                <w:sz w:val="20"/>
                <w:szCs w:val="20"/>
                <w:color w:val="auto"/>
              </w:rPr>
            </w:pPr>
            <w:r>
              <w:rPr>
                <w:rFonts w:ascii="Cambria" w:cs="Cambria" w:eastAsia="Cambria" w:hAnsi="Cambria"/>
                <w:sz w:val="18"/>
                <w:szCs w:val="18"/>
                <w:b w:val="1"/>
                <w:bCs w:val="1"/>
                <w:color w:val="auto"/>
                <w:w w:val="95"/>
              </w:rPr>
              <w:t>Villas</w:t>
            </w:r>
          </w:p>
        </w:tc>
        <w:tc>
          <w:tcPr>
            <w:tcW w:w="24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20" w:type="dxa"/>
            <w:vAlign w:val="bottom"/>
            <w:tcBorders>
              <w:left w:val="single" w:sz="8" w:color="auto"/>
              <w:right w:val="single" w:sz="8" w:color="auto"/>
            </w:tcBorders>
          </w:tcPr>
          <w:p>
            <w:pPr>
              <w:jc w:val="center"/>
              <w:spacing w:after="0" w:line="208" w:lineRule="exact"/>
              <w:rPr>
                <w:sz w:val="20"/>
                <w:szCs w:val="20"/>
                <w:color w:val="auto"/>
              </w:rPr>
            </w:pPr>
            <w:r>
              <w:rPr>
                <w:rFonts w:ascii="Cambria" w:cs="Cambria" w:eastAsia="Cambria" w:hAnsi="Cambria"/>
                <w:sz w:val="18"/>
                <w:szCs w:val="18"/>
                <w:b w:val="1"/>
                <w:bCs w:val="1"/>
                <w:color w:val="auto"/>
                <w:w w:val="94"/>
              </w:rPr>
              <w:t>The Westin Ka’anapali Ocean</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5"/>
              </w:rPr>
              <w:t>Maui, Hawaii</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Vistana Hawaii Management, Inc.</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00"/>
        </w:trPr>
        <w:tc>
          <w:tcPr>
            <w:tcW w:w="2420" w:type="dxa"/>
            <w:vAlign w:val="bottom"/>
            <w:tcBorders>
              <w:left w:val="single" w:sz="8" w:color="auto"/>
              <w:right w:val="single" w:sz="8" w:color="auto"/>
            </w:tcBorders>
            <w:vMerge w:val="restart"/>
          </w:tcPr>
          <w:p>
            <w:pPr>
              <w:jc w:val="center"/>
              <w:spacing w:after="0" w:line="204" w:lineRule="exact"/>
              <w:rPr>
                <w:sz w:val="20"/>
                <w:szCs w:val="20"/>
                <w:color w:val="auto"/>
              </w:rPr>
            </w:pPr>
            <w:r>
              <w:rPr>
                <w:rFonts w:ascii="Cambria" w:cs="Cambria" w:eastAsia="Cambria" w:hAnsi="Cambria"/>
                <w:sz w:val="18"/>
                <w:szCs w:val="18"/>
                <w:b w:val="1"/>
                <w:bCs w:val="1"/>
                <w:color w:val="auto"/>
                <w:w w:val="93"/>
              </w:rPr>
              <w:t>Resort Villas</w:t>
            </w:r>
          </w:p>
        </w:tc>
        <w:tc>
          <w:tcPr>
            <w:tcW w:w="24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20" w:type="dxa"/>
            <w:vAlign w:val="bottom"/>
            <w:tcBorders>
              <w:left w:val="single" w:sz="8" w:color="auto"/>
              <w:right w:val="single" w:sz="8" w:color="auto"/>
            </w:tcBorders>
          </w:tcPr>
          <w:p>
            <w:pPr>
              <w:jc w:val="center"/>
              <w:spacing w:after="0" w:line="208" w:lineRule="exact"/>
              <w:rPr>
                <w:sz w:val="20"/>
                <w:szCs w:val="20"/>
                <w:color w:val="auto"/>
              </w:rPr>
            </w:pPr>
            <w:r>
              <w:rPr>
                <w:rFonts w:ascii="Cambria" w:cs="Cambria" w:eastAsia="Cambria" w:hAnsi="Cambria"/>
                <w:sz w:val="18"/>
                <w:szCs w:val="18"/>
                <w:b w:val="1"/>
                <w:bCs w:val="1"/>
                <w:color w:val="auto"/>
                <w:w w:val="94"/>
              </w:rPr>
              <w:t>The Westin Ka’anapali Ocean</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5"/>
              </w:rPr>
              <w:t>Maui, Hawaii</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Vistana Hawaii Management, Inc.</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00"/>
        </w:trPr>
        <w:tc>
          <w:tcPr>
            <w:tcW w:w="2420" w:type="dxa"/>
            <w:vAlign w:val="bottom"/>
            <w:tcBorders>
              <w:left w:val="single" w:sz="8" w:color="auto"/>
              <w:right w:val="single" w:sz="8" w:color="auto"/>
            </w:tcBorders>
            <w:vMerge w:val="restart"/>
          </w:tcPr>
          <w:p>
            <w:pPr>
              <w:jc w:val="center"/>
              <w:spacing w:after="0" w:line="204" w:lineRule="exact"/>
              <w:rPr>
                <w:sz w:val="20"/>
                <w:szCs w:val="20"/>
                <w:color w:val="auto"/>
              </w:rPr>
            </w:pPr>
            <w:r>
              <w:rPr>
                <w:rFonts w:ascii="Cambria" w:cs="Cambria" w:eastAsia="Cambria" w:hAnsi="Cambria"/>
                <w:sz w:val="18"/>
                <w:szCs w:val="18"/>
                <w:b w:val="1"/>
                <w:bCs w:val="1"/>
                <w:color w:val="auto"/>
                <w:w w:val="95"/>
              </w:rPr>
              <w:t>Resort Villas North</w:t>
            </w:r>
          </w:p>
        </w:tc>
        <w:tc>
          <w:tcPr>
            <w:tcW w:w="24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20" w:type="dxa"/>
            <w:vAlign w:val="bottom"/>
            <w:tcBorders>
              <w:left w:val="single" w:sz="8" w:color="auto"/>
              <w:right w:val="single" w:sz="8" w:color="auto"/>
            </w:tcBorders>
          </w:tcPr>
          <w:p>
            <w:pPr>
              <w:jc w:val="center"/>
              <w:spacing w:after="0" w:line="208" w:lineRule="exact"/>
              <w:rPr>
                <w:sz w:val="20"/>
                <w:szCs w:val="20"/>
                <w:color w:val="auto"/>
              </w:rPr>
            </w:pPr>
            <w:r>
              <w:rPr>
                <w:rFonts w:ascii="Cambria" w:cs="Cambria" w:eastAsia="Cambria" w:hAnsi="Cambria"/>
                <w:sz w:val="18"/>
                <w:szCs w:val="18"/>
                <w:b w:val="1"/>
                <w:bCs w:val="1"/>
                <w:color w:val="auto"/>
                <w:w w:val="93"/>
              </w:rPr>
              <w:t>The Westin</w:t>
            </w:r>
          </w:p>
        </w:tc>
        <w:tc>
          <w:tcPr>
            <w:tcW w:w="24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Vistana Hawaii Management, Inc.</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97"/>
        </w:trPr>
        <w:tc>
          <w:tcPr>
            <w:tcW w:w="2420" w:type="dxa"/>
            <w:vAlign w:val="bottom"/>
            <w:tcBorders>
              <w:left w:val="single" w:sz="8" w:color="auto"/>
              <w:right w:val="single" w:sz="8" w:color="auto"/>
            </w:tcBorders>
          </w:tcPr>
          <w:p>
            <w:pPr>
              <w:jc w:val="center"/>
              <w:spacing w:after="0" w:line="197" w:lineRule="exact"/>
              <w:rPr>
                <w:sz w:val="20"/>
                <w:szCs w:val="20"/>
                <w:color w:val="auto"/>
              </w:rPr>
            </w:pPr>
            <w:r>
              <w:rPr>
                <w:rFonts w:ascii="Cambria" w:cs="Cambria" w:eastAsia="Cambria" w:hAnsi="Cambria"/>
                <w:sz w:val="18"/>
                <w:szCs w:val="18"/>
                <w:b w:val="1"/>
                <w:bCs w:val="1"/>
                <w:color w:val="auto"/>
                <w:w w:val="95"/>
              </w:rPr>
              <w:t>Princeville Ocean Resort</w:t>
            </w:r>
          </w:p>
        </w:tc>
        <w:tc>
          <w:tcPr>
            <w:tcW w:w="240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18"/>
                <w:szCs w:val="18"/>
                <w:b w:val="1"/>
                <w:bCs w:val="1"/>
                <w:color w:val="auto"/>
                <w:w w:val="94"/>
              </w:rPr>
              <w:t>Kauai, Hawaii</w:t>
            </w:r>
          </w:p>
        </w:tc>
        <w:tc>
          <w:tcPr>
            <w:tcW w:w="2800" w:type="dxa"/>
            <w:vAlign w:val="bottom"/>
            <w:tcBorders>
              <w:right w:val="single" w:sz="8" w:color="auto"/>
            </w:tcBorders>
            <w:vMerge w:val="continue"/>
          </w:tcPr>
          <w:p>
            <w:pPr>
              <w:spacing w:after="0"/>
              <w:rPr>
                <w:sz w:val="17"/>
                <w:szCs w:val="17"/>
                <w:color w:val="auto"/>
              </w:rPr>
            </w:pPr>
          </w:p>
        </w:tc>
        <w:tc>
          <w:tcPr>
            <w:tcW w:w="23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20" w:type="dxa"/>
            <w:vAlign w:val="bottom"/>
            <w:tcBorders>
              <w:left w:val="single" w:sz="8" w:color="auto"/>
              <w:right w:val="single" w:sz="8" w:color="auto"/>
            </w:tcBorders>
          </w:tcPr>
          <w:p>
            <w:pPr>
              <w:jc w:val="center"/>
              <w:spacing w:after="0" w:line="204" w:lineRule="exact"/>
              <w:rPr>
                <w:sz w:val="20"/>
                <w:szCs w:val="20"/>
                <w:color w:val="auto"/>
              </w:rPr>
            </w:pPr>
            <w:r>
              <w:rPr>
                <w:rFonts w:ascii="Cambria" w:cs="Cambria" w:eastAsia="Cambria" w:hAnsi="Cambria"/>
                <w:sz w:val="18"/>
                <w:szCs w:val="18"/>
                <w:b w:val="1"/>
                <w:bCs w:val="1"/>
                <w:color w:val="auto"/>
                <w:w w:val="95"/>
              </w:rPr>
              <w:t>Villas</w:t>
            </w:r>
          </w:p>
        </w:tc>
        <w:tc>
          <w:tcPr>
            <w:tcW w:w="24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Sheraton Kaua’i Resort Villas</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Kauai, Hawaii</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Vistana Hawaii Management, Inc.</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420" w:type="dxa"/>
            <w:vAlign w:val="bottom"/>
            <w:tcBorders>
              <w:left w:val="single" w:sz="8" w:color="auto"/>
              <w:right w:val="single" w:sz="8" w:color="auto"/>
            </w:tcBorders>
          </w:tcPr>
          <w:p>
            <w:pPr>
              <w:jc w:val="center"/>
              <w:spacing w:after="0" w:line="208" w:lineRule="exact"/>
              <w:rPr>
                <w:sz w:val="20"/>
                <w:szCs w:val="20"/>
                <w:color w:val="auto"/>
              </w:rPr>
            </w:pPr>
            <w:r>
              <w:rPr>
                <w:rFonts w:ascii="Cambria" w:cs="Cambria" w:eastAsia="Cambria" w:hAnsi="Cambria"/>
                <w:sz w:val="18"/>
                <w:szCs w:val="18"/>
                <w:b w:val="1"/>
                <w:bCs w:val="1"/>
                <w:color w:val="auto"/>
                <w:w w:val="94"/>
              </w:rPr>
              <w:t>The Westin Lagunamar Ocean</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5"/>
              </w:rPr>
              <w:t>Cancún, Mexico</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Turistica Cancun S. de R.L. de C.V.</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00"/>
        </w:trPr>
        <w:tc>
          <w:tcPr>
            <w:tcW w:w="2420" w:type="dxa"/>
            <w:vAlign w:val="bottom"/>
            <w:tcBorders>
              <w:left w:val="single" w:sz="8" w:color="auto"/>
              <w:right w:val="single" w:sz="8" w:color="auto"/>
            </w:tcBorders>
            <w:vMerge w:val="restart"/>
          </w:tcPr>
          <w:p>
            <w:pPr>
              <w:jc w:val="center"/>
              <w:spacing w:after="0" w:line="204" w:lineRule="exact"/>
              <w:rPr>
                <w:sz w:val="20"/>
                <w:szCs w:val="20"/>
                <w:color w:val="auto"/>
              </w:rPr>
            </w:pPr>
            <w:r>
              <w:rPr>
                <w:rFonts w:ascii="Cambria" w:cs="Cambria" w:eastAsia="Cambria" w:hAnsi="Cambria"/>
                <w:sz w:val="18"/>
                <w:szCs w:val="18"/>
                <w:b w:val="1"/>
                <w:bCs w:val="1"/>
                <w:color w:val="auto"/>
                <w:w w:val="95"/>
              </w:rPr>
              <w:t>Resort Villas &amp; Spa</w:t>
            </w:r>
          </w:p>
        </w:tc>
        <w:tc>
          <w:tcPr>
            <w:tcW w:w="24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tcBorders>
              <w:left w:val="single" w:sz="8" w:color="auto"/>
              <w:right w:val="single" w:sz="8" w:color="auto"/>
            </w:tcBorders>
          </w:tcPr>
          <w:p>
            <w:pPr>
              <w:jc w:val="center"/>
              <w:spacing w:after="0" w:line="185" w:lineRule="exact"/>
              <w:rPr>
                <w:sz w:val="20"/>
                <w:szCs w:val="20"/>
                <w:color w:val="auto"/>
              </w:rPr>
            </w:pPr>
            <w:r>
              <w:rPr>
                <w:rFonts w:ascii="Cambria" w:cs="Cambria" w:eastAsia="Cambria" w:hAnsi="Cambria"/>
                <w:sz w:val="18"/>
                <w:szCs w:val="18"/>
                <w:b w:val="1"/>
                <w:bCs w:val="1"/>
                <w:color w:val="auto"/>
                <w:w w:val="94"/>
              </w:rPr>
              <w:t>The Westin Los Cabos Resort</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5"/>
              </w:rPr>
              <w:t>Los Cabos, Mexico</w:t>
            </w:r>
          </w:p>
        </w:tc>
        <w:tc>
          <w:tcPr>
            <w:tcW w:w="280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Hoteles Cabos K22.5, S. de R.L. de</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23"/>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4"/>
              </w:rPr>
              <w:t>Villas &amp; Spa</w:t>
            </w:r>
          </w:p>
        </w:tc>
        <w:tc>
          <w:tcPr>
            <w:tcW w:w="24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C.V</w:t>
            </w: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tcBorders>
              <w:left w:val="single" w:sz="8" w:color="auto"/>
              <w:right w:val="single" w:sz="8" w:color="auto"/>
            </w:tcBorders>
          </w:tcPr>
          <w:p>
            <w:pPr>
              <w:jc w:val="center"/>
              <w:spacing w:after="0" w:line="185" w:lineRule="exact"/>
              <w:rPr>
                <w:sz w:val="20"/>
                <w:szCs w:val="20"/>
                <w:color w:val="auto"/>
              </w:rPr>
            </w:pPr>
            <w:r>
              <w:rPr>
                <w:rFonts w:ascii="Cambria" w:cs="Cambria" w:eastAsia="Cambria" w:hAnsi="Cambria"/>
                <w:sz w:val="18"/>
                <w:szCs w:val="18"/>
                <w:b w:val="1"/>
                <w:bCs w:val="1"/>
                <w:color w:val="auto"/>
                <w:w w:val="94"/>
              </w:rPr>
              <w:t>The Westin St. John Resort</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5"/>
              </w:rPr>
              <w:t>St. John, USVI</w:t>
            </w:r>
          </w:p>
        </w:tc>
        <w:tc>
          <w:tcPr>
            <w:tcW w:w="280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5"/>
              </w:rPr>
              <w:t>Westin Vacation Management</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23"/>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5"/>
              </w:rPr>
              <w:t>Villas</w:t>
            </w:r>
          </w:p>
        </w:tc>
        <w:tc>
          <w:tcPr>
            <w:tcW w:w="24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Company</w:t>
            </w: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4"/>
              </w:rPr>
              <w:t>Harborside Resort at Atlantis</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5"/>
              </w:rPr>
              <w:t>Nassau, The Bahamas</w:t>
            </w:r>
          </w:p>
        </w:tc>
        <w:tc>
          <w:tcPr>
            <w:tcW w:w="280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Harborside at Atlantis Management</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23"/>
        </w:trPr>
        <w:tc>
          <w:tcPr>
            <w:tcW w:w="2420" w:type="dxa"/>
            <w:vAlign w:val="bottom"/>
            <w:tcBorders>
              <w:left w:val="single" w:sz="8" w:color="auto"/>
              <w:right w:val="single" w:sz="8" w:color="auto"/>
            </w:tcBorders>
            <w:vMerge w:val="continue"/>
          </w:tcPr>
          <w:p>
            <w:pPr>
              <w:spacing w:after="0"/>
              <w:rPr>
                <w:sz w:val="10"/>
                <w:szCs w:val="10"/>
                <w:color w:val="auto"/>
              </w:rPr>
            </w:pPr>
          </w:p>
        </w:tc>
        <w:tc>
          <w:tcPr>
            <w:tcW w:w="24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Limited</w:t>
            </w: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20" w:type="dxa"/>
            <w:vAlign w:val="bottom"/>
            <w:tcBorders>
              <w:left w:val="single" w:sz="8" w:color="auto"/>
              <w:right w:val="single" w:sz="8" w:color="auto"/>
            </w:tcBorders>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20" w:type="dxa"/>
            <w:vAlign w:val="bottom"/>
            <w:tcBorders>
              <w:left w:val="single" w:sz="8" w:color="auto"/>
              <w:right w:val="single" w:sz="8" w:color="auto"/>
            </w:tcBorders>
          </w:tcPr>
          <w:p>
            <w:pPr>
              <w:jc w:val="center"/>
              <w:spacing w:after="0" w:line="208" w:lineRule="exact"/>
              <w:rPr>
                <w:sz w:val="20"/>
                <w:szCs w:val="20"/>
                <w:color w:val="auto"/>
              </w:rPr>
            </w:pPr>
            <w:r>
              <w:rPr>
                <w:rFonts w:ascii="Cambria" w:cs="Cambria" w:eastAsia="Cambria" w:hAnsi="Cambria"/>
                <w:sz w:val="18"/>
                <w:szCs w:val="18"/>
                <w:b w:val="1"/>
                <w:bCs w:val="1"/>
                <w:color w:val="auto"/>
                <w:w w:val="94"/>
              </w:rPr>
              <w:t>Sheraton Broadway</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4"/>
              </w:rPr>
              <w:t>Myrtle Beach, South Carolina</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Vistana MB Management, Inc.</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00"/>
        </w:trPr>
        <w:tc>
          <w:tcPr>
            <w:tcW w:w="2420" w:type="dxa"/>
            <w:vAlign w:val="bottom"/>
            <w:tcBorders>
              <w:left w:val="single" w:sz="8" w:color="auto"/>
              <w:right w:val="single" w:sz="8" w:color="auto"/>
            </w:tcBorders>
            <w:vMerge w:val="restart"/>
          </w:tcPr>
          <w:p>
            <w:pPr>
              <w:jc w:val="center"/>
              <w:spacing w:after="0" w:line="204" w:lineRule="exact"/>
              <w:rPr>
                <w:sz w:val="20"/>
                <w:szCs w:val="20"/>
                <w:color w:val="auto"/>
              </w:rPr>
            </w:pPr>
            <w:r>
              <w:rPr>
                <w:rFonts w:ascii="Cambria" w:cs="Cambria" w:eastAsia="Cambria" w:hAnsi="Cambria"/>
                <w:sz w:val="18"/>
                <w:szCs w:val="18"/>
                <w:b w:val="1"/>
                <w:bCs w:val="1"/>
                <w:color w:val="auto"/>
                <w:w w:val="94"/>
              </w:rPr>
              <w:t>Plantation</w:t>
            </w:r>
          </w:p>
        </w:tc>
        <w:tc>
          <w:tcPr>
            <w:tcW w:w="24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20" w:type="dxa"/>
            <w:vAlign w:val="bottom"/>
            <w:tcBorders>
              <w:left w:val="single" w:sz="8" w:color="auto"/>
              <w:right w:val="single" w:sz="8" w:color="auto"/>
            </w:tcBorders>
          </w:tcPr>
          <w:p>
            <w:pPr>
              <w:jc w:val="center"/>
              <w:spacing w:after="0" w:line="208" w:lineRule="exact"/>
              <w:rPr>
                <w:sz w:val="20"/>
                <w:szCs w:val="20"/>
                <w:color w:val="auto"/>
              </w:rPr>
            </w:pPr>
            <w:r>
              <w:rPr>
                <w:rFonts w:ascii="Cambria" w:cs="Cambria" w:eastAsia="Cambria" w:hAnsi="Cambria"/>
                <w:sz w:val="18"/>
                <w:szCs w:val="18"/>
                <w:b w:val="1"/>
                <w:bCs w:val="1"/>
                <w:color w:val="auto"/>
                <w:w w:val="95"/>
              </w:rPr>
              <w:t>The Westin Mission Hills</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4"/>
              </w:rPr>
              <w:t>Rancho Mirage, California</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Vistana California Management, Inc.</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00"/>
        </w:trPr>
        <w:tc>
          <w:tcPr>
            <w:tcW w:w="2420" w:type="dxa"/>
            <w:vAlign w:val="bottom"/>
            <w:tcBorders>
              <w:left w:val="single" w:sz="8" w:color="auto"/>
              <w:right w:val="single" w:sz="8" w:color="auto"/>
            </w:tcBorders>
            <w:vMerge w:val="restart"/>
          </w:tcPr>
          <w:p>
            <w:pPr>
              <w:jc w:val="center"/>
              <w:spacing w:after="0" w:line="204" w:lineRule="exact"/>
              <w:rPr>
                <w:sz w:val="20"/>
                <w:szCs w:val="20"/>
                <w:color w:val="auto"/>
              </w:rPr>
            </w:pPr>
            <w:r>
              <w:rPr>
                <w:rFonts w:ascii="Cambria" w:cs="Cambria" w:eastAsia="Cambria" w:hAnsi="Cambria"/>
                <w:sz w:val="18"/>
                <w:szCs w:val="18"/>
                <w:b w:val="1"/>
                <w:bCs w:val="1"/>
                <w:color w:val="auto"/>
                <w:w w:val="93"/>
              </w:rPr>
              <w:t>Resort Villas</w:t>
            </w:r>
          </w:p>
        </w:tc>
        <w:tc>
          <w:tcPr>
            <w:tcW w:w="24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20" w:type="dxa"/>
            <w:vAlign w:val="bottom"/>
            <w:tcBorders>
              <w:left w:val="single" w:sz="8" w:color="auto"/>
              <w:right w:val="single" w:sz="8" w:color="auto"/>
            </w:tcBorders>
          </w:tcPr>
          <w:p>
            <w:pPr>
              <w:jc w:val="center"/>
              <w:spacing w:after="0" w:line="208" w:lineRule="exact"/>
              <w:rPr>
                <w:sz w:val="20"/>
                <w:szCs w:val="20"/>
                <w:color w:val="auto"/>
              </w:rPr>
            </w:pPr>
            <w:r>
              <w:rPr>
                <w:rFonts w:ascii="Cambria" w:cs="Cambria" w:eastAsia="Cambria" w:hAnsi="Cambria"/>
                <w:sz w:val="18"/>
                <w:szCs w:val="18"/>
                <w:b w:val="1"/>
                <w:bCs w:val="1"/>
                <w:color w:val="auto"/>
                <w:w w:val="94"/>
              </w:rPr>
              <w:t>The Westin Desert Willow</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5"/>
              </w:rPr>
              <w:t>Palm Desert, California</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Vistana California Management, Inc.</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00"/>
        </w:trPr>
        <w:tc>
          <w:tcPr>
            <w:tcW w:w="2420" w:type="dxa"/>
            <w:vAlign w:val="bottom"/>
            <w:tcBorders>
              <w:left w:val="single" w:sz="8" w:color="auto"/>
              <w:right w:val="single" w:sz="8" w:color="auto"/>
            </w:tcBorders>
            <w:vMerge w:val="restart"/>
          </w:tcPr>
          <w:p>
            <w:pPr>
              <w:jc w:val="center"/>
              <w:spacing w:after="0" w:line="204" w:lineRule="exact"/>
              <w:rPr>
                <w:sz w:val="20"/>
                <w:szCs w:val="20"/>
                <w:color w:val="auto"/>
              </w:rPr>
            </w:pPr>
            <w:r>
              <w:rPr>
                <w:rFonts w:ascii="Cambria" w:cs="Cambria" w:eastAsia="Cambria" w:hAnsi="Cambria"/>
                <w:sz w:val="18"/>
                <w:szCs w:val="18"/>
                <w:b w:val="1"/>
                <w:bCs w:val="1"/>
                <w:color w:val="auto"/>
                <w:w w:val="93"/>
              </w:rPr>
              <w:t>Villas, Palm Desert</w:t>
            </w:r>
          </w:p>
        </w:tc>
        <w:tc>
          <w:tcPr>
            <w:tcW w:w="24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4"/>
              </w:rPr>
              <w:t>The Westin Kierland Villas</w:t>
            </w:r>
          </w:p>
        </w:tc>
        <w:tc>
          <w:tcPr>
            <w:tcW w:w="2400" w:type="dxa"/>
            <w:vAlign w:val="bottom"/>
            <w:tcBorders>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4"/>
              </w:rPr>
              <w:t>Scottsdale, Arizona</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Vistana Arizona Management, Inc.</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5"/>
              </w:rPr>
              <w:t>Sheraton Desert Oasis</w:t>
            </w:r>
          </w:p>
        </w:tc>
        <w:tc>
          <w:tcPr>
            <w:tcW w:w="2400" w:type="dxa"/>
            <w:vAlign w:val="bottom"/>
            <w:tcBorders>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4"/>
              </w:rPr>
              <w:t>Scottsdale, Arizona</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Vistana Scottsdale Management, Inc.</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420" w:type="dxa"/>
            <w:vAlign w:val="bottom"/>
            <w:tcBorders>
              <w:left w:val="single" w:sz="8" w:color="auto"/>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4"/>
              </w:rPr>
              <w:t>Sheraton Mountain Vista</w:t>
            </w:r>
          </w:p>
        </w:tc>
        <w:tc>
          <w:tcPr>
            <w:tcW w:w="2400" w:type="dxa"/>
            <w:vAlign w:val="bottom"/>
            <w:tcBorders>
              <w:right w:val="single" w:sz="8" w:color="auto"/>
            </w:tcBorders>
          </w:tcPr>
          <w:p>
            <w:pPr>
              <w:jc w:val="center"/>
              <w:spacing w:after="0"/>
              <w:rPr>
                <w:sz w:val="20"/>
                <w:szCs w:val="20"/>
                <w:color w:val="auto"/>
              </w:rPr>
            </w:pPr>
            <w:r>
              <w:rPr>
                <w:rFonts w:ascii="Cambria" w:cs="Cambria" w:eastAsia="Cambria" w:hAnsi="Cambria"/>
                <w:sz w:val="18"/>
                <w:szCs w:val="18"/>
                <w:b w:val="1"/>
                <w:bCs w:val="1"/>
                <w:color w:val="auto"/>
                <w:w w:val="92"/>
              </w:rPr>
              <w:t>Vail Valley, Colorado</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Vistana Colorado Management, Inc.</w:t>
            </w: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22"/>
        </w:trPr>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00" w:type="dxa"/>
            <w:vAlign w:val="bottom"/>
            <w:tcBorders>
              <w:bottom w:val="single" w:sz="8" w:color="auto"/>
              <w:right w:val="single" w:sz="8" w:color="auto"/>
            </w:tcBorders>
          </w:tcPr>
          <w:p>
            <w:pPr>
              <w:spacing w:after="0" w:line="20" w:lineRule="exact"/>
              <w:rPr>
                <w:sz w:val="1"/>
                <w:szCs w:val="1"/>
                <w:color w:val="auto"/>
              </w:rPr>
            </w:pPr>
          </w:p>
        </w:tc>
        <w:tc>
          <w:tcPr>
            <w:tcW w:w="280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640" w:top="1440" w:right="1319" w:bottom="1440" w:gutter="0" w:footer="0" w:header="0"/>
        </w:sectPr>
      </w:pPr>
    </w:p>
    <w:bookmarkStart w:id="87" w:name="page88"/>
    <w:bookmarkEnd w:id="8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420" w:type="dxa"/>
            <w:vAlign w:val="bottom"/>
            <w:tcBorders>
              <w:top w:val="single" w:sz="8" w:color="auto"/>
              <w:left w:val="single" w:sz="8" w:color="auto"/>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Approved Name of Project</w:t>
            </w:r>
          </w:p>
        </w:tc>
        <w:tc>
          <w:tcPr>
            <w:tcW w:w="2400" w:type="dxa"/>
            <w:vAlign w:val="bottom"/>
            <w:tcBorders>
              <w:top w:val="single" w:sz="8" w:color="auto"/>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Address of Project</w:t>
            </w:r>
          </w:p>
        </w:tc>
        <w:tc>
          <w:tcPr>
            <w:tcW w:w="2800" w:type="dxa"/>
            <w:vAlign w:val="bottom"/>
            <w:tcBorders>
              <w:top w:val="single" w:sz="8" w:color="auto"/>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Project Operator</w:t>
            </w:r>
          </w:p>
        </w:tc>
        <w:tc>
          <w:tcPr>
            <w:tcW w:w="2340" w:type="dxa"/>
            <w:vAlign w:val="bottom"/>
            <w:tcBorders>
              <w:top w:val="single" w:sz="8" w:color="auto"/>
              <w:right w:val="single" w:sz="8" w:color="auto"/>
            </w:tcBorders>
            <w:shd w:val="clear" w:color="auto" w:fill="A6A6A6"/>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6"/>
              </w:rPr>
              <w:t>Destination Club and/or</w:t>
            </w:r>
          </w:p>
        </w:tc>
        <w:tc>
          <w:tcPr>
            <w:tcW w:w="0" w:type="dxa"/>
            <w:vAlign w:val="bottom"/>
          </w:tcPr>
          <w:p>
            <w:pPr>
              <w:spacing w:after="0"/>
              <w:rPr>
                <w:sz w:val="1"/>
                <w:szCs w:val="1"/>
                <w:color w:val="auto"/>
              </w:rPr>
            </w:pPr>
          </w:p>
        </w:tc>
      </w:tr>
      <w:tr>
        <w:trPr>
          <w:trHeight w:val="125"/>
        </w:trPr>
        <w:tc>
          <w:tcPr>
            <w:tcW w:w="2420" w:type="dxa"/>
            <w:vAlign w:val="bottom"/>
            <w:tcBorders>
              <w:left w:val="single" w:sz="8" w:color="auto"/>
              <w:right w:val="single" w:sz="8" w:color="auto"/>
            </w:tcBorders>
            <w:vMerge w:val="continue"/>
            <w:shd w:val="clear" w:color="auto" w:fill="A6A6A6"/>
          </w:tcPr>
          <w:p>
            <w:pPr>
              <w:spacing w:after="0"/>
              <w:rPr>
                <w:sz w:val="10"/>
                <w:szCs w:val="10"/>
                <w:color w:val="auto"/>
              </w:rPr>
            </w:pPr>
          </w:p>
        </w:tc>
        <w:tc>
          <w:tcPr>
            <w:tcW w:w="2400" w:type="dxa"/>
            <w:vAlign w:val="bottom"/>
            <w:tcBorders>
              <w:right w:val="single" w:sz="8" w:color="auto"/>
            </w:tcBorders>
            <w:vMerge w:val="continue"/>
            <w:shd w:val="clear" w:color="auto" w:fill="A6A6A6"/>
          </w:tcPr>
          <w:p>
            <w:pPr>
              <w:spacing w:after="0"/>
              <w:rPr>
                <w:sz w:val="10"/>
                <w:szCs w:val="10"/>
                <w:color w:val="auto"/>
              </w:rPr>
            </w:pPr>
          </w:p>
        </w:tc>
        <w:tc>
          <w:tcPr>
            <w:tcW w:w="2800" w:type="dxa"/>
            <w:vAlign w:val="bottom"/>
            <w:tcBorders>
              <w:right w:val="single" w:sz="8" w:color="auto"/>
            </w:tcBorders>
            <w:vMerge w:val="continue"/>
            <w:shd w:val="clear" w:color="auto" w:fill="A6A6A6"/>
          </w:tcPr>
          <w:p>
            <w:pPr>
              <w:spacing w:after="0"/>
              <w:rPr>
                <w:sz w:val="10"/>
                <w:szCs w:val="10"/>
                <w:color w:val="auto"/>
              </w:rPr>
            </w:pPr>
          </w:p>
        </w:tc>
        <w:tc>
          <w:tcPr>
            <w:tcW w:w="234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Residential</w:t>
            </w:r>
          </w:p>
        </w:tc>
        <w:tc>
          <w:tcPr>
            <w:tcW w:w="0" w:type="dxa"/>
            <w:vAlign w:val="bottom"/>
          </w:tcPr>
          <w:p>
            <w:pPr>
              <w:spacing w:after="0"/>
              <w:rPr>
                <w:sz w:val="1"/>
                <w:szCs w:val="1"/>
                <w:color w:val="auto"/>
              </w:rPr>
            </w:pPr>
          </w:p>
        </w:tc>
      </w:tr>
      <w:tr>
        <w:trPr>
          <w:trHeight w:val="132"/>
        </w:trPr>
        <w:tc>
          <w:tcPr>
            <w:tcW w:w="2420" w:type="dxa"/>
            <w:vAlign w:val="bottom"/>
            <w:tcBorders>
              <w:left w:val="single" w:sz="8" w:color="auto"/>
              <w:bottom w:val="single" w:sz="8" w:color="A6A6A6"/>
              <w:right w:val="single" w:sz="8" w:color="auto"/>
            </w:tcBorders>
            <w:shd w:val="clear" w:color="auto" w:fill="A6A6A6"/>
          </w:tcPr>
          <w:p>
            <w:pPr>
              <w:spacing w:after="0"/>
              <w:rPr>
                <w:sz w:val="11"/>
                <w:szCs w:val="11"/>
                <w:color w:val="auto"/>
              </w:rPr>
            </w:pPr>
          </w:p>
        </w:tc>
        <w:tc>
          <w:tcPr>
            <w:tcW w:w="2400" w:type="dxa"/>
            <w:vAlign w:val="bottom"/>
            <w:tcBorders>
              <w:bottom w:val="single" w:sz="8" w:color="A6A6A6"/>
              <w:right w:val="single" w:sz="8" w:color="auto"/>
            </w:tcBorders>
            <w:shd w:val="clear" w:color="auto" w:fill="A6A6A6"/>
          </w:tcPr>
          <w:p>
            <w:pPr>
              <w:spacing w:after="0"/>
              <w:rPr>
                <w:sz w:val="11"/>
                <w:szCs w:val="11"/>
                <w:color w:val="auto"/>
              </w:rPr>
            </w:pPr>
          </w:p>
        </w:tc>
        <w:tc>
          <w:tcPr>
            <w:tcW w:w="2800" w:type="dxa"/>
            <w:vAlign w:val="bottom"/>
            <w:tcBorders>
              <w:bottom w:val="single" w:sz="8" w:color="A6A6A6"/>
              <w:right w:val="single" w:sz="8" w:color="auto"/>
            </w:tcBorders>
            <w:shd w:val="clear" w:color="auto" w:fill="A6A6A6"/>
          </w:tcPr>
          <w:p>
            <w:pPr>
              <w:spacing w:after="0"/>
              <w:rPr>
                <w:sz w:val="11"/>
                <w:szCs w:val="11"/>
                <w:color w:val="auto"/>
              </w:rPr>
            </w:pPr>
          </w:p>
        </w:tc>
        <w:tc>
          <w:tcPr>
            <w:tcW w:w="2340" w:type="dxa"/>
            <w:vAlign w:val="bottom"/>
            <w:tcBorders>
              <w:bottom w:val="single" w:sz="8" w:color="A6A6A6"/>
              <w:right w:val="single" w:sz="8" w:color="auto"/>
            </w:tcBorders>
            <w:vMerge w:val="continue"/>
            <w:shd w:val="clear" w:color="auto" w:fill="A6A6A6"/>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420" w:type="dxa"/>
            <w:vAlign w:val="bottom"/>
            <w:tcBorders>
              <w:top w:val="single" w:sz="8" w:color="auto"/>
              <w:left w:val="single" w:sz="8" w:color="auto"/>
              <w:right w:val="single" w:sz="8" w:color="auto"/>
            </w:tcBorders>
          </w:tcPr>
          <w:p>
            <w:pPr>
              <w:jc w:val="center"/>
              <w:spacing w:after="0" w:line="208" w:lineRule="exact"/>
              <w:rPr>
                <w:sz w:val="20"/>
                <w:szCs w:val="20"/>
                <w:color w:val="auto"/>
              </w:rPr>
            </w:pPr>
            <w:r>
              <w:rPr>
                <w:rFonts w:ascii="Cambria" w:cs="Cambria" w:eastAsia="Cambria" w:hAnsi="Cambria"/>
                <w:sz w:val="18"/>
                <w:szCs w:val="18"/>
                <w:b w:val="1"/>
                <w:bCs w:val="1"/>
                <w:color w:val="auto"/>
                <w:w w:val="94"/>
              </w:rPr>
              <w:t>The Westin Riverfront</w:t>
            </w:r>
          </w:p>
        </w:tc>
        <w:tc>
          <w:tcPr>
            <w:tcW w:w="2400" w:type="dxa"/>
            <w:vAlign w:val="bottom"/>
            <w:tcBorders>
              <w:top w:val="single" w:sz="8" w:color="auto"/>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2"/>
              </w:rPr>
              <w:t>Vail Valley, Colorado</w:t>
            </w: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Vistana Management, Inc.</w:t>
            </w:r>
          </w:p>
        </w:tc>
        <w:tc>
          <w:tcPr>
            <w:tcW w:w="2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00"/>
        </w:trPr>
        <w:tc>
          <w:tcPr>
            <w:tcW w:w="2420" w:type="dxa"/>
            <w:vAlign w:val="bottom"/>
            <w:tcBorders>
              <w:left w:val="single" w:sz="8" w:color="auto"/>
              <w:right w:val="single" w:sz="8" w:color="auto"/>
            </w:tcBorders>
            <w:vMerge w:val="restart"/>
          </w:tcPr>
          <w:p>
            <w:pPr>
              <w:jc w:val="center"/>
              <w:spacing w:after="0" w:line="204" w:lineRule="exact"/>
              <w:rPr>
                <w:sz w:val="20"/>
                <w:szCs w:val="20"/>
                <w:color w:val="auto"/>
              </w:rPr>
            </w:pPr>
            <w:r>
              <w:rPr>
                <w:rFonts w:ascii="Cambria" w:cs="Cambria" w:eastAsia="Cambria" w:hAnsi="Cambria"/>
                <w:sz w:val="18"/>
                <w:szCs w:val="18"/>
                <w:b w:val="1"/>
                <w:bCs w:val="1"/>
                <w:color w:val="auto"/>
                <w:w w:val="95"/>
              </w:rPr>
              <w:t>Mountain Villas</w:t>
            </w:r>
          </w:p>
        </w:tc>
        <w:tc>
          <w:tcPr>
            <w:tcW w:w="24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20" w:type="dxa"/>
            <w:vAlign w:val="bottom"/>
            <w:tcBorders>
              <w:left w:val="single" w:sz="8" w:color="auto"/>
              <w:right w:val="single" w:sz="8" w:color="auto"/>
            </w:tcBorders>
          </w:tcPr>
          <w:p>
            <w:pPr>
              <w:jc w:val="center"/>
              <w:spacing w:after="0" w:line="208" w:lineRule="exact"/>
              <w:rPr>
                <w:sz w:val="20"/>
                <w:szCs w:val="20"/>
                <w:color w:val="auto"/>
              </w:rPr>
            </w:pPr>
            <w:r>
              <w:rPr>
                <w:rFonts w:ascii="Cambria" w:cs="Cambria" w:eastAsia="Cambria" w:hAnsi="Cambria"/>
                <w:sz w:val="18"/>
                <w:szCs w:val="18"/>
                <w:b w:val="1"/>
                <w:bCs w:val="1"/>
                <w:color w:val="auto"/>
                <w:w w:val="94"/>
              </w:rPr>
              <w:t>Sheraton Lakeside Terrace</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2"/>
              </w:rPr>
              <w:t>Vail Valley, Colorado</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Points of Colorado, Inc.</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00"/>
        </w:trPr>
        <w:tc>
          <w:tcPr>
            <w:tcW w:w="2420" w:type="dxa"/>
            <w:vAlign w:val="bottom"/>
            <w:tcBorders>
              <w:left w:val="single" w:sz="8" w:color="auto"/>
              <w:right w:val="single" w:sz="8" w:color="auto"/>
            </w:tcBorders>
            <w:vMerge w:val="restart"/>
          </w:tcPr>
          <w:p>
            <w:pPr>
              <w:jc w:val="center"/>
              <w:spacing w:after="0" w:line="204" w:lineRule="exact"/>
              <w:rPr>
                <w:sz w:val="20"/>
                <w:szCs w:val="20"/>
                <w:color w:val="auto"/>
              </w:rPr>
            </w:pPr>
            <w:r>
              <w:rPr>
                <w:rFonts w:ascii="Cambria" w:cs="Cambria" w:eastAsia="Cambria" w:hAnsi="Cambria"/>
                <w:sz w:val="18"/>
                <w:szCs w:val="18"/>
                <w:b w:val="1"/>
                <w:bCs w:val="1"/>
                <w:color w:val="auto"/>
                <w:w w:val="95"/>
              </w:rPr>
              <w:t>Villas at Mountain Vista</w:t>
            </w:r>
          </w:p>
        </w:tc>
        <w:tc>
          <w:tcPr>
            <w:tcW w:w="240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tcBorders>
              <w:left w:val="single" w:sz="8" w:color="auto"/>
              <w:right w:val="single" w:sz="8" w:color="auto"/>
            </w:tcBorders>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6"/>
              </w:rPr>
              <w:t>Vistana Management, Inc. (Villas and</w:t>
            </w:r>
          </w:p>
        </w:tc>
        <w:tc>
          <w:tcPr>
            <w:tcW w:w="2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20" w:type="dxa"/>
            <w:vAlign w:val="bottom"/>
            <w:tcBorders>
              <w:left w:val="single" w:sz="8" w:color="auto"/>
              <w:right w:val="single" w:sz="8" w:color="auto"/>
            </w:tcBorders>
          </w:tcPr>
          <w:p>
            <w:pPr>
              <w:jc w:val="center"/>
              <w:spacing w:after="0" w:line="197" w:lineRule="exact"/>
              <w:rPr>
                <w:sz w:val="20"/>
                <w:szCs w:val="20"/>
                <w:color w:val="auto"/>
              </w:rPr>
            </w:pPr>
            <w:r>
              <w:rPr>
                <w:rFonts w:ascii="Cambria" w:cs="Cambria" w:eastAsia="Cambria" w:hAnsi="Cambria"/>
                <w:sz w:val="18"/>
                <w:szCs w:val="18"/>
                <w:b w:val="1"/>
                <w:bCs w:val="1"/>
                <w:color w:val="auto"/>
                <w:w w:val="94"/>
              </w:rPr>
              <w:t>Sheraton Steamboat Resort</w:t>
            </w:r>
          </w:p>
        </w:tc>
        <w:tc>
          <w:tcPr>
            <w:tcW w:w="2400" w:type="dxa"/>
            <w:vAlign w:val="bottom"/>
            <w:tcBorders>
              <w:right w:val="single" w:sz="8" w:color="auto"/>
            </w:tcBorders>
            <w:vMerge w:val="restart"/>
          </w:tcPr>
          <w:p>
            <w:pPr>
              <w:jc w:val="center"/>
              <w:spacing w:after="0"/>
              <w:rPr>
                <w:sz w:val="20"/>
                <w:szCs w:val="20"/>
                <w:color w:val="auto"/>
              </w:rPr>
            </w:pPr>
            <w:r>
              <w:rPr>
                <w:rFonts w:ascii="Cambria" w:cs="Cambria" w:eastAsia="Cambria" w:hAnsi="Cambria"/>
                <w:sz w:val="18"/>
                <w:szCs w:val="18"/>
                <w:b w:val="1"/>
                <w:bCs w:val="1"/>
                <w:color w:val="auto"/>
                <w:w w:val="94"/>
              </w:rPr>
              <w:t>Steamboat Springs, Colorado</w:t>
            </w:r>
          </w:p>
        </w:tc>
        <w:tc>
          <w:tcPr>
            <w:tcW w:w="28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East Tower)</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23"/>
        </w:trPr>
        <w:tc>
          <w:tcPr>
            <w:tcW w:w="2420" w:type="dxa"/>
            <w:vAlign w:val="bottom"/>
            <w:tcBorders>
              <w:left w:val="single" w:sz="8" w:color="auto"/>
              <w:right w:val="single" w:sz="8" w:color="auto"/>
            </w:tcBorders>
            <w:vMerge w:val="restart"/>
          </w:tcPr>
          <w:p>
            <w:pPr>
              <w:jc w:val="center"/>
              <w:spacing w:after="0" w:line="197" w:lineRule="exact"/>
              <w:rPr>
                <w:sz w:val="20"/>
                <w:szCs w:val="20"/>
                <w:color w:val="auto"/>
              </w:rPr>
            </w:pPr>
            <w:r>
              <w:rPr>
                <w:rFonts w:ascii="Cambria" w:cs="Cambria" w:eastAsia="Cambria" w:hAnsi="Cambria"/>
                <w:sz w:val="18"/>
                <w:szCs w:val="18"/>
                <w:b w:val="1"/>
                <w:bCs w:val="1"/>
                <w:color w:val="auto"/>
                <w:w w:val="95"/>
              </w:rPr>
              <w:t>Villas</w:t>
            </w:r>
          </w:p>
        </w:tc>
        <w:tc>
          <w:tcPr>
            <w:tcW w:w="24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restart"/>
          </w:tcPr>
          <w:p>
            <w:pPr>
              <w:jc w:val="center"/>
              <w:spacing w:after="0" w:line="197" w:lineRule="exact"/>
              <w:rPr>
                <w:sz w:val="20"/>
                <w:szCs w:val="20"/>
                <w:color w:val="auto"/>
              </w:rPr>
            </w:pPr>
            <w:r>
              <w:rPr>
                <w:rFonts w:ascii="Times New Roman" w:cs="Times New Roman" w:eastAsia="Times New Roman" w:hAnsi="Times New Roman"/>
                <w:sz w:val="18"/>
                <w:szCs w:val="18"/>
                <w:color w:val="auto"/>
                <w:w w:val="96"/>
              </w:rPr>
              <w:t>Vistana Colorado Management</w:t>
            </w: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420" w:type="dxa"/>
            <w:vAlign w:val="bottom"/>
            <w:tcBorders>
              <w:left w:val="single" w:sz="8" w:color="auto"/>
              <w:right w:val="single" w:sz="8" w:color="auto"/>
            </w:tcBorders>
            <w:vMerge w:val="continue"/>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2800" w:type="dxa"/>
            <w:vAlign w:val="bottom"/>
            <w:tcBorders>
              <w:right w:val="single" w:sz="8" w:color="auto"/>
            </w:tcBorders>
            <w:vMerge w:val="continue"/>
          </w:tcPr>
          <w:p>
            <w:pPr>
              <w:spacing w:after="0"/>
              <w:rPr>
                <w:sz w:val="6"/>
                <w:szCs w:val="6"/>
                <w:color w:val="auto"/>
              </w:rPr>
            </w:pPr>
          </w:p>
        </w:tc>
        <w:tc>
          <w:tcPr>
            <w:tcW w:w="2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420" w:type="dxa"/>
            <w:vAlign w:val="bottom"/>
            <w:tcBorders>
              <w:left w:val="single" w:sz="8" w:color="auto"/>
              <w:right w:val="single" w:sz="8" w:color="auto"/>
            </w:tcBorders>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Company, Inc. (West Tower)</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tcBorders>
              <w:left w:val="single" w:sz="8" w:color="auto"/>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The St. Regis Residence Club,</w:t>
            </w: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New York, New York</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St. Regis New York Management, Inc.</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23"/>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New York</w:t>
            </w:r>
          </w:p>
        </w:tc>
        <w:tc>
          <w:tcPr>
            <w:tcW w:w="24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tcBorders>
              <w:left w:val="single" w:sz="8" w:color="auto"/>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The St. Regis Residence Club,</w:t>
            </w: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Aspen, Colorado</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St. Regis Colorado Management, Inc.</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123"/>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Aspen</w:t>
            </w:r>
          </w:p>
        </w:tc>
        <w:tc>
          <w:tcPr>
            <w:tcW w:w="24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42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20" w:type="dxa"/>
            <w:vAlign w:val="bottom"/>
            <w:tcBorders>
              <w:left w:val="single" w:sz="8" w:color="auto"/>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The Phoenician Residences, The</w:t>
            </w:r>
          </w:p>
        </w:tc>
        <w:tc>
          <w:tcPr>
            <w:tcW w:w="240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20" w:type="dxa"/>
            <w:vAlign w:val="bottom"/>
            <w:tcBorders>
              <w:left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Luxury Collection Residence</w:t>
            </w:r>
          </w:p>
        </w:tc>
        <w:tc>
          <w:tcPr>
            <w:tcW w:w="24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Scottsdale, Arizona</w:t>
            </w:r>
          </w:p>
        </w:tc>
        <w:tc>
          <w:tcPr>
            <w:tcW w:w="280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6"/>
              </w:rPr>
              <w:t>Vistana Management, Inc.</w:t>
            </w:r>
          </w:p>
        </w:tc>
        <w:tc>
          <w:tcPr>
            <w:tcW w:w="234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Destination Club</w:t>
            </w:r>
          </w:p>
        </w:tc>
        <w:tc>
          <w:tcPr>
            <w:tcW w:w="0" w:type="dxa"/>
            <w:vAlign w:val="bottom"/>
          </w:tcPr>
          <w:p>
            <w:pPr>
              <w:spacing w:after="0"/>
              <w:rPr>
                <w:sz w:val="1"/>
                <w:szCs w:val="1"/>
                <w:color w:val="auto"/>
              </w:rPr>
            </w:pPr>
          </w:p>
        </w:tc>
      </w:tr>
      <w:tr>
        <w:trPr>
          <w:trHeight w:val="228"/>
        </w:trPr>
        <w:tc>
          <w:tcPr>
            <w:tcW w:w="2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Club</w:t>
            </w:r>
          </w:p>
        </w:tc>
        <w:tc>
          <w:tcPr>
            <w:tcW w:w="2400" w:type="dxa"/>
            <w:vAlign w:val="bottom"/>
            <w:tcBorders>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640" w:top="1409" w:right="131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MARRIOTT VACATIONS WORLDWIDE CORPORATION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(Effective July 1, 2013)</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Revised July 29, 2022</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4844-5815-6307.3</w:t>
      </w:r>
    </w:p>
    <w:p>
      <w:pPr>
        <w:sectPr>
          <w:pgSz w:w="11900" w:h="16838" w:orient="portrait"/>
          <w:cols w:equalWidth="0" w:num="1">
            <w:col w:w="11240"/>
          </w:cols>
          <w:pgMar w:left="320" w:top="119" w:right="339" w:bottom="1440" w:gutter="0" w:footer="0" w:header="0"/>
          <w:type w:val="continuous"/>
        </w:sectPr>
      </w:pPr>
    </w:p>
    <w:bookmarkStart w:id="89" w:name="page90"/>
    <w:bookmarkEnd w:id="89"/>
    <w:p>
      <w:pPr>
        <w:ind w:left="450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p>
      <w:pPr>
        <w:spacing w:after="0" w:line="169" w:lineRule="exact"/>
        <w:rPr>
          <w:sz w:val="20"/>
          <w:szCs w:val="20"/>
          <w:color w:val="auto"/>
        </w:rPr>
      </w:pPr>
    </w:p>
    <w:p>
      <w:pPr>
        <w:ind w:left="20"/>
        <w:spacing w:after="0"/>
        <w:tabs>
          <w:tab w:leader="dot" w:pos="11060" w:val="left"/>
        </w:tabs>
        <w:rPr>
          <w:sz w:val="20"/>
          <w:szCs w:val="20"/>
          <w:color w:val="auto"/>
        </w:rPr>
      </w:pPr>
      <w:r>
        <w:rPr>
          <w:rFonts w:ascii="Times New Roman" w:cs="Times New Roman" w:eastAsia="Times New Roman" w:hAnsi="Times New Roman"/>
          <w:sz w:val="21"/>
          <w:szCs w:val="21"/>
          <w:color w:val="auto"/>
        </w:rPr>
        <w:t>ARTICLE I. DEFINITIONS</w:t>
      </w:r>
      <w:r>
        <w:rPr>
          <w:sz w:val="20"/>
          <w:szCs w:val="20"/>
          <w:color w:val="auto"/>
        </w:rPr>
        <w:tab/>
      </w:r>
      <w:r>
        <w:rPr>
          <w:rFonts w:ascii="Times New Roman" w:cs="Times New Roman" w:eastAsia="Times New Roman" w:hAnsi="Times New Roman"/>
          <w:sz w:val="20"/>
          <w:szCs w:val="20"/>
          <w:color w:val="auto"/>
        </w:rPr>
        <w:t>1</w:t>
      </w:r>
    </w:p>
    <w:p>
      <w:pPr>
        <w:spacing w:after="0" w:line="34"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1.01. Definitions</w:t>
      </w:r>
      <w:r>
        <w:rPr>
          <w:sz w:val="20"/>
          <w:szCs w:val="20"/>
          <w:color w:val="auto"/>
        </w:rPr>
        <w:tab/>
      </w:r>
      <w:r>
        <w:rPr>
          <w:rFonts w:ascii="Times New Roman" w:cs="Times New Roman" w:eastAsia="Times New Roman" w:hAnsi="Times New Roman"/>
          <w:sz w:val="20"/>
          <w:szCs w:val="20"/>
          <w:color w:val="auto"/>
        </w:rPr>
        <w:t>1</w:t>
      </w:r>
    </w:p>
    <w:p>
      <w:pPr>
        <w:spacing w:after="0" w:line="207" w:lineRule="exact"/>
        <w:rPr>
          <w:sz w:val="20"/>
          <w:szCs w:val="20"/>
          <w:color w:val="auto"/>
        </w:rPr>
      </w:pPr>
    </w:p>
    <w:p>
      <w:pPr>
        <w:ind w:left="20"/>
        <w:spacing w:after="0"/>
        <w:tabs>
          <w:tab w:leader="dot" w:pos="11060" w:val="left"/>
        </w:tabs>
        <w:rPr>
          <w:sz w:val="20"/>
          <w:szCs w:val="20"/>
          <w:color w:val="auto"/>
        </w:rPr>
      </w:pPr>
      <w:r>
        <w:rPr>
          <w:rFonts w:ascii="Times New Roman" w:cs="Times New Roman" w:eastAsia="Times New Roman" w:hAnsi="Times New Roman"/>
          <w:sz w:val="21"/>
          <w:szCs w:val="21"/>
          <w:color w:val="auto"/>
        </w:rPr>
        <w:t>ARTICLE II. PARTICIPATION</w:t>
      </w:r>
      <w:r>
        <w:rPr>
          <w:sz w:val="20"/>
          <w:szCs w:val="20"/>
          <w:color w:val="auto"/>
        </w:rPr>
        <w:tab/>
      </w:r>
      <w:r>
        <w:rPr>
          <w:rFonts w:ascii="Times New Roman" w:cs="Times New Roman" w:eastAsia="Times New Roman" w:hAnsi="Times New Roman"/>
          <w:sz w:val="20"/>
          <w:szCs w:val="20"/>
          <w:color w:val="auto"/>
        </w:rPr>
        <w:t>5</w:t>
      </w:r>
    </w:p>
    <w:p>
      <w:pPr>
        <w:spacing w:after="0" w:line="34"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2.01. Participation</w:t>
      </w:r>
      <w:r>
        <w:rPr>
          <w:sz w:val="20"/>
          <w:szCs w:val="20"/>
          <w:color w:val="auto"/>
        </w:rPr>
        <w:tab/>
      </w:r>
      <w:r>
        <w:rPr>
          <w:rFonts w:ascii="Times New Roman" w:cs="Times New Roman" w:eastAsia="Times New Roman" w:hAnsi="Times New Roman"/>
          <w:sz w:val="20"/>
          <w:szCs w:val="20"/>
          <w:color w:val="auto"/>
        </w:rPr>
        <w:t>5</w:t>
      </w:r>
    </w:p>
    <w:p>
      <w:pPr>
        <w:spacing w:after="0" w:line="22"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2.02. Termination of Participation</w:t>
      </w:r>
      <w:r>
        <w:rPr>
          <w:sz w:val="20"/>
          <w:szCs w:val="20"/>
          <w:color w:val="auto"/>
        </w:rPr>
        <w:tab/>
      </w:r>
      <w:r>
        <w:rPr>
          <w:rFonts w:ascii="Times New Roman" w:cs="Times New Roman" w:eastAsia="Times New Roman" w:hAnsi="Times New Roman"/>
          <w:sz w:val="20"/>
          <w:szCs w:val="20"/>
          <w:color w:val="auto"/>
        </w:rPr>
        <w:t>5</w:t>
      </w:r>
    </w:p>
    <w:p>
      <w:pPr>
        <w:spacing w:after="0" w:line="22"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2.03. Election Forms; Deferral Elections</w:t>
      </w:r>
      <w:r>
        <w:rPr>
          <w:sz w:val="20"/>
          <w:szCs w:val="20"/>
          <w:color w:val="auto"/>
        </w:rPr>
        <w:tab/>
      </w:r>
      <w:r>
        <w:rPr>
          <w:rFonts w:ascii="Times New Roman" w:cs="Times New Roman" w:eastAsia="Times New Roman" w:hAnsi="Times New Roman"/>
          <w:sz w:val="20"/>
          <w:szCs w:val="20"/>
          <w:color w:val="auto"/>
        </w:rPr>
        <w:t>6</w:t>
      </w:r>
    </w:p>
    <w:p>
      <w:pPr>
        <w:spacing w:after="0" w:line="22"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2.04. Limits on Deferrals</w:t>
      </w:r>
      <w:r>
        <w:rPr>
          <w:sz w:val="20"/>
          <w:szCs w:val="20"/>
          <w:color w:val="auto"/>
        </w:rPr>
        <w:tab/>
      </w:r>
      <w:r>
        <w:rPr>
          <w:rFonts w:ascii="Times New Roman" w:cs="Times New Roman" w:eastAsia="Times New Roman" w:hAnsi="Times New Roman"/>
          <w:sz w:val="20"/>
          <w:szCs w:val="20"/>
          <w:color w:val="auto"/>
        </w:rPr>
        <w:t>7</w:t>
      </w:r>
    </w:p>
    <w:p>
      <w:pPr>
        <w:spacing w:after="0" w:line="207" w:lineRule="exact"/>
        <w:rPr>
          <w:sz w:val="20"/>
          <w:szCs w:val="20"/>
          <w:color w:val="auto"/>
        </w:rPr>
      </w:pPr>
    </w:p>
    <w:p>
      <w:pPr>
        <w:ind w:left="20"/>
        <w:spacing w:after="0"/>
        <w:tabs>
          <w:tab w:leader="dot" w:pos="11060" w:val="left"/>
        </w:tabs>
        <w:rPr>
          <w:sz w:val="20"/>
          <w:szCs w:val="20"/>
          <w:color w:val="auto"/>
        </w:rPr>
      </w:pPr>
      <w:r>
        <w:rPr>
          <w:rFonts w:ascii="Times New Roman" w:cs="Times New Roman" w:eastAsia="Times New Roman" w:hAnsi="Times New Roman"/>
          <w:sz w:val="21"/>
          <w:szCs w:val="21"/>
          <w:color w:val="auto"/>
        </w:rPr>
        <w:t>ARTICLE III. ACCOUNTS</w:t>
      </w:r>
      <w:r>
        <w:rPr>
          <w:sz w:val="20"/>
          <w:szCs w:val="20"/>
          <w:color w:val="auto"/>
        </w:rPr>
        <w:tab/>
      </w:r>
      <w:r>
        <w:rPr>
          <w:rFonts w:ascii="Times New Roman" w:cs="Times New Roman" w:eastAsia="Times New Roman" w:hAnsi="Times New Roman"/>
          <w:sz w:val="20"/>
          <w:szCs w:val="20"/>
          <w:color w:val="auto"/>
        </w:rPr>
        <w:t>7</w:t>
      </w:r>
    </w:p>
    <w:p>
      <w:pPr>
        <w:spacing w:after="0" w:line="34"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3.01. Accounts</w:t>
      </w:r>
      <w:r>
        <w:rPr>
          <w:sz w:val="20"/>
          <w:szCs w:val="20"/>
          <w:color w:val="auto"/>
        </w:rPr>
        <w:tab/>
      </w:r>
      <w:r>
        <w:rPr>
          <w:rFonts w:ascii="Times New Roman" w:cs="Times New Roman" w:eastAsia="Times New Roman" w:hAnsi="Times New Roman"/>
          <w:sz w:val="20"/>
          <w:szCs w:val="20"/>
          <w:color w:val="auto"/>
        </w:rPr>
        <w:t>7</w:t>
      </w:r>
    </w:p>
    <w:p>
      <w:pPr>
        <w:spacing w:after="0" w:line="22"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3.02. Credits to Accounts</w:t>
      </w:r>
      <w:r>
        <w:rPr>
          <w:sz w:val="20"/>
          <w:szCs w:val="20"/>
          <w:color w:val="auto"/>
        </w:rPr>
        <w:tab/>
      </w:r>
      <w:r>
        <w:rPr>
          <w:rFonts w:ascii="Times New Roman" w:cs="Times New Roman" w:eastAsia="Times New Roman" w:hAnsi="Times New Roman"/>
          <w:sz w:val="20"/>
          <w:szCs w:val="20"/>
          <w:color w:val="auto"/>
        </w:rPr>
        <w:t>7</w:t>
      </w:r>
    </w:p>
    <w:p>
      <w:pPr>
        <w:spacing w:after="0" w:line="22"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3.03. Earnings on Accounts</w:t>
      </w:r>
      <w:r>
        <w:rPr>
          <w:sz w:val="20"/>
          <w:szCs w:val="20"/>
          <w:color w:val="auto"/>
        </w:rPr>
        <w:tab/>
      </w:r>
      <w:r>
        <w:rPr>
          <w:rFonts w:ascii="Times New Roman" w:cs="Times New Roman" w:eastAsia="Times New Roman" w:hAnsi="Times New Roman"/>
          <w:sz w:val="20"/>
          <w:szCs w:val="20"/>
          <w:color w:val="auto"/>
        </w:rPr>
        <w:t>8</w:t>
      </w:r>
    </w:p>
    <w:p>
      <w:pPr>
        <w:spacing w:after="0" w:line="22"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3.04. Periodic Statements of Account</w:t>
      </w:r>
      <w:r>
        <w:rPr>
          <w:sz w:val="20"/>
          <w:szCs w:val="20"/>
          <w:color w:val="auto"/>
        </w:rPr>
        <w:tab/>
      </w:r>
      <w:r>
        <w:rPr>
          <w:rFonts w:ascii="Times New Roman" w:cs="Times New Roman" w:eastAsia="Times New Roman" w:hAnsi="Times New Roman"/>
          <w:sz w:val="20"/>
          <w:szCs w:val="20"/>
          <w:color w:val="auto"/>
        </w:rPr>
        <w:t>9</w:t>
      </w:r>
    </w:p>
    <w:p>
      <w:pPr>
        <w:spacing w:after="0" w:line="22"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3.05. Participant’s Rights Unsecured</w:t>
      </w:r>
      <w:r>
        <w:rPr>
          <w:sz w:val="20"/>
          <w:szCs w:val="20"/>
          <w:color w:val="auto"/>
        </w:rPr>
        <w:tab/>
      </w:r>
      <w:r>
        <w:rPr>
          <w:rFonts w:ascii="Times New Roman" w:cs="Times New Roman" w:eastAsia="Times New Roman" w:hAnsi="Times New Roman"/>
          <w:sz w:val="20"/>
          <w:szCs w:val="20"/>
          <w:color w:val="auto"/>
        </w:rPr>
        <w:t>9</w:t>
      </w:r>
    </w:p>
    <w:p>
      <w:pPr>
        <w:spacing w:after="0" w:line="22"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3.06. Unfunded Plan</w:t>
      </w:r>
      <w:r>
        <w:rPr>
          <w:sz w:val="20"/>
          <w:szCs w:val="20"/>
          <w:color w:val="auto"/>
        </w:rPr>
        <w:tab/>
      </w:r>
      <w:r>
        <w:rPr>
          <w:rFonts w:ascii="Times New Roman" w:cs="Times New Roman" w:eastAsia="Times New Roman" w:hAnsi="Times New Roman"/>
          <w:sz w:val="20"/>
          <w:szCs w:val="20"/>
          <w:color w:val="auto"/>
        </w:rPr>
        <w:t>9</w:t>
      </w:r>
    </w:p>
    <w:p>
      <w:pPr>
        <w:spacing w:after="0" w:line="22"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3.07. Effect of Change of Control</w:t>
      </w:r>
      <w:r>
        <w:rPr>
          <w:sz w:val="20"/>
          <w:szCs w:val="20"/>
          <w:color w:val="auto"/>
        </w:rPr>
        <w:tab/>
      </w:r>
      <w:r>
        <w:rPr>
          <w:rFonts w:ascii="Times New Roman" w:cs="Times New Roman" w:eastAsia="Times New Roman" w:hAnsi="Times New Roman"/>
          <w:sz w:val="20"/>
          <w:szCs w:val="20"/>
          <w:color w:val="auto"/>
        </w:rPr>
        <w:t>9</w:t>
      </w:r>
    </w:p>
    <w:p>
      <w:pPr>
        <w:spacing w:after="0" w:line="22" w:lineRule="exact"/>
        <w:rPr>
          <w:sz w:val="20"/>
          <w:szCs w:val="20"/>
          <w:color w:val="auto"/>
        </w:rPr>
      </w:pPr>
    </w:p>
    <w:p>
      <w:pPr>
        <w:ind w:left="880"/>
        <w:spacing w:after="0"/>
        <w:tabs>
          <w:tab w:leader="dot" w:pos="11060" w:val="left"/>
        </w:tabs>
        <w:rPr>
          <w:sz w:val="20"/>
          <w:szCs w:val="20"/>
          <w:color w:val="auto"/>
        </w:rPr>
      </w:pPr>
      <w:r>
        <w:rPr>
          <w:rFonts w:ascii="Times New Roman" w:cs="Times New Roman" w:eastAsia="Times New Roman" w:hAnsi="Times New Roman"/>
          <w:sz w:val="21"/>
          <w:szCs w:val="21"/>
          <w:color w:val="auto"/>
        </w:rPr>
        <w:t>Section 3.08. Effect of Divestiture</w:t>
      </w:r>
      <w:r>
        <w:rPr>
          <w:sz w:val="20"/>
          <w:szCs w:val="20"/>
          <w:color w:val="auto"/>
        </w:rPr>
        <w:tab/>
      </w:r>
      <w:r>
        <w:rPr>
          <w:rFonts w:ascii="Times New Roman" w:cs="Times New Roman" w:eastAsia="Times New Roman" w:hAnsi="Times New Roman"/>
          <w:sz w:val="20"/>
          <w:szCs w:val="20"/>
          <w:color w:val="auto"/>
        </w:rPr>
        <w:t>9</w:t>
      </w:r>
    </w:p>
    <w:p>
      <w:pPr>
        <w:spacing w:after="0" w:line="207" w:lineRule="exact"/>
        <w:rPr>
          <w:sz w:val="20"/>
          <w:szCs w:val="20"/>
          <w:color w:val="auto"/>
        </w:rPr>
      </w:pPr>
    </w:p>
    <w:p>
      <w:pPr>
        <w:ind w:left="20"/>
        <w:spacing w:after="0"/>
        <w:tabs>
          <w:tab w:leader="dot" w:pos="10960" w:val="left"/>
        </w:tabs>
        <w:rPr>
          <w:sz w:val="20"/>
          <w:szCs w:val="20"/>
          <w:color w:val="auto"/>
        </w:rPr>
      </w:pPr>
      <w:r>
        <w:rPr>
          <w:rFonts w:ascii="Times New Roman" w:cs="Times New Roman" w:eastAsia="Times New Roman" w:hAnsi="Times New Roman"/>
          <w:sz w:val="21"/>
          <w:szCs w:val="21"/>
          <w:color w:val="auto"/>
        </w:rPr>
        <w:t>ARTICLE IV. DISTRIBUTIONS</w:t>
      </w:r>
      <w:r>
        <w:rPr>
          <w:sz w:val="20"/>
          <w:szCs w:val="20"/>
          <w:color w:val="auto"/>
        </w:rPr>
        <w:tab/>
      </w:r>
      <w:r>
        <w:rPr>
          <w:rFonts w:ascii="Times New Roman" w:cs="Times New Roman" w:eastAsia="Times New Roman" w:hAnsi="Times New Roman"/>
          <w:sz w:val="20"/>
          <w:szCs w:val="20"/>
          <w:color w:val="auto"/>
        </w:rPr>
        <w:t>10</w:t>
      </w:r>
    </w:p>
    <w:p>
      <w:pPr>
        <w:spacing w:after="0" w:line="34"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4.01. Distributions</w:t>
      </w:r>
      <w:r>
        <w:rPr>
          <w:sz w:val="20"/>
          <w:szCs w:val="20"/>
          <w:color w:val="auto"/>
        </w:rPr>
        <w:tab/>
      </w:r>
      <w:r>
        <w:rPr>
          <w:rFonts w:ascii="Times New Roman" w:cs="Times New Roman" w:eastAsia="Times New Roman" w:hAnsi="Times New Roman"/>
          <w:sz w:val="20"/>
          <w:szCs w:val="20"/>
          <w:color w:val="auto"/>
        </w:rPr>
        <w:t>10</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4.02. Time and Form of Distributions</w:t>
      </w:r>
      <w:r>
        <w:rPr>
          <w:sz w:val="20"/>
          <w:szCs w:val="20"/>
          <w:color w:val="auto"/>
        </w:rPr>
        <w:tab/>
      </w:r>
      <w:r>
        <w:rPr>
          <w:rFonts w:ascii="Times New Roman" w:cs="Times New Roman" w:eastAsia="Times New Roman" w:hAnsi="Times New Roman"/>
          <w:sz w:val="20"/>
          <w:szCs w:val="20"/>
          <w:color w:val="auto"/>
        </w:rPr>
        <w:t>11</w:t>
      </w:r>
    </w:p>
    <w:p>
      <w:pPr>
        <w:spacing w:after="0" w:line="22" w:lineRule="exact"/>
        <w:rPr>
          <w:sz w:val="20"/>
          <w:szCs w:val="20"/>
          <w:color w:val="auto"/>
        </w:rPr>
      </w:pPr>
    </w:p>
    <w:p>
      <w:pPr>
        <w:ind w:left="880"/>
        <w:spacing w:after="0"/>
        <w:tabs>
          <w:tab w:leader="none" w:pos="3840" w:val="left"/>
        </w:tabs>
        <w:rPr>
          <w:sz w:val="20"/>
          <w:szCs w:val="20"/>
          <w:color w:val="auto"/>
        </w:rPr>
      </w:pPr>
      <w:r>
        <w:rPr>
          <w:rFonts w:ascii="Times New Roman" w:cs="Times New Roman" w:eastAsia="Times New Roman" w:hAnsi="Times New Roman"/>
          <w:sz w:val="21"/>
          <w:szCs w:val="21"/>
          <w:color w:val="auto"/>
        </w:rPr>
        <w:t>Section 4.03. Installment Payments</w:t>
      </w:r>
      <w:r>
        <w:rPr>
          <w:sz w:val="20"/>
          <w:szCs w:val="20"/>
          <w:color w:val="auto"/>
        </w:rPr>
        <w:tab/>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4.04. Unforeseeable Emergency Withdrawals</w:t>
      </w:r>
      <w:r>
        <w:rPr>
          <w:sz w:val="20"/>
          <w:szCs w:val="20"/>
          <w:color w:val="auto"/>
        </w:rPr>
        <w:tab/>
      </w:r>
      <w:r>
        <w:rPr>
          <w:rFonts w:ascii="Times New Roman" w:cs="Times New Roman" w:eastAsia="Times New Roman" w:hAnsi="Times New Roman"/>
          <w:sz w:val="20"/>
          <w:szCs w:val="20"/>
          <w:color w:val="auto"/>
        </w:rPr>
        <w:t>12</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4.05. Permissible Delays in Distribution</w:t>
      </w:r>
      <w:r>
        <w:rPr>
          <w:sz w:val="20"/>
          <w:szCs w:val="20"/>
          <w:color w:val="auto"/>
        </w:rPr>
        <w:tab/>
      </w:r>
      <w:r>
        <w:rPr>
          <w:rFonts w:ascii="Times New Roman" w:cs="Times New Roman" w:eastAsia="Times New Roman" w:hAnsi="Times New Roman"/>
          <w:sz w:val="20"/>
          <w:szCs w:val="20"/>
          <w:color w:val="auto"/>
        </w:rPr>
        <w:t>12</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4.06. Payments Upon Death of Participant</w:t>
      </w:r>
      <w:r>
        <w:rPr>
          <w:sz w:val="20"/>
          <w:szCs w:val="20"/>
          <w:color w:val="auto"/>
        </w:rPr>
        <w:tab/>
      </w:r>
      <w:r>
        <w:rPr>
          <w:rFonts w:ascii="Times New Roman" w:cs="Times New Roman" w:eastAsia="Times New Roman" w:hAnsi="Times New Roman"/>
          <w:sz w:val="20"/>
          <w:szCs w:val="20"/>
          <w:color w:val="auto"/>
        </w:rPr>
        <w:t>13</w:t>
      </w:r>
    </w:p>
    <w:p>
      <w:pPr>
        <w:spacing w:after="0" w:line="207" w:lineRule="exact"/>
        <w:rPr>
          <w:sz w:val="20"/>
          <w:szCs w:val="20"/>
          <w:color w:val="auto"/>
        </w:rPr>
      </w:pPr>
    </w:p>
    <w:p>
      <w:pPr>
        <w:ind w:left="20"/>
        <w:spacing w:after="0"/>
        <w:tabs>
          <w:tab w:leader="dot" w:pos="10960" w:val="left"/>
        </w:tabs>
        <w:rPr>
          <w:sz w:val="20"/>
          <w:szCs w:val="20"/>
          <w:color w:val="auto"/>
        </w:rPr>
      </w:pPr>
      <w:r>
        <w:rPr>
          <w:rFonts w:ascii="Times New Roman" w:cs="Times New Roman" w:eastAsia="Times New Roman" w:hAnsi="Times New Roman"/>
          <w:sz w:val="21"/>
          <w:szCs w:val="21"/>
          <w:color w:val="auto"/>
        </w:rPr>
        <w:t>ARTICLE V. ADMINISTRATION</w:t>
      </w:r>
      <w:r>
        <w:rPr>
          <w:sz w:val="20"/>
          <w:szCs w:val="20"/>
          <w:color w:val="auto"/>
        </w:rPr>
        <w:tab/>
      </w:r>
      <w:r>
        <w:rPr>
          <w:rFonts w:ascii="Times New Roman" w:cs="Times New Roman" w:eastAsia="Times New Roman" w:hAnsi="Times New Roman"/>
          <w:sz w:val="20"/>
          <w:szCs w:val="20"/>
          <w:color w:val="auto"/>
        </w:rPr>
        <w:t>13</w:t>
      </w:r>
    </w:p>
    <w:p>
      <w:pPr>
        <w:spacing w:after="0" w:line="34"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5.01. Administration of the Plan</w:t>
      </w:r>
      <w:r>
        <w:rPr>
          <w:sz w:val="20"/>
          <w:szCs w:val="20"/>
          <w:color w:val="auto"/>
        </w:rPr>
        <w:tab/>
      </w:r>
      <w:r>
        <w:rPr>
          <w:rFonts w:ascii="Times New Roman" w:cs="Times New Roman" w:eastAsia="Times New Roman" w:hAnsi="Times New Roman"/>
          <w:sz w:val="20"/>
          <w:szCs w:val="20"/>
          <w:color w:val="auto"/>
        </w:rPr>
        <w:t>13</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5.02. Claims and Appeals</w:t>
      </w:r>
      <w:r>
        <w:rPr>
          <w:sz w:val="20"/>
          <w:szCs w:val="20"/>
          <w:color w:val="auto"/>
        </w:rPr>
        <w:tab/>
      </w:r>
      <w:r>
        <w:rPr>
          <w:rFonts w:ascii="Times New Roman" w:cs="Times New Roman" w:eastAsia="Times New Roman" w:hAnsi="Times New Roman"/>
          <w:sz w:val="20"/>
          <w:szCs w:val="20"/>
          <w:color w:val="auto"/>
        </w:rPr>
        <w:t>13</w:t>
      </w:r>
    </w:p>
    <w:p>
      <w:pPr>
        <w:spacing w:after="0" w:line="207" w:lineRule="exact"/>
        <w:rPr>
          <w:sz w:val="20"/>
          <w:szCs w:val="20"/>
          <w:color w:val="auto"/>
        </w:rPr>
      </w:pPr>
    </w:p>
    <w:p>
      <w:pPr>
        <w:ind w:left="20"/>
        <w:spacing w:after="0"/>
        <w:tabs>
          <w:tab w:leader="dot" w:pos="10960" w:val="left"/>
        </w:tabs>
        <w:rPr>
          <w:sz w:val="20"/>
          <w:szCs w:val="20"/>
          <w:color w:val="auto"/>
        </w:rPr>
      </w:pPr>
      <w:r>
        <w:rPr>
          <w:rFonts w:ascii="Times New Roman" w:cs="Times New Roman" w:eastAsia="Times New Roman" w:hAnsi="Times New Roman"/>
          <w:sz w:val="21"/>
          <w:szCs w:val="21"/>
          <w:color w:val="auto"/>
        </w:rPr>
        <w:t>ARTICLE VI. OTHER PROVISIONS</w:t>
      </w:r>
      <w:r>
        <w:rPr>
          <w:sz w:val="20"/>
          <w:szCs w:val="20"/>
          <w:color w:val="auto"/>
        </w:rPr>
        <w:tab/>
      </w:r>
      <w:r>
        <w:rPr>
          <w:rFonts w:ascii="Times New Roman" w:cs="Times New Roman" w:eastAsia="Times New Roman" w:hAnsi="Times New Roman"/>
          <w:sz w:val="20"/>
          <w:szCs w:val="20"/>
          <w:color w:val="auto"/>
        </w:rPr>
        <w:t>14</w:t>
      </w:r>
    </w:p>
    <w:p>
      <w:pPr>
        <w:spacing w:after="0" w:line="34"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6.01. Amendment and Termination; Acceleration of Distributions</w:t>
      </w:r>
      <w:r>
        <w:rPr>
          <w:sz w:val="20"/>
          <w:szCs w:val="20"/>
          <w:color w:val="auto"/>
        </w:rPr>
        <w:tab/>
      </w:r>
      <w:r>
        <w:rPr>
          <w:rFonts w:ascii="Times New Roman" w:cs="Times New Roman" w:eastAsia="Times New Roman" w:hAnsi="Times New Roman"/>
          <w:sz w:val="20"/>
          <w:szCs w:val="20"/>
          <w:color w:val="auto"/>
        </w:rPr>
        <w:t>14</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6.02. Expenses</w:t>
      </w:r>
      <w:r>
        <w:rPr>
          <w:sz w:val="20"/>
          <w:szCs w:val="20"/>
          <w:color w:val="auto"/>
        </w:rPr>
        <w:tab/>
      </w:r>
      <w:r>
        <w:rPr>
          <w:rFonts w:ascii="Times New Roman" w:cs="Times New Roman" w:eastAsia="Times New Roman" w:hAnsi="Times New Roman"/>
          <w:sz w:val="20"/>
          <w:szCs w:val="20"/>
          <w:color w:val="auto"/>
        </w:rPr>
        <w:t>14</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6.03. Severability</w:t>
      </w:r>
      <w:r>
        <w:rPr>
          <w:sz w:val="20"/>
          <w:szCs w:val="20"/>
          <w:color w:val="auto"/>
        </w:rPr>
        <w:tab/>
      </w:r>
      <w:r>
        <w:rPr>
          <w:rFonts w:ascii="Times New Roman" w:cs="Times New Roman" w:eastAsia="Times New Roman" w:hAnsi="Times New Roman"/>
          <w:sz w:val="20"/>
          <w:szCs w:val="20"/>
          <w:color w:val="auto"/>
        </w:rPr>
        <w:t>15</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6.04. Binding Upon Successors</w:t>
      </w:r>
      <w:r>
        <w:rPr>
          <w:sz w:val="20"/>
          <w:szCs w:val="20"/>
          <w:color w:val="auto"/>
        </w:rPr>
        <w:tab/>
      </w:r>
      <w:r>
        <w:rPr>
          <w:rFonts w:ascii="Times New Roman" w:cs="Times New Roman" w:eastAsia="Times New Roman" w:hAnsi="Times New Roman"/>
          <w:sz w:val="20"/>
          <w:szCs w:val="20"/>
          <w:color w:val="auto"/>
        </w:rPr>
        <w:t>15</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6.05. Not a Contract of Employment</w:t>
      </w:r>
      <w:r>
        <w:rPr>
          <w:sz w:val="20"/>
          <w:szCs w:val="20"/>
          <w:color w:val="auto"/>
        </w:rPr>
        <w:tab/>
      </w:r>
      <w:r>
        <w:rPr>
          <w:rFonts w:ascii="Times New Roman" w:cs="Times New Roman" w:eastAsia="Times New Roman" w:hAnsi="Times New Roman"/>
          <w:sz w:val="20"/>
          <w:szCs w:val="20"/>
          <w:color w:val="auto"/>
        </w:rPr>
        <w:t>15</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6.06. Protective Provisions</w:t>
      </w:r>
      <w:r>
        <w:rPr>
          <w:sz w:val="20"/>
          <w:szCs w:val="20"/>
          <w:color w:val="auto"/>
        </w:rPr>
        <w:tab/>
      </w:r>
      <w:r>
        <w:rPr>
          <w:rFonts w:ascii="Times New Roman" w:cs="Times New Roman" w:eastAsia="Times New Roman" w:hAnsi="Times New Roman"/>
          <w:sz w:val="20"/>
          <w:szCs w:val="20"/>
          <w:color w:val="auto"/>
        </w:rPr>
        <w:t>15</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6.07. Notice</w:t>
      </w:r>
      <w:r>
        <w:rPr>
          <w:sz w:val="20"/>
          <w:szCs w:val="20"/>
          <w:color w:val="auto"/>
        </w:rPr>
        <w:tab/>
      </w:r>
      <w:r>
        <w:rPr>
          <w:rFonts w:ascii="Times New Roman" w:cs="Times New Roman" w:eastAsia="Times New Roman" w:hAnsi="Times New Roman"/>
          <w:sz w:val="20"/>
          <w:szCs w:val="20"/>
          <w:color w:val="auto"/>
        </w:rPr>
        <w:t>15</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6.08. Nonassignability</w:t>
      </w:r>
      <w:r>
        <w:rPr>
          <w:sz w:val="20"/>
          <w:szCs w:val="20"/>
          <w:color w:val="auto"/>
        </w:rPr>
        <w:tab/>
      </w:r>
      <w:r>
        <w:rPr>
          <w:rFonts w:ascii="Times New Roman" w:cs="Times New Roman" w:eastAsia="Times New Roman" w:hAnsi="Times New Roman"/>
          <w:sz w:val="20"/>
          <w:szCs w:val="20"/>
          <w:color w:val="auto"/>
        </w:rPr>
        <w:t>15</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6.09. Offset</w:t>
      </w:r>
      <w:r>
        <w:rPr>
          <w:sz w:val="20"/>
          <w:szCs w:val="20"/>
          <w:color w:val="auto"/>
        </w:rPr>
        <w:tab/>
      </w:r>
      <w:r>
        <w:rPr>
          <w:rFonts w:ascii="Times New Roman" w:cs="Times New Roman" w:eastAsia="Times New Roman" w:hAnsi="Times New Roman"/>
          <w:sz w:val="20"/>
          <w:szCs w:val="20"/>
          <w:color w:val="auto"/>
        </w:rPr>
        <w:t>15</w:t>
      </w:r>
    </w:p>
    <w:p>
      <w:pPr>
        <w:spacing w:after="0" w:line="22" w:lineRule="exact"/>
        <w:rPr>
          <w:sz w:val="20"/>
          <w:szCs w:val="20"/>
          <w:color w:val="auto"/>
        </w:rPr>
      </w:pPr>
    </w:p>
    <w:p>
      <w:pPr>
        <w:ind w:left="880"/>
        <w:spacing w:after="0"/>
        <w:tabs>
          <w:tab w:leader="dot" w:pos="10960" w:val="left"/>
        </w:tabs>
        <w:rPr>
          <w:sz w:val="20"/>
          <w:szCs w:val="20"/>
          <w:color w:val="auto"/>
        </w:rPr>
      </w:pPr>
      <w:r>
        <w:rPr>
          <w:rFonts w:ascii="Times New Roman" w:cs="Times New Roman" w:eastAsia="Times New Roman" w:hAnsi="Times New Roman"/>
          <w:sz w:val="21"/>
          <w:szCs w:val="21"/>
          <w:color w:val="auto"/>
        </w:rPr>
        <w:t>Section 6.10. Governing Law</w:t>
      </w:r>
      <w:r>
        <w:rPr>
          <w:sz w:val="20"/>
          <w:szCs w:val="20"/>
          <w:color w:val="auto"/>
        </w:rPr>
        <w:tab/>
      </w:r>
      <w:r>
        <w:rPr>
          <w:rFonts w:ascii="Times New Roman" w:cs="Times New Roman" w:eastAsia="Times New Roman" w:hAnsi="Times New Roman"/>
          <w:sz w:val="20"/>
          <w:szCs w:val="20"/>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371" w:right="339" w:bottom="1440"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4844-5815-6307.3</w:t>
      </w:r>
    </w:p>
    <w:p>
      <w:pPr>
        <w:sectPr>
          <w:pgSz w:w="11900" w:h="16838" w:orient="portrait"/>
          <w:cols w:equalWidth="0" w:num="1">
            <w:col w:w="11240"/>
          </w:cols>
          <w:pgMar w:left="320" w:top="1371" w:right="339" w:bottom="1440" w:gutter="0" w:footer="0" w:header="0"/>
          <w:type w:val="continuous"/>
        </w:sectPr>
      </w:pPr>
    </w:p>
    <w:bookmarkStart w:id="90" w:name="page91"/>
    <w:bookmarkEnd w:id="90"/>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MARRIOTT VACATIONS WORLDWIDE CORPORATION</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DEFERRED COMPENSATION PLAN</w:t>
      </w:r>
    </w:p>
    <w:p>
      <w:pPr>
        <w:spacing w:after="0" w:line="221" w:lineRule="exact"/>
        <w:rPr>
          <w:sz w:val="20"/>
          <w:szCs w:val="20"/>
          <w:color w:val="auto"/>
        </w:rPr>
      </w:pPr>
    </w:p>
    <w:p>
      <w:pPr>
        <w:jc w:val="both"/>
        <w:ind w:left="80" w:firstLine="1184"/>
        <w:spacing w:after="0" w:line="271" w:lineRule="auto"/>
        <w:rPr>
          <w:sz w:val="20"/>
          <w:szCs w:val="20"/>
          <w:color w:val="auto"/>
        </w:rPr>
      </w:pPr>
      <w:r>
        <w:rPr>
          <w:rFonts w:ascii="Times New Roman" w:cs="Times New Roman" w:eastAsia="Times New Roman" w:hAnsi="Times New Roman"/>
          <w:sz w:val="21"/>
          <w:szCs w:val="21"/>
          <w:color w:val="auto"/>
        </w:rPr>
        <w:t>MARRIOTT VACATIONS WORLDWIDE CORPORATION, a Delaware corporation, hereby establishes this Deferred Compensation Plan (the “Plan”), effective July 1, 2013 (the “Effective Date”), for the purpose of assisting Participants in providing tax-deferred savings for themselves and their beneficiaries. The Plan is amended and restated effective July 29, 2022.</w:t>
      </w:r>
    </w:p>
    <w:p>
      <w:pPr>
        <w:spacing w:after="0" w:line="1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ARTICLE I. DEFINITIONS</w:t>
      </w:r>
    </w:p>
    <w:p>
      <w:pPr>
        <w:spacing w:after="0" w:line="16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u w:val="single" w:color="auto"/>
          <w:color w:val="auto"/>
        </w:rPr>
        <w:t>Section 1.01. Definitions</w:t>
      </w:r>
      <w:r>
        <w:rPr>
          <w:rFonts w:ascii="Times New Roman" w:cs="Times New Roman" w:eastAsia="Times New Roman" w:hAnsi="Times New Roman"/>
          <w:sz w:val="21"/>
          <w:szCs w:val="21"/>
          <w:color w:val="auto"/>
        </w:rPr>
        <w:t>. The following terms have the following meanings unless the context clearly indicates</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otherwise:</w:t>
      </w:r>
    </w:p>
    <w:p>
      <w:pPr>
        <w:spacing w:after="0" w:line="156" w:lineRule="exact"/>
        <w:rPr>
          <w:sz w:val="20"/>
          <w:szCs w:val="20"/>
          <w:color w:val="auto"/>
        </w:rPr>
      </w:pPr>
    </w:p>
    <w:p>
      <w:pPr>
        <w:jc w:val="both"/>
        <w:ind w:left="80" w:firstLine="1188"/>
        <w:spacing w:after="0" w:line="256" w:lineRule="auto"/>
        <w:tabs>
          <w:tab w:leader="none" w:pos="172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 means the account maintained on the books of the Company and/or pursuant to any Trust Agreement for each Participant, used solely to calculate the amount payable to each Participant (or his Beneficiary) under this Plan. Separate Accounts shall be maintained on behalf of a Participant to the extent needed to properly administer the Plan and comply with the Participant’s elections. Notwithstanding the foregoing, there shall be a separate Account for Company credits described in Section 3.02(b)(i) (the “Employer Credit Account”).</w:t>
      </w:r>
    </w:p>
    <w:p>
      <w:pPr>
        <w:spacing w:after="0" w:line="120" w:lineRule="exact"/>
        <w:rPr>
          <w:rFonts w:ascii="Times New Roman" w:cs="Times New Roman" w:eastAsia="Times New Roman" w:hAnsi="Times New Roman"/>
          <w:sz w:val="21"/>
          <w:szCs w:val="21"/>
          <w:color w:val="auto"/>
        </w:rPr>
      </w:pPr>
    </w:p>
    <w:p>
      <w:pPr>
        <w:jc w:val="both"/>
        <w:ind w:left="80" w:firstLine="1188"/>
        <w:spacing w:after="0" w:line="260" w:lineRule="auto"/>
        <w:tabs>
          <w:tab w:leader="none" w:pos="1953"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“Administrator” means the Committee identified in Section 17.1 of the Marriott Vacations Worldwide Corporation Retirement Savings Plan or, to the extent the administration of the Plan entails setting the compensation of the executive officers of Marriott Vacations Worldwide Corporation within the meaning of its charter, the Compensation Policy Committee of the Board of Directors or, to the extent the administration of the Plan entails setting the compensation of the Non-Employee Directors of Marriott Vacations Worldwide Corporation, the Board of Directors.</w:t>
      </w:r>
    </w:p>
    <w:p>
      <w:pPr>
        <w:spacing w:after="0" w:line="113" w:lineRule="exact"/>
        <w:rPr>
          <w:rFonts w:ascii="Times New Roman" w:cs="Times New Roman" w:eastAsia="Times New Roman" w:hAnsi="Times New Roman"/>
          <w:sz w:val="21"/>
          <w:szCs w:val="21"/>
          <w:color w:val="auto"/>
        </w:rPr>
      </w:pPr>
    </w:p>
    <w:p>
      <w:pPr>
        <w:ind w:left="80" w:firstLine="1188"/>
        <w:spacing w:after="0" w:line="295" w:lineRule="auto"/>
        <w:tabs>
          <w:tab w:leader="none" w:pos="176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 Owner” or “Beneficial Ownership” shall have the meaning ascribed to such term in Rule 13d-3 of the General Rules and Regulations under the Exchange Act.</w:t>
      </w:r>
    </w:p>
    <w:p>
      <w:pPr>
        <w:spacing w:after="0" w:line="77" w:lineRule="exact"/>
        <w:rPr>
          <w:rFonts w:ascii="Times New Roman" w:cs="Times New Roman" w:eastAsia="Times New Roman" w:hAnsi="Times New Roman"/>
          <w:sz w:val="21"/>
          <w:szCs w:val="21"/>
          <w:color w:val="auto"/>
        </w:rPr>
      </w:pPr>
    </w:p>
    <w:p>
      <w:pPr>
        <w:jc w:val="both"/>
        <w:ind w:left="80" w:firstLine="1188"/>
        <w:spacing w:after="0" w:line="265" w:lineRule="auto"/>
        <w:tabs>
          <w:tab w:leader="none" w:pos="178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“Beneficiary” means the person(s) or entity(ies) designated by the Participant to be the beneficiary(ies) of the Participant’s Account under the Plan. If a valid designation of Beneficiary is not in effect at the time of the death of a Participant, the estate of the Participant is deemed to be the sole Beneficiary of such Account.</w:t>
      </w:r>
    </w:p>
    <w:p>
      <w:pPr>
        <w:spacing w:after="0" w:line="108"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 of Directors” means the Board of Directors of Marriott Vacations Worldwide Corporation.</w:t>
      </w:r>
    </w:p>
    <w:p>
      <w:pPr>
        <w:spacing w:after="0" w:line="179" w:lineRule="exact"/>
        <w:rPr>
          <w:rFonts w:ascii="Times New Roman" w:cs="Times New Roman" w:eastAsia="Times New Roman" w:hAnsi="Times New Roman"/>
          <w:sz w:val="21"/>
          <w:szCs w:val="21"/>
          <w:color w:val="auto"/>
        </w:rPr>
      </w:pPr>
    </w:p>
    <w:p>
      <w:pPr>
        <w:jc w:val="both"/>
        <w:ind w:left="80" w:firstLine="1188"/>
        <w:spacing w:after="0" w:line="265" w:lineRule="auto"/>
        <w:tabs>
          <w:tab w:leader="none" w:pos="175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“Bonus” means any type of incentive-based compensation that is payable in cash, whether based on objective and/or subjective criteria, and whether paid on a monthly, quarterly or other periodic basis or on an ad hoc basis, but excluding commissions.</w:t>
      </w:r>
    </w:p>
    <w:p>
      <w:pPr>
        <w:spacing w:after="0" w:line="108"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of Control” means, and shall be deemed to have occurred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440" w:right="339" w:bottom="1440" w:gutter="0" w:footer="0" w:header="0"/>
        </w:sectPr>
      </w:pPr>
    </w:p>
    <w:bookmarkStart w:id="91" w:name="page92"/>
    <w:bookmarkEnd w:id="91"/>
    <w:p>
      <w:pPr>
        <w:jc w:val="both"/>
        <w:ind w:left="1900" w:firstLine="632"/>
        <w:spacing w:after="0" w:line="255" w:lineRule="auto"/>
        <w:tabs>
          <w:tab w:leader="none" w:pos="313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directly or indirectly becomes the Beneficial Owner of more than thirty percent (30%) of the Company’s then outstanding voting securities (measured on the basis of voting power), provided that the Person (A) has not acquired such voting securities directly from the Company, (B) is not the Company or any of its Subsidiaries, (C) is not a trustee or other fiduciary holding voting securities under an employee benefit plan of the Company or any of its Subsidiaries, (D) is not an underwriter temporarily holding the voting securities in connection with an offering thereof, and (E) is not a corporation owned, directly or indirectly, by the stockholders of the Company in substantially the same proportions as their ownership of Company stock; or</w:t>
      </w:r>
    </w:p>
    <w:p>
      <w:pPr>
        <w:spacing w:after="0" w:line="131" w:lineRule="exact"/>
        <w:rPr>
          <w:rFonts w:ascii="Times New Roman" w:cs="Times New Roman" w:eastAsia="Times New Roman" w:hAnsi="Times New Roman"/>
          <w:sz w:val="21"/>
          <w:szCs w:val="21"/>
          <w:color w:val="auto"/>
        </w:rPr>
      </w:pPr>
    </w:p>
    <w:p>
      <w:pPr>
        <w:jc w:val="both"/>
        <w:ind w:left="1900" w:firstLine="632"/>
        <w:spacing w:after="0" w:line="255" w:lineRule="auto"/>
        <w:tabs>
          <w:tab w:leader="none" w:pos="3257"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merges or consolidates with any other corporation, other than a merger or consolidation resulting in 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131" w:lineRule="exact"/>
        <w:rPr>
          <w:rFonts w:ascii="Times New Roman" w:cs="Times New Roman" w:eastAsia="Times New Roman" w:hAnsi="Times New Roman"/>
          <w:sz w:val="21"/>
          <w:szCs w:val="21"/>
          <w:color w:val="auto"/>
        </w:rPr>
      </w:pPr>
    </w:p>
    <w:p>
      <w:pPr>
        <w:jc w:val="both"/>
        <w:ind w:left="1900" w:firstLine="632"/>
        <w:spacing w:after="0" w:line="259" w:lineRule="auto"/>
        <w:tabs>
          <w:tab w:leader="none" w:pos="3111"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Continuing Directors cease to represent a majority of the Board of Directors, where “Continuing Directors” shall mean the members of the Board of Directors immediately after the date this Plan is adopted, and any other director whose appointment, election or nomination for election by the stockholders is approved by at least a majority of the Continuing Directors at such time; or</w:t>
      </w:r>
    </w:p>
    <w:p>
      <w:pPr>
        <w:spacing w:after="0" w:line="115" w:lineRule="exact"/>
        <w:rPr>
          <w:rFonts w:ascii="Times New Roman" w:cs="Times New Roman" w:eastAsia="Times New Roman" w:hAnsi="Times New Roman"/>
          <w:sz w:val="21"/>
          <w:szCs w:val="21"/>
          <w:color w:val="auto"/>
        </w:rPr>
      </w:pPr>
    </w:p>
    <w:p>
      <w:pPr>
        <w:ind w:left="1900" w:firstLine="632"/>
        <w:spacing w:after="0" w:line="295" w:lineRule="auto"/>
        <w:tabs>
          <w:tab w:leader="none" w:pos="305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stockholders of the Company approve a plan of complete liquidation of the Company or the Company sells or disposes of all or substantially all of its assets.</w:t>
      </w:r>
    </w:p>
    <w:p>
      <w:pPr>
        <w:spacing w:after="0" w:line="77" w:lineRule="exact"/>
        <w:rPr>
          <w:rFonts w:ascii="Times New Roman" w:cs="Times New Roman" w:eastAsia="Times New Roman" w:hAnsi="Times New Roman"/>
          <w:sz w:val="21"/>
          <w:szCs w:val="21"/>
          <w:color w:val="auto"/>
        </w:rPr>
      </w:pPr>
    </w:p>
    <w:p>
      <w:pPr>
        <w:ind w:left="80" w:firstLine="1188"/>
        <w:spacing w:after="0" w:line="282" w:lineRule="auto"/>
        <w:tabs>
          <w:tab w:leader="none" w:pos="19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“Code” means the Internal Revenue Code of 1986, as amended, or any successor statute, including the regulations issued thereunder.</w:t>
      </w:r>
    </w:p>
    <w:p>
      <w:pPr>
        <w:spacing w:after="0" w:line="90" w:lineRule="exact"/>
        <w:rPr>
          <w:rFonts w:ascii="Times New Roman" w:cs="Times New Roman" w:eastAsia="Times New Roman" w:hAnsi="Times New Roman"/>
          <w:sz w:val="21"/>
          <w:szCs w:val="21"/>
          <w:color w:val="auto"/>
        </w:rPr>
      </w:pPr>
    </w:p>
    <w:p>
      <w:pPr>
        <w:ind w:left="1780" w:hanging="512"/>
        <w:spacing w:after="0"/>
        <w:tabs>
          <w:tab w:leader="none" w:pos="17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means Marriott Vacations Worldwide Corporation, together with any and all Subsidiaries, and any</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successors thereto.</w:t>
      </w:r>
    </w:p>
    <w:p>
      <w:pPr>
        <w:spacing w:after="0" w:line="155" w:lineRule="exact"/>
        <w:rPr>
          <w:rFonts w:ascii="Times New Roman" w:cs="Times New Roman" w:eastAsia="Times New Roman" w:hAnsi="Times New Roman"/>
          <w:sz w:val="21"/>
          <w:szCs w:val="21"/>
          <w:color w:val="auto"/>
        </w:rPr>
      </w:pPr>
    </w:p>
    <w:p>
      <w:pPr>
        <w:jc w:val="both"/>
        <w:ind w:firstLine="1268"/>
        <w:spacing w:after="0" w:line="265" w:lineRule="auto"/>
        <w:tabs>
          <w:tab w:leader="none" w:pos="1725"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means (i) with respect to employee Participants, base salary, Bonuses (both Performance-Based Compensation and otherwise) and commissions payable in cash, and (ii) with respect to Non-Employee Directors, fees payable in cash.</w:t>
      </w:r>
    </w:p>
    <w:p>
      <w:pPr>
        <w:spacing w:after="0" w:line="104" w:lineRule="exact"/>
        <w:rPr>
          <w:rFonts w:ascii="Times New Roman" w:cs="Times New Roman" w:eastAsia="Times New Roman" w:hAnsi="Times New Roman"/>
          <w:sz w:val="21"/>
          <w:szCs w:val="21"/>
          <w:color w:val="auto"/>
        </w:rPr>
      </w:pPr>
    </w:p>
    <w:p>
      <w:pPr>
        <w:jc w:val="both"/>
        <w:ind w:firstLine="1268"/>
        <w:spacing w:after="0" w:line="277" w:lineRule="auto"/>
        <w:tabs>
          <w:tab w:leader="none" w:pos="175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“Divested Participant” means a Participant who ceases to be employed by the Company or a Subsidiary as a result of a Divestiture. For clarity, a Participant who is employed by a Subsidiary that is subject to a Disposition of Equity is considered a Divested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8" w:right="339" w:bottom="1440" w:gutter="0" w:footer="0" w:header="0"/>
        </w:sectPr>
      </w:pPr>
    </w:p>
    <w:bookmarkStart w:id="92" w:name="page93"/>
    <w:bookmarkEnd w:id="92"/>
    <w:p>
      <w:pPr>
        <w:jc w:val="both"/>
        <w:ind w:firstLine="1268"/>
        <w:spacing w:after="0" w:line="260" w:lineRule="auto"/>
        <w:tabs>
          <w:tab w:leader="none" w:pos="166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“Divestiture” means either </w:t>
      </w:r>
      <w:r>
        <w:rPr>
          <w:rFonts w:ascii="Times New Roman" w:cs="Times New Roman" w:eastAsia="Times New Roman" w:hAnsi="Times New Roman"/>
          <w:sz w:val="21"/>
          <w:szCs w:val="21"/>
          <w:color w:val="auto"/>
        </w:rPr>
        <w:t>(i) the disposition by the Company or a Subsidiary of all or a portion of the assets used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by the Company or Subsidiary in a trade or business to an unrelated entity (a “Disposition of Assets”) or (ii) the disposition by the Company of its direct or indirect equity interest in a Subsidiary to an unrelated individual or entity (which, for the avoidance of doubt, excludes a spin-off or split-off or similar transaction), provided that such disposition causes the entity to cease to meet the definition of a “Subsidiary” (a “Disposition of Equity”).</w:t>
      </w:r>
    </w:p>
    <w:p>
      <w:pPr>
        <w:spacing w:after="0" w:line="113" w:lineRule="exact"/>
        <w:rPr>
          <w:rFonts w:ascii="Times New Roman" w:cs="Times New Roman" w:eastAsia="Times New Roman" w:hAnsi="Times New Roman"/>
          <w:sz w:val="20"/>
          <w:szCs w:val="20"/>
          <w:color w:val="auto"/>
        </w:rPr>
      </w:pPr>
    </w:p>
    <w:p>
      <w:pPr>
        <w:ind w:firstLine="1268"/>
        <w:spacing w:after="0" w:line="282" w:lineRule="auto"/>
        <w:tabs>
          <w:tab w:leader="none" w:pos="186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“Election Form” means the form prescribed by the Administrator on which a Participant may elect to make Participant Deferrals and/or may elect a time and form of payment of his Account(s).</w:t>
      </w:r>
    </w:p>
    <w:p>
      <w:pPr>
        <w:spacing w:after="0" w:line="103" w:lineRule="exact"/>
        <w:rPr>
          <w:rFonts w:ascii="Times New Roman" w:cs="Times New Roman" w:eastAsia="Times New Roman" w:hAnsi="Times New Roman"/>
          <w:sz w:val="21"/>
          <w:szCs w:val="21"/>
          <w:color w:val="auto"/>
        </w:rPr>
      </w:pPr>
    </w:p>
    <w:p>
      <w:pPr>
        <w:ind w:firstLine="1268"/>
        <w:spacing w:after="0" w:line="282" w:lineRule="auto"/>
        <w:tabs>
          <w:tab w:leader="none" w:pos="1783"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“Eligible Employee” means any of the following individuals for whom the Company is obligated to withhold U.S. federal payroll taxes:</w:t>
      </w:r>
    </w:p>
    <w:p>
      <w:pPr>
        <w:spacing w:after="0" w:line="90" w:lineRule="exact"/>
        <w:rPr>
          <w:rFonts w:ascii="Times New Roman" w:cs="Times New Roman" w:eastAsia="Times New Roman" w:hAnsi="Times New Roman"/>
          <w:sz w:val="21"/>
          <w:szCs w:val="21"/>
          <w:color w:val="auto"/>
        </w:rPr>
      </w:pPr>
    </w:p>
    <w:p>
      <w:pPr>
        <w:jc w:val="both"/>
        <w:ind w:left="1900" w:firstLine="632"/>
        <w:spacing w:after="0" w:line="260" w:lineRule="auto"/>
        <w:tabs>
          <w:tab w:leader="none" w:pos="3117"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employee of the Company who, as of the last day of the calendar year, (x) has been determined by the Administrator to have received wages from the Company during such year in an amount that equals or exceeds the compensation threshold in effect for such calendar year for purposes of determining who is a highly compensated employee under Code Section 414(q)(1)(B) and (y) has completed one (1) Year of Service.</w:t>
      </w:r>
    </w:p>
    <w:p>
      <w:pPr>
        <w:spacing w:after="0" w:line="60" w:lineRule="exact"/>
        <w:rPr>
          <w:rFonts w:ascii="Times New Roman" w:cs="Times New Roman" w:eastAsia="Times New Roman" w:hAnsi="Times New Roman"/>
          <w:sz w:val="21"/>
          <w:szCs w:val="21"/>
          <w:color w:val="auto"/>
        </w:rPr>
      </w:pPr>
    </w:p>
    <w:p>
      <w:pPr>
        <w:jc w:val="both"/>
        <w:ind w:left="1900" w:firstLine="632"/>
        <w:spacing w:after="0" w:line="259" w:lineRule="auto"/>
        <w:tabs>
          <w:tab w:leader="none" w:pos="3050"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employee of the Company who, (x) as of the date of hire, has a rate of base salary that the Administrator determines will equal or exceed the compensation threshold in effect for such calendar year for purposes of determining who is a highly compensated employee under Code Section 414(q)(1)(B) and (y) has completed ninety (90) days of employment with the Company.</w:t>
      </w:r>
    </w:p>
    <w:p>
      <w:pPr>
        <w:spacing w:after="0" w:line="76" w:lineRule="exact"/>
        <w:rPr>
          <w:rFonts w:ascii="Times New Roman" w:cs="Times New Roman" w:eastAsia="Times New Roman" w:hAnsi="Times New Roman"/>
          <w:sz w:val="21"/>
          <w:szCs w:val="21"/>
          <w:color w:val="auto"/>
        </w:rPr>
      </w:pPr>
    </w:p>
    <w:p>
      <w:pPr>
        <w:ind w:left="3060" w:hanging="528"/>
        <w:spacing w:after="0"/>
        <w:tabs>
          <w:tab w:leader="none" w:pos="3060"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employee of the Company as may be designated by the Administrator.</w:t>
      </w:r>
    </w:p>
    <w:p>
      <w:pPr>
        <w:spacing w:after="0" w:line="11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“Employer Credits” means an allocation described in Section 3.02(b).</w:t>
      </w:r>
    </w:p>
    <w:p>
      <w:pPr>
        <w:spacing w:after="0" w:line="153" w:lineRule="exact"/>
        <w:rPr>
          <w:rFonts w:ascii="Times New Roman" w:cs="Times New Roman" w:eastAsia="Times New Roman" w:hAnsi="Times New Roman"/>
          <w:sz w:val="21"/>
          <w:szCs w:val="21"/>
          <w:color w:val="auto"/>
        </w:rPr>
      </w:pPr>
    </w:p>
    <w:p>
      <w:pPr>
        <w:jc w:val="both"/>
        <w:ind w:firstLine="1268"/>
        <w:spacing w:after="0" w:line="253" w:lineRule="auto"/>
        <w:tabs>
          <w:tab w:leader="none" w:pos="1828"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“Engaging in Competition” means (i) during the relevant period, engaging, individually or as an employee, consultant, owner (more than five percent (5%)) or agent of any entity, in or on behalf of any business engaged in significant competition (or that transacts or cooperates with another business in activities of significant competition) with any business operated by the Company or with interests adverse to those of the Company; (ii) during the relevant period, soliciting and hiring a key employee of the Company in another business, whether or not in significant competition with any business operated by the Company; or (iii) using or disclosing confidential or proprietary information, in each case, without the approval of the Company. For purposes hereof, the “relevant period” means the period during which the Participant provides services to the Company and the five</w:t>
      </w:r>
    </w:p>
    <w:p>
      <w:pPr>
        <w:spacing w:after="0" w:line="5" w:lineRule="exact"/>
        <w:rPr>
          <w:rFonts w:ascii="Times New Roman" w:cs="Times New Roman" w:eastAsia="Times New Roman" w:hAnsi="Times New Roman"/>
          <w:sz w:val="21"/>
          <w:szCs w:val="21"/>
          <w:color w:val="auto"/>
        </w:rPr>
      </w:pPr>
    </w:p>
    <w:p>
      <w:pPr>
        <w:ind w:left="300" w:hanging="295"/>
        <w:spacing w:after="0"/>
        <w:tabs>
          <w:tab w:leader="none" w:pos="30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 (or such shorter period as is agreed to by the Administrator in writing) period thereafter.</w:t>
      </w:r>
    </w:p>
    <w:p>
      <w:pPr>
        <w:spacing w:after="0" w:line="129" w:lineRule="exact"/>
        <w:rPr>
          <w:rFonts w:ascii="Times New Roman" w:cs="Times New Roman" w:eastAsia="Times New Roman" w:hAnsi="Times New Roman"/>
          <w:sz w:val="21"/>
          <w:szCs w:val="21"/>
          <w:color w:val="auto"/>
        </w:rPr>
      </w:pPr>
    </w:p>
    <w:p>
      <w:pPr>
        <w:ind w:firstLine="1268"/>
        <w:spacing w:after="0" w:line="282" w:lineRule="auto"/>
        <w:tabs>
          <w:tab w:leader="none" w:pos="1774"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“Exchange Act” means the Securities Exchange Act of 1934, as amended from time to time, or any successor statute, including the regulations issued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9" w:right="339" w:bottom="1440" w:gutter="0" w:footer="0" w:header="0"/>
        </w:sectPr>
      </w:pPr>
    </w:p>
    <w:bookmarkStart w:id="93" w:name="page94"/>
    <w:bookmarkEnd w:id="93"/>
    <w:p>
      <w:pPr>
        <w:ind w:left="1720" w:hanging="452"/>
        <w:spacing w:after="0"/>
        <w:tabs>
          <w:tab w:leader="none" w:pos="172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“Non-Employee Director” means an individual who is not an employee of the Company and is a member of the</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Board of Directors.</w:t>
      </w:r>
    </w:p>
    <w:p>
      <w:pPr>
        <w:spacing w:after="0" w:line="142" w:lineRule="exact"/>
        <w:rPr>
          <w:rFonts w:ascii="Times New Roman" w:cs="Times New Roman" w:eastAsia="Times New Roman" w:hAnsi="Times New Roman"/>
          <w:sz w:val="21"/>
          <w:szCs w:val="21"/>
          <w:color w:val="auto"/>
        </w:rPr>
      </w:pPr>
    </w:p>
    <w:p>
      <w:pPr>
        <w:ind w:firstLine="1268"/>
        <w:spacing w:after="0" w:line="295" w:lineRule="auto"/>
        <w:tabs>
          <w:tab w:leader="none" w:pos="181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means an Eligible Employee or a Non-Employee Director with respect to whom amounts are deferred under the Plan.</w:t>
      </w:r>
    </w:p>
    <w:p>
      <w:pPr>
        <w:spacing w:after="0" w:line="77" w:lineRule="exact"/>
        <w:rPr>
          <w:rFonts w:ascii="Times New Roman" w:cs="Times New Roman" w:eastAsia="Times New Roman" w:hAnsi="Times New Roman"/>
          <w:sz w:val="21"/>
          <w:szCs w:val="21"/>
          <w:color w:val="auto"/>
        </w:rPr>
      </w:pPr>
    </w:p>
    <w:p>
      <w:pPr>
        <w:ind w:left="1780" w:hanging="512"/>
        <w:spacing w:after="0"/>
        <w:tabs>
          <w:tab w:leader="none" w:pos="178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Deferrals” means Compensation deferred pursuant to Section 3.02(a), including in the form of a</w:t>
      </w:r>
    </w:p>
    <w:p>
      <w:pPr>
        <w:spacing w:after="0" w:line="3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Spillover Deferral.</w:t>
      </w:r>
    </w:p>
    <w:p>
      <w:pPr>
        <w:spacing w:after="0" w:line="142" w:lineRule="exact"/>
        <w:rPr>
          <w:rFonts w:ascii="Times New Roman" w:cs="Times New Roman" w:eastAsia="Times New Roman" w:hAnsi="Times New Roman"/>
          <w:sz w:val="21"/>
          <w:szCs w:val="21"/>
          <w:color w:val="auto"/>
        </w:rPr>
      </w:pPr>
    </w:p>
    <w:p>
      <w:pPr>
        <w:jc w:val="both"/>
        <w:ind w:firstLine="1268"/>
        <w:spacing w:after="0" w:line="255" w:lineRule="auto"/>
        <w:tabs>
          <w:tab w:leader="none" w:pos="186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“Performance-Based Compensation” means cash compensation the amount of which, or the entitlement to which, is contingent on the satisfaction of preestablished organizational or individual performance criteria relating to a performance period of at least 12 consecutive months. Organizational or individual performance criteria are considered preestablished if established in writing by not later than ninety (90) days after the commencement of the period of service to which the criteria relates, provided that the outcome is substantially uncertain at the time the criteria are established. If a Participant initially becomes eligible to participate in the Plan on a date other than January 1, then the amount of Performance-Based Compensation that may be deferred for such initial year of participation shall be limited to the total amount of such Performance-Based Compensation multiplied by the ratio (rounded down to the nearest whole percentage) of the number of days remaining in the year after the Election Form is filed over the total number of days in the year.</w:t>
      </w:r>
    </w:p>
    <w:p>
      <w:pPr>
        <w:spacing w:after="0" w:line="125" w:lineRule="exact"/>
        <w:rPr>
          <w:rFonts w:ascii="Times New Roman" w:cs="Times New Roman" w:eastAsia="Times New Roman" w:hAnsi="Times New Roman"/>
          <w:sz w:val="21"/>
          <w:szCs w:val="21"/>
          <w:color w:val="auto"/>
        </w:rPr>
      </w:pPr>
    </w:p>
    <w:p>
      <w:pPr>
        <w:ind w:firstLine="1268"/>
        <w:spacing w:after="0" w:line="282" w:lineRule="auto"/>
        <w:tabs>
          <w:tab w:leader="none" w:pos="1827"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“Person” shall have the meaning ascribed to such term in Section 3(a)(9) of the Exchange Act and used in Sections 13(d) and 14(d) thereof, including a “group” as defined in Section 13(d) thereof.</w:t>
      </w:r>
    </w:p>
    <w:p>
      <w:pPr>
        <w:spacing w:after="0" w:line="90" w:lineRule="exact"/>
        <w:rPr>
          <w:rFonts w:ascii="Times New Roman" w:cs="Times New Roman" w:eastAsia="Times New Roman" w:hAnsi="Times New Roman"/>
          <w:sz w:val="21"/>
          <w:szCs w:val="21"/>
          <w:color w:val="auto"/>
        </w:rPr>
      </w:pPr>
    </w:p>
    <w:p>
      <w:pPr>
        <w:jc w:val="both"/>
        <w:ind w:firstLine="1268"/>
        <w:spacing w:after="0" w:line="257" w:lineRule="auto"/>
        <w:tabs>
          <w:tab w:leader="none" w:pos="182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“Plan” means this Marriott Vacations Worldwide Corporation Deferred Compensation Plan, as amended from time to time. This plan is an unfunded plan maintained primarily to provide deferred compensation benefits for a select group of "management or highly-compensated employees" within the meaning of Sections 201, 301, and 401 of the Employee Retirement Income Security Act of 1974, as amended ("ERISA"), and therefore is exempt from the provisions of Parts 2, 3 and 4 of Title I of</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ERISA.</w:t>
      </w:r>
    </w:p>
    <w:p>
      <w:pPr>
        <w:spacing w:after="0" w:line="142" w:lineRule="exact"/>
        <w:rPr>
          <w:rFonts w:ascii="Times New Roman" w:cs="Times New Roman" w:eastAsia="Times New Roman" w:hAnsi="Times New Roman"/>
          <w:sz w:val="21"/>
          <w:szCs w:val="21"/>
          <w:color w:val="auto"/>
        </w:rPr>
      </w:pPr>
    </w:p>
    <w:p>
      <w:pPr>
        <w:jc w:val="both"/>
        <w:ind w:firstLine="1268"/>
        <w:spacing w:after="0" w:line="264" w:lineRule="auto"/>
        <w:tabs>
          <w:tab w:leader="none" w:pos="175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 means a Participant’s Separation from Service (for reasons other than cause, as determined in the reasonable, good faith discretion of the Compensation Policy Committee of the Board of Directors or a subcommittee of one or more officers of the Company to whom the Committee delegates authority to make such determinations) after reaching age fifty-five (55) and having completed ten (10) Years of Service.</w:t>
      </w:r>
    </w:p>
    <w:p>
      <w:pPr>
        <w:spacing w:after="0" w:line="108" w:lineRule="exact"/>
        <w:rPr>
          <w:rFonts w:ascii="Times New Roman" w:cs="Times New Roman" w:eastAsia="Times New Roman" w:hAnsi="Times New Roman"/>
          <w:sz w:val="21"/>
          <w:szCs w:val="21"/>
          <w:color w:val="auto"/>
        </w:rPr>
      </w:pPr>
    </w:p>
    <w:p>
      <w:pPr>
        <w:ind w:firstLine="1268"/>
        <w:spacing w:after="0" w:line="282" w:lineRule="auto"/>
        <w:tabs>
          <w:tab w:leader="none" w:pos="181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 Savings Plan” means the Marriott Vacations Worldwide Corporation 401(k) Retirement Savings Plan, or any successor plan thereto.</w:t>
      </w:r>
    </w:p>
    <w:p>
      <w:pPr>
        <w:spacing w:after="0" w:line="90" w:lineRule="exact"/>
        <w:rPr>
          <w:rFonts w:ascii="Times New Roman" w:cs="Times New Roman" w:eastAsia="Times New Roman" w:hAnsi="Times New Roman"/>
          <w:sz w:val="21"/>
          <w:szCs w:val="21"/>
          <w:color w:val="auto"/>
        </w:rPr>
      </w:pPr>
    </w:p>
    <w:p>
      <w:pPr>
        <w:ind w:firstLine="1268"/>
        <w:spacing w:after="0" w:line="282" w:lineRule="auto"/>
        <w:tabs>
          <w:tab w:leader="none" w:pos="173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“Separation from Service” means a termination of service with the Company that constitutes a “separation from service” within the meaning of Treasury Regulation Section 1.409A-1(h).</w:t>
      </w:r>
    </w:p>
    <w:p>
      <w:pPr>
        <w:spacing w:after="0" w:line="104" w:lineRule="exact"/>
        <w:rPr>
          <w:sz w:val="20"/>
          <w:szCs w:val="20"/>
          <w:color w:val="auto"/>
        </w:rPr>
      </w:pPr>
    </w:p>
    <w:p>
      <w:pPr>
        <w:ind w:firstLine="1268"/>
        <w:spacing w:after="0" w:line="282" w:lineRule="auto"/>
        <w:tabs>
          <w:tab w:leader="none" w:pos="183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“Specified Employee” means a person described under Treasury Regulation Section 1.409A-1(i), applying the default rules thereunder.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8" w:right="339" w:bottom="1440" w:gutter="0" w:footer="0" w:header="0"/>
        </w:sectPr>
      </w:pPr>
    </w:p>
    <w:bookmarkStart w:id="94" w:name="page95"/>
    <w:bookmarkEnd w:id="94"/>
    <w:p>
      <w:pPr>
        <w:jc w:val="both"/>
        <w:ind w:firstLine="1268"/>
        <w:spacing w:after="0" w:line="255" w:lineRule="auto"/>
        <w:tabs>
          <w:tab w:leader="none" w:pos="184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“Spillover Deferral” means a deferral of Compensation pursuant to a Participant’s irrevocable election to defer under this Plan a percentage of his Compensation equal to the percentage the Participant has elected to contribute on a pre-tax basis to the Retirement Savings Plan for a given plan year, with such Spillover Deferrals commencing at the time the Participant’s pre-tax Retirement Savings Plan contributions are suspended for the plan year as the result of the imposition of any limitations in Sections 401(a)(17), 402(g) or 415(c) of the Code, or any other applicable limit imposed by the Retirement Savings Plan, and continuing for the remainder of the plan year; provided that a Participant who elects to make Spillover Deferrals will be deemed to have made a commitment to maintain his Retirement Savings Plan election in effect for the entire plan year (up to the time of such suspension) without change.</w:t>
      </w:r>
    </w:p>
    <w:p>
      <w:pPr>
        <w:spacing w:after="0" w:line="131" w:lineRule="exact"/>
        <w:rPr>
          <w:rFonts w:ascii="Times New Roman" w:cs="Times New Roman" w:eastAsia="Times New Roman" w:hAnsi="Times New Roman"/>
          <w:sz w:val="21"/>
          <w:szCs w:val="21"/>
          <w:color w:val="auto"/>
        </w:rPr>
      </w:pPr>
    </w:p>
    <w:p>
      <w:pPr>
        <w:jc w:val="both"/>
        <w:ind w:firstLine="1268"/>
        <w:spacing w:after="0" w:line="265" w:lineRule="auto"/>
        <w:tabs>
          <w:tab w:leader="none" w:pos="182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“Subsidiary” means any corporation, partnership, joint venture, trust or other entity in which the Company has a controlling interest as defined in Treasury Regulation Section 1.414(c)-2(b)(2), except that the threshold interest shall be “more than fifty percent (50%)” instead of “at least eighty percent (80%).”</w:t>
      </w:r>
    </w:p>
    <w:p>
      <w:pPr>
        <w:spacing w:after="0" w:line="108" w:lineRule="exact"/>
        <w:rPr>
          <w:rFonts w:ascii="Times New Roman" w:cs="Times New Roman" w:eastAsia="Times New Roman" w:hAnsi="Times New Roman"/>
          <w:sz w:val="21"/>
          <w:szCs w:val="21"/>
          <w:color w:val="auto"/>
        </w:rPr>
      </w:pPr>
    </w:p>
    <w:p>
      <w:pPr>
        <w:jc w:val="both"/>
        <w:ind w:firstLine="1268"/>
        <w:spacing w:after="0" w:line="265" w:lineRule="auto"/>
        <w:tabs>
          <w:tab w:leader="none" w:pos="192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“Trust Agreement” means a trust agreement entered into by the Company and a trustee designated in such Agreement from time to time to implement and carry out the provisions of the Plan. Such Trust Agreement is incorporated herein by this reference.</w:t>
      </w:r>
    </w:p>
    <w:p>
      <w:pPr>
        <w:spacing w:after="0" w:line="121" w:lineRule="exact"/>
        <w:rPr>
          <w:rFonts w:ascii="Times New Roman" w:cs="Times New Roman" w:eastAsia="Times New Roman" w:hAnsi="Times New Roman"/>
          <w:sz w:val="21"/>
          <w:szCs w:val="21"/>
          <w:color w:val="auto"/>
        </w:rPr>
      </w:pPr>
    </w:p>
    <w:p>
      <w:pPr>
        <w:jc w:val="both"/>
        <w:ind w:firstLine="1268"/>
        <w:spacing w:after="0" w:line="259" w:lineRule="auto"/>
        <w:tabs>
          <w:tab w:leader="none" w:pos="186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“Unforeseeable Emergency” means any of (a) a severe financial hardship to the Participant, the Participant’s spouse, the Participant’s Beneficiary or the Participant’s dependent; (b) loss of the Participant’s property due to casualty; or (c) other similar extraordinary and unforeseeable circumstances arising as a result of events beyond the control of the Participant, which creates an emergency financial need for the Participant.</w:t>
      </w:r>
    </w:p>
    <w:p>
      <w:pPr>
        <w:spacing w:after="0" w:line="115" w:lineRule="exact"/>
        <w:rPr>
          <w:rFonts w:ascii="Times New Roman" w:cs="Times New Roman" w:eastAsia="Times New Roman" w:hAnsi="Times New Roman"/>
          <w:sz w:val="21"/>
          <w:szCs w:val="21"/>
          <w:color w:val="auto"/>
        </w:rPr>
      </w:pPr>
    </w:p>
    <w:p>
      <w:pPr>
        <w:ind w:firstLine="1268"/>
        <w:spacing w:after="0" w:line="295" w:lineRule="auto"/>
        <w:tabs>
          <w:tab w:leader="none" w:pos="18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“Year of Service” is employment by or service with the Company (or Marriott International, Inc. together with any and all Subsidiaries prior to November 19, 2011) for twelve (12) months.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II. PARTICIPATION</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u w:val="single" w:color="auto"/>
          <w:color w:val="auto"/>
        </w:rPr>
        <w:t>Section 2.01. Participation</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9" w:lineRule="exact"/>
        <w:rPr>
          <w:sz w:val="20"/>
          <w:szCs w:val="20"/>
          <w:color w:val="auto"/>
        </w:rPr>
      </w:pPr>
    </w:p>
    <w:p>
      <w:pPr>
        <w:ind w:firstLine="1268"/>
        <w:spacing w:after="0" w:line="271" w:lineRule="auto"/>
        <w:tabs>
          <w:tab w:leader="none" w:pos="178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who qualifies as an Eligible Employee or Non-Employee Director as of the Effective Date is eligible to participate in the Plan on the Effective Date.</w:t>
      </w:r>
    </w:p>
    <w:p>
      <w:pPr>
        <w:spacing w:after="0" w:line="101" w:lineRule="exact"/>
        <w:rPr>
          <w:rFonts w:ascii="Times New Roman" w:cs="Times New Roman" w:eastAsia="Times New Roman" w:hAnsi="Times New Roman"/>
          <w:sz w:val="21"/>
          <w:szCs w:val="21"/>
          <w:color w:val="auto"/>
        </w:rPr>
      </w:pPr>
    </w:p>
    <w:p>
      <w:pPr>
        <w:ind w:firstLine="1268"/>
        <w:spacing w:after="0" w:line="282" w:lineRule="auto"/>
        <w:tabs>
          <w:tab w:leader="none" w:pos="1726"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individual who first satisfies the requirements to become an Eligible Employee after the Effective Date shall be eligible to participate on the first day of month following the date on which the individual satisfied such requirements.</w:t>
      </w:r>
    </w:p>
    <w:p>
      <w:pPr>
        <w:spacing w:after="0" w:line="90" w:lineRule="exact"/>
        <w:rPr>
          <w:rFonts w:ascii="Times New Roman" w:cs="Times New Roman" w:eastAsia="Times New Roman" w:hAnsi="Times New Roman"/>
          <w:sz w:val="21"/>
          <w:szCs w:val="21"/>
          <w:color w:val="auto"/>
        </w:rPr>
      </w:pPr>
    </w:p>
    <w:p>
      <w:pPr>
        <w:ind w:firstLine="1268"/>
        <w:spacing w:after="0" w:line="282" w:lineRule="auto"/>
        <w:tabs>
          <w:tab w:leader="none" w:pos="172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new Non-Employee Director after the Effective Date shall be eligible to participate on the date the individual becomes a Non-Employee Director.</w:t>
      </w:r>
    </w:p>
    <w:p>
      <w:pPr>
        <w:spacing w:after="0" w:line="90" w:lineRule="exact"/>
        <w:rPr>
          <w:sz w:val="20"/>
          <w:szCs w:val="20"/>
          <w:color w:val="auto"/>
        </w:rPr>
      </w:pPr>
    </w:p>
    <w:p>
      <w:pPr>
        <w:jc w:val="both"/>
        <w:ind w:firstLine="1184"/>
        <w:spacing w:after="0" w:line="271" w:lineRule="auto"/>
        <w:rPr>
          <w:sz w:val="20"/>
          <w:szCs w:val="20"/>
          <w:color w:val="auto"/>
        </w:rPr>
      </w:pPr>
      <w:r>
        <w:rPr>
          <w:rFonts w:ascii="Times New Roman" w:cs="Times New Roman" w:eastAsia="Times New Roman" w:hAnsi="Times New Roman"/>
          <w:sz w:val="21"/>
          <w:szCs w:val="21"/>
          <w:u w:val="single" w:color="auto"/>
          <w:color w:val="auto"/>
        </w:rPr>
        <w:t>Section 2.02. Termination of Participation</w:t>
      </w:r>
      <w:r>
        <w:rPr>
          <w:rFonts w:ascii="Times New Roman" w:cs="Times New Roman" w:eastAsia="Times New Roman" w:hAnsi="Times New Roman"/>
          <w:sz w:val="21"/>
          <w:szCs w:val="21"/>
          <w:color w:val="auto"/>
        </w:rPr>
        <w:t>. A Participant has no further right to receive Employer Credits or otherwise defer Compensation under the Plan upon termination of service with the Company, or upon receipt of written notice by the Administrator that the Participant has ceased to be eligible for the Plan; provided that any Participant Deferrals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8" w:right="339" w:bottom="1440" w:gutter="0" w:footer="0" w:header="0"/>
        </w:sectPr>
      </w:pPr>
    </w:p>
    <w:bookmarkStart w:id="95" w:name="page96"/>
    <w:bookmarkEnd w:id="95"/>
    <w:p>
      <w:pPr>
        <w:jc w:val="both"/>
        <w:spacing w:after="0" w:line="265" w:lineRule="auto"/>
        <w:rPr>
          <w:sz w:val="20"/>
          <w:szCs w:val="20"/>
          <w:color w:val="auto"/>
        </w:rPr>
      </w:pPr>
      <w:r>
        <w:rPr>
          <w:rFonts w:ascii="Times New Roman" w:cs="Times New Roman" w:eastAsia="Times New Roman" w:hAnsi="Times New Roman"/>
          <w:sz w:val="21"/>
          <w:szCs w:val="21"/>
          <w:color w:val="auto"/>
        </w:rPr>
        <w:t>must be irrevocable under Code Section 409A shall continue to be made according to such election. If a Participant terminates service with the Company and subsequently returns to service, he shall be treated as a new employee or other potential Participant for all Plan purposes.</w:t>
      </w:r>
    </w:p>
    <w:p>
      <w:pPr>
        <w:spacing w:after="0" w:line="1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u w:val="single" w:color="auto"/>
          <w:color w:val="auto"/>
        </w:rPr>
        <w:t>Section 2.03. Election Forms; Deferral Elections</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ind w:firstLine="1268"/>
        <w:spacing w:after="0" w:line="258" w:lineRule="auto"/>
        <w:tabs>
          <w:tab w:leader="none" w:pos="187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Deferral Elections</w:t>
      </w:r>
      <w:r>
        <w:rPr>
          <w:rFonts w:ascii="Times New Roman" w:cs="Times New Roman" w:eastAsia="Times New Roman" w:hAnsi="Times New Roman"/>
          <w:sz w:val="21"/>
          <w:szCs w:val="21"/>
          <w:color w:val="auto"/>
        </w:rPr>
        <w:t>. An Eligible Employee or Non-Employee Director may make Participant Deferrals by executing and filing with the Administrator an Election Form, subject to the terms and conditions described herein.</w:t>
      </w:r>
    </w:p>
    <w:p>
      <w:pPr>
        <w:spacing w:after="0" w:line="114" w:lineRule="exact"/>
        <w:rPr>
          <w:rFonts w:ascii="Times New Roman" w:cs="Times New Roman" w:eastAsia="Times New Roman" w:hAnsi="Times New Roman"/>
          <w:sz w:val="21"/>
          <w:szCs w:val="21"/>
          <w:color w:val="auto"/>
        </w:rPr>
      </w:pPr>
    </w:p>
    <w:p>
      <w:pPr>
        <w:jc w:val="both"/>
        <w:ind w:left="1900" w:firstLine="632"/>
        <w:spacing w:after="0" w:line="260" w:lineRule="auto"/>
        <w:tabs>
          <w:tab w:leader="none" w:pos="2959"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individuals who first become Eligible Employees or Non-Employee Directors other than on a January 1, the individual may file an Election Form within the first thirty (30) days after the individual becomes an Eligible Employee or Non-Employee Director, as applicable. Such deferral shall apply only to Compensation earned after the date the Election Form is filed with the Administrator and shall be irrevocable for the remainder of the calendar year.</w:t>
      </w:r>
    </w:p>
    <w:p>
      <w:pPr>
        <w:spacing w:after="0" w:line="113" w:lineRule="exact"/>
        <w:rPr>
          <w:rFonts w:ascii="Times New Roman" w:cs="Times New Roman" w:eastAsia="Times New Roman" w:hAnsi="Times New Roman"/>
          <w:sz w:val="21"/>
          <w:szCs w:val="21"/>
          <w:color w:val="auto"/>
        </w:rPr>
      </w:pPr>
    </w:p>
    <w:p>
      <w:pPr>
        <w:ind w:left="3000" w:hanging="468"/>
        <w:spacing w:after="0"/>
        <w:tabs>
          <w:tab w:leader="none" w:pos="300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all other Eligible Employees or Non-Employee Directors:</w:t>
      </w:r>
    </w:p>
    <w:p>
      <w:pPr>
        <w:spacing w:after="0" w:line="153" w:lineRule="exact"/>
        <w:rPr>
          <w:rFonts w:ascii="Times New Roman" w:cs="Times New Roman" w:eastAsia="Times New Roman" w:hAnsi="Times New Roman"/>
          <w:sz w:val="21"/>
          <w:szCs w:val="21"/>
          <w:color w:val="auto"/>
        </w:rPr>
      </w:pPr>
    </w:p>
    <w:p>
      <w:pPr>
        <w:jc w:val="both"/>
        <w:ind w:left="2540" w:firstLine="623"/>
        <w:spacing w:after="0" w:line="259" w:lineRule="auto"/>
        <w:tabs>
          <w:tab w:leader="none" w:pos="3675" w:val="left"/>
        </w:tabs>
        <w:numPr>
          <w:ilvl w:val="2"/>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December 31 of a year (or such earlier date specified by the Administrator), the Eligible Employee or Non-Employee Director may file an Election Form with respect to Compensation earned for the following calendar year. The last election filed by December 31 (or such earlier date specified by the Administrator) shall be irrevocable for the following calendar year.</w:t>
      </w:r>
    </w:p>
    <w:p>
      <w:pPr>
        <w:spacing w:after="0" w:line="102" w:lineRule="exact"/>
        <w:rPr>
          <w:rFonts w:ascii="Times New Roman" w:cs="Times New Roman" w:eastAsia="Times New Roman" w:hAnsi="Times New Roman"/>
          <w:sz w:val="21"/>
          <w:szCs w:val="21"/>
          <w:color w:val="auto"/>
        </w:rPr>
      </w:pPr>
    </w:p>
    <w:p>
      <w:pPr>
        <w:jc w:val="both"/>
        <w:ind w:left="2540" w:firstLine="623"/>
        <w:spacing w:after="0" w:line="255" w:lineRule="auto"/>
        <w:tabs>
          <w:tab w:leader="none" w:pos="3694" w:val="left"/>
        </w:tabs>
        <w:numPr>
          <w:ilvl w:val="2"/>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Administrator may allow an Eligible Employee or a Non-Employee Director to file an Election Form to defer Performance-Based Compensation prior to the date that is six (6) months before the end of the performance period; provided that such election shall be given effect only with respect to the portion of the Performance-Based Compensation that is not then reasonably ascertainable and only if the Eligible Employee or Non-Employee Director has performed services for the Company continuously from the later of the beginning of the performance period or the date the performance criteria were established through the date on which the Election Form is filed with the Administrator. Such election shall be made by the deadline specified by the Administrator and shall be irrevocable with respect to the Performance-Based Compensation to which it relates.</w:t>
      </w:r>
    </w:p>
    <w:p>
      <w:pPr>
        <w:spacing w:after="0" w:line="105" w:lineRule="exact"/>
        <w:rPr>
          <w:rFonts w:ascii="Times New Roman" w:cs="Times New Roman" w:eastAsia="Times New Roman" w:hAnsi="Times New Roman"/>
          <w:sz w:val="21"/>
          <w:szCs w:val="21"/>
          <w:color w:val="auto"/>
        </w:rPr>
      </w:pPr>
    </w:p>
    <w:p>
      <w:pPr>
        <w:ind w:left="1900" w:firstLine="632"/>
        <w:spacing w:after="0" w:line="282" w:lineRule="auto"/>
        <w:tabs>
          <w:tab w:leader="none" w:pos="3167"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Administrator determines otherwise, Participant Deferral elections shall not carry over from year to year, and shall not carry over with respect to future Performance-Based Compensation.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9" w:right="339" w:bottom="1440" w:gutter="0" w:footer="0" w:header="0"/>
        </w:sectPr>
      </w:pPr>
    </w:p>
    <w:bookmarkStart w:id="96" w:name="page97"/>
    <w:bookmarkEnd w:id="96"/>
    <w:p>
      <w:pPr>
        <w:jc w:val="both"/>
        <w:ind w:firstLine="1268"/>
        <w:spacing w:after="0" w:line="260" w:lineRule="auto"/>
        <w:tabs>
          <w:tab w:leader="none" w:pos="179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Distribution Elections</w:t>
      </w:r>
      <w:r>
        <w:rPr>
          <w:rFonts w:ascii="Times New Roman" w:cs="Times New Roman" w:eastAsia="Times New Roman" w:hAnsi="Times New Roman"/>
          <w:sz w:val="21"/>
          <w:szCs w:val="21"/>
          <w:color w:val="auto"/>
        </w:rPr>
        <w:t>. Within the same time periods as are specified under subsection (a) above, an Eligible Employee or a Non-Employee Director may file an Election Form specifying the time and form of payment of the Account(s) to which the election applies. The Administrator may permit an Eligible Employee or a Non-Employee Director to select a different time and form of payment for each type of Account established for the year. In the absence of an election, Section 4.02(d) shall apply.</w:t>
      </w:r>
    </w:p>
    <w:p>
      <w:pPr>
        <w:spacing w:after="0" w:line="113" w:lineRule="exact"/>
        <w:rPr>
          <w:rFonts w:ascii="Times New Roman" w:cs="Times New Roman" w:eastAsia="Times New Roman" w:hAnsi="Times New Roman"/>
          <w:sz w:val="21"/>
          <w:szCs w:val="21"/>
          <w:color w:val="auto"/>
        </w:rPr>
      </w:pPr>
    </w:p>
    <w:p>
      <w:pPr>
        <w:jc w:val="both"/>
        <w:ind w:firstLine="1268"/>
        <w:spacing w:after="0" w:line="265" w:lineRule="auto"/>
        <w:tabs>
          <w:tab w:leader="none" w:pos="1707"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Administrative Rules</w:t>
      </w:r>
      <w:r>
        <w:rPr>
          <w:rFonts w:ascii="Times New Roman" w:cs="Times New Roman" w:eastAsia="Times New Roman" w:hAnsi="Times New Roman"/>
          <w:sz w:val="21"/>
          <w:szCs w:val="21"/>
          <w:color w:val="auto"/>
        </w:rPr>
        <w:t>. The Administrator shall determine the form of the Election Form from time to time. Upon the filing of an Election Form, an Eligible Employee or Non-Employee Director shall be bound by all the terms and conditions of the Plan and such Election Form.</w:t>
      </w:r>
    </w:p>
    <w:p>
      <w:pPr>
        <w:spacing w:after="0" w:line="1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u w:val="single" w:color="auto"/>
          <w:color w:val="auto"/>
        </w:rPr>
        <w:t>Section 2.04. Limits on Deferrals</w:t>
      </w:r>
      <w:r>
        <w:rPr>
          <w:rFonts w:ascii="Times New Roman" w:cs="Times New Roman" w:eastAsia="Times New Roman" w:hAnsi="Times New Roman"/>
          <w:sz w:val="21"/>
          <w:szCs w:val="21"/>
          <w:color w:val="auto"/>
        </w:rPr>
        <w:t>. The permitted deferral percentage(s) with respect to Participant Deferrals are as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follows:</w:t>
      </w:r>
    </w:p>
    <w:p>
      <w:pPr>
        <w:spacing w:after="0" w:line="142" w:lineRule="exact"/>
        <w:rPr>
          <w:sz w:val="20"/>
          <w:szCs w:val="20"/>
          <w:color w:val="auto"/>
        </w:rPr>
      </w:pPr>
    </w:p>
    <w:p>
      <w:pPr>
        <w:ind w:firstLine="1268"/>
        <w:spacing w:after="0" w:line="282" w:lineRule="auto"/>
        <w:tabs>
          <w:tab w:leader="none" w:pos="173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salary: any percentage (in whole or fractional percentages up to one decimal point) from one percent (1%) to eighty percent (80%).</w:t>
      </w:r>
    </w:p>
    <w:p>
      <w:pPr>
        <w:spacing w:after="0" w:line="90" w:lineRule="exact"/>
        <w:rPr>
          <w:rFonts w:ascii="Times New Roman" w:cs="Times New Roman" w:eastAsia="Times New Roman" w:hAnsi="Times New Roman"/>
          <w:sz w:val="21"/>
          <w:szCs w:val="21"/>
          <w:color w:val="auto"/>
        </w:rPr>
      </w:pPr>
    </w:p>
    <w:p>
      <w:pPr>
        <w:ind w:firstLine="1268"/>
        <w:spacing w:after="0" w:line="282" w:lineRule="auto"/>
        <w:tabs>
          <w:tab w:leader="none" w:pos="175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Bonus (including Performance-Based Compensation): any percentage (in whole or fractional percentages up to one decimal point) from one percent (1%) to eighty percent (80%).</w:t>
      </w:r>
    </w:p>
    <w:p>
      <w:pPr>
        <w:spacing w:after="0" w:line="103" w:lineRule="exact"/>
        <w:rPr>
          <w:rFonts w:ascii="Times New Roman" w:cs="Times New Roman" w:eastAsia="Times New Roman" w:hAnsi="Times New Roman"/>
          <w:sz w:val="21"/>
          <w:szCs w:val="21"/>
          <w:color w:val="auto"/>
        </w:rPr>
      </w:pPr>
    </w:p>
    <w:p>
      <w:pPr>
        <w:ind w:firstLine="1268"/>
        <w:spacing w:after="0" w:line="282" w:lineRule="auto"/>
        <w:tabs>
          <w:tab w:leader="none" w:pos="1708"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Commission: any percentage (in whole or fractional percentages up to one decimal point) from one percent (1%) to eighty percent (80%).</w:t>
      </w:r>
    </w:p>
    <w:p>
      <w:pPr>
        <w:spacing w:after="0" w:line="90" w:lineRule="exact"/>
        <w:rPr>
          <w:rFonts w:ascii="Times New Roman" w:cs="Times New Roman" w:eastAsia="Times New Roman" w:hAnsi="Times New Roman"/>
          <w:sz w:val="21"/>
          <w:szCs w:val="21"/>
          <w:color w:val="auto"/>
        </w:rPr>
      </w:pPr>
    </w:p>
    <w:p>
      <w:pPr>
        <w:ind w:firstLine="1268"/>
        <w:spacing w:after="0" w:line="282" w:lineRule="auto"/>
        <w:tabs>
          <w:tab w:leader="none" w:pos="174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Non-Employee Director fees: any percentage (in whole or fractional percentages up to one decimal point) from one percent (1%) to one hundred percent (100%).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Administrator may, from time to time, in its sole discretion, prospectively adjust the minimum and maximum deferrals.</w:t>
      </w:r>
    </w:p>
    <w:p>
      <w:pPr>
        <w:spacing w:after="0" w:line="18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ARTICLE III. ACCOUNTS</w:t>
      </w:r>
    </w:p>
    <w:p>
      <w:pPr>
        <w:spacing w:after="0" w:line="166" w:lineRule="exact"/>
        <w:rPr>
          <w:sz w:val="20"/>
          <w:szCs w:val="20"/>
          <w:color w:val="auto"/>
        </w:rPr>
      </w:pPr>
    </w:p>
    <w:p>
      <w:pPr>
        <w:ind w:firstLine="1184"/>
        <w:spacing w:after="0" w:line="282" w:lineRule="auto"/>
        <w:rPr>
          <w:sz w:val="20"/>
          <w:szCs w:val="20"/>
          <w:color w:val="auto"/>
        </w:rPr>
      </w:pPr>
      <w:r>
        <w:rPr>
          <w:rFonts w:ascii="Times New Roman" w:cs="Times New Roman" w:eastAsia="Times New Roman" w:hAnsi="Times New Roman"/>
          <w:sz w:val="21"/>
          <w:szCs w:val="21"/>
          <w:u w:val="single" w:color="auto"/>
          <w:color w:val="auto"/>
        </w:rPr>
        <w:t>Section 3.01. Accounts</w:t>
      </w:r>
      <w:r>
        <w:rPr>
          <w:rFonts w:ascii="Times New Roman" w:cs="Times New Roman" w:eastAsia="Times New Roman" w:hAnsi="Times New Roman"/>
          <w:sz w:val="21"/>
          <w:szCs w:val="21"/>
          <w:color w:val="auto"/>
        </w:rPr>
        <w:t>. The Company shall establish one or more Accounts on its books for each Participant, as necessary to account for credits to and earnings on such Accounts and to properly administer the Plan.</w:t>
      </w:r>
    </w:p>
    <w:p>
      <w:pPr>
        <w:spacing w:after="0" w:line="9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u w:val="single" w:color="auto"/>
          <w:color w:val="auto"/>
        </w:rPr>
        <w:t>Section 3.02. Credits to Accounts</w:t>
      </w:r>
    </w:p>
    <w:p>
      <w:pPr>
        <w:spacing w:after="0" w:line="166" w:lineRule="exact"/>
        <w:rPr>
          <w:sz w:val="20"/>
          <w:szCs w:val="20"/>
          <w:color w:val="auto"/>
        </w:rPr>
      </w:pPr>
    </w:p>
    <w:p>
      <w:pPr>
        <w:jc w:val="both"/>
        <w:ind w:firstLine="1268"/>
        <w:spacing w:after="0" w:line="260" w:lineRule="auto"/>
        <w:tabs>
          <w:tab w:leader="none" w:pos="1878"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Participant Deferrals</w:t>
      </w:r>
      <w:r>
        <w:rPr>
          <w:rFonts w:ascii="Times New Roman" w:cs="Times New Roman" w:eastAsia="Times New Roman" w:hAnsi="Times New Roman"/>
          <w:sz w:val="21"/>
          <w:szCs w:val="21"/>
          <w:color w:val="auto"/>
        </w:rPr>
        <w:t>. The Company shall credit to a Participant’s Account any amounts deferred by the Participant as soon as practicable after the date such amounts would have otherwise been paid to the Participant but for the deferral. Unless otherwise determined by the Administrator, the Company shall deduct any amounts it is required to withhold as to such deferred Compensation under any state, federal, or local law for taxes or other charges from the Participant’s non-deferred Compensation.</w:t>
      </w:r>
    </w:p>
    <w:p>
      <w:pPr>
        <w:spacing w:after="0" w:line="113" w:lineRule="exact"/>
        <w:rPr>
          <w:rFonts w:ascii="Times New Roman" w:cs="Times New Roman" w:eastAsia="Times New Roman" w:hAnsi="Times New Roman"/>
          <w:sz w:val="21"/>
          <w:szCs w:val="21"/>
          <w:color w:val="auto"/>
        </w:rPr>
      </w:pPr>
    </w:p>
    <w:p>
      <w:pPr>
        <w:ind w:left="1720" w:hanging="452"/>
        <w:spacing w:after="0"/>
        <w:tabs>
          <w:tab w:leader="none" w:pos="172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Employer Credits; Vesting</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8" w:right="339" w:bottom="1440" w:gutter="0" w:footer="0" w:header="0"/>
        </w:sectPr>
      </w:pPr>
    </w:p>
    <w:bookmarkStart w:id="97" w:name="page98"/>
    <w:bookmarkEnd w:id="97"/>
    <w:p>
      <w:pPr>
        <w:jc w:val="both"/>
        <w:ind w:left="1900" w:firstLine="632"/>
        <w:spacing w:after="0" w:line="255" w:lineRule="auto"/>
        <w:tabs>
          <w:tab w:leader="none" w:pos="3077"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credit to a Participant’s Employer Credit Account amounts equal to any matching contributions that the Participant would have received under the Retirement Savings Plan for the year if the Participant had not elected to defer amounts under the Plan. Should the Company elect to do so, such Employer Credits will be credited to the Participant’s Employer Credit Account as soon as practicable after the calendar year. The Company also may credit to the Employer Credit Account of a Participant an Employer Credit in an amount determined each year by the Company in its discretion. The Company shall determine the date as of which such discretionary Employer Credit shall be allocated to the Participant’s Employer Credit Account. A separate Account shall be established for each year for which an Employer Credit is allocated hereunder.</w:t>
      </w:r>
    </w:p>
    <w:p>
      <w:pPr>
        <w:spacing w:after="0" w:line="125" w:lineRule="exact"/>
        <w:rPr>
          <w:rFonts w:ascii="Times New Roman" w:cs="Times New Roman" w:eastAsia="Times New Roman" w:hAnsi="Times New Roman"/>
          <w:sz w:val="21"/>
          <w:szCs w:val="21"/>
          <w:color w:val="auto"/>
        </w:rPr>
      </w:pPr>
    </w:p>
    <w:p>
      <w:pPr>
        <w:jc w:val="both"/>
        <w:ind w:left="1900" w:firstLine="632"/>
        <w:spacing w:after="0" w:line="256" w:lineRule="auto"/>
        <w:tabs>
          <w:tab w:leader="none" w:pos="318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determined by the Administrator or its designees, each Employer Credit Account shall become vested at a rate of twenty-five percent (25%) per year on each of the first four (4) anniversaries of the date such Employer Credit was allocated to such Account, provided the Participant remains in continuous service with the Company. Upon a Participant’s Separation from Service other than due to Retirement or death, the unvested portion of all of the Participant’s Employer Credit Accounts shall be forfeited. All of a Participant’s Employer Credit Accounts shall become fully vested immediately upon a Change of Control or upon the Participant’s Retirement or death.</w:t>
      </w:r>
    </w:p>
    <w:p>
      <w:pPr>
        <w:spacing w:after="0" w:line="118" w:lineRule="exact"/>
        <w:rPr>
          <w:rFonts w:ascii="Times New Roman" w:cs="Times New Roman" w:eastAsia="Times New Roman" w:hAnsi="Times New Roman"/>
          <w:sz w:val="21"/>
          <w:szCs w:val="21"/>
          <w:color w:val="auto"/>
        </w:rPr>
      </w:pPr>
    </w:p>
    <w:p>
      <w:pPr>
        <w:jc w:val="both"/>
        <w:ind w:left="1900" w:firstLine="632"/>
        <w:spacing w:after="0" w:line="265" w:lineRule="auto"/>
        <w:tabs>
          <w:tab w:leader="none" w:pos="307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Account(s) to which Employer Credits are made with respect to any year shall be subject to the Participant’s elections as to the time and form of payment made on an Election Form under Section 2.03(b). In the absence of an election, Section 4.02(d) shall apply.</w:t>
      </w:r>
    </w:p>
    <w:p>
      <w:pPr>
        <w:spacing w:after="0" w:line="121" w:lineRule="exact"/>
        <w:rPr>
          <w:rFonts w:ascii="Times New Roman" w:cs="Times New Roman" w:eastAsia="Times New Roman" w:hAnsi="Times New Roman"/>
          <w:sz w:val="21"/>
          <w:szCs w:val="21"/>
          <w:color w:val="auto"/>
        </w:rPr>
      </w:pPr>
    </w:p>
    <w:p>
      <w:pPr>
        <w:jc w:val="both"/>
        <w:ind w:left="1900" w:firstLine="632"/>
        <w:spacing w:after="0" w:line="265" w:lineRule="auto"/>
        <w:tabs>
          <w:tab w:leader="none" w:pos="3068"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Administrator determines that a Participant is Engaging in Competition, then all Accounts to which Employer Credits have been allocated shall be immediately forfeited as of the date of such determination, even if vested.</w:t>
      </w:r>
    </w:p>
    <w:p>
      <w:pPr>
        <w:spacing w:after="0" w:line="108" w:lineRule="exact"/>
        <w:rPr>
          <w:rFonts w:ascii="Times New Roman" w:cs="Times New Roman" w:eastAsia="Times New Roman" w:hAnsi="Times New Roman"/>
          <w:sz w:val="21"/>
          <w:szCs w:val="21"/>
          <w:color w:val="auto"/>
        </w:rPr>
      </w:pPr>
    </w:p>
    <w:p>
      <w:pPr>
        <w:ind w:left="1900" w:firstLine="632"/>
        <w:spacing w:after="0" w:line="282" w:lineRule="auto"/>
        <w:tabs>
          <w:tab w:leader="none" w:pos="318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Company has the ability to vest a portion or all of a Participant’s Employer Credit at its complete and sole discretion.</w:t>
      </w:r>
    </w:p>
    <w:p>
      <w:pPr>
        <w:spacing w:after="0" w:line="104" w:lineRule="exact"/>
        <w:rPr>
          <w:sz w:val="20"/>
          <w:szCs w:val="20"/>
          <w:color w:val="auto"/>
        </w:rPr>
      </w:pPr>
    </w:p>
    <w:p>
      <w:pPr>
        <w:jc w:val="both"/>
        <w:ind w:firstLine="1184"/>
        <w:spacing w:after="0" w:line="255" w:lineRule="auto"/>
        <w:rPr>
          <w:sz w:val="20"/>
          <w:szCs w:val="20"/>
          <w:color w:val="auto"/>
        </w:rPr>
      </w:pPr>
      <w:r>
        <w:rPr>
          <w:rFonts w:ascii="Times New Roman" w:cs="Times New Roman" w:eastAsia="Times New Roman" w:hAnsi="Times New Roman"/>
          <w:sz w:val="21"/>
          <w:szCs w:val="21"/>
          <w:u w:val="single" w:color="auto"/>
          <w:color w:val="auto"/>
        </w:rPr>
        <w:t>Section 3.03. Earnings on Accounts</w:t>
      </w:r>
      <w:r>
        <w:rPr>
          <w:rFonts w:ascii="Times New Roman" w:cs="Times New Roman" w:eastAsia="Times New Roman" w:hAnsi="Times New Roman"/>
          <w:sz w:val="21"/>
          <w:szCs w:val="21"/>
          <w:color w:val="auto"/>
        </w:rPr>
        <w:t>. The Account(s) of a Participant shall be credited with an investment return (which may include a fixed rate of interest) determined as if the account were invested in one or more investment funds made available by the Administrator (or which may be based on a fixed rate of interest selected by the Administrator). If the Administrator makes available alternatives for deemed investments or rates of return, then the Participant shall elect among the alternatives in the manner prescribed by the Administrator and such election shall take effect upon the entry of the Participant into the Plan. Any such investment election of the Participant shall remain in effect until a new election is made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9" w:right="339" w:bottom="1440" w:gutter="0" w:footer="0" w:header="0"/>
        </w:sectPr>
      </w:pPr>
    </w:p>
    <w:bookmarkStart w:id="98" w:name="page99"/>
    <w:bookmarkEnd w:id="98"/>
    <w:p>
      <w:pPr>
        <w:jc w:val="both"/>
        <w:spacing w:after="0" w:line="282" w:lineRule="auto"/>
        <w:rPr>
          <w:sz w:val="20"/>
          <w:szCs w:val="20"/>
          <w:color w:val="auto"/>
        </w:rPr>
      </w:pPr>
      <w:r>
        <w:rPr>
          <w:rFonts w:ascii="Times New Roman" w:cs="Times New Roman" w:eastAsia="Times New Roman" w:hAnsi="Times New Roman"/>
          <w:sz w:val="21"/>
          <w:szCs w:val="21"/>
          <w:color w:val="auto"/>
        </w:rPr>
        <w:t>Participant. In the event a Participant fails for any reason to make an effective election, the investment return shall be based on the return of the default fund (or rate) determined by the Administrator.</w:t>
      </w:r>
    </w:p>
    <w:p>
      <w:pPr>
        <w:spacing w:after="0" w:line="90" w:lineRule="exact"/>
        <w:rPr>
          <w:sz w:val="20"/>
          <w:szCs w:val="20"/>
          <w:color w:val="auto"/>
        </w:rPr>
      </w:pPr>
    </w:p>
    <w:p>
      <w:pPr>
        <w:jc w:val="both"/>
        <w:ind w:firstLine="1184"/>
        <w:spacing w:after="0" w:line="264" w:lineRule="auto"/>
        <w:rPr>
          <w:sz w:val="20"/>
          <w:szCs w:val="20"/>
          <w:color w:val="auto"/>
        </w:rPr>
      </w:pPr>
      <w:r>
        <w:rPr>
          <w:rFonts w:ascii="Times New Roman" w:cs="Times New Roman" w:eastAsia="Times New Roman" w:hAnsi="Times New Roman"/>
          <w:sz w:val="21"/>
          <w:szCs w:val="21"/>
          <w:u w:val="single" w:color="auto"/>
          <w:color w:val="auto"/>
        </w:rPr>
        <w:t>Section 3.04. Periodic Statements of Account.</w:t>
      </w:r>
      <w:r>
        <w:rPr>
          <w:rFonts w:ascii="Times New Roman" w:cs="Times New Roman" w:eastAsia="Times New Roman" w:hAnsi="Times New Roman"/>
          <w:sz w:val="21"/>
          <w:szCs w:val="21"/>
          <w:color w:val="auto"/>
        </w:rPr>
        <w:t xml:space="preserve"> The Administrator shall provide to each Participant, not less frequently than annually, a statement with respect to each of his Accounts in such form as the Administrator determines to be appropriate, setting forth the amounts credited or debited during the reporting period, the balance to the credit of such Participant in such Account, and other information the Administrator determines is appropriate.</w:t>
      </w:r>
    </w:p>
    <w:p>
      <w:pPr>
        <w:spacing w:after="0" w:line="109" w:lineRule="exact"/>
        <w:rPr>
          <w:sz w:val="20"/>
          <w:szCs w:val="20"/>
          <w:color w:val="auto"/>
        </w:rPr>
      </w:pPr>
    </w:p>
    <w:p>
      <w:pPr>
        <w:jc w:val="both"/>
        <w:ind w:firstLine="1184"/>
        <w:spacing w:after="0" w:line="264" w:lineRule="auto"/>
        <w:rPr>
          <w:sz w:val="20"/>
          <w:szCs w:val="20"/>
          <w:color w:val="auto"/>
        </w:rPr>
      </w:pPr>
      <w:r>
        <w:rPr>
          <w:rFonts w:ascii="Times New Roman" w:cs="Times New Roman" w:eastAsia="Times New Roman" w:hAnsi="Times New Roman"/>
          <w:sz w:val="21"/>
          <w:szCs w:val="21"/>
          <w:u w:val="single" w:color="auto"/>
          <w:color w:val="auto"/>
        </w:rPr>
        <w:t>Section 3.05. Participant’s Rights Unsecured</w:t>
      </w:r>
      <w:r>
        <w:rPr>
          <w:rFonts w:ascii="Times New Roman" w:cs="Times New Roman" w:eastAsia="Times New Roman" w:hAnsi="Times New Roman"/>
          <w:sz w:val="21"/>
          <w:szCs w:val="21"/>
          <w:color w:val="auto"/>
        </w:rPr>
        <w:t>. The right of the Participant or his Beneficiary to receive a distribution hereunder shall be an unsecured claim against the general assets of the Company, and neither the Participant nor any Beneficiary shall have any rights in or against any amount credited to his Account or any other specific assets of the Company. The right of a Participant or Beneficiary to the payment of benefits under this Plan shall not be assigned, transferred, pledged or encumbered.</w:t>
      </w:r>
    </w:p>
    <w:p>
      <w:pPr>
        <w:spacing w:after="0" w:line="109" w:lineRule="exact"/>
        <w:rPr>
          <w:sz w:val="20"/>
          <w:szCs w:val="20"/>
          <w:color w:val="auto"/>
        </w:rPr>
      </w:pPr>
    </w:p>
    <w:p>
      <w:pPr>
        <w:jc w:val="both"/>
        <w:ind w:firstLine="1184"/>
        <w:spacing w:after="0" w:line="259" w:lineRule="auto"/>
        <w:rPr>
          <w:sz w:val="20"/>
          <w:szCs w:val="20"/>
          <w:color w:val="auto"/>
        </w:rPr>
      </w:pPr>
      <w:r>
        <w:rPr>
          <w:rFonts w:ascii="Times New Roman" w:cs="Times New Roman" w:eastAsia="Times New Roman" w:hAnsi="Times New Roman"/>
          <w:sz w:val="21"/>
          <w:szCs w:val="21"/>
          <w:u w:val="single" w:color="auto"/>
          <w:color w:val="auto"/>
        </w:rPr>
        <w:t>Section 3.06. Unfunded Plan</w:t>
      </w:r>
      <w:r>
        <w:rPr>
          <w:rFonts w:ascii="Times New Roman" w:cs="Times New Roman" w:eastAsia="Times New Roman" w:hAnsi="Times New Roman"/>
          <w:sz w:val="21"/>
          <w:szCs w:val="21"/>
          <w:color w:val="auto"/>
        </w:rPr>
        <w:t>. This Plan is unfunded and is maintained by the Company primarily for the purpose of providing deferred compensation for a select group of management and highly compensated employees. Nothing contained in this Plan and no action taken pursuant to its terms shall create or be construed to create a trust of any kind, or a fiduciary relationship between the Company and any Participant or Beneficiary, or any other person.</w:t>
      </w:r>
    </w:p>
    <w:p>
      <w:pPr>
        <w:spacing w:after="0" w:line="129" w:lineRule="exact"/>
        <w:rPr>
          <w:sz w:val="20"/>
          <w:szCs w:val="20"/>
          <w:color w:val="auto"/>
        </w:rPr>
      </w:pPr>
    </w:p>
    <w:p>
      <w:pPr>
        <w:jc w:val="both"/>
        <w:ind w:firstLine="1184"/>
        <w:spacing w:after="0" w:line="253" w:lineRule="auto"/>
        <w:rPr>
          <w:sz w:val="20"/>
          <w:szCs w:val="20"/>
          <w:color w:val="auto"/>
        </w:rPr>
      </w:pPr>
      <w:r>
        <w:rPr>
          <w:rFonts w:ascii="Times New Roman" w:cs="Times New Roman" w:eastAsia="Times New Roman" w:hAnsi="Times New Roman"/>
          <w:sz w:val="21"/>
          <w:szCs w:val="21"/>
          <w:u w:val="single" w:color="auto"/>
          <w:color w:val="auto"/>
        </w:rPr>
        <w:t>Section 3.07. Effect of Change of Control</w:t>
      </w:r>
      <w:r>
        <w:rPr>
          <w:rFonts w:ascii="Times New Roman" w:cs="Times New Roman" w:eastAsia="Times New Roman" w:hAnsi="Times New Roman"/>
          <w:sz w:val="21"/>
          <w:szCs w:val="21"/>
          <w:color w:val="auto"/>
        </w:rPr>
        <w:t>. Notwithstanding the preceding sections of this Article III, upon the occurrence of a Change of Control, the Company or any successor entity shall promptly, and in any event within five (5) business days of the Change of Control, deposit a sum equal to the amounts deferred under this Plan (less any amounts already deposited into a trust fund for the payment of such benefits) into a trust fund (the “Rabbi Trust”); provided that the Rabbi Trust shall not be funded if the funding thereof would result in taxable income to a Participant by reason of Section 409A(b) of the Code. Any payments by the trustee of the Rabbi Trust out of such trust shall, to the extent thereof, discharge the Company’s obligation to pay amounts deferred under this Plan (including any earnings credited thereon), it being the intent of the Company that assets in such Rabbi Trust be held as security for the Company’s obligation to pay amounts deferred under this Plan. Any similar payments made directly by the Company to a Participant pursuant to this Plan will relieve the trustee of the Rabbi Trust of the obligation to make such payments and will relieve the Company of the obligation to fund the Rabbi Trust to the extent of such payments. In addition, at such other time as determined by the Board of Directors, payments due to be made under the Plan may be paid out of assets transferred by the Company to a trust fund maintained pursuant to the terms and conditions of a Trust Agreement. A Change of Control, however, will not accelerate or otherwise affect the timing of distributions from Accounts.</w:t>
      </w:r>
    </w:p>
    <w:p>
      <w:pPr>
        <w:spacing w:after="0" w:line="125" w:lineRule="exact"/>
        <w:rPr>
          <w:sz w:val="20"/>
          <w:szCs w:val="20"/>
          <w:color w:val="auto"/>
        </w:rPr>
      </w:pPr>
    </w:p>
    <w:p>
      <w:pPr>
        <w:jc w:val="both"/>
        <w:ind w:firstLine="1184"/>
        <w:spacing w:after="0" w:line="265" w:lineRule="auto"/>
        <w:rPr>
          <w:sz w:val="20"/>
          <w:szCs w:val="20"/>
          <w:color w:val="auto"/>
        </w:rPr>
      </w:pPr>
      <w:r>
        <w:rPr>
          <w:rFonts w:ascii="Times New Roman" w:cs="Times New Roman" w:eastAsia="Times New Roman" w:hAnsi="Times New Roman"/>
          <w:sz w:val="21"/>
          <w:szCs w:val="21"/>
          <w:u w:val="single" w:color="auto"/>
          <w:color w:val="auto"/>
        </w:rPr>
        <w:t>Section 3.08. Effect of Divestiture</w:t>
      </w:r>
      <w:r>
        <w:rPr>
          <w:rFonts w:ascii="Times New Roman" w:cs="Times New Roman" w:eastAsia="Times New Roman" w:hAnsi="Times New Roman"/>
          <w:sz w:val="21"/>
          <w:szCs w:val="21"/>
          <w:color w:val="auto"/>
        </w:rPr>
        <w:t>. Effective as of the time of the Divestiture, a Divested Participant shall no longer be permitted to make Participant Deferrals, nor receive Employer Credits, under the Plan, and the Accounts of such Divested Participants will be treated as follows: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9" w:right="339" w:bottom="1440" w:gutter="0" w:footer="0" w:header="0"/>
        </w:sectPr>
      </w:pPr>
    </w:p>
    <w:bookmarkStart w:id="99" w:name="page100"/>
    <w:bookmarkEnd w:id="99"/>
    <w:p>
      <w:pPr>
        <w:jc w:val="both"/>
        <w:ind w:firstLine="637"/>
        <w:spacing w:after="0" w:line="260" w:lineRule="auto"/>
        <w:tabs>
          <w:tab w:leader="none" w:pos="94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Accounts Transferred to Buyer or Maintained by Company</w:t>
      </w:r>
      <w:r>
        <w:rPr>
          <w:rFonts w:ascii="Times New Roman" w:cs="Times New Roman" w:eastAsia="Times New Roman" w:hAnsi="Times New Roman"/>
          <w:sz w:val="21"/>
          <w:szCs w:val="21"/>
          <w:color w:val="auto"/>
        </w:rPr>
        <w:t>. Subject to Section 3.8(c) below, (i) if the buyer of the divested business so agrees, all Plan assets and liabilities with respect to Divested Participant Accounts shall be transferred to the buyer, or (ii) if the buyer does not so agree, then the Company shall continue to maintain all Divested Participant Accounts, and in the case of either (i) or (ii), all Accounts shall be paid out at the times and in the forms that the Participant elected (or according to Section 4.02(d) if no such election was made).</w:t>
      </w:r>
    </w:p>
    <w:p>
      <w:pPr>
        <w:spacing w:after="0" w:line="113" w:lineRule="exact"/>
        <w:rPr>
          <w:rFonts w:ascii="Times New Roman" w:cs="Times New Roman" w:eastAsia="Times New Roman" w:hAnsi="Times New Roman"/>
          <w:sz w:val="21"/>
          <w:szCs w:val="21"/>
          <w:color w:val="auto"/>
        </w:rPr>
      </w:pPr>
    </w:p>
    <w:p>
      <w:pPr>
        <w:ind w:left="940" w:hanging="303"/>
        <w:spacing w:after="0"/>
        <w:tabs>
          <w:tab w:leader="none" w:pos="94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Timing of Separation from Service</w:t>
      </w:r>
      <w:r>
        <w:rPr>
          <w:rFonts w:ascii="Times New Roman" w:cs="Times New Roman" w:eastAsia="Times New Roman" w:hAnsi="Times New Roman"/>
          <w:sz w:val="21"/>
          <w:szCs w:val="21"/>
          <w:color w:val="auto"/>
        </w:rPr>
        <w:t>. For purposes of Section 3.8(a):</w:t>
      </w:r>
    </w:p>
    <w:p>
      <w:pPr>
        <w:spacing w:after="0" w:line="176" w:lineRule="exact"/>
        <w:rPr>
          <w:rFonts w:ascii="Times New Roman" w:cs="Times New Roman" w:eastAsia="Times New Roman" w:hAnsi="Times New Roman"/>
          <w:sz w:val="21"/>
          <w:szCs w:val="21"/>
          <w:color w:val="auto"/>
        </w:rPr>
      </w:pPr>
    </w:p>
    <w:p>
      <w:pPr>
        <w:jc w:val="both"/>
        <w:ind w:left="640" w:firstLine="550"/>
        <w:spacing w:after="0" w:line="255" w:lineRule="auto"/>
        <w:tabs>
          <w:tab w:leader="none" w:pos="1483"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Disposition of Assets</w:t>
      </w:r>
      <w:r>
        <w:rPr>
          <w:rFonts w:ascii="Times New Roman" w:cs="Times New Roman" w:eastAsia="Times New Roman" w:hAnsi="Times New Roman"/>
          <w:sz w:val="20"/>
          <w:szCs w:val="20"/>
          <w:color w:val="auto"/>
        </w:rPr>
        <w:t>. If the Divestiture is a Disposition of Assets, then Divested Participants shall experience a Separation from Service as of the date of their transfer of employment to the buyer unless, in accordance with Treas. Reg. 1.409A-1(h)(4), the Company and the buyer agree and specify in writing, no later than the date of the Disposition of Assets, that the Divested Participants will not be treated as having a Separation from Service upon transfer to the buyer for purposes of the Plan (and will only be treated as having experienced a Separation from Service upon subsequent termination from the buyer and its affiliates), provided all Divested Participants are treated consistently and the requirements of Treas. Reg. Section 1.409A-1(h)(4) are otherwise met.</w:t>
      </w:r>
    </w:p>
    <w:p>
      <w:pPr>
        <w:spacing w:after="0" w:line="135" w:lineRule="exact"/>
        <w:rPr>
          <w:rFonts w:ascii="Times New Roman" w:cs="Times New Roman" w:eastAsia="Times New Roman" w:hAnsi="Times New Roman"/>
          <w:sz w:val="21"/>
          <w:szCs w:val="21"/>
          <w:color w:val="auto"/>
        </w:rPr>
      </w:pPr>
    </w:p>
    <w:p>
      <w:pPr>
        <w:jc w:val="both"/>
        <w:ind w:left="640" w:firstLine="550"/>
        <w:spacing w:after="0" w:line="263" w:lineRule="auto"/>
        <w:tabs>
          <w:tab w:leader="none" w:pos="150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Disposition of Equity</w:t>
      </w:r>
      <w:r>
        <w:rPr>
          <w:rFonts w:ascii="Times New Roman" w:cs="Times New Roman" w:eastAsia="Times New Roman" w:hAnsi="Times New Roman"/>
          <w:sz w:val="20"/>
          <w:szCs w:val="20"/>
          <w:color w:val="auto"/>
        </w:rPr>
        <w:t>. If the Divestiture is a Disposition of Equity, then Divested Participants will not be treated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having experienced a Separation from Service solely as a result of the Divestiture, and shall only be treated as having experienced a Separation from Service upon termination from the buyer and its affiliates following the Divestiture.</w:t>
      </w:r>
    </w:p>
    <w:p>
      <w:pPr>
        <w:spacing w:after="0" w:line="110" w:lineRule="exact"/>
        <w:rPr>
          <w:rFonts w:ascii="Times New Roman" w:cs="Times New Roman" w:eastAsia="Times New Roman" w:hAnsi="Times New Roman"/>
          <w:sz w:val="20"/>
          <w:szCs w:val="20"/>
          <w:color w:val="auto"/>
        </w:rPr>
      </w:pPr>
    </w:p>
    <w:p>
      <w:pPr>
        <w:jc w:val="both"/>
        <w:ind w:firstLine="637"/>
        <w:spacing w:after="0" w:line="256" w:lineRule="auto"/>
        <w:tabs>
          <w:tab w:leader="none" w:pos="90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and Liquidation of Accounts</w:t>
      </w:r>
      <w:r>
        <w:rPr>
          <w:rFonts w:ascii="Times New Roman" w:cs="Times New Roman" w:eastAsia="Times New Roman" w:hAnsi="Times New Roman"/>
          <w:sz w:val="20"/>
          <w:szCs w:val="20"/>
          <w:color w:val="auto"/>
        </w:rPr>
        <w:t>. Notwithstanding Section 3.8(a), the Company may decide, in its discretion, pursuant to an irrevocable action taken within 30 days preceding or 12 months following a Divestiture, to terminate and liquidate the Divested Participant Accounts in accordance with Treas. Reg. Section 1.409A-3(j)(4)(ix) provided that (i) the Divestiture would be a “change in control event” with respect to the Divested Participant’s employer under Treas. Reg. 1.409A-3(i)(5) and (ii) all other plans and agreements that are treated as being aggregated with the Plan under Treas. Reg. 1.409A-1(c)(2) are likewise terminated and liquidated with respect to the Divested Participants. The effect of the termination and liquidation is that the Company shall pay out the Account balances of Divested Participants within 12 months of the date the Company takes such irrevocable action. The Committee shall have the authority to act on behalf of the Company pursuant to this Section 3.8(c), provided that if any Divested Participant is an executive officer of Marriott Vacations Worldwide Corporation, then only the Compensation Policy Committee of the Board of Directors shall have such authority.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IV. DISTRIBUTIONS</w:t>
      </w:r>
    </w:p>
    <w:p>
      <w:pPr>
        <w:spacing w:after="0" w:line="166" w:lineRule="exact"/>
        <w:rPr>
          <w:sz w:val="20"/>
          <w:szCs w:val="20"/>
          <w:color w:val="auto"/>
        </w:rPr>
      </w:pPr>
    </w:p>
    <w:p>
      <w:pPr>
        <w:jc w:val="both"/>
        <w:ind w:firstLine="1184"/>
        <w:spacing w:after="0" w:line="265" w:lineRule="auto"/>
        <w:rPr>
          <w:sz w:val="20"/>
          <w:szCs w:val="20"/>
          <w:color w:val="auto"/>
        </w:rPr>
      </w:pPr>
      <w:r>
        <w:rPr>
          <w:rFonts w:ascii="Times New Roman" w:cs="Times New Roman" w:eastAsia="Times New Roman" w:hAnsi="Times New Roman"/>
          <w:sz w:val="21"/>
          <w:szCs w:val="21"/>
          <w:u w:val="single" w:color="auto"/>
          <w:color w:val="auto"/>
        </w:rPr>
        <w:t>Section 4.01. Distributions</w:t>
      </w:r>
      <w:r>
        <w:rPr>
          <w:rFonts w:ascii="Times New Roman" w:cs="Times New Roman" w:eastAsia="Times New Roman" w:hAnsi="Times New Roman"/>
          <w:sz w:val="21"/>
          <w:szCs w:val="21"/>
          <w:color w:val="auto"/>
        </w:rPr>
        <w:t>. All distributions hereunder shall be made promptly by the Company as they become due under the terms of the Plan except to the extent such distributions are made by the Trustee. Any payment of amounts due Participants or Beneficiaries under the Plan which are made by the Trustee shall be deemed to be payment by the Company for all Plan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8" w:right="339" w:bottom="1440" w:gutter="0" w:footer="0" w:header="0"/>
        </w:sectPr>
      </w:pPr>
    </w:p>
    <w:bookmarkStart w:id="100" w:name="page101"/>
    <w:bookmarkEnd w:id="100"/>
    <w:p>
      <w:pPr>
        <w:ind w:firstLine="1184"/>
        <w:spacing w:after="0" w:line="282" w:lineRule="auto"/>
        <w:rPr>
          <w:sz w:val="20"/>
          <w:szCs w:val="20"/>
          <w:color w:val="auto"/>
        </w:rPr>
      </w:pPr>
      <w:r>
        <w:rPr>
          <w:rFonts w:ascii="Times New Roman" w:cs="Times New Roman" w:eastAsia="Times New Roman" w:hAnsi="Times New Roman"/>
          <w:sz w:val="21"/>
          <w:szCs w:val="21"/>
          <w:u w:val="single" w:color="auto"/>
          <w:color w:val="auto"/>
        </w:rPr>
        <w:t>Section 4.02. Time and Form of Distributions</w:t>
      </w:r>
      <w:r>
        <w:rPr>
          <w:rFonts w:ascii="Times New Roman" w:cs="Times New Roman" w:eastAsia="Times New Roman" w:hAnsi="Times New Roman"/>
          <w:sz w:val="21"/>
          <w:szCs w:val="21"/>
          <w:color w:val="auto"/>
        </w:rPr>
        <w:t>. A Participant may elect to receive (or commence receipt of) the vested balance of his Account:</w:t>
      </w:r>
    </w:p>
    <w:p>
      <w:pPr>
        <w:spacing w:after="0" w:line="90" w:lineRule="exact"/>
        <w:rPr>
          <w:sz w:val="20"/>
          <w:szCs w:val="20"/>
          <w:color w:val="auto"/>
        </w:rPr>
      </w:pPr>
    </w:p>
    <w:p>
      <w:pPr>
        <w:jc w:val="both"/>
        <w:ind w:firstLine="1268"/>
        <w:spacing w:after="0" w:line="264" w:lineRule="auto"/>
        <w:tabs>
          <w:tab w:leader="none" w:pos="176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Upon the Participant’s Separation from Service, in either a lump sum or installments payable over five (5), ten (10), fifteen (15) or twenty (20) years. The lump sum will be paid or installments will commence, as applicable, during the January that follows the calendar year in which the Participant’s Separation from Service occurs, or if the Participant is a Specified Employee, on the first day of the seventh month after the Participant’s Separation from Service, if later.</w:t>
      </w:r>
    </w:p>
    <w:p>
      <w:pPr>
        <w:spacing w:after="0" w:line="108" w:lineRule="exact"/>
        <w:rPr>
          <w:rFonts w:ascii="Times New Roman" w:cs="Times New Roman" w:eastAsia="Times New Roman" w:hAnsi="Times New Roman"/>
          <w:sz w:val="21"/>
          <w:szCs w:val="21"/>
          <w:color w:val="auto"/>
        </w:rPr>
      </w:pPr>
    </w:p>
    <w:p>
      <w:pPr>
        <w:jc w:val="both"/>
        <w:ind w:firstLine="1268"/>
        <w:spacing w:after="0" w:line="264" w:lineRule="auto"/>
        <w:tabs>
          <w:tab w:leader="none" w:pos="1746"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Anniversary of Separation from Service</w:t>
      </w:r>
      <w:r>
        <w:rPr>
          <w:rFonts w:ascii="Times New Roman" w:cs="Times New Roman" w:eastAsia="Times New Roman" w:hAnsi="Times New Roman"/>
          <w:sz w:val="21"/>
          <w:szCs w:val="21"/>
          <w:color w:val="auto"/>
        </w:rPr>
        <w:t>. Upon any of the first five anniversaries of the Participant’s Separation from Service, in either a lump sum or installments over five (5), ten (10), fifteen (15) or twenty (20) years. The lump sum will be paid or installments will commence, as applicable, during the January that follows the calendar year that includes the designated anniversary date.</w:t>
      </w:r>
    </w:p>
    <w:p>
      <w:pPr>
        <w:spacing w:after="0" w:line="108" w:lineRule="exact"/>
        <w:rPr>
          <w:rFonts w:ascii="Times New Roman" w:cs="Times New Roman" w:eastAsia="Times New Roman" w:hAnsi="Times New Roman"/>
          <w:sz w:val="21"/>
          <w:szCs w:val="21"/>
          <w:color w:val="auto"/>
        </w:rPr>
      </w:pPr>
    </w:p>
    <w:p>
      <w:pPr>
        <w:jc w:val="both"/>
        <w:ind w:firstLine="1268"/>
        <w:spacing w:after="0" w:line="260" w:lineRule="auto"/>
        <w:tabs>
          <w:tab w:leader="none" w:pos="1721"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Specified Year</w:t>
      </w:r>
      <w:r>
        <w:rPr>
          <w:rFonts w:ascii="Times New Roman" w:cs="Times New Roman" w:eastAsia="Times New Roman" w:hAnsi="Times New Roman"/>
          <w:sz w:val="21"/>
          <w:szCs w:val="21"/>
          <w:color w:val="auto"/>
        </w:rPr>
        <w:t>. In a specified year, provided that (i) the minimum deferral period for any Account other than an Employer Credit Account shall be three (3) years, and (ii) the minimum deferral period for an Employer Credit Account shall be four</w:t>
      </w:r>
    </w:p>
    <w:p>
      <w:pPr>
        <w:jc w:val="both"/>
        <w:ind w:firstLine="5"/>
        <w:spacing w:after="0" w:line="256" w:lineRule="auto"/>
        <w:tabs>
          <w:tab w:leader="none" w:pos="29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years. If a Participant’s specified year election does not comply with the foregoing minimum deferral periods, then such election shall be automatically revised so that it is deemed to have indicated the earliest permitted year for distribution. The form of payment may be in either a lump sum or installments payable over five (5), ten (10), fifteen (15) or twenty (20) years. The lump sum payment will be made or installments will commence, as applicable, during the January of such specified year.</w:t>
      </w:r>
    </w:p>
    <w:p>
      <w:pPr>
        <w:spacing w:after="0" w:line="116" w:lineRule="exact"/>
        <w:rPr>
          <w:rFonts w:ascii="Times New Roman" w:cs="Times New Roman" w:eastAsia="Times New Roman" w:hAnsi="Times New Roman"/>
          <w:sz w:val="21"/>
          <w:szCs w:val="21"/>
          <w:color w:val="auto"/>
        </w:rPr>
      </w:pPr>
    </w:p>
    <w:p>
      <w:pPr>
        <w:jc w:val="both"/>
        <w:ind w:firstLine="1268"/>
        <w:spacing w:after="0" w:line="255" w:lineRule="auto"/>
        <w:tabs>
          <w:tab w:leader="none" w:pos="1746"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Election</w:t>
      </w:r>
      <w:r>
        <w:rPr>
          <w:rFonts w:ascii="Times New Roman" w:cs="Times New Roman" w:eastAsia="Times New Roman" w:hAnsi="Times New Roman"/>
          <w:sz w:val="21"/>
          <w:szCs w:val="21"/>
          <w:color w:val="auto"/>
        </w:rPr>
        <w:t>. In the absence of an election as to the time and/or form of payment for any Account to which Participant elective deferrals are credited, such Account shall be distributed in a lump sum during the January that follows the calendar year in which the Participant’s Separation from Service occurs, or if the Participant is a Specified Employee, on the first day of the seventh month after the Participant’s Separation from Service, if later. If a Participant fails to elect the time and/or form of payment for any Employer Credit Account, then such account shall be subject to the same time and form of payment election as the Participant has made with respect to Participant elective deferrals for the same year or, if no such election has been made, or multiple elections have been made, then such account shall be distributed in a lump sum during the January that follows the calendar year in which the Participant’s Separation from Service occurs, or if the Participant is a Specified Employee, on the first day of the seventh month after the Participant’s Separation from Service, if later.</w:t>
      </w:r>
    </w:p>
    <w:p>
      <w:pPr>
        <w:spacing w:after="0" w:line="125" w:lineRule="exact"/>
        <w:rPr>
          <w:rFonts w:ascii="Times New Roman" w:cs="Times New Roman" w:eastAsia="Times New Roman" w:hAnsi="Times New Roman"/>
          <w:sz w:val="21"/>
          <w:szCs w:val="21"/>
          <w:color w:val="auto"/>
        </w:rPr>
      </w:pPr>
    </w:p>
    <w:p>
      <w:pPr>
        <w:ind w:firstLine="1268"/>
        <w:spacing w:after="0" w:line="282" w:lineRule="auto"/>
        <w:tabs>
          <w:tab w:leader="none" w:pos="180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Further Deferral of Distributions or Change in Form of Payment</w:t>
      </w:r>
      <w:r>
        <w:rPr>
          <w:rFonts w:ascii="Times New Roman" w:cs="Times New Roman" w:eastAsia="Times New Roman" w:hAnsi="Times New Roman"/>
          <w:sz w:val="21"/>
          <w:szCs w:val="21"/>
          <w:color w:val="auto"/>
        </w:rPr>
        <w:t>. A Participant may elect to further defer a distribution of any Account, or to change the form of payment for such Account, subject to the following:</w:t>
      </w:r>
    </w:p>
    <w:p>
      <w:pPr>
        <w:spacing w:after="0" w:line="90" w:lineRule="exact"/>
        <w:rPr>
          <w:rFonts w:ascii="Times New Roman" w:cs="Times New Roman" w:eastAsia="Times New Roman" w:hAnsi="Times New Roman"/>
          <w:sz w:val="21"/>
          <w:szCs w:val="21"/>
          <w:color w:val="auto"/>
        </w:rPr>
      </w:pPr>
    </w:p>
    <w:p>
      <w:pPr>
        <w:ind w:left="1900" w:firstLine="632"/>
        <w:spacing w:after="0" w:line="282" w:lineRule="auto"/>
        <w:tabs>
          <w:tab w:leader="none" w:pos="2959"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new election may not take effect until at least twelve (12) months after the date on which the election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9" w:right="339" w:bottom="1440" w:gutter="0" w:footer="0" w:header="0"/>
        </w:sectPr>
      </w:pPr>
    </w:p>
    <w:bookmarkStart w:id="101" w:name="page102"/>
    <w:bookmarkEnd w:id="101"/>
    <w:p>
      <w:pPr>
        <w:jc w:val="both"/>
        <w:ind w:left="1900" w:firstLine="632"/>
        <w:spacing w:after="0" w:line="265" w:lineRule="auto"/>
        <w:tabs>
          <w:tab w:leader="none" w:pos="30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new election must provide for the deferral of the payment for a period of at least five (5) years from the date such payment would otherwise have been made (or, in the case of installment payments, five (5) years from the date the first payment would otherwise have been made).</w:t>
      </w:r>
    </w:p>
    <w:p>
      <w:pPr>
        <w:spacing w:after="0" w:line="121" w:lineRule="exact"/>
        <w:rPr>
          <w:rFonts w:ascii="Times New Roman" w:cs="Times New Roman" w:eastAsia="Times New Roman" w:hAnsi="Times New Roman"/>
          <w:sz w:val="21"/>
          <w:szCs w:val="21"/>
          <w:color w:val="auto"/>
        </w:rPr>
      </w:pPr>
    </w:p>
    <w:p>
      <w:pPr>
        <w:jc w:val="both"/>
        <w:ind w:left="1900" w:firstLine="632"/>
        <w:spacing w:after="0" w:line="265" w:lineRule="auto"/>
        <w:tabs>
          <w:tab w:leader="none" w:pos="315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new election must be made at least twelve (12) months prior to the original date of the payment (or, in the case of installment payments, twelve (12) months prior to the original date of the first installment payment).</w:t>
      </w:r>
    </w:p>
    <w:p>
      <w:pPr>
        <w:spacing w:after="0" w:line="1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Any such deferral election must be made in writing on the form prescribed by the Administrator for this purpose. The Administrator may further limit the availability and frequency of change elections in accordance with rules announced in advance and generally applied to all Participants. For purposes of this Section 4.02(e), any entitlement to installment payments shall be treated as an entitlement to a single payment.</w:t>
      </w:r>
    </w:p>
    <w:p>
      <w:pPr>
        <w:spacing w:after="0" w:line="109" w:lineRule="exact"/>
        <w:rPr>
          <w:sz w:val="20"/>
          <w:szCs w:val="20"/>
          <w:color w:val="auto"/>
        </w:rPr>
      </w:pPr>
    </w:p>
    <w:p>
      <w:pPr>
        <w:jc w:val="both"/>
        <w:ind w:firstLine="1184"/>
        <w:spacing w:after="0" w:line="257" w:lineRule="auto"/>
        <w:rPr>
          <w:sz w:val="20"/>
          <w:szCs w:val="20"/>
          <w:color w:val="auto"/>
        </w:rPr>
      </w:pPr>
      <w:r>
        <w:rPr>
          <w:rFonts w:ascii="Times New Roman" w:cs="Times New Roman" w:eastAsia="Times New Roman" w:hAnsi="Times New Roman"/>
          <w:sz w:val="21"/>
          <w:szCs w:val="21"/>
          <w:u w:val="single" w:color="auto"/>
          <w:color w:val="auto"/>
        </w:rPr>
        <w:t>Section 4.03. Installment Payments</w:t>
      </w:r>
      <w:r>
        <w:rPr>
          <w:rFonts w:ascii="Times New Roman" w:cs="Times New Roman" w:eastAsia="Times New Roman" w:hAnsi="Times New Roman"/>
          <w:sz w:val="21"/>
          <w:szCs w:val="21"/>
          <w:color w:val="auto"/>
        </w:rPr>
        <w:t>. If the installment method of payment is elected, then the periodic payments will include earnings adjustments to any remaining balance during the payout period. After the first payment is made, the remaining installments will be paid in January of each succeeding year. Annual amounts to be distributed under the installment method are determined by multiplying the amount in the Participant’s Account immediately prior to the payment date by a fraction, the numerator of which is one (1) and the denominator of which is the number of annual payments remaining to be paid (e.g., for 10 installments, 1/10, 1/9, 1/8, etc.).</w:t>
      </w:r>
    </w:p>
    <w:p>
      <w:pPr>
        <w:spacing w:after="0" w:line="120" w:lineRule="exact"/>
        <w:rPr>
          <w:sz w:val="20"/>
          <w:szCs w:val="20"/>
          <w:color w:val="auto"/>
        </w:rPr>
      </w:pPr>
    </w:p>
    <w:p>
      <w:pPr>
        <w:jc w:val="both"/>
        <w:ind w:firstLine="1184"/>
        <w:spacing w:after="0" w:line="257" w:lineRule="auto"/>
        <w:rPr>
          <w:sz w:val="20"/>
          <w:szCs w:val="20"/>
          <w:color w:val="auto"/>
        </w:rPr>
      </w:pPr>
      <w:r>
        <w:rPr>
          <w:rFonts w:ascii="Times New Roman" w:cs="Times New Roman" w:eastAsia="Times New Roman" w:hAnsi="Times New Roman"/>
          <w:sz w:val="21"/>
          <w:szCs w:val="21"/>
          <w:u w:val="single" w:color="auto"/>
          <w:color w:val="auto"/>
        </w:rPr>
        <w:t>Section 4.04. Unforeseeable Emergency Withdrawals</w:t>
      </w:r>
      <w:r>
        <w:rPr>
          <w:rFonts w:ascii="Times New Roman" w:cs="Times New Roman" w:eastAsia="Times New Roman" w:hAnsi="Times New Roman"/>
          <w:sz w:val="21"/>
          <w:szCs w:val="21"/>
          <w:color w:val="auto"/>
        </w:rPr>
        <w:t>. If a Participant provides information to the Administrator that is sufficient, as determined solely and conclusively by the Administrator, to establish that Unforeseeable Emergency has occurred, then the Administrator may authorize immediate payment to such Participant from the Participant’s Account, an amount reasonably necessary to satisfy the emergency need, taking tax consequences and the extent to which the Participant has exhausted his ability to borrow money under tax qualified retirement plans into account. Distributions under this paragraph shall be made first from Accounts with the earliest scheduled payment date.</w:t>
      </w:r>
    </w:p>
    <w:p>
      <w:pPr>
        <w:spacing w:after="0" w:line="120" w:lineRule="exact"/>
        <w:rPr>
          <w:sz w:val="20"/>
          <w:szCs w:val="20"/>
          <w:color w:val="auto"/>
        </w:rPr>
      </w:pPr>
    </w:p>
    <w:p>
      <w:pPr>
        <w:jc w:val="both"/>
        <w:ind w:firstLine="1184"/>
        <w:spacing w:after="0" w:line="271" w:lineRule="auto"/>
        <w:rPr>
          <w:sz w:val="20"/>
          <w:szCs w:val="20"/>
          <w:color w:val="auto"/>
        </w:rPr>
      </w:pPr>
      <w:r>
        <w:rPr>
          <w:rFonts w:ascii="Times New Roman" w:cs="Times New Roman" w:eastAsia="Times New Roman" w:hAnsi="Times New Roman"/>
          <w:sz w:val="21"/>
          <w:szCs w:val="21"/>
          <w:u w:val="single" w:color="auto"/>
          <w:color w:val="auto"/>
        </w:rPr>
        <w:t>Section 4.05. Permissible Delays in Distribution</w:t>
      </w:r>
      <w:r>
        <w:rPr>
          <w:rFonts w:ascii="Times New Roman" w:cs="Times New Roman" w:eastAsia="Times New Roman" w:hAnsi="Times New Roman"/>
          <w:sz w:val="21"/>
          <w:szCs w:val="21"/>
          <w:color w:val="auto"/>
        </w:rPr>
        <w:t>. Notwithstanding any distribution elections made under the Plan, distributions may be delayed in accordance with the following provisions, provided that any such distribution shall be made solely in the discretion of the Administrator without regard to the request, intent or wishes of any Participant or Beneficiary:</w:t>
      </w:r>
    </w:p>
    <w:p>
      <w:pPr>
        <w:spacing w:after="0" w:line="103" w:lineRule="exact"/>
        <w:rPr>
          <w:sz w:val="20"/>
          <w:szCs w:val="20"/>
          <w:color w:val="auto"/>
        </w:rPr>
      </w:pPr>
    </w:p>
    <w:p>
      <w:pPr>
        <w:jc w:val="both"/>
        <w:ind w:firstLine="1268"/>
        <w:spacing w:after="0" w:line="265" w:lineRule="auto"/>
        <w:tabs>
          <w:tab w:leader="none" w:pos="173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162(m)</w:t>
      </w:r>
      <w:r>
        <w:rPr>
          <w:rFonts w:ascii="Times New Roman" w:cs="Times New Roman" w:eastAsia="Times New Roman" w:hAnsi="Times New Roman"/>
          <w:sz w:val="21"/>
          <w:szCs w:val="21"/>
          <w:color w:val="auto"/>
        </w:rPr>
        <w:t>. Subject to the requirements of Treasury Regulation Section 1.409A-2(b)(7)(i), the Administrator, in its sole discretion, may delay distributions to a Participant to the extent necessary to avoid application of the deduction limitation under Code Section 162(m).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9" w:right="339" w:bottom="1440" w:gutter="0" w:footer="0" w:header="0"/>
        </w:sectPr>
      </w:pPr>
    </w:p>
    <w:bookmarkStart w:id="102" w:name="page103"/>
    <w:bookmarkEnd w:id="102"/>
    <w:p>
      <w:pPr>
        <w:jc w:val="both"/>
        <w:ind w:firstLine="1268"/>
        <w:spacing w:after="0" w:line="265" w:lineRule="auto"/>
        <w:tabs>
          <w:tab w:leader="none" w:pos="194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Violations of Law</w:t>
      </w:r>
      <w:r>
        <w:rPr>
          <w:rFonts w:ascii="Times New Roman" w:cs="Times New Roman" w:eastAsia="Times New Roman" w:hAnsi="Times New Roman"/>
          <w:sz w:val="21"/>
          <w:szCs w:val="21"/>
          <w:color w:val="auto"/>
        </w:rPr>
        <w:t>. Subject to the requirements of Treasury Regulation Section 1.409A-2(b)(7)(ii), the Administrator may delay distributions to a Participant or Beneficiary to the extent that it reasonably anticipates that the distribution, if paid, will violate Federal securities laws or other applicable law.</w:t>
      </w:r>
    </w:p>
    <w:p>
      <w:pPr>
        <w:spacing w:after="0" w:line="121" w:lineRule="exact"/>
        <w:rPr>
          <w:sz w:val="20"/>
          <w:szCs w:val="20"/>
          <w:color w:val="auto"/>
        </w:rPr>
      </w:pPr>
    </w:p>
    <w:p>
      <w:pPr>
        <w:jc w:val="both"/>
        <w:ind w:firstLine="1184"/>
        <w:spacing w:after="0" w:line="253" w:lineRule="auto"/>
        <w:rPr>
          <w:sz w:val="20"/>
          <w:szCs w:val="20"/>
          <w:color w:val="auto"/>
        </w:rPr>
      </w:pPr>
      <w:r>
        <w:rPr>
          <w:rFonts w:ascii="Times New Roman" w:cs="Times New Roman" w:eastAsia="Times New Roman" w:hAnsi="Times New Roman"/>
          <w:sz w:val="21"/>
          <w:szCs w:val="21"/>
          <w:u w:val="single" w:color="auto"/>
          <w:color w:val="auto"/>
        </w:rPr>
        <w:t>Section 4.06. Payments Upon Death of Participant</w:t>
      </w:r>
      <w:r>
        <w:rPr>
          <w:rFonts w:ascii="Times New Roman" w:cs="Times New Roman" w:eastAsia="Times New Roman" w:hAnsi="Times New Roman"/>
          <w:sz w:val="21"/>
          <w:szCs w:val="21"/>
          <w:color w:val="auto"/>
        </w:rPr>
        <w:t xml:space="preserve">. In the event of a Participant’s death, the vested balance of the Participant’s Accounts shall generally be paid to the Participant’s Beneficiary(ies) in a single lump sum no later than ninety (90) days after the date of death, </w:t>
      </w:r>
      <w:r>
        <w:rPr>
          <w:rFonts w:ascii="Times New Roman" w:cs="Times New Roman" w:eastAsia="Times New Roman" w:hAnsi="Times New Roman"/>
          <w:sz w:val="20"/>
          <w:szCs w:val="20"/>
          <w:color w:val="auto"/>
        </w:rPr>
        <w:t>provided that the Participant’s Beneficiary, estate, or legal representative timely notifies the Administrator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Participant’s death and provides the Administrator with all information needed to authorize such payment (such as the Participant’s death certificate). To the extent the Administrator cannot make a payment because it has not received such information, then the Administrator shall make such payment(s) to the Beneficiary(ies) as soon as practicable after it has received all information necessary to make such payment,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such payment(s) must be completed by December 31 of the year after the date of the Participant’s death in order to avoid additional taxes under Code Section 409A. </w:t>
      </w:r>
      <w:r>
        <w:rPr>
          <w:rFonts w:ascii="Times New Roman" w:cs="Times New Roman" w:eastAsia="Times New Roman" w:hAnsi="Times New Roman"/>
          <w:sz w:val="21"/>
          <w:szCs w:val="21"/>
          <w:color w:val="auto"/>
        </w:rPr>
        <w:t>Notwithstanding the foregoing, if the Participant’s Beneficiary, estate or legal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representative fails to notify the Administrator of the death of the Participant </w:t>
      </w:r>
      <w:r>
        <w:rPr>
          <w:rFonts w:ascii="Times New Roman" w:cs="Times New Roman" w:eastAsia="Times New Roman" w:hAnsi="Times New Roman"/>
          <w:sz w:val="20"/>
          <w:szCs w:val="20"/>
          <w:color w:val="auto"/>
        </w:rPr>
        <w:t>or fails to provide all information needed to authorize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payment, </w:t>
      </w:r>
      <w:r>
        <w:rPr>
          <w:rFonts w:ascii="Times New Roman" w:cs="Times New Roman" w:eastAsia="Times New Roman" w:hAnsi="Times New Roman"/>
          <w:sz w:val="21"/>
          <w:szCs w:val="21"/>
          <w:color w:val="auto"/>
        </w:rPr>
        <w:t>such that the Company is unable to make timely payment hereunder, then the Company shall not be treated as in breach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this Plan and shall not be liable to the Beneficiary, estate or legal representative for any losses, damages, or other claims resulting from such late payment. If a Beneficiary dies while entitled to receive a distribution from the Plan, the distribution shall be paid to the estate of the Beneficiary. Beneficiary designations shall be in writing on such form as the Administrator may prescribe for this purpose, and must be filed with the Administrator while the Participant is living to be given effect.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V. ADMINISTRATION</w:t>
      </w:r>
    </w:p>
    <w:p>
      <w:pPr>
        <w:spacing w:after="0" w:line="166" w:lineRule="exact"/>
        <w:rPr>
          <w:sz w:val="20"/>
          <w:szCs w:val="20"/>
          <w:color w:val="auto"/>
        </w:rPr>
      </w:pPr>
    </w:p>
    <w:p>
      <w:pPr>
        <w:jc w:val="both"/>
        <w:ind w:firstLine="1184"/>
        <w:spacing w:after="0" w:line="255" w:lineRule="auto"/>
        <w:rPr>
          <w:sz w:val="20"/>
          <w:szCs w:val="20"/>
          <w:color w:val="auto"/>
        </w:rPr>
      </w:pPr>
      <w:r>
        <w:rPr>
          <w:rFonts w:ascii="Times New Roman" w:cs="Times New Roman" w:eastAsia="Times New Roman" w:hAnsi="Times New Roman"/>
          <w:sz w:val="21"/>
          <w:szCs w:val="21"/>
          <w:u w:val="single" w:color="auto"/>
          <w:color w:val="auto"/>
        </w:rPr>
        <w:t>Section 5.01. Administration of the Plan</w:t>
      </w:r>
      <w:r>
        <w:rPr>
          <w:rFonts w:ascii="Times New Roman" w:cs="Times New Roman" w:eastAsia="Times New Roman" w:hAnsi="Times New Roman"/>
          <w:sz w:val="21"/>
          <w:szCs w:val="21"/>
          <w:color w:val="auto"/>
        </w:rPr>
        <w:t>. The Administrator shall administer and interpret the Plan, and supervise preparation of Election Forms and Beneficiary designation forms, and any amendments thereto. Interpretation of the Plan shall be within the sole discretion of the Administrator and shall be final and binding upon each Participant and Beneficiary. The Administrator may adopt and modify rules and regulations relating to the Plan as it deems necessary or advisable for the administration of the Plan. If a member of the Administrator shall also be a Participant or Beneficiary, such person shall not participate in any determinations affecting such person’s participation in the Plan. The Administrator may, from time to time, employ agents and delegate to them such administrative duties as it sees fit, and may from time to time consult with counsel who may be counsel to the Company.</w:t>
      </w:r>
    </w:p>
    <w:p>
      <w:pPr>
        <w:spacing w:after="0" w:line="13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u w:val="single" w:color="auto"/>
          <w:color w:val="auto"/>
        </w:rPr>
        <w:t>Section 5.02. Claims and Appeals.</w:t>
      </w:r>
    </w:p>
    <w:p>
      <w:pPr>
        <w:spacing w:after="0" w:line="166" w:lineRule="exact"/>
        <w:rPr>
          <w:sz w:val="20"/>
          <w:szCs w:val="20"/>
          <w:color w:val="auto"/>
        </w:rPr>
      </w:pPr>
    </w:p>
    <w:p>
      <w:pPr>
        <w:jc w:val="both"/>
        <w:ind w:firstLine="1268"/>
        <w:spacing w:after="0" w:line="256" w:lineRule="auto"/>
        <w:tabs>
          <w:tab w:leader="none" w:pos="18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Claim Filing</w:t>
      </w:r>
      <w:r>
        <w:rPr>
          <w:rFonts w:ascii="Times New Roman" w:cs="Times New Roman" w:eastAsia="Times New Roman" w:hAnsi="Times New Roman"/>
          <w:sz w:val="21"/>
          <w:szCs w:val="21"/>
          <w:color w:val="auto"/>
        </w:rPr>
        <w:t>. Any person or entity claiming a benefit, or requesting an interpretation, ruling, or information under the Plan (hereinafter referred to as "Claimant"), shall present the request in writing to the Administrator within one (1) year following the date that such person or entity knew or, exercising reasonable care, should have known of such claim, and the Administrator shall respond in writing as soon as practical, but in no event later than ninety (90) days after receiving the initial claim. If special circumstances require an extension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8" w:right="339" w:bottom="1440" w:gutter="0" w:footer="0" w:header="0"/>
        </w:sectPr>
      </w:pPr>
    </w:p>
    <w:bookmarkStart w:id="103" w:name="page104"/>
    <w:bookmarkEnd w:id="103"/>
    <w:p>
      <w:pPr>
        <w:jc w:val="both"/>
        <w:spacing w:after="0" w:line="260" w:lineRule="auto"/>
        <w:rPr>
          <w:sz w:val="20"/>
          <w:szCs w:val="20"/>
          <w:color w:val="auto"/>
        </w:rPr>
      </w:pPr>
      <w:r>
        <w:rPr>
          <w:rFonts w:ascii="Times New Roman" w:cs="Times New Roman" w:eastAsia="Times New Roman" w:hAnsi="Times New Roman"/>
          <w:sz w:val="21"/>
          <w:szCs w:val="21"/>
          <w:color w:val="auto"/>
        </w:rPr>
        <w:t>of the time for processing the claim, the initial ninety (90) day period may be extended for up to an additional ninety (90) days. If such an extension is required, the Administrator will provide written notice of the required extension before the end of the initial ninety (90) day period, which notice shall (i) specify the circumstances requiring an extension, (ii) a description of any additional material or information required and an explanation of why it is necessary, and (iii) the date by which the Administrator expects to make a decision.</w:t>
      </w:r>
    </w:p>
    <w:p>
      <w:pPr>
        <w:spacing w:after="0" w:line="113" w:lineRule="exact"/>
        <w:rPr>
          <w:sz w:val="20"/>
          <w:szCs w:val="20"/>
          <w:color w:val="auto"/>
        </w:rPr>
      </w:pPr>
    </w:p>
    <w:p>
      <w:pPr>
        <w:ind w:left="1900" w:hanging="632"/>
        <w:spacing w:after="0"/>
        <w:tabs>
          <w:tab w:leader="none" w:pos="190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Denial of Claim</w:t>
      </w:r>
      <w:r>
        <w:rPr>
          <w:rFonts w:ascii="Times New Roman" w:cs="Times New Roman" w:eastAsia="Times New Roman" w:hAnsi="Times New Roman"/>
          <w:sz w:val="21"/>
          <w:szCs w:val="21"/>
          <w:color w:val="auto"/>
        </w:rPr>
        <w:t>. If a claim is denied, the Administrator shall provide the Claimant with written notice</w:t>
      </w:r>
    </w:p>
    <w:p>
      <w:pPr>
        <w:spacing w:after="0" w:line="32" w:lineRule="exact"/>
        <w:rPr>
          <w:rFonts w:ascii="Times New Roman" w:cs="Times New Roman" w:eastAsia="Times New Roman" w:hAnsi="Times New Roman"/>
          <w:sz w:val="21"/>
          <w:szCs w:val="21"/>
          <w:color w:val="auto"/>
        </w:rPr>
      </w:pPr>
    </w:p>
    <w:p>
      <w:pPr>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containing: (i) the reasons for the denial, with specific reference to the Plan provisions on which the denial is based; (ii) an explanation of the Plan's claim review procedure; and (iii) any other information required by ERISA.</w:t>
      </w:r>
    </w:p>
    <w:p>
      <w:pPr>
        <w:spacing w:after="0" w:line="127" w:lineRule="exact"/>
        <w:rPr>
          <w:rFonts w:ascii="Times New Roman" w:cs="Times New Roman" w:eastAsia="Times New Roman" w:hAnsi="Times New Roman"/>
          <w:sz w:val="21"/>
          <w:szCs w:val="21"/>
          <w:color w:val="auto"/>
        </w:rPr>
      </w:pPr>
    </w:p>
    <w:p>
      <w:pPr>
        <w:jc w:val="both"/>
        <w:ind w:firstLine="1268"/>
        <w:spacing w:after="0" w:line="255" w:lineRule="auto"/>
        <w:tabs>
          <w:tab w:leader="none" w:pos="172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Review of Claim</w:t>
      </w:r>
      <w:r>
        <w:rPr>
          <w:rFonts w:ascii="Times New Roman" w:cs="Times New Roman" w:eastAsia="Times New Roman" w:hAnsi="Times New Roman"/>
          <w:sz w:val="21"/>
          <w:szCs w:val="21"/>
          <w:color w:val="auto"/>
        </w:rPr>
        <w:t>. Any Claimant whose claim or request is denied or who has not received a response within the applicable time period set forth in subsection (a) may request a review by notice given in writing to the Administrator. Such a request must be made within sixty (60) days after receiving notice of the denial or the expiration of the time period set forth in subsection (a) if the Claimant has not received a response. Such a request shall then be reviewed by the Administrator which may, but shall not be required to, grant the Claimant a hearing. On review, the Claimant may have representation, examine pertinent documents, and submit issues and comments in writing.</w:t>
      </w:r>
    </w:p>
    <w:p>
      <w:pPr>
        <w:spacing w:after="0" w:line="131" w:lineRule="exact"/>
        <w:rPr>
          <w:rFonts w:ascii="Times New Roman" w:cs="Times New Roman" w:eastAsia="Times New Roman" w:hAnsi="Times New Roman"/>
          <w:sz w:val="21"/>
          <w:szCs w:val="21"/>
          <w:color w:val="auto"/>
        </w:rPr>
      </w:pPr>
    </w:p>
    <w:p>
      <w:pPr>
        <w:jc w:val="both"/>
        <w:ind w:firstLine="1268"/>
        <w:spacing w:after="0" w:line="256" w:lineRule="auto"/>
        <w:tabs>
          <w:tab w:leader="none" w:pos="1838"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Final Decision</w:t>
      </w:r>
      <w:r>
        <w:rPr>
          <w:rFonts w:ascii="Times New Roman" w:cs="Times New Roman" w:eastAsia="Times New Roman" w:hAnsi="Times New Roman"/>
          <w:sz w:val="21"/>
          <w:szCs w:val="21"/>
          <w:color w:val="auto"/>
        </w:rPr>
        <w:t>. The Administrator shall provide the Claimant with written notice of its decision on review within sixty (60) days after receipt of the Claimant’s review request or hearing date. If special circumstances require an extension of the time to process the decision on review, the processing period may be extended for up to an additional sixty (60) days. If such an extension is required, the Administrator will provide written notice of the required extension to the Claimant before the end of the initial sixty (60) day period. If the claim is denied, the Administrator will provide the Claimant with a written notice containing the reasons for the denial, with specific reference to the Plan provisions on which the denial is based, and all other information required by ERISA. All decisions on review shall be final and bind all parties concerned.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VI. OTHER PROVISIONS</w:t>
      </w:r>
    </w:p>
    <w:p>
      <w:pPr>
        <w:spacing w:after="0" w:line="166" w:lineRule="exact"/>
        <w:rPr>
          <w:sz w:val="20"/>
          <w:szCs w:val="20"/>
          <w:color w:val="auto"/>
        </w:rPr>
      </w:pPr>
    </w:p>
    <w:p>
      <w:pPr>
        <w:jc w:val="both"/>
        <w:ind w:firstLine="1184"/>
        <w:spacing w:after="0" w:line="257" w:lineRule="auto"/>
        <w:rPr>
          <w:sz w:val="20"/>
          <w:szCs w:val="20"/>
          <w:color w:val="auto"/>
        </w:rPr>
      </w:pPr>
      <w:r>
        <w:rPr>
          <w:rFonts w:ascii="Times New Roman" w:cs="Times New Roman" w:eastAsia="Times New Roman" w:hAnsi="Times New Roman"/>
          <w:sz w:val="21"/>
          <w:szCs w:val="21"/>
          <w:u w:val="single" w:color="auto"/>
          <w:color w:val="auto"/>
        </w:rPr>
        <w:t>Section 6.01. Amendment and Termination; Acceleration of Distributions</w:t>
      </w:r>
      <w:r>
        <w:rPr>
          <w:rFonts w:ascii="Times New Roman" w:cs="Times New Roman" w:eastAsia="Times New Roman" w:hAnsi="Times New Roman"/>
          <w:sz w:val="21"/>
          <w:szCs w:val="21"/>
          <w:color w:val="auto"/>
        </w:rPr>
        <w:t>. The Administrator may amend or terminate the Plan without the consent of the Participants or Beneficiaries, provided, however, that no amendment or termination may reduce any Account balance accrued on behalf of a Participant based on deferrals already made, or divest any Participant of rights to which he would have been entitled if the Plan had been terminated immediately prior to the effective date of such amendment; provided, however, this Section shall not restrict the right of the Administrator to cause all Accounts to be distributed in the event of Plan termination, provided all Participants and Beneficiaries are treated in a uniform and nondiscriminatory manner.</w:t>
      </w:r>
    </w:p>
    <w:p>
      <w:pPr>
        <w:spacing w:after="0" w:line="120" w:lineRule="exact"/>
        <w:rPr>
          <w:sz w:val="20"/>
          <w:szCs w:val="20"/>
          <w:color w:val="auto"/>
        </w:rPr>
      </w:pPr>
    </w:p>
    <w:p>
      <w:pPr>
        <w:jc w:val="both"/>
        <w:ind w:firstLine="1184"/>
        <w:spacing w:after="0" w:line="271" w:lineRule="auto"/>
        <w:rPr>
          <w:sz w:val="20"/>
          <w:szCs w:val="20"/>
          <w:color w:val="auto"/>
        </w:rPr>
      </w:pPr>
      <w:r>
        <w:rPr>
          <w:rFonts w:ascii="Times New Roman" w:cs="Times New Roman" w:eastAsia="Times New Roman" w:hAnsi="Times New Roman"/>
          <w:sz w:val="21"/>
          <w:szCs w:val="21"/>
          <w:u w:val="single" w:color="auto"/>
          <w:color w:val="auto"/>
        </w:rPr>
        <w:t>Section 6.02. Expenses</w:t>
      </w:r>
      <w:r>
        <w:rPr>
          <w:rFonts w:ascii="Times New Roman" w:cs="Times New Roman" w:eastAsia="Times New Roman" w:hAnsi="Times New Roman"/>
          <w:sz w:val="21"/>
          <w:szCs w:val="21"/>
          <w:color w:val="auto"/>
        </w:rPr>
        <w:t>. Costs of administration of the Plan will be paid by the Company, except that, following a Participant’s Separation from Service for any reason other than Retirement, the Administrator may deduct a reasonable administrative fee (assessed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1"/>
          <w:szCs w:val="21"/>
          <w:color w:val="auto"/>
        </w:rPr>
        <w:t>more frequently than quarterly) from the balance of the Participant’s aggregate undistributed Accounts.</w:t>
      </w:r>
    </w:p>
    <w:p>
      <w:pPr>
        <w:spacing w:after="0" w:line="166" w:lineRule="exact"/>
        <w:rPr>
          <w:sz w:val="20"/>
          <w:szCs w:val="20"/>
          <w:color w:val="auto"/>
        </w:rPr>
      </w:pPr>
    </w:p>
    <w:p>
      <w:pPr>
        <w:jc w:val="both"/>
        <w:ind w:firstLine="1184"/>
        <w:spacing w:after="0" w:line="282" w:lineRule="auto"/>
        <w:rPr>
          <w:sz w:val="20"/>
          <w:szCs w:val="20"/>
          <w:color w:val="auto"/>
        </w:rPr>
      </w:pPr>
      <w:r>
        <w:rPr>
          <w:rFonts w:ascii="Times New Roman" w:cs="Times New Roman" w:eastAsia="Times New Roman" w:hAnsi="Times New Roman"/>
          <w:sz w:val="21"/>
          <w:szCs w:val="21"/>
          <w:u w:val="single" w:color="auto"/>
          <w:color w:val="auto"/>
        </w:rPr>
        <w:t>Section 6.03. Severability</w:t>
      </w:r>
      <w:r>
        <w:rPr>
          <w:rFonts w:ascii="Times New Roman" w:cs="Times New Roman" w:eastAsia="Times New Roman" w:hAnsi="Times New Roman"/>
          <w:sz w:val="21"/>
          <w:szCs w:val="21"/>
          <w:color w:val="auto"/>
        </w:rPr>
        <w:t>. If any of the provisions of the Plan shall be held to be invalid, or shall be determined to be inconsistent with the purpose of the Plan, the remainder of the Plan shall not be affected thereby.</w:t>
      </w:r>
    </w:p>
    <w:p>
      <w:pPr>
        <w:spacing w:after="0" w:line="104" w:lineRule="exact"/>
        <w:rPr>
          <w:sz w:val="20"/>
          <w:szCs w:val="20"/>
          <w:color w:val="auto"/>
        </w:rPr>
      </w:pPr>
    </w:p>
    <w:p>
      <w:pPr>
        <w:jc w:val="both"/>
        <w:ind w:firstLine="1184"/>
        <w:spacing w:after="0" w:line="265" w:lineRule="auto"/>
        <w:rPr>
          <w:sz w:val="20"/>
          <w:szCs w:val="20"/>
          <w:color w:val="auto"/>
        </w:rPr>
      </w:pPr>
      <w:r>
        <w:rPr>
          <w:rFonts w:ascii="Times New Roman" w:cs="Times New Roman" w:eastAsia="Times New Roman" w:hAnsi="Times New Roman"/>
          <w:sz w:val="21"/>
          <w:szCs w:val="21"/>
          <w:u w:val="single" w:color="auto"/>
          <w:color w:val="auto"/>
        </w:rPr>
        <w:t>Section 6.04. Binding Upon Successors</w:t>
      </w:r>
      <w:r>
        <w:rPr>
          <w:rFonts w:ascii="Times New Roman" w:cs="Times New Roman" w:eastAsia="Times New Roman" w:hAnsi="Times New Roman"/>
          <w:sz w:val="21"/>
          <w:szCs w:val="21"/>
          <w:color w:val="auto"/>
        </w:rPr>
        <w:t>. This Plan shall be binding upon and inure to the benefit of Marriott Vacations Worldwide Corporation, its successors and assigns, and the Participants and their heirs, executors, administrators, and legal representatives.</w:t>
      </w:r>
    </w:p>
    <w:p>
      <w:pPr>
        <w:spacing w:after="0" w:line="108" w:lineRule="exact"/>
        <w:rPr>
          <w:sz w:val="20"/>
          <w:szCs w:val="20"/>
          <w:color w:val="auto"/>
        </w:rPr>
      </w:pPr>
    </w:p>
    <w:p>
      <w:pPr>
        <w:jc w:val="both"/>
        <w:ind w:firstLine="1184"/>
        <w:spacing w:after="0" w:line="271" w:lineRule="auto"/>
        <w:rPr>
          <w:sz w:val="20"/>
          <w:szCs w:val="20"/>
          <w:color w:val="auto"/>
        </w:rPr>
      </w:pPr>
      <w:r>
        <w:rPr>
          <w:rFonts w:ascii="Times New Roman" w:cs="Times New Roman" w:eastAsia="Times New Roman" w:hAnsi="Times New Roman"/>
          <w:sz w:val="21"/>
          <w:szCs w:val="21"/>
          <w:u w:val="single" w:color="auto"/>
          <w:color w:val="auto"/>
        </w:rPr>
        <w:t>Section 6.05. Not a Contract of Employment</w:t>
      </w:r>
      <w:r>
        <w:rPr>
          <w:rFonts w:ascii="Times New Roman" w:cs="Times New Roman" w:eastAsia="Times New Roman" w:hAnsi="Times New Roman"/>
          <w:sz w:val="21"/>
          <w:szCs w:val="21"/>
          <w:color w:val="auto"/>
        </w:rPr>
        <w:t>. This Plan shall not constitute a contract of employment between the Company and the Participant. Nothing in this Plan shall give a Participant the right to be retained in the service of the Company or to interfere with the right of the Company to discipline or discharge a Participant at any time.</w:t>
      </w:r>
    </w:p>
    <w:p>
      <w:pPr>
        <w:spacing w:after="0" w:line="103" w:lineRule="exact"/>
        <w:rPr>
          <w:sz w:val="20"/>
          <w:szCs w:val="20"/>
          <w:color w:val="auto"/>
        </w:rPr>
      </w:pPr>
    </w:p>
    <w:p>
      <w:pPr>
        <w:jc w:val="both"/>
        <w:ind w:firstLine="1184"/>
        <w:spacing w:after="0" w:line="265" w:lineRule="auto"/>
        <w:rPr>
          <w:sz w:val="20"/>
          <w:szCs w:val="20"/>
          <w:color w:val="auto"/>
        </w:rPr>
      </w:pPr>
      <w:r>
        <w:rPr>
          <w:rFonts w:ascii="Times New Roman" w:cs="Times New Roman" w:eastAsia="Times New Roman" w:hAnsi="Times New Roman"/>
          <w:sz w:val="21"/>
          <w:szCs w:val="21"/>
          <w:u w:val="single" w:color="auto"/>
          <w:color w:val="auto"/>
        </w:rPr>
        <w:t>Section 6.06. Protective Provisions</w:t>
      </w:r>
      <w:r>
        <w:rPr>
          <w:rFonts w:ascii="Times New Roman" w:cs="Times New Roman" w:eastAsia="Times New Roman" w:hAnsi="Times New Roman"/>
          <w:sz w:val="21"/>
          <w:szCs w:val="21"/>
          <w:color w:val="auto"/>
        </w:rPr>
        <w:t>. A Participant or Beneficiary will cooperate with the Company by furnishing any and all information requested by the Company, in order to facilitate the payment of benefits hereunder, and by taking such physical examinations as the Company may deem necessary and taking such other action as may be requested by the Company.</w:t>
      </w:r>
    </w:p>
    <w:p>
      <w:pPr>
        <w:spacing w:after="0" w:line="108" w:lineRule="exact"/>
        <w:rPr>
          <w:sz w:val="20"/>
          <w:szCs w:val="20"/>
          <w:color w:val="auto"/>
        </w:rPr>
      </w:pPr>
    </w:p>
    <w:p>
      <w:pPr>
        <w:jc w:val="both"/>
        <w:ind w:firstLine="1184"/>
        <w:spacing w:after="0" w:line="260" w:lineRule="auto"/>
        <w:rPr>
          <w:sz w:val="20"/>
          <w:szCs w:val="20"/>
          <w:color w:val="auto"/>
        </w:rPr>
      </w:pPr>
      <w:r>
        <w:rPr>
          <w:rFonts w:ascii="Times New Roman" w:cs="Times New Roman" w:eastAsia="Times New Roman" w:hAnsi="Times New Roman"/>
          <w:sz w:val="21"/>
          <w:szCs w:val="21"/>
          <w:u w:val="single" w:color="auto"/>
          <w:color w:val="auto"/>
        </w:rPr>
        <w:t>Section 6.07. Notice</w:t>
      </w:r>
      <w:r>
        <w:rPr>
          <w:rFonts w:ascii="Times New Roman" w:cs="Times New Roman" w:eastAsia="Times New Roman" w:hAnsi="Times New Roman"/>
          <w:sz w:val="21"/>
          <w:szCs w:val="21"/>
          <w:color w:val="auto"/>
        </w:rPr>
        <w:t>. Any notice required or permitted under the Plan shall be sufficient if in writing and hand delivered or sent by registered or certified mail. Such notice shall be deemed given as of the date of delivery or, if delivery is made by mail, as of the date shown on the postmark on the receipt for registration or certification. Mailed notice to the Administrator shall be directed to the address for the headquarters of Marriott Vacations Worldwide Corporation. Mailed notice to a Participant or Beneficiary shall be directed to the individual's last known address in the Company's records.</w:t>
      </w:r>
    </w:p>
    <w:p>
      <w:pPr>
        <w:spacing w:after="0" w:line="113" w:lineRule="exact"/>
        <w:rPr>
          <w:sz w:val="20"/>
          <w:szCs w:val="20"/>
          <w:color w:val="auto"/>
        </w:rPr>
      </w:pPr>
    </w:p>
    <w:p>
      <w:pPr>
        <w:jc w:val="both"/>
        <w:ind w:firstLine="1184"/>
        <w:spacing w:after="0" w:line="257" w:lineRule="auto"/>
        <w:rPr>
          <w:sz w:val="20"/>
          <w:szCs w:val="20"/>
          <w:color w:val="auto"/>
        </w:rPr>
      </w:pPr>
      <w:r>
        <w:rPr>
          <w:rFonts w:ascii="Times New Roman" w:cs="Times New Roman" w:eastAsia="Times New Roman" w:hAnsi="Times New Roman"/>
          <w:sz w:val="21"/>
          <w:szCs w:val="21"/>
          <w:u w:val="single" w:color="auto"/>
          <w:color w:val="auto"/>
        </w:rPr>
        <w:t>Section 6.08. Nonassignability</w:t>
      </w:r>
      <w:r>
        <w:rPr>
          <w:rFonts w:ascii="Times New Roman" w:cs="Times New Roman" w:eastAsia="Times New Roman" w:hAnsi="Times New Roman"/>
          <w:sz w:val="21"/>
          <w:szCs w:val="21"/>
          <w:color w:val="auto"/>
        </w:rPr>
        <w:t>. Neither a Participant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and no part of the amounts payable hereunder shall, prior to actual payment, be subject to seizure or sequestration for the payment of any debts, judgments, alimony or separate maintenance owed by a Participant or any other person, nor be transferable by operation of law in the event of a Participant's or any other person's bankruptcy or insolvency other than (a) to a Participant’s Beneficiary pursuant to the provisions herein, (b) pursuant to a domestic relations order deemed legally sufficient by the Administrator or (c) by will or the laws of descent and distribution.</w:t>
      </w:r>
    </w:p>
    <w:p>
      <w:pPr>
        <w:spacing w:after="0" w:line="116" w:lineRule="exact"/>
        <w:rPr>
          <w:sz w:val="20"/>
          <w:szCs w:val="20"/>
          <w:color w:val="auto"/>
        </w:rPr>
      </w:pPr>
    </w:p>
    <w:p>
      <w:pPr>
        <w:jc w:val="both"/>
        <w:ind w:firstLine="1184"/>
        <w:spacing w:after="0" w:line="265" w:lineRule="auto"/>
        <w:rPr>
          <w:sz w:val="20"/>
          <w:szCs w:val="20"/>
          <w:color w:val="auto"/>
        </w:rPr>
      </w:pPr>
      <w:r>
        <w:rPr>
          <w:rFonts w:ascii="Times New Roman" w:cs="Times New Roman" w:eastAsia="Times New Roman" w:hAnsi="Times New Roman"/>
          <w:sz w:val="21"/>
          <w:szCs w:val="21"/>
          <w:u w:val="single" w:color="auto"/>
          <w:color w:val="auto"/>
        </w:rPr>
        <w:t>Section 6.09. Offset</w:t>
      </w:r>
      <w:r>
        <w:rPr>
          <w:rFonts w:ascii="Times New Roman" w:cs="Times New Roman" w:eastAsia="Times New Roman" w:hAnsi="Times New Roman"/>
          <w:sz w:val="21"/>
          <w:szCs w:val="21"/>
          <w:color w:val="auto"/>
        </w:rPr>
        <w:t>. If, at the time a payment is due hereunder, the Company determines that the Participant is indebted or obligated to the Company, then the payment to be made to or with respect to such Participant (including a payment to the Participant’s Beneficiary) may, at the discretion of the Company, be reduced by the amount of such indebtedness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9" w:right="339" w:bottom="1440" w:gutter="0" w:footer="0" w:header="0"/>
        </w:sectPr>
      </w:pPr>
    </w:p>
    <w:bookmarkStart w:id="105" w:name="page106"/>
    <w:bookmarkEnd w:id="105"/>
    <w:p>
      <w:pPr>
        <w:spacing w:after="0" w:line="282" w:lineRule="auto"/>
        <w:rPr>
          <w:sz w:val="20"/>
          <w:szCs w:val="20"/>
          <w:color w:val="auto"/>
        </w:rPr>
      </w:pPr>
      <w:r>
        <w:rPr>
          <w:rFonts w:ascii="Times New Roman" w:cs="Times New Roman" w:eastAsia="Times New Roman" w:hAnsi="Times New Roman"/>
          <w:sz w:val="21"/>
          <w:szCs w:val="21"/>
          <w:color w:val="auto"/>
        </w:rPr>
        <w:t>obligation; provided, however, that an election by the Company to not reduce any such payment shall not constitute a waiver of its claim for such indebtedness or obligation.</w:t>
      </w:r>
    </w:p>
    <w:p>
      <w:pPr>
        <w:spacing w:after="0" w:line="90" w:lineRule="exact"/>
        <w:rPr>
          <w:sz w:val="20"/>
          <w:szCs w:val="20"/>
          <w:color w:val="auto"/>
        </w:rPr>
      </w:pPr>
    </w:p>
    <w:p>
      <w:pPr>
        <w:ind w:firstLine="1184"/>
        <w:spacing w:after="0" w:line="295" w:lineRule="auto"/>
        <w:rPr>
          <w:sz w:val="20"/>
          <w:szCs w:val="20"/>
          <w:color w:val="auto"/>
        </w:rPr>
      </w:pPr>
      <w:r>
        <w:rPr>
          <w:rFonts w:ascii="Times New Roman" w:cs="Times New Roman" w:eastAsia="Times New Roman" w:hAnsi="Times New Roman"/>
          <w:sz w:val="21"/>
          <w:szCs w:val="21"/>
          <w:u w:val="single" w:color="auto"/>
          <w:color w:val="auto"/>
        </w:rPr>
        <w:t>Section 6.10. Governing Law</w:t>
      </w:r>
      <w:r>
        <w:rPr>
          <w:rFonts w:ascii="Times New Roman" w:cs="Times New Roman" w:eastAsia="Times New Roman" w:hAnsi="Times New Roman"/>
          <w:sz w:val="21"/>
          <w:szCs w:val="21"/>
          <w:color w:val="auto"/>
        </w:rPr>
        <w:t>. This Plan shall be construed in accordance with and governed by the law of the State of Florida, without reference to conflict of law principles thereof, to the extent not preempted by federal law.</w:t>
      </w:r>
    </w:p>
    <w:p>
      <w:pPr>
        <w:spacing w:after="0" w:line="77" w:lineRule="exact"/>
        <w:rPr>
          <w:sz w:val="20"/>
          <w:szCs w:val="20"/>
          <w:color w:val="auto"/>
        </w:rPr>
      </w:pPr>
    </w:p>
    <w:p>
      <w:pPr>
        <w:ind w:firstLine="1263"/>
        <w:spacing w:after="0" w:line="282" w:lineRule="auto"/>
        <w:rPr>
          <w:sz w:val="20"/>
          <w:szCs w:val="20"/>
          <w:color w:val="auto"/>
        </w:rPr>
      </w:pPr>
      <w:r>
        <w:rPr>
          <w:rFonts w:ascii="Times New Roman" w:cs="Times New Roman" w:eastAsia="Times New Roman" w:hAnsi="Times New Roman"/>
          <w:sz w:val="21"/>
          <w:szCs w:val="21"/>
          <w:color w:val="auto"/>
        </w:rPr>
        <w:t>IN WITNESS WHEREOF, Marriott Vacations Worldwide Corporation has caused this Plan to be executed by its duly authorized officers.</w:t>
      </w:r>
    </w:p>
    <w:p>
      <w:pPr>
        <w:spacing w:after="0" w:line="200" w:lineRule="exact"/>
        <w:rPr>
          <w:sz w:val="20"/>
          <w:szCs w:val="20"/>
          <w:color w:val="auto"/>
        </w:rPr>
      </w:pPr>
    </w:p>
    <w:p>
      <w:pPr>
        <w:spacing w:after="0" w:line="2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5"/>
          <w:szCs w:val="25"/>
          <w:color w:val="auto"/>
        </w:rPr>
        <w:t>MARRIOTT VACATIONS WORLDWIDE CORPORATION</w:t>
      </w:r>
    </w:p>
    <w:p>
      <w:pPr>
        <w:spacing w:after="0" w:line="200" w:lineRule="exact"/>
        <w:rPr>
          <w:sz w:val="20"/>
          <w:szCs w:val="20"/>
          <w:color w:val="auto"/>
        </w:rPr>
      </w:pPr>
    </w:p>
    <w:p>
      <w:pPr>
        <w:spacing w:after="0" w:line="307" w:lineRule="exact"/>
        <w:rPr>
          <w:sz w:val="20"/>
          <w:szCs w:val="20"/>
          <w:color w:val="auto"/>
        </w:rPr>
      </w:pPr>
    </w:p>
    <w:tbl>
      <w:tblPr>
        <w:tblLayout w:type="fixed"/>
        <w:tblInd w:w="406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2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1"/>
                <w:szCs w:val="21"/>
                <w:color w:val="auto"/>
                <w:w w:val="98"/>
              </w:rPr>
              <w:t>/s/ Michael E. Yonker</w:t>
            </w:r>
          </w:p>
        </w:tc>
        <w:tc>
          <w:tcPr>
            <w:tcW w:w="1740" w:type="dxa"/>
            <w:vAlign w:val="bottom"/>
          </w:tcPr>
          <w:p>
            <w:pPr>
              <w:spacing w:after="0"/>
              <w:rPr>
                <w:sz w:val="21"/>
                <w:szCs w:val="21"/>
                <w:color w:val="auto"/>
              </w:rPr>
            </w:pPr>
          </w:p>
        </w:tc>
      </w:tr>
      <w:tr>
        <w:trPr>
          <w:trHeight w:val="282"/>
        </w:trPr>
        <w:tc>
          <w:tcPr>
            <w:tcW w:w="500" w:type="dxa"/>
            <w:vAlign w:val="bottom"/>
          </w:tcPr>
          <w:p>
            <w:pPr>
              <w:spacing w:after="0"/>
              <w:rPr>
                <w:sz w:val="24"/>
                <w:szCs w:val="24"/>
                <w:color w:val="auto"/>
              </w:rPr>
            </w:pPr>
          </w:p>
        </w:tc>
        <w:tc>
          <w:tcPr>
            <w:tcW w:w="3740" w:type="dxa"/>
            <w:vAlign w:val="bottom"/>
            <w:gridSpan w:val="2"/>
          </w:tcPr>
          <w:p>
            <w:pPr>
              <w:ind w:left="740"/>
              <w:spacing w:after="0"/>
              <w:rPr>
                <w:sz w:val="20"/>
                <w:szCs w:val="20"/>
                <w:color w:val="auto"/>
              </w:rPr>
            </w:pPr>
            <w:r>
              <w:rPr>
                <w:rFonts w:ascii="Times New Roman" w:cs="Times New Roman" w:eastAsia="Times New Roman" w:hAnsi="Times New Roman"/>
                <w:sz w:val="21"/>
                <w:szCs w:val="21"/>
                <w:color w:val="auto"/>
              </w:rPr>
              <w:t>Michael E. Yonker</w:t>
            </w:r>
          </w:p>
        </w:tc>
      </w:tr>
      <w:tr>
        <w:trPr>
          <w:trHeight w:val="263"/>
        </w:trPr>
        <w:tc>
          <w:tcPr>
            <w:tcW w:w="500" w:type="dxa"/>
            <w:vAlign w:val="bottom"/>
          </w:tcPr>
          <w:p>
            <w:pPr>
              <w:spacing w:after="0"/>
              <w:rPr>
                <w:sz w:val="22"/>
                <w:szCs w:val="22"/>
                <w:color w:val="auto"/>
              </w:rPr>
            </w:pPr>
          </w:p>
        </w:tc>
        <w:tc>
          <w:tcPr>
            <w:tcW w:w="3740" w:type="dxa"/>
            <w:vAlign w:val="bottom"/>
            <w:gridSpan w:val="2"/>
          </w:tcPr>
          <w:p>
            <w:pPr>
              <w:ind w:left="740"/>
              <w:spacing w:after="0"/>
              <w:rPr>
                <w:sz w:val="20"/>
                <w:szCs w:val="20"/>
                <w:color w:val="auto"/>
              </w:rPr>
            </w:pPr>
            <w:r>
              <w:rPr>
                <w:rFonts w:ascii="Times New Roman" w:cs="Times New Roman" w:eastAsia="Times New Roman" w:hAnsi="Times New Roman"/>
                <w:sz w:val="21"/>
                <w:szCs w:val="21"/>
                <w:color w:val="auto"/>
                <w:w w:val="99"/>
              </w:rPr>
              <w:t>Executive Vice President and Chief</w:t>
            </w:r>
          </w:p>
        </w:tc>
      </w:tr>
      <w:tr>
        <w:trPr>
          <w:trHeight w:val="276"/>
        </w:trPr>
        <w:tc>
          <w:tcPr>
            <w:tcW w:w="500" w:type="dxa"/>
            <w:vAlign w:val="bottom"/>
          </w:tcPr>
          <w:p>
            <w:pPr>
              <w:spacing w:after="0"/>
              <w:rPr>
                <w:sz w:val="23"/>
                <w:szCs w:val="23"/>
                <w:color w:val="auto"/>
              </w:rPr>
            </w:pPr>
          </w:p>
        </w:tc>
        <w:tc>
          <w:tcPr>
            <w:tcW w:w="3740" w:type="dxa"/>
            <w:vAlign w:val="bottom"/>
            <w:gridSpan w:val="2"/>
          </w:tcPr>
          <w:p>
            <w:pPr>
              <w:ind w:left="1000"/>
              <w:spacing w:after="0"/>
              <w:rPr>
                <w:sz w:val="20"/>
                <w:szCs w:val="20"/>
                <w:color w:val="auto"/>
              </w:rPr>
            </w:pPr>
            <w:r>
              <w:rPr>
                <w:rFonts w:ascii="Times New Roman" w:cs="Times New Roman" w:eastAsia="Times New Roman" w:hAnsi="Times New Roman"/>
                <w:sz w:val="21"/>
                <w:szCs w:val="21"/>
                <w:color w:val="auto"/>
              </w:rPr>
              <w:t>Human Resources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4844-5815-6307.3</w:t>
      </w:r>
    </w:p>
    <w:p>
      <w:pPr>
        <w:sectPr>
          <w:pgSz w:w="11900" w:h="16838" w:orient="portrait"/>
          <w:cols w:equalWidth="0" w:num="1">
            <w:col w:w="11240"/>
          </w:cols>
          <w:pgMar w:left="320" w:top="1388"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Weisz, certify that:</w:t>
      </w:r>
    </w:p>
    <w:p>
      <w:pPr>
        <w:spacing w:after="0" w:line="109" w:lineRule="exact"/>
        <w:rPr>
          <w:sz w:val="20"/>
          <w:szCs w:val="20"/>
          <w:color w:val="auto"/>
        </w:rPr>
      </w:pPr>
    </w:p>
    <w:p>
      <w:pPr>
        <w:ind w:left="640" w:hanging="635"/>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Vacations Worldwide Corporation;</w:t>
      </w:r>
    </w:p>
    <w:p>
      <w:pPr>
        <w:spacing w:after="0" w:line="108"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8"/>
          <w:szCs w:val="18"/>
          <w:color w:val="auto"/>
        </w:rPr>
      </w:pPr>
    </w:p>
    <w:p>
      <w:pPr>
        <w:ind w:left="640" w:right="360" w:hanging="635"/>
        <w:spacing w:after="0" w:line="268" w:lineRule="auto"/>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ind w:left="1260" w:right="20" w:hanging="623"/>
        <w:spacing w:after="0" w:line="256" w:lineRule="auto"/>
        <w:tabs>
          <w:tab w:leader="none" w:pos="125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8"/>
          <w:szCs w:val="18"/>
          <w:color w:val="auto"/>
        </w:rPr>
      </w:pPr>
    </w:p>
    <w:p>
      <w:pPr>
        <w:ind w:left="1260" w:right="320" w:hanging="623"/>
        <w:spacing w:after="0" w:line="256" w:lineRule="auto"/>
        <w:tabs>
          <w:tab w:leader="none" w:pos="12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Times New Roman" w:cs="Times New Roman" w:eastAsia="Times New Roman" w:hAnsi="Times New Roman"/>
          <w:sz w:val="18"/>
          <w:szCs w:val="18"/>
          <w:color w:val="auto"/>
        </w:rPr>
      </w:pPr>
    </w:p>
    <w:p>
      <w:pPr>
        <w:jc w:val="both"/>
        <w:ind w:left="1260" w:right="500" w:hanging="623"/>
        <w:spacing w:after="0" w:line="332" w:lineRule="auto"/>
        <w:tabs>
          <w:tab w:leader="none" w:pos="1257"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260" w:right="20" w:hanging="623"/>
        <w:spacing w:after="0" w:line="256" w:lineRule="auto"/>
        <w:tabs>
          <w:tab w:leader="none" w:pos="12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8"/>
          <w:szCs w:val="18"/>
          <w:color w:val="auto"/>
        </w:rPr>
      </w:pPr>
    </w:p>
    <w:p>
      <w:pPr>
        <w:ind w:left="640" w:right="100" w:hanging="635"/>
        <w:spacing w:after="0" w:line="268" w:lineRule="auto"/>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Times New Roman" w:cs="Times New Roman" w:eastAsia="Times New Roman" w:hAnsi="Times New Roman"/>
          <w:sz w:val="18"/>
          <w:szCs w:val="18"/>
          <w:color w:val="auto"/>
        </w:rPr>
      </w:pPr>
    </w:p>
    <w:p>
      <w:pPr>
        <w:ind w:left="1260" w:right="740" w:hanging="623"/>
        <w:spacing w:after="0" w:line="332" w:lineRule="auto"/>
        <w:tabs>
          <w:tab w:leader="none" w:pos="1257"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6"/>
          <w:szCs w:val="16"/>
          <w:color w:val="auto"/>
        </w:rPr>
      </w:pPr>
    </w:p>
    <w:p>
      <w:pPr>
        <w:ind w:left="1260" w:right="440" w:hanging="623"/>
        <w:spacing w:after="0" w:line="268" w:lineRule="auto"/>
        <w:tabs>
          <w:tab w:leader="none" w:pos="125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39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2050415</wp:posOffset>
            </wp:positionH>
            <wp:positionV relativeFrom="paragraph">
              <wp:posOffset>30480</wp:posOffset>
            </wp:positionV>
            <wp:extent cx="33674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3367405" cy="8255"/>
                    </a:xfrm>
                    <a:prstGeom prst="rect">
                      <a:avLst/>
                    </a:prstGeom>
                    <a:noFill/>
                  </pic:spPr>
                </pic:pic>
              </a:graphicData>
            </a:graphic>
          </wp:anchor>
        </w:drawing>
      </w:r>
    </w:p>
    <w:p>
      <w:pPr>
        <w:spacing w:after="0" w:line="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Stephen P. Weisz</w:t>
      </w:r>
    </w:p>
    <w:p>
      <w:pPr>
        <w:spacing w:after="0" w:line="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2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E. Terry, certify that:</w:t>
      </w:r>
    </w:p>
    <w:p>
      <w:pPr>
        <w:spacing w:after="0" w:line="109" w:lineRule="exact"/>
        <w:rPr>
          <w:sz w:val="20"/>
          <w:szCs w:val="20"/>
          <w:color w:val="auto"/>
        </w:rPr>
      </w:pPr>
    </w:p>
    <w:p>
      <w:pPr>
        <w:ind w:left="640" w:hanging="635"/>
        <w:spacing w:after="0"/>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Marriott Vacations Worldwide Corporation;</w:t>
      </w:r>
    </w:p>
    <w:p>
      <w:pPr>
        <w:spacing w:after="0" w:line="108"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8"/>
          <w:szCs w:val="18"/>
          <w:color w:val="auto"/>
        </w:rPr>
      </w:pPr>
    </w:p>
    <w:p>
      <w:pPr>
        <w:ind w:left="640" w:right="360" w:hanging="635"/>
        <w:spacing w:after="0" w:line="268" w:lineRule="auto"/>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Times New Roman" w:cs="Times New Roman" w:eastAsia="Times New Roman" w:hAnsi="Times New Roman"/>
          <w:sz w:val="18"/>
          <w:szCs w:val="18"/>
          <w:color w:val="auto"/>
        </w:rPr>
      </w:pPr>
    </w:p>
    <w:p>
      <w:pPr>
        <w:jc w:val="both"/>
        <w:ind w:left="640" w:right="400" w:hanging="635"/>
        <w:spacing w:after="0" w:line="256" w:lineRule="auto"/>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8"/>
          <w:szCs w:val="18"/>
          <w:color w:val="auto"/>
        </w:rPr>
      </w:pPr>
    </w:p>
    <w:p>
      <w:pPr>
        <w:ind w:left="1260" w:right="20" w:hanging="623"/>
        <w:spacing w:after="0" w:line="256" w:lineRule="auto"/>
        <w:tabs>
          <w:tab w:leader="none" w:pos="125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Times New Roman" w:cs="Times New Roman" w:eastAsia="Times New Roman" w:hAnsi="Times New Roman"/>
          <w:sz w:val="18"/>
          <w:szCs w:val="18"/>
          <w:color w:val="auto"/>
        </w:rPr>
      </w:pPr>
    </w:p>
    <w:p>
      <w:pPr>
        <w:ind w:left="1260" w:right="320" w:hanging="623"/>
        <w:spacing w:after="0" w:line="256" w:lineRule="auto"/>
        <w:tabs>
          <w:tab w:leader="none" w:pos="125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Times New Roman" w:cs="Times New Roman" w:eastAsia="Times New Roman" w:hAnsi="Times New Roman"/>
          <w:sz w:val="18"/>
          <w:szCs w:val="18"/>
          <w:color w:val="auto"/>
        </w:rPr>
      </w:pPr>
    </w:p>
    <w:p>
      <w:pPr>
        <w:jc w:val="both"/>
        <w:ind w:left="1260" w:right="500" w:hanging="623"/>
        <w:spacing w:after="0" w:line="332" w:lineRule="auto"/>
        <w:tabs>
          <w:tab w:leader="none" w:pos="1257"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Times New Roman" w:cs="Times New Roman" w:eastAsia="Times New Roman" w:hAnsi="Times New Roman"/>
          <w:sz w:val="16"/>
          <w:szCs w:val="16"/>
          <w:color w:val="auto"/>
        </w:rPr>
      </w:pPr>
    </w:p>
    <w:p>
      <w:pPr>
        <w:ind w:left="1260" w:right="20" w:hanging="623"/>
        <w:spacing w:after="0" w:line="256" w:lineRule="auto"/>
        <w:tabs>
          <w:tab w:leader="none" w:pos="125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8"/>
          <w:szCs w:val="18"/>
          <w:color w:val="auto"/>
        </w:rPr>
      </w:pPr>
    </w:p>
    <w:p>
      <w:pPr>
        <w:ind w:left="640" w:right="100" w:hanging="635"/>
        <w:spacing w:after="0" w:line="268" w:lineRule="auto"/>
        <w:tabs>
          <w:tab w:leader="none" w:pos="6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Times New Roman" w:cs="Times New Roman" w:eastAsia="Times New Roman" w:hAnsi="Times New Roman"/>
          <w:sz w:val="18"/>
          <w:szCs w:val="18"/>
          <w:color w:val="auto"/>
        </w:rPr>
      </w:pPr>
    </w:p>
    <w:p>
      <w:pPr>
        <w:ind w:left="1260" w:right="740" w:hanging="623"/>
        <w:spacing w:after="0" w:line="332" w:lineRule="auto"/>
        <w:tabs>
          <w:tab w:leader="none" w:pos="1257"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Times New Roman" w:cs="Times New Roman" w:eastAsia="Times New Roman" w:hAnsi="Times New Roman"/>
          <w:sz w:val="16"/>
          <w:szCs w:val="16"/>
          <w:color w:val="auto"/>
        </w:rPr>
      </w:pPr>
    </w:p>
    <w:p>
      <w:pPr>
        <w:ind w:left="1260" w:right="440" w:hanging="623"/>
        <w:spacing w:after="0" w:line="268" w:lineRule="auto"/>
        <w:tabs>
          <w:tab w:leader="none" w:pos="125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3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13970</wp:posOffset>
            </wp:positionV>
            <wp:extent cx="44786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4478655" cy="8255"/>
                    </a:xfrm>
                    <a:prstGeom prst="rect">
                      <a:avLst/>
                    </a:prstGeom>
                    <a:noFill/>
                  </pic:spPr>
                </pic:pic>
              </a:graphicData>
            </a:graphic>
          </wp:anchor>
        </w:drawing>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Anthony E. Terry</w:t>
      </w:r>
    </w:p>
    <w:p>
      <w:pPr>
        <w:spacing w:after="0" w:line="2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22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Weisz, Chief Executive Officer of Marriott Vacations Worldwide Corporation (the “Company”) certify that:</w:t>
      </w:r>
    </w:p>
    <w:p>
      <w:pPr>
        <w:spacing w:after="0" w:line="109" w:lineRule="exact"/>
        <w:rPr>
          <w:sz w:val="20"/>
          <w:szCs w:val="20"/>
          <w:color w:val="auto"/>
        </w:rPr>
      </w:pPr>
    </w:p>
    <w:p>
      <w:pPr>
        <w:ind w:left="640" w:right="20" w:hanging="635"/>
        <w:spacing w:after="0" w:line="268" w:lineRule="auto"/>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2022 (the “Quarterly Report”), fully complies with the requirements of section 13(a) or 15(d) of the Securities Exchange Act of 1934 (15 U.S.C. 78m or 78o(d)); and</w:t>
      </w:r>
    </w:p>
    <w:p>
      <w:pPr>
        <w:spacing w:after="0" w:line="64" w:lineRule="exact"/>
        <w:rPr>
          <w:rFonts w:ascii="Times New Roman" w:cs="Times New Roman" w:eastAsia="Times New Roman" w:hAnsi="Times New Roman"/>
          <w:sz w:val="18"/>
          <w:szCs w:val="18"/>
          <w:color w:val="auto"/>
        </w:rPr>
      </w:pPr>
    </w:p>
    <w:p>
      <w:pPr>
        <w:ind w:left="640" w:right="520" w:hanging="635"/>
        <w:spacing w:after="0" w:line="268" w:lineRule="auto"/>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34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13970</wp:posOffset>
            </wp:positionV>
            <wp:extent cx="33674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3367405" cy="8255"/>
                    </a:xfrm>
                    <a:prstGeom prst="rect">
                      <a:avLst/>
                    </a:prstGeom>
                    <a:noFill/>
                  </pic:spPr>
                </pic:pic>
              </a:graphicData>
            </a:graphic>
          </wp:anchor>
        </w:drawing>
      </w:r>
    </w:p>
    <w:p>
      <w:pPr>
        <w:spacing w:after="0" w:line="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Stephen P. Weisz</w:t>
      </w:r>
    </w:p>
    <w:p>
      <w:pPr>
        <w:spacing w:after="0" w:line="5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2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E. Terry, Executive Vice President and Chief Financial Officer of Marriott Vacations Worldwide Corporation (the “Company”) certify that:</w:t>
      </w:r>
    </w:p>
    <w:p>
      <w:pPr>
        <w:spacing w:after="0" w:line="109" w:lineRule="exact"/>
        <w:rPr>
          <w:sz w:val="20"/>
          <w:szCs w:val="20"/>
          <w:color w:val="auto"/>
        </w:rPr>
      </w:pPr>
    </w:p>
    <w:p>
      <w:pPr>
        <w:ind w:left="640" w:right="20" w:hanging="635"/>
        <w:spacing w:after="0" w:line="268" w:lineRule="auto"/>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2022 (the “Quarterly Report”), fully complies with the requirements of section 13(a) or 15(d) of the Securities Exchange Act of 1934 (15 U.S.C. 78m or 78o(d)); and</w:t>
      </w:r>
    </w:p>
    <w:p>
      <w:pPr>
        <w:spacing w:after="0" w:line="64" w:lineRule="exact"/>
        <w:rPr>
          <w:rFonts w:ascii="Times New Roman" w:cs="Times New Roman" w:eastAsia="Times New Roman" w:hAnsi="Times New Roman"/>
          <w:sz w:val="18"/>
          <w:szCs w:val="18"/>
          <w:color w:val="auto"/>
        </w:rPr>
      </w:pPr>
    </w:p>
    <w:p>
      <w:pPr>
        <w:ind w:left="640" w:right="520" w:hanging="635"/>
        <w:spacing w:after="0" w:line="268" w:lineRule="auto"/>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00" w:lineRule="exact"/>
        <w:rPr>
          <w:sz w:val="20"/>
          <w:szCs w:val="20"/>
          <w:color w:val="auto"/>
        </w:rPr>
      </w:pP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Anthony E.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2777490</wp:posOffset>
            </wp:positionH>
            <wp:positionV relativeFrom="paragraph">
              <wp:posOffset>13970</wp:posOffset>
            </wp:positionV>
            <wp:extent cx="35007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3500755" cy="8255"/>
                    </a:xfrm>
                    <a:prstGeom prst="rect">
                      <a:avLst/>
                    </a:prstGeom>
                    <a:noFill/>
                  </pic:spPr>
                </pic:pic>
              </a:graphicData>
            </a:graphic>
          </wp:anchor>
        </w:drawing>
      </w:r>
    </w:p>
    <w:p>
      <w:pPr>
        <w:spacing w:after="0" w:line="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Anthony E. Terry</w:t>
      </w:r>
    </w:p>
    <w:p>
      <w:pPr>
        <w:spacing w:after="0" w:line="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4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2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407"/>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1."/>
      <w:numFmt w:val="decimal"/>
      <w:start w:val="2"/>
    </w:lvl>
  </w:abstractNum>
  <w:abstractNum w:abstractNumId="5">
    <w:nsid w:val="1D4ED43B"/>
    <w:multiLevelType w:val="hybridMultilevel"/>
    <w:lvl w:ilvl="0">
      <w:lvlJc w:val="left"/>
      <w:lvlText w:val="%1."/>
      <w:numFmt w:val="decimal"/>
      <w:start w:val="3"/>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lvl w:ilvl="1">
      <w:lvlJc w:val="left"/>
      <w:lvlText w:val="%2."/>
      <w:numFmt w:val="decimal"/>
      <w:start w:val="5"/>
    </w:lvl>
  </w:abstractNum>
  <w:abstractNum w:abstractNumId="8">
    <w:nsid w:val="57E4CCAF"/>
    <w:multiLevelType w:val="hybridMultilevel"/>
    <w:lvl w:ilvl="0">
      <w:lvlJc w:val="left"/>
      <w:lvlText w:val="%1."/>
      <w:numFmt w:val="decimal"/>
      <w:start w:val="6"/>
    </w:lvl>
  </w:abstractNum>
  <w:abstractNum w:abstractNumId="9">
    <w:nsid w:val="7A6D8D3C"/>
    <w:multiLevelType w:val="hybridMultilevel"/>
    <w:lvl w:ilvl="0">
      <w:lvlJc w:val="left"/>
      <w:lvlText w:val="(%1)"/>
      <w:numFmt w:val="decimal"/>
      <w:start w:val="1"/>
    </w:lvl>
  </w:abstractNum>
  <w:abstractNum w:abstractNumId="10">
    <w:nsid w:val="4B588F54"/>
    <w:multiLevelType w:val="hybridMultilevel"/>
    <w:lvl w:ilvl="0">
      <w:lvlJc w:val="left"/>
      <w:lvlText w:val="(%1)"/>
      <w:numFmt w:val="decimal"/>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7"/>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decimal"/>
      <w:start w:val="3"/>
    </w:lvl>
  </w:abstractNum>
  <w:abstractNum w:abstractNumId="15">
    <w:nsid w:val="32FFF902"/>
    <w:multiLevelType w:val="hybridMultilevel"/>
    <w:lvl w:ilvl="0">
      <w:lvlJc w:val="left"/>
      <w:lvlText w:val="%1."/>
      <w:numFmt w:val="decimal"/>
      <w:start w:val="8"/>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3"/>
    </w:lvl>
  </w:abstractNum>
  <w:abstractNum w:abstractNumId="18">
    <w:nsid w:val="749ABB43"/>
    <w:multiLevelType w:val="hybridMultilevel"/>
    <w:lvl w:ilvl="0">
      <w:lvlJc w:val="left"/>
      <w:lvlText w:val="%1."/>
      <w:numFmt w:val="decimal"/>
      <w:start w:val="9"/>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1."/>
      <w:numFmt w:val="decimal"/>
      <w:start w:val="10"/>
    </w:lvl>
  </w:abstractNum>
  <w:abstractNum w:abstractNumId="21">
    <w:nsid w:val="79A1DEAA"/>
    <w:multiLevelType w:val="hybridMultilevel"/>
    <w:lvl w:ilvl="0">
      <w:lvlJc w:val="left"/>
      <w:lvlText w:val="%1."/>
      <w:numFmt w:val="decimal"/>
      <w:start w:val="1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decimal"/>
      <w:start w:val="12"/>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13"/>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14"/>
    </w:lvl>
  </w:abstractNum>
  <w:abstractNum w:abstractNumId="30">
    <w:nsid w:val="275AC794"/>
    <w:multiLevelType w:val="hybridMultilevel"/>
    <w:lvl w:ilvl="0">
      <w:lvlJc w:val="left"/>
      <w:lvlText w:val="%1."/>
      <w:numFmt w:val="decimal"/>
      <w:start w:val="15"/>
    </w:lvl>
  </w:abstractNum>
  <w:abstractNum w:abstractNumId="31">
    <w:nsid w:val="39386575"/>
    <w:multiLevelType w:val="hybridMultilevel"/>
    <w:lvl w:ilvl="0">
      <w:lvlJc w:val="left"/>
      <w:lvlText w:val="%1."/>
      <w:numFmt w:val="decimal"/>
      <w:start w:val="16"/>
    </w:lvl>
  </w:abstractNum>
  <w:abstractNum w:abstractNumId="32">
    <w:nsid w:val="1CF10FD8"/>
    <w:multiLevelType w:val="hybridMultilevel"/>
    <w:lvl w:ilvl="0">
      <w:lvlJc w:val="left"/>
      <w:lvlText w:val="%1."/>
      <w:numFmt w:val="decimal"/>
      <w:start w:val="17"/>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lvl w:ilvl="1">
      <w:lvlJc w:val="left"/>
      <w:lvlText w:val="•"/>
      <w:numFmt w:val="bullet"/>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1)"/>
      <w:numFmt w:val="decimal"/>
      <w:start w:val="483"/>
    </w:lvl>
  </w:abstractNum>
  <w:abstractNum w:abstractNumId="42">
    <w:nsid w:val="61574095"/>
    <w:multiLevelType w:val="hybridMultilevel"/>
    <w:lvl w:ilvl="0">
      <w:lvlJc w:val="left"/>
      <w:lvlText w:val="(%1)"/>
      <w:numFmt w:val="decimal"/>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01"/>
    </w:lvl>
  </w:abstractNum>
  <w:abstractNum w:abstractNumId="45">
    <w:nsid w:val="579BE4F1"/>
    <w:multiLevelType w:val="hybridMultilevel"/>
    <w:lvl w:ilvl="0">
      <w:lvlJc w:val="left"/>
      <w:lvlText w:val="%1"/>
      <w:numFmt w:val="decimal"/>
      <w:start w:val="104"/>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9">
    <w:nsid w:val="25A70BF7"/>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50">
    <w:nsid w:val="1DBABF00"/>
    <w:multiLevelType w:val="hybridMultilevel"/>
    <w:lvl w:ilvl="0">
      <w:lvlJc w:val="left"/>
      <w:lvlText w:val="%1."/>
      <w:numFmt w:val="lowerLetter"/>
      <w:start w:val="2"/>
    </w:lvl>
  </w:abstractNum>
  <w:abstractNum w:abstractNumId="51">
    <w:nsid w:val="4AD084E9"/>
    <w:multiLevelType w:val="hybridMultilevel"/>
    <w:lvl w:ilvl="0">
      <w:lvlJc w:val="left"/>
      <w:lvlText w:val="%1."/>
      <w:numFmt w:val="lowerLetter"/>
      <w:start w:val="5"/>
    </w:lvl>
  </w:abstractNum>
  <w:abstractNum w:abstractNumId="52">
    <w:nsid w:val="1F48EAA1"/>
    <w:multiLevelType w:val="hybridMultilevel"/>
    <w:lvl w:ilvl="0">
      <w:lvlJc w:val="left"/>
      <w:lvlText w:val="%1."/>
      <w:numFmt w:val="lowerLetter"/>
      <w:start w:val="7"/>
    </w:lvl>
    <w:lvl w:ilvl="1">
      <w:lvlJc w:val="left"/>
      <w:lvlText w:val="%2."/>
      <w:numFmt w:val="lowerLetter"/>
      <w:start w:val="8"/>
    </w:lvl>
  </w:abstractNum>
  <w:abstractNum w:abstractNumId="53">
    <w:nsid w:val="1381823A"/>
    <w:multiLevelType w:val="hybridMultilevel"/>
    <w:lvl w:ilvl="0">
      <w:lvlJc w:val="left"/>
      <w:lvlText w:val="%1."/>
      <w:numFmt w:val="lowerLetter"/>
      <w:start w:val="10"/>
    </w:lvl>
    <w:lvl w:ilvl="1">
      <w:lvlJc w:val="left"/>
      <w:lvlText w:val="%2."/>
      <w:numFmt w:val="lowerLetter"/>
      <w:start w:val="11"/>
    </w:lvl>
  </w:abstractNum>
  <w:abstractNum w:abstractNumId="54">
    <w:nsid w:val="5DB70AE5"/>
    <w:multiLevelType w:val="hybridMultilevel"/>
    <w:lvl w:ilvl="0">
      <w:lvlJc w:val="left"/>
      <w:lvlText w:val="%1."/>
      <w:numFmt w:val="decimal"/>
      <w:start w:val="4"/>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1"/>
    </w:lvl>
    <w:lvl w:ilvl="1">
      <w:lvlJc w:val="left"/>
      <w:lvlText w:val="(%2)"/>
      <w:numFmt w:val="lowerRoman"/>
      <w:start w:val="1"/>
    </w:lvl>
  </w:abstractNum>
  <w:abstractNum w:abstractNumId="57">
    <w:nsid w:val="15014ACB"/>
    <w:multiLevelType w:val="hybridMultilevel"/>
    <w:lvl w:ilvl="0">
      <w:lvlJc w:val="left"/>
      <w:lvlText w:val="(%1)"/>
      <w:numFmt w:val="lowerLetter"/>
      <w:start w:val="8"/>
    </w:lvl>
    <w:lvl w:ilvl="1">
      <w:lvlJc w:val="left"/>
      <w:lvlText w:val="%2"/>
      <w:numFmt w:val="lowerRoman"/>
      <w:start w:val="1"/>
    </w:lvl>
  </w:abstractNum>
  <w:abstractNum w:abstractNumId="58">
    <w:nsid w:val="5F5E7FD0"/>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59">
    <w:nsid w:val="98A3148"/>
    <w:multiLevelType w:val="hybridMultilevel"/>
    <w:lvl w:ilvl="0">
      <w:lvlJc w:val="left"/>
      <w:lvlText w:val="(%1)"/>
      <w:numFmt w:val="decimal"/>
      <w:start w:val="5"/>
    </w:lvl>
    <w:lvl w:ilvl="1">
      <w:lvlJc w:val="left"/>
      <w:lvlText w:val="(%2)"/>
      <w:numFmt w:val="lowerLetter"/>
      <w:start w:val="17"/>
    </w:lvl>
    <w:lvl w:ilvl="2">
      <w:lvlJc w:val="left"/>
      <w:lvlText w:val="%3"/>
      <w:numFmt w:val="lowerRoman"/>
      <w:start w:val="1"/>
    </w:lvl>
  </w:abstractNum>
  <w:abstractNum w:abstractNumId="60">
    <w:nsid w:val="799D0247"/>
    <w:multiLevelType w:val="hybridMultilevel"/>
    <w:lvl w:ilvl="0">
      <w:lvlJc w:val="left"/>
      <w:lvlText w:val="(%1)"/>
      <w:numFmt w:val="lowerLetter"/>
      <w:start w:val="18"/>
    </w:lvl>
  </w:abstractNum>
  <w:abstractNum w:abstractNumId="61">
    <w:nsid w:val="6B94764"/>
    <w:multiLevelType w:val="hybridMultilevel"/>
    <w:lvl w:ilvl="0">
      <w:lvlJc w:val="left"/>
      <w:lvlText w:val="(%1)"/>
      <w:numFmt w:val="lowerLetter"/>
      <w:start w:val="27"/>
    </w:lvl>
  </w:abstractNum>
  <w:abstractNum w:abstractNumId="62">
    <w:nsid w:val="42C296BD"/>
    <w:multiLevelType w:val="hybridMultilevel"/>
    <w:lvl w:ilvl="0">
      <w:lvlJc w:val="left"/>
      <w:lvlText w:val="(%1)"/>
      <w:numFmt w:val="lowerLetter"/>
      <w:start w:val="28"/>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5">
    <w:nsid w:val="661E3F1E"/>
    <w:multiLevelType w:val="hybridMultilevel"/>
    <w:lvl w:ilvl="0">
      <w:lvlJc w:val="left"/>
      <w:lvlText w:val="(%1)"/>
      <w:numFmt w:val="lowerLetter"/>
      <w:start w:val="2"/>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Roman"/>
      <w:start w:val="1"/>
    </w:lvl>
  </w:abstractNum>
  <w:abstractNum w:abstractNumId="69">
    <w:nsid w:val="51D9C564"/>
    <w:multiLevelType w:val="hybridMultilevel"/>
    <w:lvl w:ilvl="0">
      <w:lvlJc w:val="left"/>
      <w:lvlText w:val="(%1)"/>
      <w:numFmt w:val="lowerLetter"/>
      <w:start w:val="1"/>
    </w:lvl>
    <w:lvl w:ilvl="1">
      <w:lvlJc w:val="left"/>
      <w:lvlText w:val="(%2)"/>
      <w:numFmt w:val="lowerRoman"/>
      <w:start w:val="1"/>
    </w:lvl>
  </w:abstractNum>
  <w:abstractNum w:abstractNumId="70">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1">
    <w:nsid w:val="BF72B14"/>
    <w:multiLevelType w:val="hybridMultilevel"/>
    <w:lvl w:ilvl="0">
      <w:lvlJc w:val="left"/>
      <w:lvlText w:val="(%1)"/>
      <w:numFmt w:val="decimal"/>
      <w:start w:val="4"/>
    </w:lvl>
    <w:lvl w:ilvl="1">
      <w:lvlJc w:val="left"/>
      <w:lvlText w:val="(%2)"/>
      <w:numFmt w:val="lowerLetter"/>
      <w:start w:val="4"/>
    </w:lvl>
    <w:lvl w:ilvl="2">
      <w:lvlJc w:val="left"/>
      <w:lvlText w:val="(%3)"/>
      <w:numFmt w:val="lowerLetter"/>
      <w:start w:val="9"/>
    </w:lvl>
  </w:abstractNum>
  <w:abstractNum w:abstractNumId="72">
    <w:nsid w:val="11447B73"/>
    <w:multiLevelType w:val="hybridMultilevel"/>
    <w:lvl w:ilvl="0">
      <w:lvlJc w:val="left"/>
      <w:lvlText w:val="(%1)"/>
      <w:numFmt w:val="lowerRoman"/>
      <w:start w:val="2"/>
    </w:lvl>
  </w:abstractNum>
  <w:abstractNum w:abstractNumId="73">
    <w:nsid w:val="42963E5A"/>
    <w:multiLevelType w:val="hybridMultilevel"/>
    <w:lvl w:ilvl="0">
      <w:lvlJc w:val="left"/>
      <w:lvlText w:val="(%1)"/>
      <w:numFmt w:val="lowerLetter"/>
      <w:start w:val="1"/>
    </w:lvl>
  </w:abstractNum>
  <w:abstractNum w:abstractNumId="74">
    <w:nsid w:val="A0382C5"/>
    <w:multiLevelType w:val="hybridMultilevel"/>
    <w:lvl w:ilvl="0">
      <w:lvlJc w:val="left"/>
      <w:lvlText w:val="(%1)"/>
      <w:numFmt w:val="lowerLetter"/>
      <w:start w:val="2"/>
    </w:lvl>
  </w:abstractNum>
  <w:abstractNum w:abstractNumId="75">
    <w:nsid w:val="8F2B15E"/>
    <w:multiLevelType w:val="hybridMultilevel"/>
    <w:lvl w:ilvl="0">
      <w:lvlJc w:val="left"/>
      <w:lvlText w:val="(%1)"/>
      <w:numFmt w:val="lowerLetter"/>
      <w:start w:val="1"/>
    </w:lvl>
  </w:abstractNum>
  <w:abstractNum w:abstractNumId="76">
    <w:nsid w:val="1A32234B"/>
    <w:multiLevelType w:val="hybridMultilevel"/>
    <w:lvl w:ilvl="0">
      <w:lvlJc w:val="left"/>
      <w:lvlText w:val="(%1)"/>
      <w:numFmt w:val="lowerLetter"/>
      <w:start w:val="2"/>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jpe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39" Type="http://schemas.openxmlformats.org/officeDocument/2006/relationships/hyperlink" Target="http://www.sec.gov/Archives/edgar/data/1524358/000119312518144431/d577638dex21.htm" TargetMode="External"/><Relationship Id="rId140" Type="http://schemas.openxmlformats.org/officeDocument/2006/relationships/hyperlink" Target="https://www.sec.gov/Archives/edgar/data/0001524358/000152435821000007/projectchampagne-mergeragr.htm" TargetMode="External"/><Relationship Id="rId141" Type="http://schemas.openxmlformats.org/officeDocument/2006/relationships/hyperlink" Target="http://www.sec.gov/Archives/edgar/data/1524358/000119312511320045/d256766dex31.htm" TargetMode="External"/><Relationship Id="rId142" Type="http://schemas.openxmlformats.org/officeDocument/2006/relationships/hyperlink" Target="http://www.sec.gov/Archives/edgar/data/1524358/000119312511320045/d256766dex32.htm" TargetMode="External"/><Relationship Id="rId143" Type="http://schemas.openxmlformats.org/officeDocument/2006/relationships/hyperlink" Target="http://www.sec.gov/Archives/edgar/data/1524358/000119312511271851/d197736dex41.htm" TargetMode="External"/><Relationship Id="rId144" Type="http://schemas.openxmlformats.org/officeDocument/2006/relationships/hyperlink" Target="http://www.sec.gov/Archives/edgar/data/1524358/000152435817000036/q3201710-qexhibit41xindent.htm" TargetMode="External"/><Relationship Id="rId145" Type="http://schemas.openxmlformats.org/officeDocument/2006/relationships/hyperlink" Target="http://www.sec.gov/Archives/edgar/data/1524358/000152435817000036/q3201710-qexhibit41xindent.htm#s5A3ABC734649FE299B9DF361BE642613" TargetMode="External"/><Relationship Id="rId146" Type="http://schemas.openxmlformats.org/officeDocument/2006/relationships/hyperlink" Target="http://www.sec.gov/Archives/edgar/data/1524358/000119312518266807/d597652dex48.htm" TargetMode="External"/><Relationship Id="rId147" Type="http://schemas.openxmlformats.org/officeDocument/2006/relationships/hyperlink" Target="http://www.sec.gov/Archives/edgar/data/1524358/000119312519259964/d812229dex41.htm" TargetMode="External"/><Relationship Id="rId155" Type="http://schemas.openxmlformats.org/officeDocument/2006/relationships/hyperlink" Target="http://www.sec.gov/Archives/edgar/data/1524358/000152435820000011/a201910-kex412suppleme.htm" TargetMode="External"/><Relationship Id="rId156" Type="http://schemas.openxmlformats.org/officeDocument/2006/relationships/hyperlink" Target="http://www.sec.gov/Archives/edgar/data/1524358/000152435820000011/a201910-kex413xseconds.htm" TargetMode="External"/><Relationship Id="rId157" Type="http://schemas.openxmlformats.org/officeDocument/2006/relationships/hyperlink" Target="http://www.sec.gov/Archives/edgar/data/1524358/000119312519259964/d812229dex43.htm" TargetMode="External"/><Relationship Id="rId158" Type="http://schemas.openxmlformats.org/officeDocument/2006/relationships/hyperlink" Target="http://www.sec.gov/Archives/edgar/data/1524358/000119312520143993/d931016dex41.htm" TargetMode="External"/><Relationship Id="rId159" Type="http://schemas.openxmlformats.org/officeDocument/2006/relationships/hyperlink" Target="https://www.sec.gov/Archives/edgar/data/0001524358/000119312521027303/d41256dex41.htm" TargetMode="External"/><Relationship Id="rId160" Type="http://schemas.openxmlformats.org/officeDocument/2006/relationships/hyperlink" Target="https://www.sec.gov/Archives/edgar/data/0001524358/000119312521027303/d41256dex41.htm#exa" TargetMode="External"/><Relationship Id="rId161" Type="http://schemas.openxmlformats.org/officeDocument/2006/relationships/hyperlink" Target="https://www.sec.gov/Archives/edgar/data/0001524358/000119312521195243/d158882dex41.htm" TargetMode="External"/><Relationship Id="rId162" Type="http://schemas.openxmlformats.org/officeDocument/2006/relationships/hyperlink" Target="https://www.sec.gov/Archives/edgar/data/0001524358/000119312521195243/d158882dex41.htm#tx158882_515" TargetMode="External"/><Relationship Id="rId163" Type="http://schemas.openxmlformats.org/officeDocument/2006/relationships/hyperlink" Target="http://www.sec.gov/Archives/edgar/data/1524358/000152435820000011/a201910-kex416descript.htm" TargetMode="External"/><Relationship Id="rId164" Type="http://schemas.openxmlformats.org/officeDocument/2006/relationships/hyperlink" Target="https://www.sec.gov/Archives/edgar/data/0001524358/000119312522097501/d303083dex101.htm" TargetMode="External"/><Relationship Id="rId165" Type="http://schemas.openxmlformats.org/officeDocument/2006/relationships/hyperlink" Target="https://www.sec.gov/Archives/edgar/data/1524358/000152435822000018/a2022q1ex102umbrellaipamen.htm" TargetMode="External"/><Relationship Id="rId166" Type="http://schemas.openxmlformats.org/officeDocument/2006/relationships/hyperlink" Target="https://www.sec.gov/Archives/edgar/data/0001524358/000152435822000013/a2021ex221xlistoftheissu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2022-08-09T12:44:51Z</dcterms:created>
  <dcterms:modified xsi:type="dcterms:W3CDTF">2022-08-09T12:44:51Z</dcterms:modified>
</cp:coreProperties>
</file>