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3"/>
              </w:rPr>
              <w:t>Delaware</w:t>
            </w:r>
          </w:p>
        </w:tc>
        <w:tc>
          <w:tcPr>
            <w:tcW w:w="4560" w:type="dxa"/>
            <w:vAlign w:val="bottom"/>
          </w:tcPr>
          <w:p>
            <w:pPr>
              <w:jc w:val="right"/>
              <w:ind w:right="59"/>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2"/>
              </w:rPr>
              <w:t>(State or other jurisdiction of</w:t>
            </w:r>
          </w:p>
        </w:tc>
        <w:tc>
          <w:tcPr>
            <w:tcW w:w="4560" w:type="dxa"/>
            <w:vAlign w:val="bottom"/>
          </w:tcPr>
          <w:p>
            <w:pPr>
              <w:jc w:val="center"/>
              <w:ind w:left="335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0"/>
              </w:rPr>
              <w:t>6649 Westwood Blvd.</w:t>
            </w:r>
          </w:p>
        </w:tc>
        <w:tc>
          <w:tcPr>
            <w:tcW w:w="4560" w:type="dxa"/>
            <w:vAlign w:val="bottom"/>
          </w:tcPr>
          <w:p>
            <w:pPr>
              <w:spacing w:after="0"/>
              <w:rPr>
                <w:sz w:val="20"/>
                <w:szCs w:val="20"/>
                <w:color w:val="auto"/>
              </w:rPr>
            </w:pPr>
          </w:p>
        </w:tc>
      </w:t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6"/>
              </w:rPr>
              <w:t>Orlando, FL</w:t>
            </w:r>
          </w:p>
        </w:tc>
        <w:tc>
          <w:tcPr>
            <w:tcW w:w="4560" w:type="dxa"/>
            <w:vAlign w:val="bottom"/>
          </w:tcPr>
          <w:p>
            <w:pPr>
              <w:jc w:val="right"/>
              <w:ind w:right="259"/>
              <w:spacing w:after="0"/>
              <w:rPr>
                <w:sz w:val="20"/>
                <w:szCs w:val="20"/>
                <w:color w:val="auto"/>
              </w:rPr>
            </w:pPr>
            <w:r>
              <w:rPr>
                <w:rFonts w:ascii="Arial" w:cs="Arial" w:eastAsia="Arial" w:hAnsi="Arial"/>
                <w:sz w:val="18"/>
                <w:szCs w:val="18"/>
                <w:b w:val="1"/>
                <w:bCs w:val="1"/>
                <w:color w:val="auto"/>
              </w:rPr>
              <w:t>32821</w:t>
            </w:r>
          </w:p>
        </w:tc>
      </w:tr>
      <w:tr>
        <w:trPr>
          <w:trHeight w:val="218"/>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7"/>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Arial" w:cs="Arial" w:eastAsia="Arial" w:hAnsi="Arial"/>
                <w:sz w:val="18"/>
                <w:szCs w:val="18"/>
                <w:b w:val="1"/>
                <w:bCs w:val="1"/>
                <w:color w:val="auto"/>
              </w:rPr>
              <w:t>(407) 206-6000</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0" w:type="dxa"/>
            <w:vAlign w:val="bottom"/>
          </w:tcPr>
          <w:p>
            <w:pPr>
              <w:ind w:left="280"/>
              <w:spacing w:after="0"/>
              <w:rPr>
                <w:sz w:val="20"/>
                <w:szCs w:val="20"/>
                <w:color w:val="auto"/>
              </w:rPr>
            </w:pPr>
            <w:r>
              <w:rPr>
                <w:rFonts w:ascii="Arial" w:cs="Arial" w:eastAsia="Arial" w:hAnsi="Arial"/>
                <w:sz w:val="18"/>
                <w:szCs w:val="18"/>
                <w:color w:val="auto"/>
              </w:rPr>
              <w:t>x</w:t>
            </w:r>
          </w:p>
        </w:tc>
        <w:tc>
          <w:tcPr>
            <w:tcW w:w="33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5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April 27, 2018 was 26,565,085.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47" w:right="27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 TABLE OF CONTENTS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880" w:type="dxa"/>
            <w:vAlign w:val="bottom"/>
            <w:gridSpan w:val="2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456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3880" w:type="dxa"/>
            <w:vAlign w:val="bottom"/>
            <w:gridSpan w:val="25"/>
            <w:vMerge w:val="continue"/>
          </w:tcPr>
          <w:p>
            <w:pPr>
              <w:spacing w:after="0"/>
              <w:rPr>
                <w:sz w:val="15"/>
                <w:szCs w:val="15"/>
                <w:color w:val="auto"/>
              </w:rPr>
            </w:pPr>
          </w:p>
        </w:tc>
        <w:tc>
          <w:tcPr>
            <w:tcW w:w="4560" w:type="dxa"/>
            <w:vAlign w:val="bottom"/>
            <w:gridSpan w:val="6"/>
            <w:vMerge w:val="continue"/>
          </w:tcPr>
          <w:p>
            <w:pPr>
              <w:spacing w:after="0"/>
              <w:rPr>
                <w:sz w:val="15"/>
                <w:szCs w:val="15"/>
                <w:color w:val="auto"/>
              </w:rPr>
            </w:pPr>
          </w:p>
        </w:tc>
        <w:tc>
          <w:tcPr>
            <w:tcW w:w="560" w:type="dxa"/>
            <w:vAlign w:val="bottom"/>
            <w:gridSpan w:val="2"/>
          </w:tcPr>
          <w:p>
            <w:pPr>
              <w:jc w:val="center"/>
              <w:ind w:left="390"/>
              <w:spacing w:after="0" w:line="17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gridSpan w:val="2"/>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8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2"/>
                <w:szCs w:val="22"/>
                <w:color w:val="auto"/>
              </w:rPr>
            </w:pPr>
          </w:p>
        </w:tc>
        <w:tc>
          <w:tcPr>
            <w:tcW w:w="1520" w:type="dxa"/>
            <w:vAlign w:val="bottom"/>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2120" w:type="dxa"/>
            <w:vAlign w:val="bottom"/>
            <w:gridSpan w:val="14"/>
          </w:tcPr>
          <w:p>
            <w:pPr>
              <w:spacing w:after="0"/>
              <w:rPr>
                <w:sz w:val="22"/>
                <w:szCs w:val="22"/>
                <w:color w:val="auto"/>
              </w:rPr>
            </w:pPr>
          </w:p>
        </w:tc>
        <w:tc>
          <w:tcPr>
            <w:tcW w:w="4560" w:type="dxa"/>
            <w:vAlign w:val="bottom"/>
            <w:gridSpan w:val="6"/>
          </w:tcPr>
          <w:p>
            <w:pPr>
              <w:spacing w:after="0"/>
              <w:rPr>
                <w:sz w:val="22"/>
                <w:szCs w:val="22"/>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2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3660" w:type="dxa"/>
            <w:vAlign w:val="bottom"/>
            <w:gridSpan w:val="2"/>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3660" w:type="dxa"/>
            <w:vAlign w:val="bottom"/>
            <w:gridSpan w:val="2"/>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2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Consolidated Statements of Cash Flows</w:t>
              </w:r>
            </w:hyperlink>
          </w:p>
        </w:tc>
        <w:tc>
          <w:tcPr>
            <w:tcW w:w="4540" w:type="dxa"/>
            <w:vAlign w:val="bottom"/>
            <w:gridSpan w:val="5"/>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2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4460" w:type="dxa"/>
            <w:vAlign w:val="bottom"/>
            <w:gridSpan w:val="4"/>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1.</w:t>
              </w:r>
            </w:hyperlink>
          </w:p>
        </w:tc>
        <w:tc>
          <w:tcPr>
            <w:tcW w:w="3260" w:type="dxa"/>
            <w:vAlign w:val="bottom"/>
            <w:gridSpan w:val="22"/>
          </w:tcPr>
          <w:p>
            <w:pPr>
              <w:ind w:left="20"/>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Summary of Significant Accounting Policies</w:t>
              </w:r>
            </w:hyperlink>
          </w:p>
        </w:tc>
        <w:tc>
          <w:tcPr>
            <w:tcW w:w="100" w:type="dxa"/>
            <w:vAlign w:val="bottom"/>
            <w:gridSpan w:val="2"/>
          </w:tcPr>
          <w:p>
            <w:pPr>
              <w:spacing w:after="0"/>
              <w:rPr>
                <w:sz w:val="21"/>
                <w:szCs w:val="21"/>
                <w:color w:val="auto"/>
              </w:rPr>
            </w:pPr>
          </w:p>
        </w:tc>
        <w:tc>
          <w:tcPr>
            <w:tcW w:w="4460" w:type="dxa"/>
            <w:vAlign w:val="bottom"/>
            <w:gridSpan w:val="4"/>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2.</w:t>
              </w:r>
            </w:hyperlink>
          </w:p>
        </w:tc>
        <w:tc>
          <w:tcPr>
            <w:tcW w:w="660" w:type="dxa"/>
            <w:vAlign w:val="bottom"/>
            <w:gridSpan w:val="4"/>
          </w:tcPr>
          <w:p>
            <w:pPr>
              <w:ind w:left="20"/>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Revenue</w:t>
              </w:r>
            </w:hyperlink>
          </w:p>
        </w:tc>
        <w:tc>
          <w:tcPr>
            <w:tcW w:w="2600" w:type="dxa"/>
            <w:vAlign w:val="bottom"/>
            <w:gridSpan w:val="18"/>
          </w:tcPr>
          <w:p>
            <w:pPr>
              <w:spacing w:after="0"/>
              <w:rPr>
                <w:sz w:val="21"/>
                <w:szCs w:val="21"/>
                <w:color w:val="auto"/>
              </w:rPr>
            </w:pPr>
          </w:p>
        </w:tc>
        <w:tc>
          <w:tcPr>
            <w:tcW w:w="4560" w:type="dxa"/>
            <w:vAlign w:val="bottom"/>
            <w:gridSpan w:val="6"/>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7820" w:type="dxa"/>
            <w:vAlign w:val="bottom"/>
            <w:gridSpan w:val="28"/>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Income Taxes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4.</w:t>
              </w:r>
            </w:hyperlink>
          </w:p>
        </w:tc>
        <w:tc>
          <w:tcPr>
            <w:tcW w:w="2800" w:type="dxa"/>
            <w:vAlign w:val="bottom"/>
            <w:gridSpan w:val="19"/>
          </w:tcPr>
          <w:p>
            <w:pPr>
              <w:ind w:left="2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Vacation Ownership Notes Receivable</w:t>
              </w:r>
            </w:hyperlink>
          </w:p>
        </w:tc>
        <w:tc>
          <w:tcPr>
            <w:tcW w:w="5020" w:type="dxa"/>
            <w:vAlign w:val="bottom"/>
            <w:gridSpan w:val="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2800" w:type="dxa"/>
            <w:vAlign w:val="bottom"/>
            <w:gridSpan w:val="19"/>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Financial Instruments</w:t>
              </w:r>
            </w:hyperlink>
          </w:p>
        </w:tc>
        <w:tc>
          <w:tcPr>
            <w:tcW w:w="5020" w:type="dxa"/>
            <w:vAlign w:val="bottom"/>
            <w:gridSpan w:val="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7820" w:type="dxa"/>
            <w:vAlign w:val="bottom"/>
            <w:gridSpan w:val="28"/>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Acquisitions and Dispositions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7.</w:t>
              </w:r>
            </w:hyperlink>
          </w:p>
        </w:tc>
        <w:tc>
          <w:tcPr>
            <w:tcW w:w="1400" w:type="dxa"/>
            <w:vAlign w:val="bottom"/>
            <w:gridSpan w:val="9"/>
          </w:tcPr>
          <w:p>
            <w:pPr>
              <w:ind w:left="20"/>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Earnings Per Share</w:t>
              </w:r>
            </w:hyperlink>
          </w:p>
        </w:tc>
        <w:tc>
          <w:tcPr>
            <w:tcW w:w="780" w:type="dxa"/>
            <w:vAlign w:val="bottom"/>
            <w:gridSpan w:val="7"/>
          </w:tcPr>
          <w:p>
            <w:pPr>
              <w:spacing w:after="0"/>
              <w:rPr>
                <w:sz w:val="21"/>
                <w:szCs w:val="21"/>
                <w:color w:val="auto"/>
              </w:rPr>
            </w:pPr>
          </w:p>
        </w:tc>
        <w:tc>
          <w:tcPr>
            <w:tcW w:w="5640" w:type="dxa"/>
            <w:vAlign w:val="bottom"/>
            <w:gridSpan w:val="1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8.</w:t>
              </w:r>
            </w:hyperlink>
          </w:p>
        </w:tc>
        <w:tc>
          <w:tcPr>
            <w:tcW w:w="1400" w:type="dxa"/>
            <w:vAlign w:val="bottom"/>
            <w:gridSpan w:val="9"/>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Inventory</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9.</w:t>
              </w:r>
            </w:hyperlink>
          </w:p>
        </w:tc>
        <w:tc>
          <w:tcPr>
            <w:tcW w:w="7820" w:type="dxa"/>
            <w:vAlign w:val="bottom"/>
            <w:gridSpan w:val="28"/>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Contingencies and Commitments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10. Debt</w:t>
              </w:r>
            </w:hyperlink>
          </w:p>
        </w:tc>
        <w:tc>
          <w:tcPr>
            <w:tcW w:w="5400" w:type="dxa"/>
            <w:vAlign w:val="bottom"/>
            <w:gridSpan w:val="11"/>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1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11. Shareholders’ Equity</w:t>
              </w:r>
            </w:hyperlink>
          </w:p>
        </w:tc>
        <w:tc>
          <w:tcPr>
            <w:tcW w:w="6180" w:type="dxa"/>
            <w:vAlign w:val="bottom"/>
            <w:gridSpan w:val="16"/>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2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12. Share-Based Compensation</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1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13. Variable Interest Entities</w:t>
              </w:r>
            </w:hyperlink>
          </w:p>
        </w:tc>
        <w:tc>
          <w:tcPr>
            <w:tcW w:w="200" w:type="dxa"/>
            <w:vAlign w:val="bottom"/>
            <w:gridSpan w:val="2"/>
          </w:tcPr>
          <w:p>
            <w:pPr>
              <w:spacing w:after="0"/>
              <w:rPr>
                <w:sz w:val="21"/>
                <w:szCs w:val="21"/>
                <w:color w:val="auto"/>
              </w:rPr>
            </w:pPr>
          </w:p>
        </w:tc>
        <w:tc>
          <w:tcPr>
            <w:tcW w:w="5720" w:type="dxa"/>
            <w:vAlign w:val="bottom"/>
            <w:gridSpan w:val="1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11"/>
          </w:tcPr>
          <w:p>
            <w:pPr>
              <w:spacing w:after="0"/>
              <w:rPr>
                <w:rFonts w:ascii="Arial" w:cs="Arial" w:eastAsia="Arial" w:hAnsi="Arial"/>
                <w:sz w:val="18"/>
                <w:szCs w:val="18"/>
                <w:color w:val="0000EE"/>
                <w:w w:val="84"/>
              </w:rPr>
            </w:pPr>
            <w:hyperlink w:anchor="page29">
              <w:r>
                <w:rPr>
                  <w:rFonts w:ascii="Arial" w:cs="Arial" w:eastAsia="Arial" w:hAnsi="Arial"/>
                  <w:sz w:val="18"/>
                  <w:szCs w:val="18"/>
                  <w:color w:val="0000EE"/>
                  <w:w w:val="84"/>
                </w:rPr>
                <w:t>14. Business Segments</w:t>
              </w:r>
            </w:hyperlink>
          </w:p>
        </w:tc>
        <w:tc>
          <w:tcPr>
            <w:tcW w:w="420" w:type="dxa"/>
            <w:vAlign w:val="bottom"/>
            <w:gridSpan w:val="3"/>
          </w:tcPr>
          <w:p>
            <w:pPr>
              <w:spacing w:after="0"/>
              <w:rPr>
                <w:sz w:val="21"/>
                <w:szCs w:val="21"/>
                <w:color w:val="auto"/>
              </w:rPr>
            </w:pPr>
          </w:p>
        </w:tc>
        <w:tc>
          <w:tcPr>
            <w:tcW w:w="5920" w:type="dxa"/>
            <w:vAlign w:val="bottom"/>
            <w:gridSpan w:val="15"/>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2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15. Adoption Impact of New Revenue Standard</w:t>
              </w:r>
            </w:hyperlink>
          </w:p>
        </w:tc>
        <w:tc>
          <w:tcPr>
            <w:tcW w:w="4540" w:type="dxa"/>
            <w:vAlign w:val="bottom"/>
            <w:gridSpan w:val="5"/>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11"/>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16. Subsequent Events</w:t>
              </w:r>
            </w:hyperlink>
          </w:p>
        </w:tc>
        <w:tc>
          <w:tcPr>
            <w:tcW w:w="1800" w:type="dxa"/>
            <w:vAlign w:val="bottom"/>
            <w:gridSpan w:val="13"/>
          </w:tcPr>
          <w:p>
            <w:pPr>
              <w:spacing w:after="0"/>
              <w:rPr>
                <w:sz w:val="21"/>
                <w:szCs w:val="21"/>
                <w:color w:val="auto"/>
              </w:rPr>
            </w:pPr>
          </w:p>
        </w:tc>
        <w:tc>
          <w:tcPr>
            <w:tcW w:w="4540" w:type="dxa"/>
            <w:vAlign w:val="bottom"/>
            <w:gridSpan w:val="5"/>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820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4360" w:type="dxa"/>
            <w:vAlign w:val="bottom"/>
            <w:gridSpan w:val="27"/>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3840" w:type="dxa"/>
            <w:vAlign w:val="bottom"/>
            <w:tcBorders>
              <w:left w:val="single" w:sz="8" w:color="0000EE"/>
            </w:tcBorders>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Controls and Procedures</w:t>
              </w:r>
            </w:hyperlink>
          </w:p>
        </w:tc>
        <w:tc>
          <w:tcPr>
            <w:tcW w:w="2580" w:type="dxa"/>
            <w:vAlign w:val="bottom"/>
            <w:gridSpan w:val="16"/>
          </w:tcPr>
          <w:p>
            <w:pPr>
              <w:spacing w:after="0"/>
              <w:rPr>
                <w:sz w:val="21"/>
                <w:szCs w:val="21"/>
                <w:color w:val="auto"/>
              </w:rPr>
            </w:pPr>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gridSpan w:val="12"/>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8"/>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1"/>
                <w:szCs w:val="21"/>
                <w:color w:val="auto"/>
              </w:rPr>
            </w:pPr>
          </w:p>
        </w:tc>
        <w:tc>
          <w:tcPr>
            <w:tcW w:w="920" w:type="dxa"/>
            <w:vAlign w:val="bottom"/>
            <w:gridSpan w:val="5"/>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Risk Factors</w:t>
              </w:r>
            </w:hyperlink>
          </w:p>
        </w:tc>
        <w:tc>
          <w:tcPr>
            <w:tcW w:w="400" w:type="dxa"/>
            <w:vAlign w:val="bottom"/>
            <w:gridSpan w:val="3"/>
          </w:tcPr>
          <w:p>
            <w:pPr>
              <w:spacing w:after="0"/>
              <w:rPr>
                <w:sz w:val="21"/>
                <w:szCs w:val="21"/>
                <w:color w:val="auto"/>
              </w:rPr>
            </w:pPr>
          </w:p>
        </w:tc>
        <w:tc>
          <w:tcPr>
            <w:tcW w:w="6880" w:type="dxa"/>
            <w:vAlign w:val="bottom"/>
            <w:gridSpan w:val="2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4360" w:type="dxa"/>
            <w:vAlign w:val="bottom"/>
            <w:gridSpan w:val="27"/>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8"/>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2340" w:type="dxa"/>
            <w:vAlign w:val="bottom"/>
            <w:gridSpan w:val="16"/>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Defaults Upon Senior Securities</w:t>
              </w:r>
            </w:hyperlink>
          </w:p>
        </w:tc>
        <w:tc>
          <w:tcPr>
            <w:tcW w:w="2020" w:type="dxa"/>
            <w:vAlign w:val="bottom"/>
            <w:gridSpan w:val="11"/>
          </w:tcPr>
          <w:p>
            <w:pPr>
              <w:spacing w:after="0"/>
              <w:rPr>
                <w:sz w:val="21"/>
                <w:szCs w:val="21"/>
                <w:color w:val="auto"/>
              </w:rPr>
            </w:pPr>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8"/>
            <w:shd w:val="clear" w:color="auto" w:fill="0000EE"/>
          </w:tcPr>
          <w:p>
            <w:pPr>
              <w:spacing w:after="0" w:line="20" w:lineRule="exact"/>
              <w:rPr>
                <w:sz w:val="1"/>
                <w:szCs w:val="1"/>
                <w:color w:val="auto"/>
              </w:rPr>
            </w:pPr>
          </w:p>
        </w:tc>
        <w:tc>
          <w:tcPr>
            <w:tcW w:w="5860" w:type="dxa"/>
            <w:vAlign w:val="bottom"/>
            <w:gridSpan w:val="14"/>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Mine Safety Disclosures</w:t>
              </w:r>
            </w:hyperlink>
          </w:p>
        </w:tc>
        <w:tc>
          <w:tcPr>
            <w:tcW w:w="560" w:type="dxa"/>
            <w:vAlign w:val="bottom"/>
            <w:gridSpan w:val="5"/>
          </w:tcPr>
          <w:p>
            <w:pPr>
              <w:spacing w:after="0"/>
              <w:rPr>
                <w:sz w:val="21"/>
                <w:szCs w:val="21"/>
                <w:color w:val="auto"/>
              </w:rPr>
            </w:pPr>
          </w:p>
        </w:tc>
        <w:tc>
          <w:tcPr>
            <w:tcW w:w="5860" w:type="dxa"/>
            <w:vAlign w:val="bottom"/>
            <w:gridSpan w:val="14"/>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420" w:type="dxa"/>
            <w:vAlign w:val="bottom"/>
            <w:gridSpan w:val="19"/>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880" w:type="dxa"/>
            <w:vAlign w:val="bottom"/>
            <w:gridSpan w:val="2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1"/>
                <w:szCs w:val="21"/>
                <w:color w:val="auto"/>
              </w:rPr>
            </w:pPr>
          </w:p>
        </w:tc>
        <w:tc>
          <w:tcPr>
            <w:tcW w:w="132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6880" w:type="dxa"/>
            <w:vAlign w:val="bottom"/>
            <w:gridSpan w:val="2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60" w:type="dxa"/>
            <w:vAlign w:val="bottom"/>
            <w:gridSpan w:val="26"/>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8440" w:type="dxa"/>
            <w:vAlign w:val="bottom"/>
            <w:gridSpan w:val="3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662"/>
        <w:spacing w:after="0" w:line="226" w:lineRule="auto"/>
        <w:rPr>
          <w:sz w:val="20"/>
          <w:szCs w:val="20"/>
          <w:color w:val="auto"/>
        </w:rPr>
      </w:pPr>
      <w:r>
        <w:rPr>
          <w:rFonts w:ascii="Arial" w:cs="Arial" w:eastAsia="Arial" w:hAnsi="Arial"/>
          <w:sz w:val="18"/>
          <w:szCs w:val="18"/>
          <w:color w:val="auto"/>
        </w:rPr>
        <w:t>Throughout this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5"/>
          <w:szCs w:val="25"/>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18"/>
          <w:szCs w:val="18"/>
          <w:color w:val="auto"/>
          <w:vertAlign w:val="superscript"/>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18"/>
          <w:szCs w:val="18"/>
          <w:color w:val="auto"/>
          <w:vertAlign w:val="superscript"/>
        </w:rPr>
        <w:t>SM</w:t>
      </w:r>
      <w:r>
        <w:rPr>
          <w:rFonts w:ascii="Arial" w:cs="Arial" w:eastAsia="Arial" w:hAnsi="Arial"/>
          <w:sz w:val="18"/>
          <w:szCs w:val="18"/>
          <w:color w:val="auto"/>
        </w:rPr>
        <w:t>, Marriott Grand Residence Club</w:t>
      </w:r>
      <w:r>
        <w:rPr>
          <w:rFonts w:ascii="Arial" w:cs="Arial" w:eastAsia="Arial" w:hAnsi="Arial"/>
          <w:sz w:val="25"/>
          <w:szCs w:val="25"/>
          <w:color w:val="auto"/>
          <w:vertAlign w:val="superscript"/>
        </w:rPr>
        <w:t>®</w:t>
      </w:r>
      <w:r>
        <w:rPr>
          <w:rFonts w:ascii="Arial" w:cs="Arial" w:eastAsia="Arial" w:hAnsi="Arial"/>
          <w:sz w:val="18"/>
          <w:szCs w:val="18"/>
          <w:color w:val="auto"/>
        </w:rPr>
        <w:t>, Grand Residences by Marriott</w:t>
      </w:r>
      <w:r>
        <w:rPr>
          <w:rFonts w:ascii="Arial" w:cs="Arial" w:eastAsia="Arial" w:hAnsi="Arial"/>
          <w:sz w:val="25"/>
          <w:szCs w:val="25"/>
          <w:color w:val="auto"/>
          <w:vertAlign w:val="superscript"/>
        </w:rPr>
        <w:t>®</w:t>
      </w:r>
      <w:r>
        <w:rPr>
          <w:rFonts w:ascii="Arial" w:cs="Arial" w:eastAsia="Arial" w:hAnsi="Arial"/>
          <w:sz w:val="18"/>
          <w:szCs w:val="18"/>
          <w:color w:val="auto"/>
        </w:rPr>
        <w:t>, and The Ritz-Carlton Club</w:t>
      </w:r>
      <w:r>
        <w:rPr>
          <w:rFonts w:ascii="Arial" w:cs="Arial" w:eastAsia="Arial" w:hAnsi="Arial"/>
          <w:sz w:val="25"/>
          <w:szCs w:val="25"/>
          <w:color w:val="auto"/>
          <w:vertAlign w:val="superscript"/>
        </w:rPr>
        <w:t>®</w:t>
      </w:r>
      <w:r>
        <w:rPr>
          <w:rFonts w:ascii="Arial" w:cs="Arial" w:eastAsia="Arial" w:hAnsi="Arial"/>
          <w:sz w:val="18"/>
          <w:szCs w:val="18"/>
          <w:color w:val="auto"/>
        </w:rPr>
        <w:t>. We also refer to Marriott International’s Marriott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loyalty program. We may also refer to brand names, trademarks, service marks and trade names of other companies and organizations, and these brand names, trademarks, service marks and trade names are the property of their respective owners.</w:t>
      </w:r>
    </w:p>
    <w:p>
      <w:pPr>
        <w:sectPr>
          <w:pgSz w:w="11900" w:h="16838" w:orient="portrait"/>
          <w:cols w:equalWidth="0" w:num="1">
            <w:col w:w="11360"/>
          </w:cols>
          <w:pgMar w:left="240" w:top="36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2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2018</w:t>
            </w:r>
          </w:p>
        </w:tc>
        <w:tc>
          <w:tcPr>
            <w:tcW w:w="320" w:type="dxa"/>
            <w:vAlign w:val="bottom"/>
          </w:tcPr>
          <w:p>
            <w:pPr>
              <w:spacing w:after="0"/>
              <w:rPr>
                <w:sz w:val="20"/>
                <w:szCs w:val="20"/>
                <w:color w:val="auto"/>
              </w:rPr>
            </w:pPr>
          </w:p>
        </w:tc>
        <w:tc>
          <w:tcPr>
            <w:tcW w:w="1740" w:type="dxa"/>
            <w:vAlign w:val="bottom"/>
          </w:tcPr>
          <w:p>
            <w:pPr>
              <w:jc w:val="right"/>
              <w:ind w:right="390"/>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174,789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163,877</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67,419</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35,482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32,111</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67,679</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Cost reimbursements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216,188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197,214</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900" w:type="dxa"/>
            <w:vAlign w:val="bottom"/>
            <w:tcBorders>
              <w:bottom w:val="single" w:sz="8" w:color="CCEEFF"/>
            </w:tcBorders>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528,300</w:t>
            </w:r>
          </w:p>
        </w:tc>
      </w:tr>
      <w:tr>
        <w:trPr>
          <w:trHeight w:val="237"/>
        </w:trPr>
        <w:tc>
          <w:tcPr>
            <w:tcW w:w="7200" w:type="dxa"/>
            <w:vAlign w:val="bottom"/>
            <w:gridSpan w:val="6"/>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w w:val="93"/>
                <w:shd w:val="clear" w:color="auto" w:fill="CCEEFF"/>
              </w:rPr>
              <w:t>Cost of vacation ownership products</w:t>
            </w: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43,771</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Marketing and sales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105,934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97,498</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37,471</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4,017</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Rental</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53,708</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29,435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27,539</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Litigation settlement</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Consumer financing interest</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5,938</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Royalty fee</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16,070</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Cost reimbursements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216,188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197,214</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483,226</w:t>
            </w:r>
          </w:p>
        </w:tc>
      </w:tr>
      <w:tr>
        <w:trPr>
          <w:trHeight w:val="237"/>
        </w:trPr>
        <w:tc>
          <w:tcPr>
            <w:tcW w:w="40" w:type="dxa"/>
            <w:vAlign w:val="bottom"/>
          </w:tcPr>
          <w:p>
            <w:pPr>
              <w:spacing w:after="0"/>
              <w:rPr>
                <w:sz w:val="20"/>
                <w:szCs w:val="20"/>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Gains (losses) and other income (expense), net</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Interest expense</w:t>
            </w:r>
          </w:p>
        </w:tc>
        <w:tc>
          <w:tcPr>
            <w:tcW w:w="940" w:type="dxa"/>
            <w:vAlign w:val="bottom"/>
            <w:tcBorders>
              <w:bottom w:val="single" w:sz="8" w:color="CCEEFF"/>
            </w:tcBorders>
            <w:gridSpan w:val="2"/>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INCOME BEFORE INCOME TAXES</w:t>
            </w: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43,865</w:t>
            </w:r>
          </w:p>
        </w:tc>
      </w:tr>
      <w:tr>
        <w:trPr>
          <w:trHeight w:val="243"/>
        </w:trPr>
        <w:tc>
          <w:tcPr>
            <w:tcW w:w="7200" w:type="dxa"/>
            <w:vAlign w:val="bottom"/>
            <w:gridSpan w:val="6"/>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(15,975)</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NET INCOME</w:t>
            </w: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2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5"/>
          </w:tcPr>
          <w:p>
            <w:pPr>
              <w:ind w:left="240"/>
              <w:spacing w:after="0"/>
              <w:rPr>
                <w:sz w:val="20"/>
                <w:szCs w:val="20"/>
                <w:color w:val="auto"/>
              </w:rPr>
            </w:pPr>
            <w:r>
              <w:rPr>
                <w:rFonts w:ascii="Arial" w:cs="Arial" w:eastAsia="Arial" w:hAnsi="Arial"/>
                <w:sz w:val="18"/>
                <w:szCs w:val="18"/>
                <w:color w:val="auto"/>
              </w:rPr>
              <w:t>Earnings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Earnings per share - Diluted</w:t>
            </w:r>
          </w:p>
        </w:tc>
        <w:tc>
          <w:tcPr>
            <w:tcW w:w="4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32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40" w:type="dxa"/>
            <w:vAlign w:val="bottom"/>
            <w:shd w:val="clear" w:color="auto" w:fill="CCEEFF"/>
          </w:tcPr>
          <w:p>
            <w:pPr>
              <w:spacing w:after="0"/>
              <w:rPr>
                <w:sz w:val="19"/>
                <w:szCs w:val="19"/>
                <w:color w:val="auto"/>
              </w:rPr>
            </w:pPr>
          </w:p>
        </w:tc>
        <w:tc>
          <w:tcPr>
            <w:tcW w:w="71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CASH DIVIDENDS DECLARED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41"/>
        </w:trPr>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27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2018</w:t>
            </w:r>
          </w:p>
        </w:tc>
        <w:tc>
          <w:tcPr>
            <w:tcW w:w="320" w:type="dxa"/>
            <w:vAlign w:val="bottom"/>
          </w:tcPr>
          <w:p>
            <w:pPr>
              <w:spacing w:after="0"/>
              <w:rPr>
                <w:sz w:val="20"/>
                <w:szCs w:val="20"/>
                <w:color w:val="auto"/>
              </w:rPr>
            </w:pPr>
          </w:p>
        </w:tc>
        <w:tc>
          <w:tcPr>
            <w:tcW w:w="174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3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Total 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42,225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32,131</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323,831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409,059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$34,987 and $32,321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81,553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receivable, net (including $4,816 and $5,639 from VIEs, respectively)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63,038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91,659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Vacation ownership notes receivable, net (including $725,835 and $814,011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1,114,552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726,969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728,379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252,727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$22,497 and $13,708 from VIEs, respectively)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200,768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166,653</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2,759,951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2,844,582</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79,959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145,405</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84,087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$616 and $701 from VIEs, respectively)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121,975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119,810</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69,058</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81,425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111,885</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74,851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Debt, net (including $758,791 and $845,131 from VIEs, respectively)</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1,012,350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1,095,213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96,549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89,987</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1,693,721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1,803,767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Contingencies and Commitments (Note 9)</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w w:val="92"/>
              </w:rPr>
              <w:t>Common stock — $0.01 par value; 100,000,000 shares authorized; 36,976,481 and 36,861,843 shares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issued, respectively</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 at cost; 10,411,960 and 10,400,547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(694,233)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1,184,106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1,188,538</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554,709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529,396</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1,040,815</w:t>
            </w:r>
          </w:p>
        </w:tc>
      </w:tr>
      <w:tr>
        <w:trPr>
          <w:trHeight w:val="25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2,759,951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2,844,582</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013" w:right="279" w:bottom="1440" w:gutter="0" w:footer="0" w:header="0"/>
        </w:sectPr>
      </w:pPr>
    </w:p>
    <w:bookmarkStart w:id="5" w:name="page6"/>
    <w:bookmarkEnd w:id="5"/>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jc w:val="right"/>
              <w:ind w:right="99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27,890</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5,191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12,714</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3,039</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34,195</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(112,640)</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78,999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76,068</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19,801</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(26,704)</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(27,657)</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38,771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Payroll and benefit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4,147</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45,704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(8,200)</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Dispositions, net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7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(13,254)</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(54,340)</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(6,644)</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7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(81,229)</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Decrease in cash, cash equivalents, and restricted cash</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(47,228)</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490,612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213,102</w:t>
            </w: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385,129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165,874</w:t>
            </w:r>
          </w:p>
        </w:tc>
      </w:tr>
      <w:tr>
        <w:trPr>
          <w:trHeight w:val="284"/>
        </w:trPr>
        <w:tc>
          <w:tcPr>
            <w:tcW w:w="7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25"/>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ACTIVITIES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ectPr>
          <w:pgSz w:w="11900" w:h="16838" w:orient="portrait"/>
          <w:cols w:equalWidth="0" w:num="1">
            <w:col w:w="11420"/>
          </w:cols>
          <w:pgMar w:left="240" w:top="48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8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as well as under Marriott Vacation Club Pulse, an extension of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provides on-site management for Ritz-Carlton branded properties.</w:t>
      </w:r>
    </w:p>
    <w:p>
      <w:pPr>
        <w:spacing w:after="0" w:line="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March 31, 2018,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w:t>
      </w:r>
    </w:p>
    <w:p>
      <w:pPr>
        <w:spacing w:after="0" w:line="4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Interim Consolidated Statements of Income as our “Income Statements,” (iii) our Interim Consolidated Balance Sheets as our “Balance Sheets” and</w:t>
      </w:r>
    </w:p>
    <w:p>
      <w:pPr>
        <w:spacing w:after="0" w:line="32" w:lineRule="exact"/>
        <w:rPr>
          <w:rFonts w:ascii="Arial" w:cs="Arial" w:eastAsia="Arial" w:hAnsi="Arial"/>
          <w:sz w:val="16"/>
          <w:szCs w:val="16"/>
          <w:color w:val="auto"/>
        </w:rPr>
      </w:pPr>
    </w:p>
    <w:p>
      <w:pPr>
        <w:ind w:right="40" w:firstLine="8"/>
        <w:spacing w:after="0" w:line="255"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Interim Consolidated Statements of Cash Flows as our “Cash Flows.” In addition, references throughout to numbered “Footnotes” refer to the numbered Notes in these Notes to Interim Consolidated Financial Statements, unless otherwise noted. We use certain other terms that are defined within these Financial Statements.</w:t>
      </w:r>
    </w:p>
    <w:p>
      <w:pPr>
        <w:spacing w:after="0" w:line="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amended (“ASU 2014-09”), on January 1, 2018, the first day of our 2018 fiscal year, and refer to it as the new “Revenue Standard” throughout these Financial Statements. We restated our previously reported historical results to conform with the adoption of the new Revenue Standard. See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below for additional information on ASU 2014-09 and Footnote 15 “Adoption Impact of New Revenue Standard” for further discussion of the adoption and the impact on our previously reported historical results.</w:t>
      </w:r>
    </w:p>
    <w:p>
      <w:pPr>
        <w:spacing w:after="0" w:line="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Annual Report on Form 10-K for the fiscal year ended December 31, 2017.</w:t>
      </w:r>
    </w:p>
    <w:p>
      <w:pPr>
        <w:spacing w:after="0" w:line="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vacation ownership notes receivable reserves, income taxes and loss contingencies. Accordingly, actual amounts may differ from these estimated amounts.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quarter presentation.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Accounting Standards Update 2018-05 – “</w:t>
      </w:r>
      <w:r>
        <w:rPr>
          <w:rFonts w:ascii="Arial" w:cs="Arial" w:eastAsia="Arial" w:hAnsi="Arial"/>
          <w:sz w:val="18"/>
          <w:szCs w:val="18"/>
          <w:i w:val="1"/>
          <w:iCs w:val="1"/>
          <w:color w:val="auto"/>
        </w:rPr>
        <w:t>Income Taxes (Topic 740): Amendments to SEC Paragraphs Pursuant to SEC Staff Accounting Bulletin</w:t>
      </w:r>
      <w:r>
        <w:rPr>
          <w:rFonts w:ascii="Arial" w:cs="Arial" w:eastAsia="Arial" w:hAnsi="Arial"/>
          <w:sz w:val="18"/>
          <w:szCs w:val="18"/>
          <w:color w:val="auto"/>
        </w:rPr>
        <w:t xml:space="preserve"> </w:t>
      </w:r>
      <w:r>
        <w:rPr>
          <w:rFonts w:ascii="Arial" w:cs="Arial" w:eastAsia="Arial" w:hAnsi="Arial"/>
          <w:sz w:val="18"/>
          <w:szCs w:val="18"/>
          <w:i w:val="1"/>
          <w:iCs w:val="1"/>
          <w:color w:val="auto"/>
        </w:rPr>
        <w:t>No. 118</w:t>
      </w:r>
      <w:r>
        <w:rPr>
          <w:rFonts w:ascii="Arial" w:cs="Arial" w:eastAsia="Arial" w:hAnsi="Arial"/>
          <w:sz w:val="18"/>
          <w:szCs w:val="18"/>
          <w:color w:val="auto"/>
        </w:rPr>
        <w:t>” (“ASU 2018-05”)</w:t>
      </w:r>
    </w:p>
    <w:p>
      <w:pPr>
        <w:spacing w:after="0" w:line="6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March 2018, the Financial Accounting Standards Board (“FASB”) issued ASU 2018-05, which updates the income tax accounting in GAAP to reflect the interpretive guidance in Staff Accounting Bulletin (“SAB”) 118 (“SAB 118”), that was issued by the staff of the Securities and Exchange Commission in December 2017 in order to address the application of GAAP in situations where a registrant does not have all the necessary information available, prepared, or analyzed (including computations) in reasonable detail to complete the accounting for certain income tax effects of the Tax Cuts and Jobs Act (“the “Tax Act”). SAB 118 provides for a provisional one year measurement period for registrants to finalize their accounting for certain income tax effects related to the Tax Act. ASU 2018-05 was effective upon issuance. We expect to finalize our provisional amounts related to the Tax Act by the fourth quarter of 2018. See Footnote 3 “Income Taxes” for additional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The adoption of ASU 2016-01 in the first quarter of 2018 did not have a material impact on our financial statements or disclosures.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Accounting Standards Update 2016-16 –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(“ASU 2016-16”)</w:t>
      </w:r>
    </w:p>
    <w:p>
      <w:pPr>
        <w:spacing w:after="0" w:line="1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The adoption of ASU 2016-16 in the first quarter of 2018 did not have a material impact on our financial statements or disclosures.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May 2014, the FASB issued ASU 2014-09, which, as amended, creates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and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including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is effective for annual reporting periods, and interim periods within those reporting periods, beginning after December 15, 2017. The new standard may be applied retrospectively or on a modified retrospective basis with the cumulative effect recognized on the date of adoption. We adopted ASU 2014-09, as amended, effective January 1, 2018, on a retrospective basis and restated our previously reported historical results. See Footnote 15 “Adoption Impact of New Revenue Standard” for further discussion of adoption and the impact on our previously reported historical results. See Footnote 2 “Revenue” for additional information on how we recognize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are evaluating the impact that ASU 2017-12, including the timing of implementation, will have on our financial statements and disclosures.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ind w:right="84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are evaluating the impact that ASU 2016-13, including the timing of implementation, will have on our financial statements and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although an option to use transition relief to not restate or make required disclosures in comparable periods in the period of adoption is expected to be issued by the FASB. ASU 2016-02 is effective for fiscal years beginning after December 15, 2018, including interim periods within those fiscal years, with early adoption permitted. Although we expect to adopt ASU 2016-02 commencing in fiscal year 2019 and are continuing our implementation efforts, we continue to evaluate the impact that adoption of this update will have on our financial statements and disclosures, and we expect that it will have a material effect on our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2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retrospective method. See Footnote 1 “Summary of Significant Accounting Policies” for additional information and Footnote 15 “Adoption of New Revenue Standard” for further discussion of the adoption and the impact on our previously reported historical results.</w:t>
      </w:r>
    </w:p>
    <w:p>
      <w:pPr>
        <w:spacing w:after="0" w:line="7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 The following series of tables present our revenue disaggregated by several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174,789</w:t>
            </w: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24,174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63,531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68,075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74,210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216,188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494,928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17,650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535,367</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35,482</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528,457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18,864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23,528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570,849</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2017</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163,877</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62,485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67,679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181,566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197,214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457,833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24,245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496,189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32,111</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488,072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15,234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24,994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528,300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i w:val="1"/>
                <w:iCs w:val="1"/>
                <w:color w:val="auto"/>
                <w:w w:val="92"/>
              </w:rPr>
              <w:t>Timing of Revenue from Contracts with Customers by Segment</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190,139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207,661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494,928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535,367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298,878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182,268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197,311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457,833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24,245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496,189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40" w:firstLine="662"/>
        <w:spacing w:after="0" w:line="312" w:lineRule="auto"/>
        <w:rPr>
          <w:sz w:val="20"/>
          <w:szCs w:val="20"/>
          <w:color w:val="auto"/>
        </w:rPr>
      </w:pPr>
      <w:r>
        <w:rPr>
          <w:rFonts w:ascii="Arial" w:cs="Arial" w:eastAsia="Arial" w:hAnsi="Arial"/>
          <w:sz w:val="16"/>
          <w:szCs w:val="16"/>
          <w:color w:val="auto"/>
        </w:rPr>
        <w:t>We market and sell vacation ownership products in our three reportable segments. Vacation ownership products include deeded vacation ownership products, deeded beneficial interests, rights to use real estate, and other interests in trusts that solely hold real estate and deeded whole ownership units in residential buildings (collectively “vacation ownership products”). Vacation ownership products may be sold for cash or we may provide financing.</w:t>
      </w:r>
    </w:p>
    <w:p>
      <w:pPr>
        <w:spacing w:after="0" w:line="39"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Non-cash incentives typically include Marriott Rewards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79" w:lineRule="exact"/>
        <w:rPr>
          <w:sz w:val="20"/>
          <w:szCs w:val="20"/>
          <w:color w:val="auto"/>
        </w:rPr>
      </w:pPr>
    </w:p>
    <w:p>
      <w:pPr>
        <w:ind w:right="120" w:firstLine="662"/>
        <w:spacing w:after="0" w:line="302"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6" w:lineRule="exact"/>
        <w:rPr>
          <w:sz w:val="20"/>
          <w:szCs w:val="20"/>
          <w:color w:val="auto"/>
        </w:rPr>
      </w:pPr>
    </w:p>
    <w:p>
      <w:pPr>
        <w:ind w:right="120" w:firstLine="662"/>
        <w:spacing w:after="0" w:line="279" w:lineRule="auto"/>
        <w:rPr>
          <w:sz w:val="20"/>
          <w:szCs w:val="20"/>
          <w:color w:val="auto"/>
        </w:rPr>
      </w:pPr>
      <w:r>
        <w:rPr>
          <w:rFonts w:ascii="Arial" w:cs="Arial" w:eastAsia="Arial" w:hAnsi="Arial"/>
          <w:sz w:val="17"/>
          <w:szCs w:val="17"/>
          <w:color w:val="auto"/>
        </w:rPr>
        <w:t>Our assessment of collectibility of the transaction price for sales of vacation ownership products is aligned with our credit granting policies for financed contracts. We compared the lending terms against the terms of similar notes in the market and concluded that certain contracts within our Asia Pacific and Europe segments contain below market interest rates and as such have adjusted the transaction price for these contracts to reflect a market rate of interest. The lending terms of financed contracts within our North America segment reflect market terms.</w:t>
      </w:r>
    </w:p>
    <w:p>
      <w:pPr>
        <w:sectPr>
          <w:pgSz w:w="11900" w:h="16838" w:orient="portrait"/>
          <w:cols w:equalWidth="0" w:num="1">
            <w:col w:w="11420"/>
          </w:cols>
          <w:pgMar w:left="240" w:top="652"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52" w:right="239" w:bottom="1440" w:gutter="0" w:footer="0" w:header="0"/>
          <w:type w:val="continuous"/>
        </w:sectPr>
      </w:pPr>
    </w:p>
    <w:bookmarkStart w:id="10" w:name="page11"/>
    <w:bookmarkEnd w:id="10"/>
    <w:p>
      <w:pPr>
        <w:ind w:right="200" w:firstLine="662"/>
        <w:spacing w:after="0" w:line="291" w:lineRule="auto"/>
        <w:rPr>
          <w:sz w:val="20"/>
          <w:szCs w:val="20"/>
          <w:color w:val="auto"/>
        </w:rPr>
      </w:pPr>
      <w:r>
        <w:rPr>
          <w:rFonts w:ascii="Arial" w:cs="Arial" w:eastAsia="Arial" w:hAnsi="Arial"/>
          <w:sz w:val="16"/>
          <w:szCs w:val="16"/>
          <w:color w:val="auto"/>
        </w:rPr>
        <w:t>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analysis, which relies on historical payment data by customer class. Variable consideration which has not been included within the transaction price is presented as a reserve on vacation ownership notes receivable. In addition, we account for cash incentives provided to customers as a reduction of the transaction price. Refer to “</w:t>
      </w:r>
      <w:r>
        <w:rPr>
          <w:rFonts w:ascii="Arial" w:cs="Arial" w:eastAsia="Arial" w:hAnsi="Arial"/>
          <w:sz w:val="16"/>
          <w:szCs w:val="16"/>
          <w:i w:val="1"/>
          <w:iCs w:val="1"/>
          <w:color w:val="auto"/>
        </w:rPr>
        <w:t>Arrangements with Multiple Performance Obligations</w:t>
      </w:r>
      <w:r>
        <w:rPr>
          <w:rFonts w:ascii="Arial" w:cs="Arial" w:eastAsia="Arial" w:hAnsi="Arial"/>
          <w:sz w:val="16"/>
          <w:szCs w:val="16"/>
          <w:color w:val="auto"/>
        </w:rPr>
        <w:t>” below for a description of our methods of allocating transaction price to each performance obligation.</w:t>
      </w:r>
    </w:p>
    <w:p>
      <w:pPr>
        <w:spacing w:after="0" w:line="59" w:lineRule="exact"/>
        <w:rPr>
          <w:sz w:val="20"/>
          <w:szCs w:val="20"/>
          <w:color w:val="auto"/>
        </w:rPr>
      </w:pPr>
    </w:p>
    <w:p>
      <w:pPr>
        <w:ind w:right="120" w:firstLine="662"/>
        <w:spacing w:after="0" w:line="312" w:lineRule="auto"/>
        <w:rPr>
          <w:sz w:val="20"/>
          <w:szCs w:val="20"/>
          <w:color w:val="auto"/>
        </w:rPr>
      </w:pPr>
      <w:r>
        <w:rPr>
          <w:rFonts w:ascii="Arial" w:cs="Arial" w:eastAsia="Arial" w:hAnsi="Arial"/>
          <w:sz w:val="16"/>
          <w:szCs w:val="16"/>
          <w:color w:val="auto"/>
        </w:rPr>
        <w:t>We recognize revenue on the sale of vacation ownership products at closing, when control is transferred to the customer. We evaluated our business practices, and the underlying risks and rewards associated with vacation ownership products, and the respective timing that such risk and rewards are transferred to the customer in determining the point in time at which control of the vacation ownership product is transferred to the customer.</w:t>
      </w:r>
    </w:p>
    <w:p>
      <w:pPr>
        <w:spacing w:after="0" w:line="39"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Rewards points or third-party Explorer Collection offerings), we evaluated whether we control the underlying good or service prior to delivery to the customer. We concluded that we are an agent for those non-cash incentives for which we do not control prior to delivery and as such record the related revenue net of the related cost upon recognition.</w:t>
      </w:r>
    </w:p>
    <w:p>
      <w:pPr>
        <w:spacing w:after="0" w:line="64"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Revenues recognized during the first quarter of 2018 resulting from changes in our estimate of variable consideration for performance obligations satisfied in prior periods was $1.7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 Management and Other Services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Ancillary Revenues</w:t>
      </w:r>
    </w:p>
    <w:p>
      <w:pPr>
        <w:spacing w:after="0" w:line="117" w:lineRule="exact"/>
        <w:rPr>
          <w:sz w:val="20"/>
          <w:szCs w:val="20"/>
          <w:color w:val="auto"/>
        </w:rPr>
      </w:pPr>
    </w:p>
    <w:p>
      <w:pPr>
        <w:ind w:right="180" w:firstLine="662"/>
        <w:spacing w:after="0" w:line="276" w:lineRule="auto"/>
        <w:rPr>
          <w:sz w:val="20"/>
          <w:szCs w:val="20"/>
          <w:color w:val="auto"/>
        </w:rPr>
      </w:pPr>
      <w:r>
        <w:rPr>
          <w:rFonts w:ascii="Arial" w:cs="Arial" w:eastAsia="Arial" w:hAnsi="Arial"/>
          <w:sz w:val="17"/>
          <w:szCs w:val="17"/>
          <w:color w:val="auto"/>
        </w:rPr>
        <w:t>Ancillary revenues consist of goods and services that are sold or provided by us at restaurants, golf courses and other retail and service outlets located at our resorts. Payments for such goods and services are generally received at the point of sale in the form of cash or credit card charges. For goods and services sold, we evaluated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Fee Revenues and Cost Reimbursements Revenues</w:t>
      </w:r>
    </w:p>
    <w:p>
      <w:pPr>
        <w:spacing w:after="0" w:line="117" w:lineRule="exact"/>
        <w:rPr>
          <w:sz w:val="20"/>
          <w:szCs w:val="20"/>
          <w:color w:val="auto"/>
        </w:rPr>
      </w:pPr>
    </w:p>
    <w:p>
      <w:pPr>
        <w:ind w:right="160" w:firstLine="662"/>
        <w:spacing w:after="0" w:line="272" w:lineRule="auto"/>
        <w:rPr>
          <w:sz w:val="20"/>
          <w:szCs w:val="20"/>
          <w:color w:val="auto"/>
        </w:rPr>
      </w:pPr>
      <w:r>
        <w:rPr>
          <w:rFonts w:ascii="Arial" w:cs="Arial" w:eastAsia="Arial" w:hAnsi="Arial"/>
          <w:sz w:val="17"/>
          <w:szCs w:val="17"/>
          <w:color w:val="auto"/>
        </w:rPr>
        <w:t>We provide day-to-day-management services, including housekeeping services, operation of reservation systems, maintenance and certain accounting and administrative services for property owners’ associations. We generate revenue from fees we earn for managing each of our resorts. These fees are earned regardless of usage or occupancy and are typically based on either a percentage of the budgeted costs to operate the resorts or a fixed fee arrangement (“Management fee revenues”) and reimbursement of costs incurred on behalf of the property owners’ associations (“Cost reimbursements revenues”). Cost reimbursements revenues exclude amounts that we have paid to the property owners’ associations related to maintenance fees for vacation ownership products for which we retain ownership, as we have concluded that such payments are consideration payable to a customer. Cost reimbursements consist of actual expenses with no added margin.</w:t>
      </w:r>
    </w:p>
    <w:p>
      <w:pPr>
        <w:spacing w:after="0" w:line="70"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Management fees are typically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variable.</w:t>
      </w:r>
    </w:p>
    <w:p>
      <w:pPr>
        <w:spacing w:after="0" w:line="73"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We evaluated the nature of the services provided to property owners’ associations and concluded that the management services constitute a series of distinct services to be accounted for as a single performance obligation transferred over time. We use an input method, the number of days that management services are provided, to recognize management fee revenues, which is consistent with the pattern of transfer to the property owners’ associations who receive and consume the benefits as services are provided each day. 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Other Services Revenues</w:t>
      </w:r>
    </w:p>
    <w:p>
      <w:pPr>
        <w:spacing w:after="0" w:line="117"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Other services revenues include additional fees for services we provide to owners and property owners’ associations. We receive club dues for exchange services as well as certain transaction-based fees from owners and other third parties, including external exchange service providers with which we are associated. Club dues are received in advance of providing access to the exchange services, are recorded as Deferred revenue on our Balance Sheets and are earned regardless of whether exchange services are provided. Transaction-based fees from owners are typically received at the time of the transaction and transaction-based fees from other third parties are typically received at a point in time.</w:t>
      </w:r>
    </w:p>
    <w:p>
      <w:pPr>
        <w:spacing w:after="0" w:line="64"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club dues on a straight-line basis over the related period of time.</w:t>
      </w:r>
    </w:p>
    <w:p>
      <w:pPr>
        <w:spacing w:after="0" w:line="79" w:lineRule="exact"/>
        <w:rPr>
          <w:sz w:val="20"/>
          <w:szCs w:val="20"/>
          <w:color w:val="auto"/>
        </w:rPr>
      </w:pPr>
    </w:p>
    <w:p>
      <w:pPr>
        <w:ind w:right="100" w:firstLine="662"/>
        <w:spacing w:after="0" w:line="286" w:lineRule="auto"/>
        <w:rPr>
          <w:sz w:val="20"/>
          <w:szCs w:val="20"/>
          <w:color w:val="auto"/>
        </w:rPr>
      </w:pPr>
      <w:r>
        <w:rPr>
          <w:rFonts w:ascii="Arial" w:cs="Arial" w:eastAsia="Arial" w:hAnsi="Arial"/>
          <w:sz w:val="17"/>
          <w:szCs w:val="17"/>
          <w:color w:val="auto"/>
        </w:rPr>
        <w:t>Transaction-based fees are recognized as revenue at the point in time at which the relevant goods or services are transferred to the customer. For transaction-based fees, we evaluated whether we control the underlying goods or services prior to delivery to the customer. For transactions where we do not control the goods or services prior to delivery, the related revenue is recorded net of the related cost upon recognition.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Revenues</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Revisions to estimates of variable consideration from the sale of vacation ownership products impact the reserve and can increase or decrease revenue. We earn interest income from the financing arrangements on the principal balance outstanding over the life of the arrangement and record that interest income in Financing revenues on our Income Statements.</w:t>
      </w:r>
    </w:p>
    <w:p>
      <w:pPr>
        <w:spacing w:after="0" w:line="71"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Financing revenues include certain annual and transaction-based fees we charge to owners and other third parties for services. We recognize fee revenues when services have been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Revenues</w:t>
      </w:r>
    </w:p>
    <w:p>
      <w:pPr>
        <w:spacing w:after="0" w:line="117"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generate revenue from rentals of inventory that we hold for sale as interests in our vacation ownership programs or inventory that we control because our owners have elected alternative usage options permitted under our vacation ownership programs. We receive payments for rentals primarily through credit card charges. We recognize rental revenues when occupancy has occurred, which is consistent with the period for which the customer benefits from such service. We recognize rental revenue from the utilization of plus points issued in connection with the sale of vacation ownership products as described in “</w:t>
      </w:r>
      <w:r>
        <w:rPr>
          <w:rFonts w:ascii="Arial" w:cs="Arial" w:eastAsia="Arial" w:hAnsi="Arial"/>
          <w:sz w:val="18"/>
          <w:szCs w:val="18"/>
          <w:i w:val="1"/>
          <w:iCs w:val="1"/>
          <w:color w:val="auto"/>
        </w:rPr>
        <w:t>Sale of Vacation Ownership Products</w:t>
      </w:r>
      <w:r>
        <w:rPr>
          <w:rFonts w:ascii="Arial" w:cs="Arial" w:eastAsia="Arial" w:hAnsi="Arial"/>
          <w:sz w:val="18"/>
          <w:szCs w:val="18"/>
          <w:color w:val="auto"/>
        </w:rPr>
        <w:t>” above.</w:t>
      </w:r>
    </w:p>
    <w:p>
      <w:pPr>
        <w:spacing w:after="0" w:line="80" w:lineRule="exact"/>
        <w:rPr>
          <w:sz w:val="20"/>
          <w:szCs w:val="20"/>
          <w:color w:val="auto"/>
        </w:rPr>
      </w:pPr>
    </w:p>
    <w:p>
      <w:pPr>
        <w:ind w:right="160" w:firstLine="662"/>
        <w:spacing w:after="0" w:line="276" w:lineRule="auto"/>
        <w:rPr>
          <w:sz w:val="20"/>
          <w:szCs w:val="20"/>
          <w:color w:val="auto"/>
        </w:rPr>
      </w:pPr>
      <w:r>
        <w:rPr>
          <w:rFonts w:ascii="Arial" w:cs="Arial" w:eastAsia="Arial" w:hAnsi="Arial"/>
          <w:sz w:val="17"/>
          <w:szCs w:val="17"/>
          <w:color w:val="auto"/>
        </w:rPr>
        <w:t>We also generate revenues from vacation packages sold to our customers. Payments received in advance are recorded as Advance deposits on our Balance Sheets, until the revenue is recognized. Payments for such packages are non-refundable, generally paid by the customer in advance and have an expiration period of six to twenty-four months, and revenue is recognized upon completion of the customer’s stay. For rental revenues associated with vacation ownership products which we own and which are registered for sale, to the extent that the proceeds are less than costs, revenues are reported net in accordance with ASC Topic 978, “</w:t>
      </w:r>
      <w:r>
        <w:rPr>
          <w:rFonts w:ascii="Arial" w:cs="Arial" w:eastAsia="Arial" w:hAnsi="Arial"/>
          <w:sz w:val="17"/>
          <w:szCs w:val="17"/>
          <w:i w:val="1"/>
          <w:iCs w:val="1"/>
          <w:color w:val="auto"/>
        </w:rPr>
        <w:t>Real Estate</w:t>
      </w:r>
      <w:r>
        <w:rPr>
          <w:rFonts w:ascii="Arial" w:cs="Arial" w:eastAsia="Arial" w:hAnsi="Arial"/>
          <w:sz w:val="17"/>
          <w:szCs w:val="17"/>
          <w:color w:val="auto"/>
        </w:rPr>
        <w:t xml:space="preserve"> – </w:t>
      </w:r>
      <w:r>
        <w:rPr>
          <w:rFonts w:ascii="Arial" w:cs="Arial" w:eastAsia="Arial" w:hAnsi="Arial"/>
          <w:sz w:val="17"/>
          <w:szCs w:val="17"/>
          <w:i w:val="1"/>
          <w:iCs w:val="1"/>
          <w:color w:val="auto"/>
        </w:rPr>
        <w:t>Time-Sharing Activities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right="220" w:firstLine="662"/>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w:t>
      </w:r>
    </w:p>
    <w:p>
      <w:pPr>
        <w:spacing w:after="0" w:line="85" w:lineRule="exact"/>
        <w:rPr>
          <w:sz w:val="20"/>
          <w:szCs w:val="20"/>
          <w:color w:val="auto"/>
        </w:rPr>
      </w:pPr>
    </w:p>
    <w:p>
      <w:pPr>
        <w:ind w:right="680" w:firstLine="662"/>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March 31, 2018 or December 31, 2017.</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6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2018</w:t>
            </w:r>
          </w:p>
        </w:tc>
        <w:tc>
          <w:tcPr>
            <w:tcW w:w="240" w:type="dxa"/>
            <w:vAlign w:val="bottom"/>
          </w:tcPr>
          <w:p>
            <w:pPr>
              <w:spacing w:after="0"/>
              <w:rPr>
                <w:sz w:val="20"/>
                <w:szCs w:val="20"/>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31, 2017</w:t>
            </w:r>
          </w:p>
        </w:tc>
      </w:tr>
      <w:tr>
        <w:trPr>
          <w:trHeight w:val="250"/>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41,269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72,905</w:t>
            </w: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3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1,132,783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1,114,552</w:t>
            </w:r>
          </w:p>
        </w:tc>
      </w:tr>
      <w:tr>
        <w:trPr>
          <w:trHeight w:val="237"/>
        </w:trPr>
        <w:tc>
          <w:tcPr>
            <w:tcW w:w="60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1,174,052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1,187,457</w:t>
            </w:r>
          </w:p>
        </w:tc>
      </w:tr>
      <w:tr>
        <w:trPr>
          <w:trHeight w:val="67"/>
        </w:trPr>
        <w:tc>
          <w:tcPr>
            <w:tcW w:w="6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r>
      <w:tr>
        <w:trPr>
          <w:trHeight w:val="278"/>
        </w:trPr>
        <w:tc>
          <w:tcPr>
            <w:tcW w:w="6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deposits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84,087</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114,243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69,058</w:t>
            </w:r>
          </w:p>
        </w:tc>
      </w:tr>
      <w:tr>
        <w:trPr>
          <w:trHeight w:val="27"/>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153,145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recognized in the first quarter of 2018 that was included in our contract liabilities balance at December 31, 2017 was $47.1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March 31, 2018, over 90 percent of this amount is expected to be recognized as revenue over the next two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$2.1 million at both March 31, 2018 and December 31, 2017.</w:t>
      </w:r>
    </w:p>
    <w:p>
      <w:pPr>
        <w:spacing w:after="0" w:line="79" w:lineRule="exact"/>
        <w:rPr>
          <w:sz w:val="20"/>
          <w:szCs w:val="20"/>
          <w:color w:val="auto"/>
        </w:rPr>
      </w:pPr>
    </w:p>
    <w:p>
      <w:pPr>
        <w:ind w:right="280" w:firstLine="662"/>
        <w:spacing w:after="0" w:line="259" w:lineRule="auto"/>
        <w:rPr>
          <w:sz w:val="20"/>
          <w:szCs w:val="20"/>
          <w:color w:val="auto"/>
        </w:rPr>
      </w:pPr>
      <w:r>
        <w:rPr>
          <w:rFonts w:ascii="Arial" w:cs="Arial" w:eastAsia="Arial" w:hAnsi="Arial"/>
          <w:sz w:val="18"/>
          <w:szCs w:val="18"/>
          <w:color w:val="auto"/>
        </w:rPr>
        <w:t>Our interim effective tax rate was 22.94 percent and 36.37 percent for the three month periods ending March 31, 2018 and March 31, 2017, respectively, and our annual effective tax rate is expected to be approximately 24.85 percent for fiscal year 2018. During December 2017, the Tax Act was signed into law, effective January 1, 2018, resulting in a significant change in the framework for U.S. corporate taxes, including but not limited to, the reduction of the U.S. corporate tax rate from 35 percent to 21 percent.</w:t>
      </w:r>
    </w:p>
    <w:p>
      <w:pPr>
        <w:spacing w:after="0" w:line="79"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In accordance with SAB 118, we remeasured our deferred tax assets and liabilities using the new corporate tax rate of 21 percent, rather than the previous corporate tax rate of 35 percent, resulting in a $65.2 million decrease in our income tax expense for the year ended December 31, 2017 and a corresponding $65.2 million decrease in our net deferred tax liability as of December 31, 2017. As of March 31, 2018, these amounts remain provisional and additional work is necessary to perform a more detailed analysis.</w:t>
      </w:r>
    </w:p>
    <w:p>
      <w:pPr>
        <w:spacing w:after="0" w:line="79"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The one-time transition tax on certain un-repatriated earnings of foreign subsidiaries is based on total post-1986 earnings and profits that we previously deferred from U.S. income taxes. We performed a preliminary analysis of the transition tax and determined that, due to deficits in foreign earnings and profits, we did not have a one-time transition tax liability to record in 2017. As of March 31, 2018, we have not finalized our calculations of our transition tax liability, if any. As the one-time transition tax is based in part on the amount of those earnings held in cash and other specified assets, we may determine that we have a one-time transition tax liability when we finalize the calculation of post-1986 foreign earnings and profits previously deferred from U.S. federal taxation and finalize the amounts held in cash or other specified assets. No additional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 w:name="page14"/>
    <w:bookmarkEnd w:id="13"/>
    <w:p>
      <w:pPr>
        <w:jc w:val="both"/>
        <w:ind w:right="140"/>
        <w:spacing w:after="0" w:line="277" w:lineRule="auto"/>
        <w:rPr>
          <w:sz w:val="20"/>
          <w:szCs w:val="20"/>
          <w:color w:val="auto"/>
        </w:rPr>
      </w:pPr>
      <w:r>
        <w:rPr>
          <w:rFonts w:ascii="Arial" w:cs="Arial" w:eastAsia="Arial" w:hAnsi="Arial"/>
          <w:sz w:val="18"/>
          <w:szCs w:val="18"/>
          <w:color w:val="auto"/>
        </w:rPr>
        <w:t>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62"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The re-measurement of our deferred tax balances, any transition tax and interpretation of the new law are provisional subject to clarifications of the new legislation and final calculations. Any future changes to the provisional estimates, related to the Tax Act, will be reflected as a change in estimate in the period in which the change in estimate is made in accordance with SAB 118.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2018</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2017</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814,011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249,743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141,324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157,205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159,217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300,541</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1,132,783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1,114,552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Refer to Footnote 5 “Financial Instruments” for discussion of eligibility of our vacation ownership notes receivable for securitization.</w:t>
      </w:r>
    </w:p>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March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20"/>
                <w:szCs w:val="20"/>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99,214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39,316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79,419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118,735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117,434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30,317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86,909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117,226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116,438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234,280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329,456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563,736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406,948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725,835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1,132,783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Weighted average stated interest rate at March 31, 2018</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center"/>
              <w:ind w:right="92"/>
              <w:spacing w:after="0"/>
              <w:rPr>
                <w:sz w:val="20"/>
                <w:szCs w:val="20"/>
                <w:color w:val="auto"/>
              </w:rPr>
            </w:pPr>
            <w:r>
              <w:rPr>
                <w:rFonts w:ascii="Arial" w:cs="Arial" w:eastAsia="Arial" w:hAnsi="Arial"/>
                <w:sz w:val="18"/>
                <w:szCs w:val="18"/>
                <w:color w:val="auto"/>
                <w:w w:val="90"/>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2"/>
              <w:spacing w:after="0"/>
              <w:rPr>
                <w:sz w:val="20"/>
                <w:szCs w:val="20"/>
                <w:color w:val="auto"/>
              </w:rPr>
            </w:pPr>
            <w:r>
              <w:rPr>
                <w:rFonts w:ascii="Arial" w:cs="Arial" w:eastAsia="Arial" w:hAnsi="Arial"/>
                <w:sz w:val="18"/>
                <w:szCs w:val="18"/>
                <w:color w:val="auto"/>
                <w:w w:val="90"/>
              </w:rPr>
              <w:t>12.5%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 at March 31, 2018</w:t>
            </w: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0.0% to 18.0%</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4.9% to 18.0%</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18.0%</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2"/>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5"/>
              </w:rPr>
              <w:t>Interest income associated with vacation ownership notes receivable — non-securitized</w:t>
            </w:r>
          </w:p>
        </w:tc>
        <w:tc>
          <w:tcPr>
            <w:tcW w:w="3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7,010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record the difference between the vacation ownership note receivable and the variable consideration included in the transaction price for the sale of the related vacation ownership product as a reserve on our vacation ownership notes receivable. See “</w:t>
      </w:r>
      <w:r>
        <w:rPr>
          <w:rFonts w:ascii="Arial" w:cs="Arial" w:eastAsia="Arial" w:hAnsi="Arial"/>
          <w:sz w:val="18"/>
          <w:szCs w:val="18"/>
          <w:i w:val="1"/>
          <w:iCs w:val="1"/>
          <w:color w:val="auto"/>
        </w:rPr>
        <w:t>Financing Revenues</w:t>
      </w:r>
      <w:r>
        <w:rPr>
          <w:rFonts w:ascii="Arial" w:cs="Arial" w:eastAsia="Arial" w:hAnsi="Arial"/>
          <w:sz w:val="18"/>
          <w:szCs w:val="18"/>
          <w:color w:val="auto"/>
        </w:rPr>
        <w:t>” in Footnote 2 “Revenue”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the first quarter of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Clean-up call</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Defaulted vacation ownership notes receivable repurchase activity</w:t>
            </w:r>
            <w:r>
              <w:rPr>
                <w:rFonts w:ascii="Arial" w:cs="Arial" w:eastAsia="Arial" w:hAnsi="Arial"/>
                <w:sz w:val="18"/>
                <w:szCs w:val="18"/>
                <w:color w:val="auto"/>
                <w:w w:val="93"/>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64,702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53,973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118,675</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non-securitized and securitized vacation ownership notes receivable, we estimated average remaining default rates of 7.08 percent and 7.16 percent as of March 31, 2018 and December 31, 2017, respectively. A 0.5 percentage point increase in the estimated default rate would have resulted in an increase in our vacation ownership notes receivable reserve of $6.0 million as of both March 31, 2018 and December 31, 2017.</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1"/>
              </w:rPr>
              <w:t>Non-Securitized</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Securitized</w:t>
            </w: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Vacation Ownership</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Vacation Ownership</w:t>
            </w:r>
          </w:p>
        </w:tc>
        <w:tc>
          <w:tcPr>
            <w:tcW w:w="940" w:type="dxa"/>
            <w:vAlign w:val="bottom"/>
          </w:tcPr>
          <w:p>
            <w:pPr>
              <w:spacing w:after="0"/>
              <w:rPr>
                <w:sz w:val="17"/>
                <w:szCs w:val="17"/>
                <w:color w:val="auto"/>
              </w:rPr>
            </w:pPr>
          </w:p>
        </w:tc>
      </w:tr>
      <w:tr>
        <w:trPr>
          <w:trHeight w:val="231"/>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87"/>
              </w:rPr>
              <w:t>Notes Receivable</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Notes Receivable</w:t>
            </w: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88"/>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March 31, 2018</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December 31,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first quarter of 2018</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first quarter of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38,655</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8,673</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47,328</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38,786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7,428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46,214</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38,721</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8,051</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46,772</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40,836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7,333</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48,169</w:t>
            </w:r>
          </w:p>
        </w:tc>
      </w:tr>
    </w:tbl>
    <w:p>
      <w:pPr>
        <w:spacing w:after="0" w:line="200" w:lineRule="exact"/>
        <w:rPr>
          <w:sz w:val="20"/>
          <w:szCs w:val="20"/>
          <w:color w:val="auto"/>
        </w:rPr>
      </w:pPr>
    </w:p>
    <w:p>
      <w:pPr>
        <w:sectPr>
          <w:pgSz w:w="11900" w:h="16838" w:orient="portrait"/>
          <w:cols w:equalWidth="0" w:num="2">
            <w:col w:w="6020" w:space="720"/>
            <w:col w:w="4680"/>
          </w:cols>
          <w:pgMar w:left="240" w:top="476"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76" w:right="239"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27,411</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13,813</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33,515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74,739</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753,581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1,176,719</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779,808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1,251,458</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25,662</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11,769</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71,876</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312,938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848,858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1,161,796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358,833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874,839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1,233,672</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At March 31, 2018</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2017</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color w:val="auto"/>
                <w:w w:val="86"/>
                <w:vertAlign w:val="superscript"/>
              </w:rPr>
              <w:t>(1)</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954,743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406,948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437,471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320,767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1,155,280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1,301,532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1,128,260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1,289,218</w:t>
            </w:r>
          </w:p>
        </w:tc>
        <w:tc>
          <w:tcPr>
            <w:tcW w:w="0" w:type="dxa"/>
            <w:vAlign w:val="bottom"/>
          </w:tcPr>
          <w:p>
            <w:pPr>
              <w:spacing w:after="0"/>
              <w:rPr>
                <w:sz w:val="1"/>
                <w:szCs w:val="1"/>
                <w:color w:val="auto"/>
              </w:rPr>
            </w:pPr>
          </w:p>
        </w:tc>
      </w:tr>
      <w:tr>
        <w:trPr>
          <w:trHeight w:val="189"/>
        </w:trPr>
        <w:tc>
          <w:tcPr>
            <w:tcW w:w="51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(749,521)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(259,884)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Non-interest bearing note payable, net</w:t>
            </w:r>
          </w:p>
        </w:tc>
        <w:tc>
          <w:tcPr>
            <w:tcW w:w="2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(1,005,105)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(1,057,534)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(1,156,472)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with the exception of other assets and convertible notes, has been determined using Level 3 inputs. Fair value of other assets and convertible notes that are financial instruments has been determined using Level 2 inputs.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At March 31, 2018</w:t>
            </w:r>
          </w:p>
        </w:tc>
        <w:tc>
          <w:tcPr>
            <w:tcW w:w="280" w:type="dxa"/>
            <w:vAlign w:val="bottom"/>
          </w:tcPr>
          <w:p>
            <w:pPr>
              <w:spacing w:after="0"/>
              <w:rPr>
                <w:sz w:val="18"/>
                <w:szCs w:val="18"/>
                <w:color w:val="auto"/>
              </w:rPr>
            </w:pPr>
          </w:p>
        </w:tc>
        <w:tc>
          <w:tcPr>
            <w:tcW w:w="2780" w:type="dxa"/>
            <w:vAlign w:val="bottom"/>
            <w:gridSpan w:val="4"/>
          </w:tcPr>
          <w:p>
            <w:pPr>
              <w:ind w:left="500"/>
              <w:spacing w:after="0"/>
              <w:rPr>
                <w:sz w:val="20"/>
                <w:szCs w:val="20"/>
                <w:color w:val="auto"/>
              </w:rPr>
            </w:pPr>
            <w:r>
              <w:rPr>
                <w:rFonts w:ascii="Arial" w:cs="Arial" w:eastAsia="Arial" w:hAnsi="Arial"/>
                <w:sz w:val="16"/>
                <w:szCs w:val="16"/>
                <w:b w:val="1"/>
                <w:bCs w:val="1"/>
                <w:color w:val="auto"/>
              </w:rPr>
              <w:t>At December 31, 2017</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Carrying</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20"/>
                <w:szCs w:val="20"/>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Eligible for securitization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249,743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280,266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500"/>
              <w:spacing w:after="0"/>
              <w:rPr>
                <w:sz w:val="20"/>
                <w:szCs w:val="20"/>
                <w:color w:val="auto"/>
              </w:rPr>
            </w:pPr>
            <w:r>
              <w:rPr>
                <w:rFonts w:ascii="Arial" w:cs="Arial" w:eastAsia="Arial" w:hAnsi="Arial"/>
                <w:sz w:val="18"/>
                <w:szCs w:val="18"/>
                <w:color w:val="auto"/>
              </w:rPr>
              <w:t>141,324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161,550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157,205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159,217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159,217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406,948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437,471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300,541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320,767</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estimate the fair value of our other assets that are financial instruments using Level 2 inputs. These assets consist of company owned insurance policies (the “COLI policies”), acquired on the lives of certain participants in the Marriott Vacations Worldwide Deferred Compensation Plan, that are held in a rabbi trust. The carrying value of the COLI policies is equal to their cash surrender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estimate the fair value of our Convertible Notes (as defined in Footnote 10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first quarter of 2018, we acquired 20 completed vacation ownership units located at our resort in Marco Island, Florida for $23.9 million. The transaction was accounted for as an asset acquisition with all of the purchase price allocated to Inventory. See Footnote 9 “Contingencies and Commitments” for information on our remaining commitment related to this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calculation of diluted earnings per share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March 31, 2018, there was no dilutive impact from the Convertible Notes for the first quarter of 2018.</w:t>
      </w:r>
    </w:p>
    <w:p>
      <w:pPr>
        <w:spacing w:after="0" w:line="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shares issuable on exercise of the Warrants (as defined in Footnote 10 “Debt”) sold in connection with the issuance of the Convertible Notes will not impact the total dilutive weighted average shares outstanding unless and until the price of our common stock exceeds the strike price, which was adjusted during the first quarter of 2018 to $176.55, as described in Footnote 10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10 “Debt”) purchased in connection with the issuance of the Convertible Notes are considered to be anti-dilutive and will not impact our calculation of diluted earnings per share.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40" w:type="dxa"/>
            <w:vAlign w:val="bottom"/>
            <w:gridSpan w:val="4"/>
          </w:tcPr>
          <w:p>
            <w:pPr>
              <w:jc w:val="right"/>
              <w:ind w:right="13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00" w:type="dxa"/>
            <w:vAlign w:val="bottom"/>
          </w:tcPr>
          <w:p>
            <w:pPr>
              <w:spacing w:after="0"/>
              <w:rPr>
                <w:sz w:val="22"/>
                <w:szCs w:val="22"/>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2018</w:t>
            </w:r>
            <w:r>
              <w:rPr>
                <w:rFonts w:ascii="Arial" w:cs="Arial" w:eastAsia="Arial" w:hAnsi="Arial"/>
                <w:sz w:val="17"/>
                <w:szCs w:val="17"/>
                <w:b w:val="1"/>
                <w:bCs w:val="1"/>
                <w:color w:val="auto"/>
                <w:vertAlign w:val="superscript"/>
              </w:rPr>
              <w:t>(1)</w:t>
            </w:r>
          </w:p>
        </w:tc>
        <w:tc>
          <w:tcPr>
            <w:tcW w:w="300" w:type="dxa"/>
            <w:vAlign w:val="bottom"/>
          </w:tcPr>
          <w:p>
            <w:pPr>
              <w:spacing w:after="0"/>
              <w:rPr>
                <w:sz w:val="22"/>
                <w:szCs w:val="22"/>
                <w:color w:val="auto"/>
              </w:rPr>
            </w:pPr>
          </w:p>
        </w:tc>
        <w:tc>
          <w:tcPr>
            <w:tcW w:w="1860" w:type="dxa"/>
            <w:vAlign w:val="bottom"/>
          </w:tcPr>
          <w:p>
            <w:pPr>
              <w:jc w:val="right"/>
              <w:ind w:right="411"/>
              <w:spacing w:after="0"/>
              <w:rPr>
                <w:sz w:val="20"/>
                <w:szCs w:val="20"/>
                <w:color w:val="auto"/>
              </w:rPr>
            </w:pPr>
            <w:r>
              <w:rPr>
                <w:rFonts w:ascii="Arial" w:cs="Arial" w:eastAsia="Arial" w:hAnsi="Arial"/>
                <w:sz w:val="16"/>
                <w:szCs w:val="16"/>
                <w:b w:val="1"/>
                <w:bCs w:val="1"/>
                <w:color w:val="auto"/>
              </w:rPr>
              <w:t>March 31, 2017</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5"/>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27,251</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Diluted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35,981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 and SARs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21"/>
                <w:szCs w:val="21"/>
                <w:color w:val="auto"/>
              </w:rPr>
            </w:pP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earnings per share</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27,900</w:t>
            </w:r>
          </w:p>
        </w:tc>
        <w:tc>
          <w:tcPr>
            <w:tcW w:w="0" w:type="dxa"/>
            <w:vAlign w:val="bottom"/>
          </w:tcPr>
          <w:p>
            <w:pPr>
              <w:spacing w:after="0"/>
              <w:rPr>
                <w:sz w:val="1"/>
                <w:szCs w:val="1"/>
                <w:color w:val="auto"/>
              </w:rPr>
            </w:pPr>
          </w:p>
        </w:tc>
      </w:tr>
      <w:tr>
        <w:trPr>
          <w:trHeight w:val="257"/>
        </w:trPr>
        <w:tc>
          <w:tcPr>
            <w:tcW w:w="698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60" w:hanging="652"/>
        <w:spacing w:after="0" w:line="262" w:lineRule="auto"/>
        <w:tabs>
          <w:tab w:leader="none" w:pos="6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computations of diluted earnings per share exclude approximately 307,000 and 312,000 shares of common stock, the maximum number of shares issuable as of March 31, 2018 and March 31, 2017, respectively, upon the vesting of certain performance-based awards, because the performance conditions required to be met for the shares subject to such awards to vest were not achieved by the end of the reporting period.</w:t>
      </w:r>
    </w:p>
    <w:p>
      <w:pPr>
        <w:spacing w:after="0" w:line="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accordance with the applicable accounting guidance for calculating earnings per share, for the first quarter of 2018, we excluded from our calculation of diluted earnings per share 56,649 shares underlying stock appreciation rights (“SARs”) that may be settled in shares of common stock because the exercise price of $143.38 of such SARs was greater than the average market price for the applicable period.</w:t>
      </w:r>
    </w:p>
    <w:p>
      <w:pPr>
        <w:spacing w:after="0" w:line="7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For the first quarter of 2017, we excluded from our calculation of diluted earnings per share 81,977 shares underlying SARs that may be settled in shares of common stock because the exercise price of $97.53 of such SARs was greater than the average market price for the applicable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March 31,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371,505</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391,040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2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8"/>
                <w:szCs w:val="18"/>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350,368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Real estate inventory</w:t>
            </w:r>
          </w:p>
        </w:tc>
        <w:tc>
          <w:tcPr>
            <w:tcW w:w="32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721,873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723,357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726,969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728,379</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$60.5 million of inventory related to estimated future foreclosures at March 31, 2018.</w:t>
      </w:r>
    </w:p>
    <w:p>
      <w:pPr>
        <w:spacing w:after="0" w:line="9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decreased carrying values of inventory by $0.8 million and $0.9 million during the first quarter of 2018 and the first quarter of 2017, respectively.</w:t>
      </w:r>
    </w:p>
    <w:p>
      <w:pPr>
        <w:spacing w:after="0" w:line="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addition to the above, at March 31, 2018, we had $48.5 million of completed vacation ownership units which have been classified as a component of Property and equipment until the time at which they are legally registered for sale as vacation ownership products. Furthermore, at March 31, 2018, we also had $454.9 million of commitments to acquire completed vacation ownership units as discussed below in Footnote 9 “Contingencies and Commitments.”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we had the following commitments outstanding:</w:t>
      </w:r>
    </w:p>
    <w:p>
      <w:pPr>
        <w:spacing w:after="0" w:line="117" w:lineRule="exact"/>
        <w:rPr>
          <w:sz w:val="20"/>
          <w:szCs w:val="20"/>
          <w:color w:val="auto"/>
        </w:rPr>
      </w:pPr>
    </w:p>
    <w:p>
      <w:pPr>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$27.0 million, of which we expect $9.8 million, $9.6 million, $5.2 million, $0.9 million, $0.8 million and $0.7 million will be paid in 2018, 2019, 2020, 2021, 2022 and thereafter, respectively.</w:t>
      </w:r>
    </w:p>
    <w:p>
      <w:pPr>
        <w:spacing w:after="0" w:line="73"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$170.2 million, of which $7.2 million is attributed to a related capital lease arrangement and recorded in Debt. We expect to acquire the units in the property in their current form, over time, and we are committed to make payments for these units of $108.5 million and $61.7 million in 2019 and 2020, respectively. We currently manage this property, which we have rebranded as Marriott Vacation Club Pulse, New York City. See Footnote 13 “Variable Interest Entities” for additional information on this transaction and our activities relating to the variable interest entity involved in this transaction.</w:t>
      </w:r>
    </w:p>
    <w:p>
      <w:pPr>
        <w:spacing w:after="0" w:line="50" w:lineRule="exact"/>
        <w:rPr>
          <w:rFonts w:ascii="Arial" w:cs="Arial" w:eastAsia="Arial" w:hAnsi="Arial"/>
          <w:sz w:val="16"/>
          <w:szCs w:val="16"/>
          <w:color w:val="auto"/>
        </w:rPr>
      </w:pPr>
    </w:p>
    <w:p>
      <w:pPr>
        <w:ind w:left="980" w:right="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Asia Pacific segment, contingent upon completion of construction to agreed-upon standards within specified timeframes. We expect to complete the acquisition in 2019 and to make payments with respect to these units when specific construction milestones are completed, as follows: $3.9 million in 2018, $30.9 million in 2019 and $1.9 million in 2020.</w:t>
      </w:r>
    </w:p>
    <w:p>
      <w:pPr>
        <w:spacing w:after="0" w:line="78"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remaining commitment to purchase vacation ownership units located at our resort in Marco Island, Florida for $84.5 million, which we expect will be paid in 2019. See Footnote 6 “Acquisitions and Dispositions” and Footnote 13 “Variable Interest Entities” for additional information on this transaction and our activities relating to the variable interest entity involved in this transaction.</w:t>
      </w:r>
    </w:p>
    <w:p>
      <w:pPr>
        <w:spacing w:after="0" w:line="57" w:lineRule="exact"/>
        <w:rPr>
          <w:rFonts w:ascii="Arial" w:cs="Arial" w:eastAsia="Arial" w:hAnsi="Arial"/>
          <w:sz w:val="17"/>
          <w:szCs w:val="17"/>
          <w:color w:val="auto"/>
        </w:rPr>
      </w:pPr>
    </w:p>
    <w:p>
      <w:pPr>
        <w:ind w:left="980" w:right="180" w:hanging="324"/>
        <w:spacing w:after="0" w:line="27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first quarter of 2018, we assigned a commitment to purchase an operating property located in San Francisco, California to a third-party developer in a capital efficient inventory arrangement. We expect to acquire the operating property in 2020 and to pay the purchase price of $163.5 million as follows: $100.0 million in 2020 and $63.5 million in 2021. See Footnote 13 “Variable Interest Entities” for additional information on this transaction and our activities relating to the variable interest entity involved in this transaction.</w:t>
      </w:r>
    </w:p>
    <w:p>
      <w:pPr>
        <w:spacing w:after="0" w:line="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Surety bonds issued as of March 31, 2018 totaled $34.5 million, the majority of which were requested by federal, state or local governments in connection with our operations.</w:t>
      </w:r>
    </w:p>
    <w:p>
      <w:pPr>
        <w:spacing w:after="0" w:line="6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Additionally, as of March 31, 2018, we had $5.9 million of letters of credit outstanding under our $250.0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Trial is scheduled for September 2018. We dispute the material allegations in the amended complaint and continue to defend against the action vigorously. Given the inherent uncertainties of litigation, we cannot estimate a range of the potential liability, if any, at this time.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ind w:right="40" w:firstLine="648"/>
        <w:spacing w:after="0" w:line="288"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set the case for trial beginning in January 2019. We dispute the material allegations in the amended complaint and continue to defend against the action vigorously. Given the inherent uncertainties of litigation, we cannot estimate a range of the potential liability, if any, at this time.</w:t>
      </w:r>
    </w:p>
    <w:p>
      <w:pPr>
        <w:spacing w:after="0" w:line="6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May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in April 2016. We filed a motion to dismiss, which the Court granted in part and denied in part in September 2017. The Court also granted leave to plaintiffs to file a second amended complaint, which plaintiffs filed in October 2017. In November 2017, we filed a motion to dismiss the second amended complaint. In February 2018, the Court granted our motion to dismiss in part and dismissed with prejudice plaintiffs’ claims regarding the existence of a fiduciary duty and breach of that duty. The Court also dismissed plaintiffs’ fraud claims; plaintiffs were permitted to reassert those claims but did not do so. Trial is scheduled for September 2018. We dispute the plaintiffs’ material allegations and continue to defend against the action vigorously. Given the inherent uncertainties of litigation, we cannot estimate a range of the potential liability, if any, at this time.</w:t>
      </w:r>
    </w:p>
    <w:p>
      <w:pPr>
        <w:spacing w:after="0" w:line="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March 2017, RCHFU, L.L.C. and other owners of 232 fractional interests at The Ritz-Carlton Club, Aspen Highlands (“RCC Aspen Highlands”) served an amended complaint in an action pending in the court against us, certain of our subsidiaries, and other third party defendants. The U.S. District Court for the District of Colorado has ordered that no further amendments will be permitted.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the Court granted in part and denied in part in March 2018. In February 2018, plaintiffs filed a motion seeking to add a claim for punitive damages to their complaint. We opposed the motion. The motion remains pending. We dispute the plaintiffs’ material allegations and continue to defend against the action vigorously. Given the inherent uncertainties of litigation, we cannot estimate a range of the potential liability, if any, at this time.</w:t>
      </w:r>
    </w:p>
    <w:p>
      <w:pPr>
        <w:spacing w:after="0" w:line="5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In September 2016, we filed a motion to dismiss the complaint and a motion to stay the case pending referral of certain questions to Florida state regulators, and the Court granted the motion to dismiss and denied the motion to stay. The Court granted leave to plaintiffs to file an amended complaint, which plaintiffs filed in October 2017. In November 2017, we filed a motion to dismiss the amended complaint, which remains pending.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2018</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At December 31, 2017</w:t>
            </w:r>
          </w:p>
        </w:tc>
        <w:tc>
          <w:tcPr>
            <w:tcW w:w="0" w:type="dxa"/>
            <w:vAlign w:val="bottom"/>
          </w:tcPr>
          <w:p>
            <w:pPr>
              <w:spacing w:after="0"/>
              <w:rPr>
                <w:sz w:val="1"/>
                <w:szCs w:val="1"/>
                <w:color w:val="auto"/>
              </w:rPr>
            </w:pP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758,791</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845,131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834,889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gross</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192,518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63,558</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discount</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gross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1,012,350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1,095,213</w:t>
            </w:r>
          </w:p>
        </w:tc>
        <w:tc>
          <w:tcPr>
            <w:tcW w:w="0" w:type="dxa"/>
            <w:vAlign w:val="bottom"/>
          </w:tcPr>
          <w:p>
            <w:pPr>
              <w:spacing w:after="0"/>
              <w:rPr>
                <w:sz w:val="1"/>
                <w:szCs w:val="1"/>
                <w:color w:val="auto"/>
              </w:rPr>
            </w:pPr>
          </w:p>
        </w:tc>
      </w:tr>
      <w:tr>
        <w:trPr>
          <w:trHeight w:val="27"/>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Interest rates as of March 31, 2018 range from 2.2% to 6.3% with a weighted average interest rate of 2.4%.</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March 31, 2018 was 4.7%.</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Debt discount based on imputed interest rate of 6.0%.</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Footnote 13 “Variable Interest Entities” for a discussion of the collateral for the non-recourse debt associated with the securitized vacation ownership notes receivable and our non-recourse warehouse credit facility (the “Warehouse Credit Facility”).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March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Vacation Ownership</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Non-Interest</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Notes Receivable</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Bearing Note</w:t>
            </w:r>
          </w:p>
        </w:tc>
        <w:tc>
          <w:tcPr>
            <w:tcW w:w="980" w:type="dxa"/>
            <w:vAlign w:val="bottom"/>
          </w:tcPr>
          <w:p>
            <w:pPr>
              <w:jc w:val="right"/>
              <w:ind w:right="14"/>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Capital</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1"/>
                <w:szCs w:val="21"/>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Securitizations</w:t>
            </w:r>
            <w:r>
              <w:rPr>
                <w:rFonts w:ascii="Arial" w:cs="Arial" w:eastAsia="Arial" w:hAnsi="Arial"/>
                <w:sz w:val="17"/>
                <w:szCs w:val="17"/>
                <w:b w:val="1"/>
                <w:bCs w:val="1"/>
                <w:color w:val="auto"/>
                <w:w w:val="87"/>
                <w:vertAlign w:val="superscript"/>
              </w:rPr>
              <w:t>(1)</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Convertible Notes</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Payable</w:t>
            </w:r>
          </w:p>
        </w:tc>
        <w:tc>
          <w:tcPr>
            <w:tcW w:w="980" w:type="dxa"/>
            <w:vAlign w:val="bottom"/>
          </w:tcPr>
          <w:p>
            <w:pPr>
              <w:jc w:val="right"/>
              <w:ind w:right="54"/>
              <w:spacing w:after="0"/>
              <w:rPr>
                <w:sz w:val="20"/>
                <w:szCs w:val="20"/>
                <w:color w:val="auto"/>
              </w:rPr>
            </w:pPr>
            <w:r>
              <w:rPr>
                <w:rFonts w:ascii="Arial" w:cs="Arial" w:eastAsia="Arial" w:hAnsi="Arial"/>
                <w:sz w:val="16"/>
                <w:szCs w:val="16"/>
                <w:b w:val="1"/>
                <w:bCs w:val="1"/>
                <w:color w:val="auto"/>
              </w:rPr>
              <w:t>Debt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Leases</w:t>
            </w:r>
          </w:p>
        </w:tc>
        <w:tc>
          <w:tcPr>
            <w:tcW w:w="300" w:type="dxa"/>
            <w:vAlign w:val="bottom"/>
          </w:tcPr>
          <w:p>
            <w:pPr>
              <w:spacing w:after="0"/>
              <w:rPr>
                <w:sz w:val="21"/>
                <w:szCs w:val="21"/>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Principal Payments Year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2018, remaining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32,680</w:t>
            </w:r>
          </w:p>
        </w:tc>
        <w:tc>
          <w:tcPr>
            <w:tcW w:w="120" w:type="dxa"/>
            <w:vAlign w:val="bottom"/>
          </w:tcPr>
          <w:p>
            <w:pPr>
              <w:spacing w:after="0"/>
              <w:rPr>
                <w:sz w:val="21"/>
                <w:szCs w:val="21"/>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94,408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30,878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119,030</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85,333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85,333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88,191</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87,300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317,300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355,308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355,335</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758,791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63,558</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1,059,597</w:t>
            </w: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w w:val="82"/>
              </w:rPr>
              <w:t>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debt associated with our vacation ownership notes receivable securitizations is non-recourse to us.</w:t>
      </w:r>
    </w:p>
    <w:p>
      <w:pPr>
        <w:spacing w:after="0" w:line="99" w:lineRule="exact"/>
        <w:rPr>
          <w:sz w:val="20"/>
          <w:szCs w:val="20"/>
          <w:color w:val="auto"/>
        </w:rPr>
      </w:pPr>
    </w:p>
    <w:p>
      <w:pPr>
        <w:jc w:val="both"/>
        <w:ind w:right="640" w:firstLine="648"/>
        <w:spacing w:after="0" w:line="336"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cash for interest, net of amounts capitalized, of $7.3 million and $4.8 million in the 2018 first quarter and the 2017 first quarter,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2018 first quarter, and as of March 31, 2018, no securitized vacation ownership notes receivable pools were out of compliance with their respective established parameters. As of March 31, 2018, we had 7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third quarter of 2017, we issued $230.0 million aggregate principal amount of 1.50% Convertible Senior Notes due 2022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The Convertible Notes were convertible at an initial rate of 6.7482 shares of common stock per $1,000 principal amount of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(equivalent to an initial conversion price of approximately $148.19 per share of our common stock). The conversion rate is subject to adjustment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events as described in the indenture governing the notes and was adjusted during the first quarter of 2018 to 6.7532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Notes (equivalent to a conversion price of approximately $148.08 per share of our common stock) when we declared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quarterly dividend of $0.40 per share, which was greater than the quarterly dividend at the time of the issuance of the Convertible Notes. Upon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pay or deliver, as the case may be, cash, shares of our common stock or a combination of cash and shares of our common stock, at our election.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intent to settle conversions of the Convertible Notes through combination settlement, which contemplates repayment in cash of the principal amount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repayment in shares of our common stock of any excess of the conversion value over the principal amount.</w:t>
      </w:r>
    </w:p>
    <w:p>
      <w:pPr>
        <w:spacing w:after="0" w:line="10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Holders may convert their Convertible Notes prior to June 15, 2022 only under certain circumstances. We may not redeem the Convertible Notes prior to their maturity date. If we undergo a fundamental change, as described in the indenture, subject to certain conditions, holders may require us to repurchase for cash all or any portion of their Convertible Notes, at a repurchase price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accounting for the issuance of the Convertible Notes, we separated the Convertible Notes into liability and equity components and allocated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$196.8 million to the liability component and $33.2 million to the equity component. The resulting debt discount is amortized as interest expense.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issuance costs of $7.3 million related to the Convertible Notes. As of March 31, 2018, the remaining discount amortization period was 4.5 years.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At March 31, 2018</w:t>
            </w:r>
          </w:p>
        </w:tc>
        <w:tc>
          <w:tcPr>
            <w:tcW w:w="200" w:type="dxa"/>
            <w:vAlign w:val="bottom"/>
          </w:tcPr>
          <w:p>
            <w:pPr>
              <w:spacing w:after="0"/>
              <w:rPr>
                <w:sz w:val="20"/>
                <w:szCs w:val="20"/>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2017</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194,147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192,518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32,573</w:t>
            </w:r>
          </w:p>
        </w:tc>
        <w:tc>
          <w:tcPr>
            <w:tcW w:w="0" w:type="dxa"/>
            <w:vAlign w:val="bottom"/>
          </w:tcPr>
          <w:p>
            <w:pPr>
              <w:spacing w:after="0"/>
              <w:rPr>
                <w:sz w:val="1"/>
                <w:szCs w:val="1"/>
                <w:color w:val="auto"/>
              </w:rPr>
            </w:pPr>
          </w:p>
        </w:tc>
      </w:tr>
      <w:tr>
        <w:trPr>
          <w:trHeight w:val="432"/>
        </w:trPr>
        <w:tc>
          <w:tcPr>
            <w:tcW w:w="7200" w:type="dxa"/>
            <w:vAlign w:val="bottom"/>
          </w:tcPr>
          <w:p>
            <w:pPr>
              <w:ind w:left="660"/>
              <w:spacing w:after="0"/>
              <w:rPr>
                <w:sz w:val="20"/>
                <w:szCs w:val="20"/>
                <w:color w:val="auto"/>
              </w:rPr>
            </w:pPr>
            <w:r>
              <w:rPr>
                <w:rFonts w:ascii="Arial" w:cs="Arial" w:eastAsia="Arial" w:hAnsi="Arial"/>
                <w:sz w:val="18"/>
                <w:szCs w:val="18"/>
                <w:color w:val="auto"/>
                <w:w w:val="93"/>
              </w:rPr>
              <w:t>The following table shows interest expense information related to the Convertible Notes:</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gridSpan w:val="4"/>
          </w:tcPr>
          <w:p>
            <w:pPr>
              <w:jc w:val="right"/>
              <w:ind w:right="127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1"/>
                <w:szCs w:val="21"/>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March 31, 2018</w:t>
            </w:r>
          </w:p>
        </w:tc>
        <w:tc>
          <w:tcPr>
            <w:tcW w:w="200" w:type="dxa"/>
            <w:vAlign w:val="bottom"/>
          </w:tcPr>
          <w:p>
            <w:pPr>
              <w:spacing w:after="0"/>
              <w:rPr>
                <w:sz w:val="21"/>
                <w:szCs w:val="21"/>
                <w:color w:val="auto"/>
              </w:rPr>
            </w:pPr>
          </w:p>
        </w:tc>
        <w:tc>
          <w:tcPr>
            <w:tcW w:w="1860" w:type="dxa"/>
            <w:vAlign w:val="bottom"/>
          </w:tcPr>
          <w:p>
            <w:pPr>
              <w:jc w:val="right"/>
              <w:ind w:right="392"/>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562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connection with the offering of the Convertible Notes, we entered into privately-negotiated convertible note hedge transactions with respect to our common stock (“Convertible Note Hedges”), covering a total of approximately 1.55 million shares of our common stock. The Convertible Note Hedges have a strike price that initially corresponds to the initial conversion price of the Convertible Notes, are subject to anti-dilution provisions substantially similar to those of the Convertible Notes, are exercisable by us upon any conversion under the Convertible Notes, and expire when the Convertible Notes mature.</w:t>
      </w:r>
    </w:p>
    <w:p>
      <w:pPr>
        <w:spacing w:after="0" w:line="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 1.55 million shares of our common stock at an initial strike price of $176.68 per share, which was adjusted during the first quarter of 2018 to $176.55 per share when we declared a quarterly dividend of $0.40 per share, which was greater than the quarterly dividend at the time of the issuance of the Convertible Notes.</w:t>
      </w:r>
    </w:p>
    <w:p>
      <w:pPr>
        <w:spacing w:after="0" w:line="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initial conversion price from $148.19 (or a conversion premium of 30 percent) to $176.68 per share (or a conversion premium of 55 percent). The Warrants will expire in ratable portions on a series of expiration dates commencing on December 15, 2022.</w:t>
      </w:r>
    </w:p>
    <w:p>
      <w:pPr>
        <w:spacing w:after="0" w:line="8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March 31, 2018, no Convertible Note Hedges or Warrants have been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Revolving Corporate Credit Facility, which terminates on August 16, 2022, has a borrowing capacity of $250.0 million, including a letter of credit sub-facility of $30.0 million, and provides support for our business, including ongoing liquidity and letters of credit. Borrowings under this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6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No cash borrowings were outstanding as of March 31, 2018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March 31, 2018, we were in compliance with the applicable financial and operating covenants under the Revolving Corporate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Warehouse Credit Facility, which has a borrowing capacity of $250.0 million, allows for the securitization of vacation ownership notes receivable on a non-recourse basis. During the first quarter of 2018, we amended certain agreements associated with this facility, and as a result, the revolving period was extended to March 13, 2020, certain unused facility fees were reduced and a reserve option was added to provide flexibility in complying with hedging requirements of the facility. The other terms of the Warehouse Credit Facility are substantially similar to those in effect prior to the execution of the amendment. If the Warehouse Credit Facility is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March 31, 2018,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3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March 31, 2018, there were 36,976,481 shares of Marriott Vacations Worldwide common stock issued, of which 26,564,521 shares were outstanding and 10,411,960 shares were held as treasury stock. At December 31, 2017, there were 36,861,843 shares of Marriott Vacations Worldwide common stock issued, of which 26,461,296 shares were outstanding and 10,400,547 shares were held as treasury stock. Marriott Vacations Worldwide has 2,000,000 authorized shares of preferred stock, par value of $0.01 per share, none of which were issued or outstanding as of March 31, 2018 or December 31, 2017.</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changes in shareholders’ equity during the quarter ended March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260" w:type="dxa"/>
            <w:vAlign w:val="bottom"/>
          </w:tcPr>
          <w:p>
            <w:pPr>
              <w:spacing w:after="0"/>
              <w:rPr>
                <w:sz w:val="17"/>
                <w:szCs w:val="17"/>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37"/>
        </w:trPr>
        <w:tc>
          <w:tcPr>
            <w:tcW w:w="3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6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Equity</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1,040,815</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35,981</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6,225</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Derivative instrument adjustment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Amounts related to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Employee stock plan issuance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326</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1,184,106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554,709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1,066,230</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For the first quarter of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698,626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1, 2017, our Board of Directors authorized the repurchase of up to 1.0 million additional shares of our common stock under our existing share repurchase program and extended the duration of the program through May 31, 2018. As of March 31, 2018, our Board of Directors had authorized the repurchase of an aggregate of up to 11.9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of March 31, 2018, 1.4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quarter of 2018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16, 2018</w:t>
            </w:r>
          </w:p>
        </w:tc>
        <w:tc>
          <w:tcPr>
            <w:tcW w:w="2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15, 2018</w:t>
            </w:r>
          </w:p>
        </w:tc>
        <w:tc>
          <w:tcPr>
            <w:tcW w:w="27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$0.40</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maintain the Marriott Vacations Worldwide Corporation Stock and Cash Incentive Plan (the “Stock Plan”) for the benefit of our officers, directors and employees. Under the Stock Plan, we award: (1) restricted stock units (“RSUs”) of our common stock, (2) SARs relating to our common stock and (3) stock options to purchase our common stock. A total of 6 million shares are authorized for issuance pursuant to grants under the Stock Plan. As of March 31, 2018, 1.3 million shares were available for grants under the Stock Plan.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851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SARs</w:t>
            </w: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3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March 31,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4,752</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SARs</w:t>
            </w:r>
          </w:p>
        </w:tc>
        <w:tc>
          <w:tcPr>
            <w:tcW w:w="3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14,669</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granted 81,431 service based RSUs, which are subject to time-based vesting conditions, with a weighted average grant-date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$139.46, to our employees and non-employee directors during the first quarter of 2018. During the first quarter of 2018, we also granted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RSUs, which are subject to performance-based vesting conditions, to members of management. A maximum of 72,000 RSUs may be earned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RSU awards granted during the first quarter of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We granted 56,649 SARs, with a weighted average grant-date fair value of $44.75 and a weighted average exercise price of $143.38, to members of management during the first quarter of 2018.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quarter of 2018:</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1"/>
              </w:rPr>
              <w:t>30.78%</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680" w:type="dxa"/>
            <w:vAlign w:val="bottom"/>
          </w:tcPr>
          <w:p>
            <w:pPr>
              <w:jc w:val="center"/>
              <w:ind w:left="1610"/>
              <w:spacing w:after="0"/>
              <w:rPr>
                <w:sz w:val="20"/>
                <w:szCs w:val="20"/>
                <w:color w:val="auto"/>
              </w:rPr>
            </w:pPr>
            <w:r>
              <w:rPr>
                <w:rFonts w:ascii="Arial" w:cs="Arial" w:eastAsia="Arial" w:hAnsi="Arial"/>
                <w:sz w:val="18"/>
                <w:szCs w:val="18"/>
                <w:color w:val="auto"/>
                <w:w w:val="90"/>
              </w:rPr>
              <w:t>1.11%</w:t>
            </w:r>
          </w:p>
        </w:tc>
      </w:tr>
      <w:tr>
        <w:trPr>
          <w:trHeight w:val="27"/>
        </w:trPr>
        <w:tc>
          <w:tcPr>
            <w:tcW w:w="23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368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0"/>
              </w:rPr>
              <w:t>2.68%</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680" w:type="dxa"/>
            <w:vAlign w:val="bottom"/>
          </w:tcPr>
          <w:p>
            <w:pPr>
              <w:jc w:val="center"/>
              <w:ind w:left="1590"/>
              <w:spacing w:after="0"/>
              <w:rPr>
                <w:sz w:val="20"/>
                <w:szCs w:val="20"/>
                <w:color w:val="auto"/>
              </w:rPr>
            </w:pPr>
            <w:r>
              <w:rPr>
                <w:rFonts w:ascii="Arial" w:cs="Arial" w:eastAsia="Arial" w:hAnsi="Arial"/>
                <w:sz w:val="18"/>
                <w:szCs w:val="18"/>
                <w:color w:val="auto"/>
                <w:w w:val="91"/>
              </w:rPr>
              <w:t>6.25</w:t>
            </w:r>
          </w:p>
        </w:tc>
      </w:tr>
      <w:tr>
        <w:trPr>
          <w:trHeight w:val="702"/>
        </w:trPr>
        <w:tc>
          <w:tcPr>
            <w:tcW w:w="2360" w:type="dxa"/>
            <w:vAlign w:val="bottom"/>
          </w:tcPr>
          <w:p>
            <w:pPr>
              <w:spacing w:after="0"/>
              <w:rPr>
                <w:sz w:val="24"/>
                <w:szCs w:val="24"/>
                <w:color w:val="auto"/>
              </w:rPr>
            </w:pPr>
          </w:p>
        </w:tc>
        <w:tc>
          <w:tcPr>
            <w:tcW w:w="3680" w:type="dxa"/>
            <w:vAlign w:val="bottom"/>
          </w:tcPr>
          <w:p>
            <w:pPr>
              <w:jc w:val="right"/>
              <w:ind w:right="285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March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 Facility</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725,835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725,835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34,987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34,987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765,638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765,638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758,791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758,791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759,361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759,407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quarter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1"/>
              </w:rPr>
              <w:t>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5,392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48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gridSpan w:val="7"/>
          </w:tcPr>
          <w:p>
            <w:pPr>
              <w:ind w:left="126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2"/>
                <w:szCs w:val="22"/>
                <w:color w:val="auto"/>
              </w:rPr>
            </w:pPr>
          </w:p>
        </w:tc>
        <w:tc>
          <w:tcPr>
            <w:tcW w:w="2040" w:type="dxa"/>
            <w:vAlign w:val="bottom"/>
            <w:gridSpan w:val="4"/>
          </w:tcPr>
          <w:p>
            <w:pPr>
              <w:ind w:left="260"/>
              <w:spacing w:after="0"/>
              <w:rPr>
                <w:sz w:val="20"/>
                <w:szCs w:val="20"/>
                <w:color w:val="auto"/>
              </w:rPr>
            </w:pPr>
            <w:r>
              <w:rPr>
                <w:rFonts w:ascii="Arial" w:cs="Arial" w:eastAsia="Arial" w:hAnsi="Arial"/>
                <w:sz w:val="16"/>
                <w:szCs w:val="16"/>
                <w:b w:val="1"/>
                <w:bCs w:val="1"/>
                <w:color w:val="auto"/>
              </w:rPr>
              <w:t>March 31, 2018</w:t>
            </w:r>
          </w:p>
        </w:tc>
        <w:tc>
          <w:tcPr>
            <w:tcW w:w="340" w:type="dxa"/>
            <w:vAlign w:val="bottom"/>
          </w:tcPr>
          <w:p>
            <w:pPr>
              <w:spacing w:after="0"/>
              <w:rPr>
                <w:sz w:val="22"/>
                <w:szCs w:val="22"/>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Principal receipts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65,692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55,854</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receipts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Reserve release</w:t>
            </w:r>
          </w:p>
        </w:tc>
        <w:tc>
          <w:tcPr>
            <w:tcW w:w="3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Outflows</w:t>
            </w:r>
          </w:p>
        </w:tc>
        <w:tc>
          <w:tcPr>
            <w:tcW w:w="3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Principal to investors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Voluntary clean-up call</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Interest to investors</w:t>
            </w: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(4,472)</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Flows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20,888</w:t>
            </w:r>
          </w:p>
        </w:tc>
        <w:tc>
          <w:tcPr>
            <w:tcW w:w="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9"/>
        </w:trPr>
        <w:tc>
          <w:tcPr>
            <w:tcW w:w="9140" w:type="dxa"/>
            <w:vAlign w:val="bottom"/>
            <w:gridSpan w:val="7"/>
          </w:tcPr>
          <w:p>
            <w:pPr>
              <w:ind w:left="660"/>
              <w:spacing w:after="0"/>
              <w:rPr>
                <w:sz w:val="20"/>
                <w:szCs w:val="20"/>
                <w:color w:val="auto"/>
              </w:rPr>
            </w:pPr>
            <w:r>
              <w:rPr>
                <w:rFonts w:ascii="Arial" w:cs="Arial" w:eastAsia="Arial" w:hAnsi="Arial"/>
                <w:sz w:val="18"/>
                <w:szCs w:val="18"/>
                <w:color w:val="auto"/>
                <w:w w:val="99"/>
              </w:rPr>
              <w:t>The following table shows cash flows between us and the Warehouse Credit Facility variable interest entity:</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7"/>
          </w:tcPr>
          <w:p>
            <w:pPr>
              <w:ind w:left="124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2"/>
                <w:szCs w:val="22"/>
                <w:color w:val="auto"/>
              </w:rPr>
            </w:pPr>
          </w:p>
        </w:tc>
        <w:tc>
          <w:tcPr>
            <w:tcW w:w="2040" w:type="dxa"/>
            <w:vAlign w:val="bottom"/>
            <w:gridSpan w:val="4"/>
          </w:tcPr>
          <w:p>
            <w:pPr>
              <w:ind w:left="240"/>
              <w:spacing w:after="0"/>
              <w:rPr>
                <w:sz w:val="20"/>
                <w:szCs w:val="20"/>
                <w:color w:val="auto"/>
              </w:rPr>
            </w:pPr>
            <w:r>
              <w:rPr>
                <w:rFonts w:ascii="Arial" w:cs="Arial" w:eastAsia="Arial" w:hAnsi="Arial"/>
                <w:sz w:val="16"/>
                <w:szCs w:val="16"/>
                <w:b w:val="1"/>
                <w:bCs w:val="1"/>
                <w:color w:val="auto"/>
              </w:rPr>
              <w:t>March 31, 2018</w:t>
            </w:r>
          </w:p>
        </w:tc>
        <w:tc>
          <w:tcPr>
            <w:tcW w:w="340" w:type="dxa"/>
            <w:vAlign w:val="bottom"/>
          </w:tcPr>
          <w:p>
            <w:pPr>
              <w:spacing w:after="0"/>
              <w:rPr>
                <w:sz w:val="22"/>
                <w:szCs w:val="22"/>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2017</w:t>
            </w:r>
          </w:p>
        </w:tc>
      </w:tr>
      <w:tr>
        <w:trPr>
          <w:trHeight w:val="27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9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9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Interest to investors</w:t>
            </w: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 commitment to purchase an operating property located in San Francisco, California. Refer to Footnote 9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March 31, 2018, our Balance Sheet reflected a note receivable of $0.5 million from this variable interest entity, included in the Accounts receivable line. We believe that our maximum exposure to loss as a result of our involvement with this variable interest entity is less than $1.0 million as of March 31, 2018.</w:t>
      </w:r>
    </w:p>
    <w:p>
      <w:pPr>
        <w:spacing w:after="0" w:line="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a commitment to purchase an operating property located in New York, New York, that we currently manage as Marriott Vacation Club Pulse, New York City. Refer to Footnote 9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March 31, 2018, our Balance Sheet reflected $8.2 million in Property and equipment related to a capital lease and leasehold improvements and $7.2 million in Debt related to the capital lease liability for ancillary and operations space we lease from the variable interest entity. In addition, a note receivable of $0.5 million is included in the Accounts receivable line on the Balance Sheet as of March 31, 2018. We believe that our maximum exposure to loss as a result of our involvement with this variable interest entity is less than $1.0 million as of March 31,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firstLine="648"/>
        <w:spacing w:after="0" w:line="269" w:lineRule="auto"/>
        <w:rPr>
          <w:sz w:val="20"/>
          <w:szCs w:val="20"/>
          <w:color w:val="auto"/>
        </w:rPr>
      </w:pPr>
      <w:r>
        <w:rPr>
          <w:rFonts w:ascii="Arial" w:cs="Arial" w:eastAsia="Arial" w:hAnsi="Arial"/>
          <w:sz w:val="17"/>
          <w:szCs w:val="17"/>
          <w:color w:val="auto"/>
        </w:rPr>
        <w:t>Pursuant to a commitment to repurchase an operating property located in Marco Island, Florida that was previously sold to a third-party developer, we acquired 36 completed vacation ownership units during the second quarter of 2017 and 20 completed vacation ownership units during the first quarter of 2018. See Footnote 6 “Acquisitions and Dispositions” for additional information on the transaction that occurred during the first quarter of 2018. We remain obligated to repurchase the remaining portion of the operating property. See Footnote 9 “Contingencies and Commitments” for additional information on our remaining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As of March 31, 2018, our Balance Sheet reflected $2.8 million of Inventory, $2.4 million of Other assets that relate to prepaid and other deposits, and $6.2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of $0.5 million and other receivables of $0.4 million are included in the Accounts receivable line on the Balance Sheet as of March 31, 2018. We believe that our maximum exposure to loss as a result of our involvement with this variable interest entity is less than $1.0 million as of March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consolidate the liabilities of the Marriott Vacations Worldwide Deferred Compensation Plan (the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March 31, 2018, the value of the assets held in the rabbi trust was $22.5 million, which is included in the Other line within assets on our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6" w:lineRule="exact"/>
        <w:rPr>
          <w:sz w:val="20"/>
          <w:szCs w:val="20"/>
          <w:color w:val="auto"/>
        </w:rPr>
      </w:pPr>
    </w:p>
    <w:p>
      <w:pPr>
        <w:ind w:left="980" w:right="4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as well as under Marriott Vacation Club Pulse, an extension of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76"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6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2"/>
                <w:szCs w:val="22"/>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March 31, 2018</w:t>
            </w:r>
          </w:p>
        </w:tc>
        <w:tc>
          <w:tcPr>
            <w:tcW w:w="240" w:type="dxa"/>
            <w:vAlign w:val="bottom"/>
          </w:tcPr>
          <w:p>
            <w:pPr>
              <w:spacing w:after="0"/>
              <w:rPr>
                <w:sz w:val="22"/>
                <w:szCs w:val="22"/>
                <w:color w:val="auto"/>
              </w:rPr>
            </w:pPr>
          </w:p>
        </w:tc>
        <w:tc>
          <w:tcPr>
            <w:tcW w:w="204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March 31,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488,072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segment revenues</w:t>
            </w:r>
          </w:p>
        </w:tc>
        <w:tc>
          <w:tcPr>
            <w:tcW w:w="3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570,849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528,300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570,849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528,300</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i w:val="1"/>
                <w:iCs w:val="1"/>
                <w:color w:val="auto"/>
              </w:rPr>
              <w:t>Net Income</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2"/>
                <w:szCs w:val="22"/>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March 31, 2018</w:t>
            </w:r>
          </w:p>
        </w:tc>
        <w:tc>
          <w:tcPr>
            <w:tcW w:w="240" w:type="dxa"/>
            <w:vAlign w:val="bottom"/>
          </w:tcPr>
          <w:p>
            <w:pPr>
              <w:spacing w:after="0"/>
              <w:rPr>
                <w:sz w:val="22"/>
                <w:szCs w:val="22"/>
                <w:color w:val="auto"/>
              </w:rPr>
            </w:pPr>
          </w:p>
        </w:tc>
        <w:tc>
          <w:tcPr>
            <w:tcW w:w="204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March 31,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segment financial results</w:t>
            </w:r>
          </w:p>
        </w:tc>
        <w:tc>
          <w:tcPr>
            <w:tcW w:w="3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106,012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4"/>
                <w:szCs w:val="24"/>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At March 31, 2018</w:t>
            </w:r>
          </w:p>
        </w:tc>
        <w:tc>
          <w:tcPr>
            <w:tcW w:w="240" w:type="dxa"/>
            <w:vAlign w:val="bottom"/>
          </w:tcPr>
          <w:p>
            <w:pPr>
              <w:spacing w:after="0"/>
              <w:rPr>
                <w:sz w:val="24"/>
                <w:szCs w:val="24"/>
                <w:color w:val="auto"/>
              </w:rPr>
            </w:pPr>
          </w:p>
        </w:tc>
        <w:tc>
          <w:tcPr>
            <w:tcW w:w="2040" w:type="dxa"/>
            <w:vAlign w:val="bottom"/>
          </w:tcPr>
          <w:p>
            <w:pPr>
              <w:jc w:val="center"/>
              <w:ind w:right="151"/>
              <w:spacing w:after="0"/>
              <w:rPr>
                <w:sz w:val="20"/>
                <w:szCs w:val="20"/>
                <w:color w:val="auto"/>
              </w:rPr>
            </w:pPr>
            <w:r>
              <w:rPr>
                <w:rFonts w:ascii="Arial" w:cs="Arial" w:eastAsia="Arial" w:hAnsi="Arial"/>
                <w:sz w:val="16"/>
                <w:szCs w:val="16"/>
                <w:b w:val="1"/>
                <w:bCs w:val="1"/>
                <w:color w:val="auto"/>
                <w:w w:val="91"/>
              </w:rPr>
              <w:t>At December 31,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2,087,904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134,391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128,490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62,430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3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2,326,343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2,278,824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433,608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565,758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2,759,951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ADOPTION IMPACT OF NEW REVENUE STANDARD</w:t>
      </w:r>
    </w:p>
    <w:p>
      <w:pPr>
        <w:spacing w:after="0" w:line="1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discussed in Footnote 1 “Summary of Significant Accounting Policies,”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We adopted ASC 606 effective January 1, 2018, on a retrospective basis and restated our previously reported historical results as shown in the tables below. The cumulative impact of the adoption of the new Revenue Standard on our opening retained earnings as of January 2, 2016, the first day of our 2016 fiscal year, was $2.7 million.</w:t>
      </w:r>
    </w:p>
    <w:p>
      <w:pPr>
        <w:spacing w:after="0" w:line="81"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Upon adoption of the new Revenue Standard, recognition of revenue from the sale of vacation ownership products that is deemed collectible is now deferred from the point in time at which the statutory rescission period expires to closing, when control of the vacation ownership product is transferred to the customer. In addition, we aligned our assessment of collectibility of the transaction price for sales of vacation ownership products with our credit granting policies. We elected the practical expedient to expense all marketing and sales costs as they are incurred. Our consolidated cost reimbursements revenues and cost reimbursements expenses increased significantly, as all costs reimbursed to us by property owners’ associations are now reported on a gross basis upon adoption of the new Revenue Standard. In conjunction with the adoption of the new Revenue Standard we reclassified certain revenues and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As part of the adoption of the new Revenue Standard, we elected the following practical expedients and accounting policies:</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expense all marketing and sales costs that we incur to sell vacation ownership products when incurred.</w:t>
      </w:r>
    </w:p>
    <w:p>
      <w:pPr>
        <w:spacing w:after="0" w:line="117" w:lineRule="exact"/>
        <w:rPr>
          <w:rFonts w:ascii="Arial" w:cs="Arial" w:eastAsia="Arial" w:hAnsi="Arial"/>
          <w:sz w:val="18"/>
          <w:szCs w:val="18"/>
          <w:color w:val="auto"/>
        </w:rPr>
      </w:pPr>
    </w:p>
    <w:p>
      <w:pPr>
        <w:ind w:left="980" w:right="5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determining the transaction price for contracts from customers, we exclude all taxes assessed by a governmental authority that are both imposed on and concurrent with a specific revenue-product transaction and collected by the entity from a customer (e.g., sales tax).</w:t>
      </w:r>
    </w:p>
    <w:p>
      <w:pPr>
        <w:spacing w:after="0" w:line="15" w:lineRule="exact"/>
        <w:rPr>
          <w:rFonts w:ascii="Arial" w:cs="Arial" w:eastAsia="Arial" w:hAnsi="Arial"/>
          <w:sz w:val="16"/>
          <w:szCs w:val="16"/>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disclose the amount of the transaction price allocated to the remaining performance obligations as of December 31, 2017 or provide an explanation of when we expect to recognize that amount as revenue.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tables present the impact of the adoption of the new Revenue Standard on our previously reported historical results for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Impact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gridSpan w:val="6"/>
          </w:tcPr>
          <w:p>
            <w:pPr>
              <w:jc w:val="center"/>
              <w:ind w:left="1091"/>
              <w:spacing w:after="0"/>
              <w:rPr>
                <w:sz w:val="20"/>
                <w:szCs w:val="20"/>
                <w:color w:val="auto"/>
              </w:rPr>
            </w:pPr>
            <w:r>
              <w:rPr>
                <w:rFonts w:ascii="Arial" w:cs="Arial" w:eastAsia="Arial" w:hAnsi="Arial"/>
                <w:sz w:val="16"/>
                <w:szCs w:val="16"/>
                <w:b w:val="1"/>
                <w:bCs w:val="1"/>
                <w:color w:val="auto"/>
                <w:w w:val="93"/>
              </w:rPr>
              <w:t>Three Months Ended March 31, 2017</w:t>
            </w:r>
          </w:p>
        </w:tc>
        <w:tc>
          <w:tcPr>
            <w:tcW w:w="144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4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300" w:type="dxa"/>
            <w:vAlign w:val="bottom"/>
          </w:tcPr>
          <w:p>
            <w:pPr>
              <w:spacing w:after="0"/>
              <w:rPr>
                <w:sz w:val="22"/>
                <w:szCs w:val="22"/>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22"/>
                <w:szCs w:val="22"/>
                <w:color w:val="auto"/>
              </w:rPr>
            </w:pPr>
          </w:p>
        </w:tc>
        <w:tc>
          <w:tcPr>
            <w:tcW w:w="1440" w:type="dxa"/>
            <w:vAlign w:val="bottom"/>
          </w:tcPr>
          <w:p>
            <w:pPr>
              <w:jc w:val="right"/>
              <w:ind w:right="390"/>
              <w:spacing w:after="0"/>
              <w:rPr>
                <w:sz w:val="20"/>
                <w:szCs w:val="20"/>
                <w:color w:val="auto"/>
              </w:rPr>
            </w:pPr>
            <w:r>
              <w:rPr>
                <w:rFonts w:ascii="Arial" w:cs="Arial" w:eastAsia="Arial" w:hAnsi="Arial"/>
                <w:sz w:val="16"/>
                <w:szCs w:val="16"/>
                <w:b w:val="1"/>
                <w:bCs w:val="1"/>
                <w:color w:val="auto"/>
              </w:rPr>
              <w:t>As Adjusted</w:t>
            </w: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172,155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163,877</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67,419</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32,111</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67,679</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123,633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73,581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197,214</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528,300</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43,771</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100,661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97,498</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37,471</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4,017</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53,708</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27,539</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5,938</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16,070</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197,214</w:t>
            </w:r>
          </w:p>
        </w:tc>
      </w:tr>
      <w:tr>
        <w:trPr>
          <w:trHeight w:val="237"/>
        </w:trPr>
        <w:tc>
          <w:tcPr>
            <w:tcW w:w="434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50,671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483,226</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 net</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43,865</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(15,975)</w:t>
            </w:r>
          </w:p>
        </w:tc>
      </w:tr>
      <w:tr>
        <w:trPr>
          <w:trHeight w:val="297"/>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27,890</w:t>
            </w:r>
          </w:p>
        </w:tc>
      </w:tr>
      <w:tr>
        <w:trPr>
          <w:trHeight w:val="176"/>
        </w:trPr>
        <w:tc>
          <w:tcPr>
            <w:tcW w:w="43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16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783"/>
        </w:trPr>
        <w:tc>
          <w:tcPr>
            <w:tcW w:w="4340" w:type="dxa"/>
            <w:vAlign w:val="bottom"/>
          </w:tcPr>
          <w:p>
            <w:pPr>
              <w:spacing w:after="0"/>
              <w:rPr>
                <w:sz w:val="24"/>
                <w:szCs w:val="24"/>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Balance Sheet Impact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As of December 31, 2017</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300" w:type="dxa"/>
            <w:vAlign w:val="bottom"/>
          </w:tcPr>
          <w:p>
            <w:pPr>
              <w:spacing w:after="0"/>
              <w:rPr>
                <w:sz w:val="22"/>
                <w:szCs w:val="22"/>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22"/>
                <w:szCs w:val="22"/>
                <w:color w:val="auto"/>
              </w:rPr>
            </w:pPr>
          </w:p>
        </w:tc>
        <w:tc>
          <w:tcPr>
            <w:tcW w:w="15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409,059</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409,059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81,553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154,174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91,659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net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1,114,552</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716,533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728,379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252,727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172,516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166,653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145,405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Advance deposits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63,062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84,087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69,058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111,885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74,851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74,851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1,095,213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89,987</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1,861,173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1,803,767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Treasury stock</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(694,233)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(694,233)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1,188,538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533,601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529,396</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b w:val="1"/>
                <w:bCs w:val="1"/>
                <w:color w:val="auto"/>
              </w:rPr>
              <w:t>TOTAL EQUITY</w:t>
            </w: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1,045,020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1,040,815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4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Cash Flow Impact - Operating Activities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gridSpan w:val="7"/>
          </w:tcPr>
          <w:p>
            <w:pPr>
              <w:jc w:val="center"/>
              <w:ind w:right="90"/>
              <w:spacing w:after="0"/>
              <w:rPr>
                <w:sz w:val="20"/>
                <w:szCs w:val="20"/>
                <w:color w:val="auto"/>
              </w:rPr>
            </w:pPr>
            <w:r>
              <w:rPr>
                <w:rFonts w:ascii="Arial" w:cs="Arial" w:eastAsia="Arial" w:hAnsi="Arial"/>
                <w:sz w:val="16"/>
                <w:szCs w:val="16"/>
                <w:b w:val="1"/>
                <w:bCs w:val="1"/>
                <w:color w:val="auto"/>
                <w:w w:val="93"/>
              </w:rPr>
              <w:t>Three Months Ended March 31, 2017</w:t>
            </w:r>
          </w:p>
        </w:tc>
      </w:tr>
      <w:tr>
        <w:trPr>
          <w:trHeight w:val="3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6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Reported</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22"/>
                <w:szCs w:val="22"/>
                <w:color w:val="auto"/>
              </w:rPr>
            </w:pPr>
          </w:p>
        </w:tc>
        <w:tc>
          <w:tcPr>
            <w:tcW w:w="1260" w:type="dxa"/>
            <w:vAlign w:val="bottom"/>
          </w:tcPr>
          <w:p>
            <w:pPr>
              <w:jc w:val="right"/>
              <w:ind w:right="230"/>
              <w:spacing w:after="0"/>
              <w:rPr>
                <w:sz w:val="20"/>
                <w:szCs w:val="20"/>
                <w:color w:val="auto"/>
              </w:rPr>
            </w:pPr>
            <w:r>
              <w:rPr>
                <w:rFonts w:ascii="Arial" w:cs="Arial" w:eastAsia="Arial" w:hAnsi="Arial"/>
                <w:sz w:val="16"/>
                <w:szCs w:val="16"/>
                <w:b w:val="1"/>
                <w:bCs w:val="1"/>
                <w:color w:val="auto"/>
                <w:w w:val="98"/>
              </w:rPr>
              <w:t>As Adjusted</w:t>
            </w:r>
          </w:p>
        </w:tc>
      </w:tr>
      <w:tr>
        <w:trPr>
          <w:trHeight w:val="25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33,700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27,890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5,191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Vacation ownership notes receivable reserve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12,714</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3,276</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3,039</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34,586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34,195</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Vacation ownership notes receivable originations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(112,640)</w:t>
            </w:r>
          </w:p>
        </w:tc>
      </w:tr>
      <w:tr>
        <w:trPr>
          <w:trHeight w:val="243"/>
        </w:trPr>
        <w:tc>
          <w:tcPr>
            <w:tcW w:w="6700" w:type="dxa"/>
            <w:vAlign w:val="bottom"/>
          </w:tcPr>
          <w:p>
            <w:pPr>
              <w:ind w:left="480"/>
              <w:spacing w:after="0"/>
              <w:rPr>
                <w:sz w:val="20"/>
                <w:szCs w:val="20"/>
                <w:color w:val="auto"/>
              </w:rPr>
            </w:pPr>
            <w:r>
              <w:rPr>
                <w:rFonts w:ascii="Arial" w:cs="Arial" w:eastAsia="Arial" w:hAnsi="Arial"/>
                <w:sz w:val="18"/>
                <w:szCs w:val="18"/>
                <w:color w:val="auto"/>
              </w:rPr>
              <w:t>Vacation ownership notes receivable collections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76,068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76,068</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19,801</w:t>
            </w:r>
          </w:p>
        </w:tc>
      </w:tr>
      <w:tr>
        <w:trPr>
          <w:trHeight w:val="243"/>
        </w:trPr>
        <w:tc>
          <w:tcPr>
            <w:tcW w:w="67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(26,704)</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advance deposits and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(27,657)</w:t>
            </w:r>
          </w:p>
        </w:tc>
      </w:tr>
      <w:tr>
        <w:trPr>
          <w:trHeight w:val="243"/>
        </w:trPr>
        <w:tc>
          <w:tcPr>
            <w:tcW w:w="67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31,861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38,771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Payroll and benefit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43"/>
        </w:trPr>
        <w:tc>
          <w:tcPr>
            <w:tcW w:w="6700" w:type="dxa"/>
            <w:vAlign w:val="bottom"/>
          </w:tcPr>
          <w:p>
            <w:pPr>
              <w:ind w:left="48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4,147</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924</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45,704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45,704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 Announcement</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30, 2018, we entered into an Agreement and Plan of Merger (“Merger Agreement”) under which we agreed to acquire, in a series of transactions, all of the outstanding shares of ILG, Inc. (“ILG”) in a cash and stock transaction with an implied equity value of approximately $4.7 billion as of that date. Under the Merger Agreement, shareholders of ILG will receive 0.165 shares of our common stock, par value $0.01 per share, and $14.75 in cash, without interest, for each share of ILG common stock, par value $0.01 per share, that they own immediately before these transactions. Consummation of these transactions is subject to customary conditions, including approval from shareholders of both MVW and ILG, receipt of any required regulatory approvals and other customary closing conditions.</w:t>
      </w:r>
    </w:p>
    <w:p>
      <w:pPr>
        <w:spacing w:after="0" w:line="8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intend to finance the transaction through a combination of cash on hand and debt financing, and concurrently with the signing of the Merger Agreement, entered into a bridge facility commitment letter to provide for such financing. We are targeting to close the transaction by the end of the third quarter of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and in this Quarterly Report on Form 10-Q,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January 1, 2018, the first day of our 2018 fiscal year, we adopted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(“ASU 2014-09”), which, as amended, created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and refer to it as the new “Revenue Standard” throughout this Quarterly Report on Form 10-Q. We restated our previously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results to conform with the adoption of the new Revenue Standard. See Footnote 1 “Summary of Significant Accounting Policies” to our Financial Statements for additional information on ASU 2014-09, as amended, and Footnote 15 “Adoption Impact of New Revenue Standard” to our Financial Statements for further discussion of the adoption and the impact on our previously reported historical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as well as under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5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March 31, 2018,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2017 Hurricane Activity</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During the third quarter of 2017, over 20 properties within our North America segment were negatively impacted by one or both of Hurricane Irma and Hurricane Maria (the “Hurricanes”). As a result of the mandatory evacuations, shutdowns and cancellations of reservations and scheduled tours resulting from the Hurricanes, the sales operations at several of our locations, primarily those located on St. Thomas (USVI) and on Marco Island and Singer Island in Florida, were adversely impacted along with rental and ancillary operations at those locations.</w:t>
      </w:r>
    </w:p>
    <w:p>
      <w:pPr>
        <w:spacing w:after="0" w:line="6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While many of the properties and sales centers impacted by the Hurricanes were fully or partially open by the end of September 2017, two resorts and a sales center on St. Thomas remained closed at the end of 2017. One resort and a modified sales gallery in St. Thomas opened in the middle of February 2018, and we expect the remaining resort in St. Thomas will be opened in the second half of 2018. Further, while some of the properties affected were fully or partially open by September 30, 2017, many of the operations at these locations will continue to ramp-up beyond the first quarter of 2018. We expect to submit insurance claims in 2018 for our business interruption losses as well as property damage experienced by both us and our owners’ associations from these Hurricanes; however, we cannot quantify the extent of any payment under such claims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revenues from the sale of vacation ownership products at closing, when control of the vacation ownership product is transferred to the customer and the transaction price is deemed collectible. Sales of vacation ownership products may be made for cash or we may provide financing. In addition, we recognize settlement fees associated with the transfer of vacation ownership products and commission revenues from sales of vacation ownership products on behalf of third-parties, which we refer to as “resales revenue.”</w:t>
      </w:r>
    </w:p>
    <w:p>
      <w:pPr>
        <w:spacing w:after="0" w:line="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also provide sales incentives to certain purchasers.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7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a result of the revenue recognition requirements included in ASC 606, 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report, on a supplemental basis, contract sales for each of our three segments.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will have a positive or negative impact on our Income Statements.</w:t>
      </w:r>
    </w:p>
    <w:p>
      <w:pPr>
        <w:spacing w:after="0" w:line="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external exchange service providers with which we are associated.</w:t>
      </w:r>
    </w:p>
    <w:p>
      <w:pPr>
        <w:spacing w:after="0" w:line="3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Resort management and other services expenses include costs to operate the food and beverage and other ancillary operations and overall customer support services, including reservations, and certain transaction-based expenses relating to external exchange service providers.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0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2018</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2017</w:t>
            </w:r>
          </w:p>
        </w:tc>
      </w:tr>
      <w:tr>
        <w:trPr>
          <w:trHeight w:val="33"/>
        </w:trPr>
        <w:tc>
          <w:tcPr>
            <w:tcW w:w="56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740</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Income Statements.</w:t>
      </w:r>
    </w:p>
    <w:p>
      <w:pPr>
        <w:spacing w:after="0" w:line="3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64.0 percent in the 2017 fiscal year and 61.7 percent in the 2018 first quarter. 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the event of a default, we generally have the right to foreclose on or revoke the vacation ownership interest. We return vacation ownership interests that we reacquire through foreclosure or revocation back to inventory. As discussed above, we record a vacation ownership notes receivable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4"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0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2018</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2017</w:t>
            </w:r>
          </w:p>
        </w:tc>
      </w:tr>
      <w:tr>
        <w:trPr>
          <w:trHeight w:val="33"/>
        </w:trPr>
        <w:tc>
          <w:tcPr>
            <w:tcW w:w="56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0.9%</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 For rental revenues associated with vacation ownership products which we own and which are registered for sale, to the extent that the revenues from rental are less than costs, revenues are reported net in accordance with Accounting Standards Codification Topic 978, “</w:t>
      </w:r>
      <w:r>
        <w:rPr>
          <w:rFonts w:ascii="Arial" w:cs="Arial" w:eastAsia="Arial" w:hAnsi="Arial"/>
          <w:sz w:val="18"/>
          <w:szCs w:val="18"/>
          <w:i w:val="1"/>
          <w:iCs w:val="1"/>
          <w:color w:val="auto"/>
        </w:rPr>
        <w:t>Real Estate - Time-Sharing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(“ASC 978”). The rental activity associated with discounted vacation packages requiring a tour (“preview stays”) is not included in rental metrics,</w:t>
      </w:r>
      <w:r>
        <w:rPr>
          <w:rFonts w:ascii="Arial" w:cs="Arial" w:eastAsia="Arial" w:hAnsi="Arial"/>
          <w:sz w:val="18"/>
          <w:szCs w:val="18"/>
          <w:i w:val="1"/>
          <w:iCs w:val="1"/>
          <w:color w:val="auto"/>
        </w:rPr>
        <w:t xml:space="preserve"> </w:t>
      </w:r>
      <w:r>
        <w:rPr>
          <w:rFonts w:ascii="Arial" w:cs="Arial" w:eastAsia="Arial" w:hAnsi="Arial"/>
          <w:sz w:val="18"/>
          <w:szCs w:val="18"/>
          <w:color w:val="auto"/>
        </w:rPr>
        <w:t>and because the majority of these preview stays are sourced directly or indirectly from unsold inventory, the associated revenues and expenses are reported net in Marketing and sales expense.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right="160" w:firstLine="648"/>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 (“MVCD”) program when the points are redeemed for rental stays at one of our resorts or in the Explorer Collection.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 and</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In addition, rental metrics may not correlate with rental revenues due to the requirement to report certain rental revenues net of rental expenses in accordance with ASC 978 (as discussed above).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property owners’ associations reimburse to us. All costs, with the exception of taxes assessed by a governmental authority, reimbursed to us by property owners’ associations are reported on a gross basis. We recognize cost reimbursements when we incur the related reimbursable costs. Cost reimbursements consist of actual expenses with no added margin.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00" w:right="40" w:hanging="320"/>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vacation ownership contract sales, excluding fractional sales, telesales, resales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7"/>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rPr>
              <w:t>March 31, 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60" w:type="dxa"/>
            <w:vAlign w:val="bottom"/>
            <w:gridSpan w:val="4"/>
          </w:tcPr>
          <w:p>
            <w:pPr>
              <w:jc w:val="right"/>
              <w:ind w:right="80"/>
              <w:spacing w:after="0"/>
              <w:rPr>
                <w:sz w:val="20"/>
                <w:szCs w:val="20"/>
                <w:color w:val="auto"/>
              </w:rPr>
            </w:pPr>
            <w:r>
              <w:rPr>
                <w:rFonts w:ascii="Arial" w:cs="Arial" w:eastAsia="Arial" w:hAnsi="Arial"/>
                <w:sz w:val="18"/>
                <w:szCs w:val="18"/>
                <w:color w:val="auto"/>
              </w:rPr>
              <w:t>174,789</w:t>
            </w:r>
          </w:p>
        </w:tc>
        <w:tc>
          <w:tcPr>
            <w:tcW w:w="940" w:type="dxa"/>
            <w:vAlign w:val="bottom"/>
            <w:gridSpan w:val="3"/>
          </w:tcPr>
          <w:p>
            <w:pPr>
              <w:jc w:val="right"/>
              <w:ind w:right="59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163,877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70,180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67,419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35,482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32,111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74,210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67,679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8"/>
                <w:szCs w:val="18"/>
                <w:color w:val="auto"/>
              </w:rPr>
              <w:t>216,188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197,214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570,849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528,300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46,363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8"/>
                <w:szCs w:val="18"/>
                <w:color w:val="auto"/>
              </w:rPr>
              <w:t>105,934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97,498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37,778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37,471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4,248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55,899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53,708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29,435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27,539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6,606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14,824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8"/>
                <w:szCs w:val="18"/>
                <w:color w:val="auto"/>
              </w:rPr>
              <w:t>216,188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8"/>
                <w:szCs w:val="18"/>
                <w:color w:val="auto"/>
              </w:rPr>
              <w:t>197,214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517,172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483,226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446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(3,116)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46,690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43,865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(10,709)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35,981</w:t>
            </w:r>
          </w:p>
        </w:tc>
        <w:tc>
          <w:tcPr>
            <w:tcW w:w="940" w:type="dxa"/>
            <w:vAlign w:val="bottom"/>
            <w:gridSpan w:val="3"/>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660"/>
              <w:spacing w:after="0"/>
              <w:rPr>
                <w:sz w:val="20"/>
                <w:szCs w:val="20"/>
                <w:color w:val="auto"/>
              </w:rPr>
            </w:pPr>
            <w:r>
              <w:rPr>
                <w:rFonts w:ascii="Arial" w:cs="Arial" w:eastAsia="Arial" w:hAnsi="Arial"/>
                <w:sz w:val="18"/>
                <w:szCs w:val="18"/>
                <w:i w:val="1"/>
                <w:iCs w:val="1"/>
                <w:color w:val="auto"/>
              </w:rPr>
              <w:t>2018 First Quarter</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5"/>
          </w:tcPr>
          <w:p>
            <w:pPr>
              <w:jc w:val="right"/>
              <w:ind w:right="93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72"/>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22"/>
                <w:szCs w:val="22"/>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187,144</w:t>
            </w:r>
          </w:p>
        </w:tc>
        <w:tc>
          <w:tcPr>
            <w:tcW w:w="12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183,220</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9"/>
              <w:spacing w:after="0"/>
              <w:rPr>
                <w:sz w:val="20"/>
                <w:szCs w:val="20"/>
                <w:color w:val="auto"/>
              </w:rPr>
            </w:pPr>
            <w:r>
              <w:rPr>
                <w:rFonts w:ascii="Arial" w:cs="Arial" w:eastAsia="Arial" w:hAnsi="Arial"/>
                <w:sz w:val="18"/>
                <w:szCs w:val="18"/>
                <w:color w:val="auto"/>
              </w:rPr>
              <w:t>3,924</w:t>
            </w:r>
          </w:p>
        </w:tc>
        <w:tc>
          <w:tcPr>
            <w:tcW w:w="1480" w:type="dxa"/>
            <w:vAlign w:val="bottom"/>
            <w:gridSpan w:val="2"/>
          </w:tcPr>
          <w:p>
            <w:pPr>
              <w:jc w:val="right"/>
              <w:ind w:right="4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395</w:t>
            </w:r>
          </w:p>
        </w:tc>
        <w:tc>
          <w:tcPr>
            <w:tcW w:w="1480" w:type="dxa"/>
            <w:vAlign w:val="bottom"/>
            <w:tcBorders>
              <w:bottom w:val="single" w:sz="8" w:color="CCEEFF"/>
            </w:tcBorders>
            <w:gridSpan w:val="2"/>
            <w:shd w:val="clear" w:color="auto" w:fill="CCEEFF"/>
          </w:tcPr>
          <w:p>
            <w:pPr>
              <w:jc w:val="right"/>
              <w:ind w:right="4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(276)</w:t>
            </w:r>
          </w:p>
        </w:tc>
        <w:tc>
          <w:tcPr>
            <w:tcW w:w="1480" w:type="dxa"/>
            <w:vAlign w:val="bottom"/>
            <w:gridSpan w:val="2"/>
          </w:tcPr>
          <w:p>
            <w:pPr>
              <w:jc w:val="right"/>
              <w:ind w:right="4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203,661</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199,618</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4,043</w:t>
            </w:r>
          </w:p>
        </w:tc>
        <w:tc>
          <w:tcPr>
            <w:tcW w:w="1480" w:type="dxa"/>
            <w:vAlign w:val="bottom"/>
            <w:gridSpan w:val="2"/>
            <w:shd w:val="clear" w:color="auto" w:fill="CCEEFF"/>
          </w:tcPr>
          <w:p>
            <w:pPr>
              <w:jc w:val="right"/>
              <w:ind w:right="4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changes in contract sales are described within the discussions of our segment results below. We estimate the ongoing impact of the 2017 Hurricanes negatively impacted contract sales by $6 million in the 2018 first quarter. In addition, our 2017 first quarter had two additional days of sales due to the change to our financial reporting calendar at the beginning of 2017. Excluding both of these impacts, we estimate total contract sales would have increased 6 percent over the prior year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 revenue</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Resales revenue</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Reportability</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163,877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10,912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1"/>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20" w:hanging="652"/>
        <w:spacing w:after="0" w:line="208"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Revenue reportability had a negative impact in each of the 2018 first quarter and the 2017 first quarter due to an increase in unclosed contracts during such quarter.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lower sales reserve reflected a lower required reserve in the 2018 first quarter due to lower default and delinquency activity.</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our North America segment in the 2018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24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10,912</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(2,592)</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4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22,492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22,608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80" w:type="dxa"/>
            <w:vAlign w:val="bottom"/>
            <w:tcBorders>
              <w:bottom w:val="single" w:sz="8" w:color="CCEEFF"/>
            </w:tcBorders>
            <w:gridSpan w:val="2"/>
          </w:tcPr>
          <w:p>
            <w:pPr>
              <w:jc w:val="right"/>
              <w:ind w:right="4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593"/>
              <w:spacing w:after="0" w:line="189"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591"/>
              <w:spacing w:after="0" w:line="189" w:lineRule="exact"/>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91"/>
              <w:spacing w:after="0" w:line="189" w:lineRule="exact"/>
              <w:rPr>
                <w:sz w:val="20"/>
                <w:szCs w:val="20"/>
                <w:color w:val="auto"/>
              </w:rPr>
            </w:pPr>
            <w:r>
              <w:rPr>
                <w:rFonts w:ascii="Arial" w:cs="Arial" w:eastAsia="Arial" w:hAnsi="Arial"/>
                <w:sz w:val="18"/>
                <w:szCs w:val="18"/>
                <w:color w:val="auto"/>
              </w:rPr>
              <w:t>(0.9 pts)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slight change in development margin reflected $6.3 million from higher marketing and sales costs and $0.4 million from an unfavorable mix of higher cost real estate inventory being sold, partially offset by the following:</w:t>
      </w:r>
    </w:p>
    <w:p>
      <w:pPr>
        <w:spacing w:after="0" w:line="6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 million from lower sales reserve activity;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million of favorable revenue reportability compared to the 2017 first quarter;</w:t>
      </w:r>
    </w:p>
    <w:p>
      <w:pPr>
        <w:spacing w:after="0" w:line="117" w:lineRule="exact"/>
        <w:rPr>
          <w:rFonts w:ascii="Arial" w:cs="Arial" w:eastAsia="Arial" w:hAnsi="Arial"/>
          <w:sz w:val="18"/>
          <w:szCs w:val="18"/>
          <w:color w:val="auto"/>
        </w:rPr>
      </w:pPr>
    </w:p>
    <w:p>
      <w:pPr>
        <w:ind w:left="1300" w:right="42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$0.1 million of favorable changes in product cost true-up activity ($0.8 million of unfavorable true-up activity in the 2018 first quarter compared to $0.9 million of unfavorable true-up activity in the 2017 first quarter);</w:t>
      </w:r>
    </w:p>
    <w:p>
      <w:pPr>
        <w:spacing w:after="0" w:line="62" w:lineRule="exact"/>
        <w:rPr>
          <w:rFonts w:ascii="Arial" w:cs="Arial" w:eastAsia="Arial" w:hAnsi="Arial"/>
          <w:sz w:val="18"/>
          <w:szCs w:val="18"/>
          <w:color w:val="auto"/>
        </w:rPr>
      </w:pPr>
    </w:p>
    <w:p>
      <w:pPr>
        <w:ind w:left="1300" w:right="6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from higher vacation ownership contract sales volume net of the sales reserve and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of lower other expenses.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580" w:right="259" w:bottom="1440" w:gutter="0" w:footer="0" w:header="0"/>
          <w:type w:val="continuous"/>
        </w:sectPr>
      </w:pPr>
    </w:p>
    <w:bookmarkStart w:id="39" w:name="page40"/>
    <w:bookmarkEnd w:id="39"/>
    <w:p>
      <w:pPr>
        <w:ind w:right="220" w:firstLine="648"/>
        <w:spacing w:after="0" w:line="302" w:lineRule="auto"/>
        <w:rPr>
          <w:sz w:val="20"/>
          <w:szCs w:val="20"/>
          <w:color w:val="auto"/>
        </w:rPr>
      </w:pPr>
      <w:r>
        <w:rPr>
          <w:rFonts w:ascii="Arial" w:cs="Arial" w:eastAsia="Arial" w:hAnsi="Arial"/>
          <w:sz w:val="16"/>
          <w:szCs w:val="16"/>
          <w:color w:val="auto"/>
        </w:rPr>
        <w:t>The 0.9 percentage point decline in the development margin percentage reflected a 3.2 percentage point decline due to higher marketing and sales costs and a 0.3 percentage point decrease due to an unfavorable mix of higher cost vacation ownership real estate inventory being sold in the 2018 first quarter, partially offset by a 1.5 percentage point increase from the lower sales reserve activity, a 1.0 percentage point increase due to the favorable revenue reportability year-over-year and a 0.1 percentage point increase due to the favorable changes in product cost true-up activity year-over-year.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27,269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70,180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2,761</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32,402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29,948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2,454</w:t>
            </w:r>
          </w:p>
        </w:tc>
        <w:tc>
          <w:tcPr>
            <w:tcW w:w="148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592"/>
              <w:spacing w:after="0" w:line="189" w:lineRule="exact"/>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591"/>
              <w:spacing w:after="0" w:line="189" w:lineRule="exact"/>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1"/>
              <w:spacing w:after="0" w:line="189" w:lineRule="exact"/>
              <w:rPr>
                <w:sz w:val="20"/>
                <w:szCs w:val="20"/>
                <w:color w:val="auto"/>
              </w:rPr>
            </w:pPr>
            <w:r>
              <w:rPr>
                <w:rFonts w:ascii="Arial" w:cs="Arial" w:eastAsia="Arial" w:hAnsi="Arial"/>
                <w:sz w:val="18"/>
                <w:szCs w:val="18"/>
                <w:color w:val="auto"/>
              </w:rPr>
              <w:t>1.8 pts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increase in resort management and other services revenues reflected $2.1 million of higher management fees resulting from the cumulative increase in the number of vacation ownership products sold and higher operating costs across the system, $1.3 million of additional annual club dues and other revenues earned in connection with the MVCD program due to the cumulative increase in owners enrolled in the program and $1.2 million of higher ancillary revenues. These increases were partially offset by $1.8 million of lower refurbishment and other revenues due to a decrease in the number of refurbishment projects completed in the 2018 first quarter. The increase in ancillary revenues included $2.5 million of higher revenues from food and beverage and golf offerings at our resorts, partially offset by $0.7 million of lower revenue due to outsourcing multiple operations in our North America segment and $0.6 million of lower revenue due to the two St. Thomas resorts being closed for part or all of the first quarter of 2018 as a result of the 2017 Hurricanes.</w:t>
      </w:r>
    </w:p>
    <w:p>
      <w:pPr>
        <w:spacing w:after="0" w:line="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improvement in the resort management and other services margin reflected the increases in revenue, partially offset by $0.3 million of higher expenses. Compared to the 2017 first quarter, expenses in the 2018 first quarter included $2.1 million of higher ancillary expenses from food and beverage and golf offerings at our resorts and $0.5 million of higher customer service expenses and expenses associated with the MVCD program, partially offset by $1.0 million of lower ancillary expenses due to outsourcing multiple operations in our North America segment, $1.0 million of lower refurbishment expenses due to a decrease in the number of projects being refurbished in the 2018 first quarter and $0.3 million of lower ancillary expenses due to the two St. Thomas resorts being closed for part or all of the first quarter of 2018 as a result of the 2017 Hurricanes.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280" w:type="dxa"/>
            <w:vAlign w:val="bottom"/>
          </w:tcPr>
          <w:p>
            <w:pPr>
              <w:spacing w:after="0"/>
              <w:rPr>
                <w:sz w:val="20"/>
                <w:szCs w:val="20"/>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24,628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22,156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2,472</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propensity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increase in financing revenues was due to a $150 million increase in the average gross vacation ownership notes receivable balance ($4.2 million), partially offset by financing program incentive costs ($0.6 million) and a decrease in the weighted average coupon rate of our vacation ownership notes receivable ($0.3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ind w:right="40" w:firstLine="648"/>
        <w:spacing w:after="0" w:line="286" w:lineRule="auto"/>
        <w:rPr>
          <w:sz w:val="20"/>
          <w:szCs w:val="20"/>
          <w:color w:val="auto"/>
        </w:rPr>
      </w:pPr>
      <w:r>
        <w:rPr>
          <w:rFonts w:ascii="Arial" w:cs="Arial" w:eastAsia="Arial" w:hAnsi="Arial"/>
          <w:sz w:val="17"/>
          <w:szCs w:val="17"/>
          <w:color w:val="auto"/>
        </w:rPr>
        <w:t>The increase in financing margin reflected the higher financing revenues, partially offset by higher other expenses and higher consumer financing interest expense. The higher other expenses were due to an increase in variable expenses associated with the increase in the average gross vacation ownership notes receivable balance. The higher consumer financing interest expense was due to a higher average outstanding debt balance.</w:t>
      </w:r>
    </w:p>
    <w:p>
      <w:pPr>
        <w:spacing w:after="0" w:line="5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expect financing propensity for the 2018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2018</w:t>
            </w: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20"/>
                <w:szCs w:val="20"/>
                <w:color w:val="auto"/>
              </w:rPr>
            </w:pPr>
          </w:p>
        </w:tc>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6,531</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4,340</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ind w:right="173"/>
              <w:spacing w:after="0"/>
              <w:rPr>
                <w:sz w:val="20"/>
                <w:szCs w:val="20"/>
                <w:color w:val="auto"/>
              </w:rPr>
            </w:pPr>
            <w:r>
              <w:rPr>
                <w:rFonts w:ascii="Arial" w:cs="Arial" w:eastAsia="Arial" w:hAnsi="Arial"/>
                <w:sz w:val="18"/>
                <w:szCs w:val="18"/>
                <w:color w:val="auto"/>
                <w:w w:val="93"/>
              </w:rPr>
              <w:t>24.7%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72"/>
              <w:spacing w:after="0"/>
              <w:rPr>
                <w:sz w:val="20"/>
                <w:szCs w:val="20"/>
                <w:color w:val="auto"/>
              </w:rPr>
            </w:pPr>
            <w:r>
              <w:rPr>
                <w:rFonts w:ascii="Arial" w:cs="Arial" w:eastAsia="Arial" w:hAnsi="Arial"/>
                <w:sz w:val="18"/>
                <w:szCs w:val="18"/>
                <w:color w:val="auto"/>
                <w:w w:val="90"/>
              </w:rPr>
              <w:t>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88"/>
              </w:rPr>
              <w:t>4.1 pts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2018</w:t>
            </w: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20"/>
                <w:szCs w:val="20"/>
                <w:color w:val="auto"/>
              </w:rPr>
            </w:pPr>
          </w:p>
        </w:tc>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88"/>
              </w:rPr>
              <w:t>6,569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235.15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227.80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0.4 pts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color w:val="auto"/>
        </w:rPr>
        <w:t>The increase in rental revenues was due to a 3 percent higher average transient rate ($2.4 million), a 2 percent increase in transient keys rented ($1.5 million) driven by a 2 percent increase in available keys and $2.6 million of higher plus points and other revenue. Plus points are recognized as revenue when the points are redeemed.</w:t>
      </w:r>
    </w:p>
    <w:p>
      <w:pPr>
        <w:spacing w:after="0" w:line="7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increase in rental margin reflected the higher rental revenues net of direct variable expenses (such as housekeeping) and the $2.6 million increase in plus points and other revenue, partially offset by higher expenses incurred due to owners choosing alternative usage options and higher unsold maintenance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Cost reimbursements increased $19.0 million, or 10 percent, over the 2017 first quarter, reflecting $14.6 million due to higher costs, $2.8 million due to additional managed unit weeks in the 2018 first quarter and a $1.6 million impact from foreign exchange rates in our Europe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General and administrative expenses increased $1.9 million due to higher litigation costs as well as higher personnel related and other expenses. The higher personnel related and other expenses included annual merit, bonus and inflationary cost increases.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Royalty fee expense decreased $1.2 million in the 2018 first quarter due to $0.9 million of lower costs due to an increase in sales of pre-owned inventory, which carry a lower royalty fee as compared to initial sales of our inventory (one percent versus two percent) and a contractual decrease in the fixed portion of the royalty fee owed to Marriott International as a result of amendments to our licensing agreements with Marriott International entered into during the 2018 first quarter ($0.4 million), partially offset by an increase in the dollar volume of closings ($0.1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7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expense increased $3.5 million due to $2.2 million of interest expense associated with the Convertible Notes issued during the 2017 third quarter, $0.9 million of imputed interest on a non-interest bearing note payable associated with the acquisition of vacation ownership units located on the Big Island of Hawaii and a $0.4 million increase in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the 2018 first quarter, we incurred $3.1 million of other expenses, including $2.5 million of acquisition costs associated with the anticipated future capital efficient acquisition of the operating property in San Francisco, California and $0.7 million of other acquisition costs.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2017 first quarter, we incurred $0.4 million of acquisition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provision for income taxes decreased $5.3 million (from $16.0 million to $10.7 million) from the first quarter of 2017. The decrease was primarily due to the reduction of the U.S. corporate maximum tax rate from 35 percent to 21 percent as mentioned below, partially offset by increases in U.S. and foreign earnings.</w:t>
      </w:r>
    </w:p>
    <w:p>
      <w:pPr>
        <w:spacing w:after="0" w:line="73"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On December 22, 2017, the Tax Cuts and Jobs Act (the “Tax Act”) was signed into law. The new U.S. tax legislation is subject to several complex provisions. We expect to finalize our provisional estimates related to the Tax Act by the fourth quarter of 2018. We expect future earnings to continue to be positively impacted largely due to the reduction of the U.S. federal corporate income tax rate from 35 percent to 21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0"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0"/>
                <w:szCs w:val="20"/>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5,601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62,820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Certain items for the 2018 first quarter consisted of $3.2 million of acquisition costs, including $2.5 million of acquisition costs associated with the anticipated future capital efficient acquisition of the operating property in San Francisco, California and $0.7 million of other acquisition costs, partially offset by a $0.5 million favorable true up of previously recorded costs associated with Hurricane Irma and Hurricane Maria (recorded in gains and other income) and a $0.1 million true up of previously recorded litigation settlement expenses. These exclusions increased EBITDA by $2.6 million.</w:t>
      </w:r>
    </w:p>
    <w:p>
      <w:pPr>
        <w:spacing w:after="0" w:line="6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Certain items for the 2017 first quarter consisted of $0.4 million of acquisition costs and $0.1 million of losses and other expense. These exclusions increased EBITDA by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Asia Pacific and Europe. See Footnote 14 “Business Segments” to our Financial Statements for further information on our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North America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0"/>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160,696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151,709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62,073</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33,529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30,239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62,485</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202,626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181,566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488,072</w:t>
            </w:r>
          </w:p>
        </w:tc>
        <w:tc>
          <w:tcPr>
            <w:tcW w:w="0" w:type="dxa"/>
            <w:vAlign w:val="bottom"/>
          </w:tcPr>
          <w:p>
            <w:pPr>
              <w:spacing w:after="0"/>
              <w:rPr>
                <w:sz w:val="1"/>
                <w:szCs w:val="1"/>
                <w:color w:val="auto"/>
              </w:rPr>
            </w:pPr>
          </w:p>
        </w:tc>
      </w:tr>
      <w:tr>
        <w:trPr>
          <w:trHeight w:val="22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38,923</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93,383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87,422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Rental</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47,183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46,054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181,566</w:t>
            </w:r>
          </w:p>
        </w:tc>
        <w:tc>
          <w:tcPr>
            <w:tcW w:w="0" w:type="dxa"/>
            <w:vAlign w:val="bottom"/>
          </w:tcPr>
          <w:p>
            <w:pPr>
              <w:spacing w:after="0"/>
              <w:rPr>
                <w:sz w:val="1"/>
                <w:szCs w:val="1"/>
                <w:color w:val="auto"/>
              </w:rPr>
            </w:pPr>
          </w:p>
        </w:tc>
      </w:tr>
      <w:tr>
        <w:trPr>
          <w:trHeight w:val="237"/>
        </w:trPr>
        <w:tc>
          <w:tcPr>
            <w:tcW w:w="434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418,086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389,624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 net</w:t>
            </w:r>
          </w:p>
        </w:tc>
        <w:tc>
          <w:tcPr>
            <w:tcW w:w="2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2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25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187,144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183,220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w:t>
            </w:r>
          </w:p>
        </w:tc>
      </w:tr>
      <w:tr>
        <w:trPr>
          <w:trHeight w:val="27"/>
        </w:trPr>
        <w:tc>
          <w:tcPr>
            <w:tcW w:w="4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estimate the Hurricanes negatively impacted contract sales by $6 million in the 2018 first quarter. In addition, our 2017 first quarter had two additional days of sales due to the change to our financial reporting calendar at the beginning of 2017. Excluding both impacts, we estimate that total contract sales would have increased 7 percent over the prior year period.</w:t>
      </w:r>
    </w:p>
    <w:p>
      <w:pPr>
        <w:spacing w:after="0" w:line="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$3.9 million increase in North America vacation ownership contract sales reflected a $6.9 million increase in sales at on-site sales locations, partially offset by a $3.0 million decrease in sales at off-site (non tour-based) sales locations.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sales at North America on-site locations reflected a 3 percent increase in the number of tours and a 1 percent increase in VPG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$3,728 in the 2018 first quarter from $3,691 in the 2017 first quarter. The 3 percent increase in the number of tours was due to increases in both owner tours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first time buyer tours. In addition, the increase in the number of total tours reflected an increase of 5 percent from new sales locations, partially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of 2 percent from existing sales locations. The decrease at existing sales locations included a negative year over year impact at our St. Thomas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gallery because it was closed for part of the 2018 first quarter as a result of the 2017 Hurricanes. The increase in VPG resulted from a 0.2 percentage point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closing efficiency and higher pricing. The sales at North America off-site locations were negatively impacted primarily by lower sales in Latin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3,924</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 revenue</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Resales revenue</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Reportability</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151,709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8,987</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1"/>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20" w:hanging="652"/>
        <w:spacing w:after="0" w:line="20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 reportability negatively impacted the 2018 first quarter due to an increase in unclosed contracts during the quarter. Revenue reportability negatively impacted the 2017 first quarter due to an increase in unclosed contracts during the quarter.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lower sales reserve reflected a lower required reserve in the 2018 first quarter due to lower default and delinquency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other adjustments for sales incentives was driven by a decrease in the utilization of plus points as a sales incentive in the 2018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8,987</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(2,062)</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(5%)</w:t>
            </w: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4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(7%)</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26,328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964</w:t>
            </w:r>
          </w:p>
        </w:tc>
        <w:tc>
          <w:tcPr>
            <w:tcW w:w="148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4%</w:t>
            </w:r>
          </w:p>
        </w:tc>
      </w:tr>
      <w:tr>
        <w:trPr>
          <w:trHeight w:val="21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(0.3 pts)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41"/>
        </w:trPr>
        <w:tc>
          <w:tcPr>
            <w:tcW w:w="4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 million of favorable revenue reportability compared to the 2017 first quarter;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 million from lower sales reserve activity in the 2018 first quarter;</w:t>
      </w:r>
    </w:p>
    <w:p>
      <w:pPr>
        <w:spacing w:after="0" w:line="117" w:lineRule="exact"/>
        <w:rPr>
          <w:rFonts w:ascii="Arial" w:cs="Arial" w:eastAsia="Arial" w:hAnsi="Arial"/>
          <w:sz w:val="18"/>
          <w:szCs w:val="18"/>
          <w:color w:val="auto"/>
        </w:rPr>
      </w:pPr>
    </w:p>
    <w:p>
      <w:pPr>
        <w:ind w:left="1300" w:right="6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million from higher vacation ownership contract sales volume net of the sales reserve and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$0.4 million of favorable changes in product cost true-up activity ($0.6 million of unfavorable true-up activity in the 2018 first quarter compared to $1.0 million of unfavorable true-up activity in the 2017 first quarter).</w:t>
      </w:r>
    </w:p>
    <w:p>
      <w:pPr>
        <w:spacing w:after="0" w:line="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increases in development margin were partially offset by $3.6 million from higher marketing and sales costs, $0.3 million from an unfavorable mix of higher cost real estate inventory being sold and $0.1 million of lower other expenses.</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0.3 percentage point decline in the development margin percentage reflected a 2.0 percentage point decline due to higher marketing and sales costs and a 0.2 percentage point decrease due to an unfavorable mix of higher cost vacation ownership real estate inventory being sold in the 2018 first quarter. These declines were partially offset by a 1.0 percentage point increase from the favorable revenue reportability year-over-year, a 0.7 percentage point increase due to the lower sales reserve activity and a 0.2 percentage point increase due to the favorable changes in product cost true-up activity year-over-year.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37465</wp:posOffset>
            </wp:positionV>
            <wp:extent cx="2400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Management fee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Ancillary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Other services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Resort management and other services revenues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5"/>
          <w:szCs w:val="15"/>
          <w:color w:val="auto"/>
          <w:shd w:val="clear" w:color="auto" w:fill="CCEEFF"/>
        </w:rPr>
        <w:t>Resort management and other services expenses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Resort management and other services margin</w:t>
      </w:r>
    </w:p>
    <w:p>
      <w:pPr>
        <w:spacing w:after="0" w:line="113" w:lineRule="exact"/>
        <w:rPr>
          <w:sz w:val="20"/>
          <w:szCs w:val="20"/>
          <w:color w:val="auto"/>
        </w:rPr>
      </w:pPr>
    </w:p>
    <w:p>
      <w:pPr>
        <w:ind w:left="40" w:right="620"/>
        <w:spacing w:after="0" w:line="277" w:lineRule="auto"/>
        <w:rPr>
          <w:sz w:val="20"/>
          <w:szCs w:val="20"/>
          <w:color w:val="auto"/>
        </w:rPr>
      </w:pPr>
      <w:r>
        <w:rPr>
          <w:rFonts w:ascii="Arial" w:cs="Arial" w:eastAsia="Arial" w:hAnsi="Arial"/>
          <w:sz w:val="18"/>
          <w:szCs w:val="18"/>
          <w:color w:val="auto"/>
          <w:shd w:val="clear" w:color="auto" w:fill="CCEEFF"/>
        </w:rPr>
        <w:t>Resort management and other services margin percentage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280" w:type="dxa"/>
            <w:vAlign w:val="bottom"/>
          </w:tcPr>
          <w:p>
            <w:pPr>
              <w:spacing w:after="0"/>
              <w:rPr>
                <w:sz w:val="18"/>
                <w:szCs w:val="18"/>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21,563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1,647</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8%</w:t>
            </w:r>
          </w:p>
        </w:tc>
      </w:tr>
      <w:tr>
        <w:trPr>
          <w:trHeight w:val="270"/>
        </w:trPr>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24,688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3%</w:t>
            </w:r>
          </w:p>
        </w:tc>
      </w:tr>
      <w:tr>
        <w:trPr>
          <w:trHeight w:val="270"/>
        </w:trPr>
        <w:tc>
          <w:tcPr>
            <w:tcW w:w="24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16,571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17,469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(5%)</w:t>
            </w: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63,531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62,073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2%</w:t>
            </w: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2%</w:t>
            </w: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31,248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29,104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2,144</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9"/>
        </w:trPr>
        <w:tc>
          <w:tcPr>
            <w:tcW w:w="240" w:type="dxa"/>
            <w:vAlign w:val="bottom"/>
          </w:tcPr>
          <w:p>
            <w:pPr>
              <w:spacing w:after="0"/>
              <w:rPr>
                <w:sz w:val="24"/>
                <w:szCs w:val="24"/>
                <w:color w:val="auto"/>
              </w:rPr>
            </w:pPr>
          </w:p>
        </w:tc>
        <w:tc>
          <w:tcPr>
            <w:tcW w:w="1600" w:type="dxa"/>
            <w:vAlign w:val="bottom"/>
          </w:tcPr>
          <w:p>
            <w:pPr>
              <w:jc w:val="right"/>
              <w:ind w:right="59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59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2.3 pts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-1354455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-1002665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-290830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3980" w:space="720"/>
            <w:col w:w="6720"/>
          </w:cols>
          <w:pgMar w:left="240" w:top="580" w:right="239" w:bottom="1440" w:gutter="0" w:footer="0" w:header="0"/>
          <w:type w:val="continuous"/>
        </w:sectPr>
      </w:pPr>
    </w:p>
    <w:p>
      <w:pPr>
        <w:ind w:right="240" w:firstLine="648"/>
        <w:spacing w:after="0" w:line="257" w:lineRule="auto"/>
        <w:rPr>
          <w:sz w:val="20"/>
          <w:szCs w:val="20"/>
          <w:color w:val="auto"/>
        </w:rPr>
      </w:pPr>
      <w:r>
        <w:rPr>
          <w:rFonts w:ascii="Arial" w:cs="Arial" w:eastAsia="Arial" w:hAnsi="Arial"/>
          <w:sz w:val="18"/>
          <w:szCs w:val="18"/>
          <w:color w:val="auto"/>
        </w:rPr>
        <w:t>The increase in resort management and other services revenues reflected $1.6 million of higher management fees resulting from the cumulative increase in the number of vacation ownership products sold and higher operating costs across the system, $1.0 million of additional annual club dues and other revenues earned in connection with the MVCD program due to the cumulative increase in owners enrolled in the program, and $0.7 million of higher ancillary revenues. These increases were partially offset by $1.8 million of lower refurbishment and other revenues due to a decrease in the number of refurbishment projects completed in the 2018 first quarter.</w:t>
      </w:r>
    </w:p>
    <w:p>
      <w:pPr>
        <w:spacing w:after="0" w:line="8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increase in ancillary revenues included $2.0 million of higher revenues from food and beverage and golf offerings at our resorts, partially offset by $0.7 million of lower revenue due to outsourcing multiple operations and $0.6 million of lower revenue due to the two St. Thomas resorts being closed for part or all of the first quarter of 2018 as a result of the 2017 Hurricanes.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type w:val="continuous"/>
        </w:sectPr>
      </w:pPr>
    </w:p>
    <w:bookmarkStart w:id="45" w:name="page46"/>
    <w:bookmarkEnd w:id="45"/>
    <w:p>
      <w:pPr>
        <w:ind w:right="140" w:firstLine="648"/>
        <w:spacing w:after="0" w:line="297" w:lineRule="auto"/>
        <w:rPr>
          <w:sz w:val="20"/>
          <w:szCs w:val="20"/>
          <w:color w:val="auto"/>
        </w:rPr>
      </w:pPr>
      <w:r>
        <w:rPr>
          <w:rFonts w:ascii="Arial" w:cs="Arial" w:eastAsia="Arial" w:hAnsi="Arial"/>
          <w:sz w:val="16"/>
          <w:szCs w:val="16"/>
          <w:color w:val="auto"/>
        </w:rPr>
        <w:t>The increase in the resort management and other services margin reflected the increases in revenue and $0.7 million of lower expenses. The lower expenses included $1.0 million of lower refurbishment expenses due to a decrease in the number of projects being refurbished in the 2018 first quarter, $1.0 million of lower ancillary expenses due to outsourcing multiple operations and $0.3 million of lower ancillary expenses due to the two St. Thomas resorts being closed for part or all of the first quarter of 2018 as a result of the 2017 Hurricanes, partially offset by $0.5 million of higher customer service expenses and expenses associated with the MVCD program and $1.1 million of higher ancillary expenses from food and beverage and golf offerings at our resorts.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3,290</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ind w:right="593"/>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592"/>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($4.1 million), partially offset by higher financing program incentive costs ($0.6 million) and a decrease in the weighted average coupon rate of our vacation ownership notes receivable ($0.3 million). We expect financing propensity for the 2018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7"/>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March 31, 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68,075</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Rental expenses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(47,183)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(46,054)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21"/>
                <w:szCs w:val="21"/>
                <w:color w:val="auto"/>
              </w:rPr>
            </w:pPr>
          </w:p>
        </w:tc>
        <w:tc>
          <w:tcPr>
            <w:tcW w:w="146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2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88"/>
              </w:rPr>
              <w:t>27%</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Rental margin percentage</w:t>
            </w:r>
          </w:p>
        </w:tc>
        <w:tc>
          <w:tcPr>
            <w:tcW w:w="240" w:type="dxa"/>
            <w:vAlign w:val="bottom"/>
          </w:tcPr>
          <w:p>
            <w:pPr>
              <w:spacing w:after="0"/>
              <w:rPr>
                <w:sz w:val="20"/>
                <w:szCs w:val="20"/>
                <w:color w:val="auto"/>
              </w:rPr>
            </w:pPr>
          </w:p>
        </w:tc>
        <w:tc>
          <w:tcPr>
            <w:tcW w:w="1580" w:type="dxa"/>
            <w:vAlign w:val="bottom"/>
          </w:tcPr>
          <w:p>
            <w:pPr>
              <w:jc w:val="center"/>
              <w:ind w:right="133"/>
              <w:spacing w:after="0"/>
              <w:rPr>
                <w:sz w:val="20"/>
                <w:szCs w:val="20"/>
                <w:color w:val="auto"/>
              </w:rPr>
            </w:pPr>
            <w:r>
              <w:rPr>
                <w:rFonts w:ascii="Arial" w:cs="Arial" w:eastAsia="Arial" w:hAnsi="Arial"/>
                <w:sz w:val="18"/>
                <w:szCs w:val="18"/>
                <w:color w:val="auto"/>
                <w:w w:val="93"/>
              </w:rPr>
              <w:t>30.7%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52"/>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4.4 pts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7"/>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Average transient key 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234.15</w:t>
            </w:r>
          </w:p>
        </w:tc>
        <w:tc>
          <w:tcPr>
            <w:tcW w:w="2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227.57</w:t>
            </w:r>
          </w:p>
        </w:tc>
        <w:tc>
          <w:tcPr>
            <w:tcW w:w="4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21"/>
                <w:szCs w:val="21"/>
                <w:color w:val="auto"/>
              </w:rPr>
            </w:pP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0.6 pts</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660" w:hanging="652"/>
        <w:spacing w:after="0" w:line="213"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increase in rental revenues was due to a 3 percent increase in average transient rate ($2.0 million), $2.6 million of higher plus points and other revenue (plus points are recognized as revenue when the points are redeemed) and a 1 percent increase in transient keys rented ($1.0 million) from a 1 percent increase in available keys.</w:t>
      </w:r>
    </w:p>
    <w:p>
      <w:pPr>
        <w:spacing w:after="0" w:line="7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increase in rental margin reflected higher rental revenues net of direct variable expenses (such as housekeeping) and the $2.6 million increase in plus points and other revenue, partially offset by higher expenses incurred due to owners choosing alternative usage options and higher unsold maintenance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discussion presents an analysis of our results of operations for the Asia Pacific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11,246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9,155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15,234</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8,637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6,763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4,326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15,357</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662"/>
        <w:spacing w:after="0" w:line="312" w:lineRule="auto"/>
        <w:rPr>
          <w:sz w:val="20"/>
          <w:szCs w:val="20"/>
          <w:color w:val="auto"/>
        </w:rPr>
      </w:pPr>
      <w:r>
        <w:rPr>
          <w:rFonts w:ascii="Arial" w:cs="Arial" w:eastAsia="Arial" w:hAnsi="Arial"/>
          <w:sz w:val="16"/>
          <w:szCs w:val="16"/>
          <w:color w:val="auto"/>
        </w:rPr>
        <w:t>In our Asia Pacific segment, we continue to identify opportunities for development margin growth and improvement. We plan to continue to focus on future inventory acquisitions with strong on-site sales locations. During the 2017 third quarter, we completed the purchase of 51 completed vacation ownership units, as well as a sales gallery and related amenities, in Bali, Indonesia. We expect to begin selling from this new location later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right"/>
              <w:ind w:right="105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11,948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increase in Asia Pacific vacation ownership contract sales was driven by a 9 percent increase in tours, partially offset by a 5 percent decrease in VPG. The increase in tours included a 2 percent increase from the new sales location in Surfers Paradise, Australia and a 7 percent increase at the existing sales locations. The decrease in VPG was driven by an increase in sales to first time buyers, which generally have a lower VPG than sales to existing owners.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46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 revenue</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Reportability</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11,246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2,091</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2"/>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lower sales reserve reflected a lower required reserve in the 2018 first quarter due to lower default and delinquency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(28%)</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(261%)</w:t>
            </w: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(8.4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4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decrease in development margin reflected higher marketing and sales costs due to pre-opening expenses in Bali and tour generation costs to support future growth in the region, partially offset by the higher sale of vacation ownership products revenue net of the sales reserve and direct variable expenses (i.e., cost of vacation ownership products and marketing and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189%</w:t>
            </w:r>
          </w:p>
        </w:tc>
      </w:tr>
      <w:tr>
        <w:trPr>
          <w:trHeight w:val="190"/>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592"/>
              <w:spacing w:after="0" w:line="189"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31"/>
              <w:spacing w:after="0" w:line="189" w:lineRule="exact"/>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51"/>
              <w:spacing w:after="0" w:line="189" w:lineRule="exact"/>
              <w:rPr>
                <w:sz w:val="20"/>
                <w:szCs w:val="20"/>
                <w:color w:val="auto"/>
              </w:rPr>
            </w:pPr>
            <w:r>
              <w:rPr>
                <w:rFonts w:ascii="Arial" w:cs="Arial" w:eastAsia="Arial" w:hAnsi="Arial"/>
                <w:sz w:val="18"/>
                <w:szCs w:val="18"/>
                <w:color w:val="auto"/>
              </w:rPr>
              <w:t>8.0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7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increase in resort management and other services revenues reflected $0.2 million of higher annual club dues and other revenues and $0.1 million of higher management fees. The increase in the resort management and other services expenses primarily reflected higher customer service expenses and ancillary expenses associated with the new resort in Bali, Indonesia.</w:t>
      </w:r>
    </w:p>
    <w:p>
      <w:pPr>
        <w:sectPr>
          <w:pgSz w:w="11900" w:h="16838" w:orient="portrait"/>
          <w:cols w:equalWidth="0" w:num="1">
            <w:col w:w="11420"/>
          </w:cols>
          <w:pgMar w:left="240" w:top="58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0"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533"/>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5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(2.2 pts)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rental revenues was due to an increase in transient keys rented. The higher expenses were due to owners choosing alternative usage options and higher unsold maintenance fees in the 2018 first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Europe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3,013</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4,404</w:t>
            </w: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749</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w:t>
            </w: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11,796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14,538</w:t>
            </w:r>
          </w:p>
        </w:tc>
      </w:tr>
      <w:tr>
        <w:trPr>
          <w:trHeight w:val="27"/>
        </w:trPr>
        <w:tc>
          <w:tcPr>
            <w:tcW w:w="5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4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24,994</w:t>
            </w: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3,313</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w:t>
            </w: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3,328</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3"/>
          </w:tcPr>
          <w:p>
            <w:pPr>
              <w:ind w:left="280"/>
              <w:spacing w:after="0"/>
              <w:rPr>
                <w:sz w:val="20"/>
                <w:szCs w:val="20"/>
                <w:color w:val="auto"/>
              </w:rPr>
            </w:pPr>
            <w:r>
              <w:rPr>
                <w:rFonts w:ascii="Arial" w:cs="Arial" w:eastAsia="Arial" w:hAnsi="Arial"/>
                <w:sz w:val="18"/>
                <w:szCs w:val="18"/>
                <w:color w:val="auto"/>
              </w:rPr>
              <w:t>Royalty fee</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14,538</w:t>
            </w:r>
          </w:p>
        </w:tc>
      </w:tr>
      <w:tr>
        <w:trPr>
          <w:trHeight w:val="237"/>
        </w:trPr>
        <w:tc>
          <w:tcPr>
            <w:tcW w:w="6740" w:type="dxa"/>
            <w:vAlign w:val="bottom"/>
            <w:gridSpan w:val="3"/>
          </w:tcPr>
          <w:p>
            <w:pPr>
              <w:ind w:left="50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24,342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25,410</w:t>
            </w:r>
          </w:p>
        </w:tc>
      </w:tr>
      <w:tr>
        <w:trPr>
          <w:trHeight w:val="27"/>
        </w:trPr>
        <w:tc>
          <w:tcPr>
            <w:tcW w:w="5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right"/>
              <w:ind w:right="105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(6%)</w:t>
            </w:r>
          </w:p>
        </w:tc>
      </w:tr>
      <w:tr>
        <w:trPr>
          <w:trHeight w:val="783"/>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ind w:right="65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 revenue</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Resales revenue</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Reportability</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1"/>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40" w:right="1600"/>
        <w:spacing w:after="0" w:line="483" w:lineRule="auto"/>
        <w:rPr>
          <w:sz w:val="20"/>
          <w:szCs w:val="20"/>
          <w:color w:val="auto"/>
        </w:rPr>
      </w:pPr>
      <w:r>
        <w:rPr>
          <w:rFonts w:ascii="Arial" w:cs="Arial" w:eastAsia="Arial" w:hAnsi="Arial"/>
          <w:sz w:val="16"/>
          <w:szCs w:val="16"/>
          <w:color w:val="auto"/>
        </w:rPr>
        <w:t xml:space="preserve">Development margin </w:t>
      </w:r>
      <w:r>
        <w:rPr>
          <w:rFonts w:ascii="Arial" w:cs="Arial" w:eastAsia="Arial" w:hAnsi="Arial"/>
          <w:sz w:val="16"/>
          <w:szCs w:val="16"/>
          <w:color w:val="auto"/>
          <w:shd w:val="clear" w:color="auto" w:fill="CCEEFF"/>
        </w:rPr>
        <w:t>Development margin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4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2017</w:t>
            </w:r>
          </w:p>
        </w:tc>
        <w:tc>
          <w:tcPr>
            <w:tcW w:w="24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(18%)</w:t>
            </w: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(23.5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-882650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-170815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3980" w:space="720"/>
            <w:col w:w="6720"/>
          </w:cols>
          <w:pgMar w:left="240" w:top="580" w:right="2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80"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360" w:type="dxa"/>
            <w:vAlign w:val="bottom"/>
          </w:tcPr>
          <w:p>
            <w:pPr>
              <w:spacing w:after="0"/>
              <w:rPr>
                <w:sz w:val="22"/>
                <w:szCs w:val="22"/>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2,235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29,435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27,539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6,606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5,938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13,106</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52,835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FINANCIAL RESULTS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(59,322)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(54,033)</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have with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expenses increased $2.0 million from the 2017 first quarter. The $2.0 million increase resulted from $1.9 million of higher general and administrative expenses, $0.7 million of higher consumer financing interest expense, and $0.2 million of higher financing expenses due to the increase in the average gross vacation ownership notes receivable balance, partially offset by $0.4 million of lower royalty fees due to amendments to our license agreements with Marriott International entered into during the 2018 first quarter and $0.4 million of lower cost of vacation ownership products expenses due to lower development expenses.</w:t>
      </w:r>
    </w:p>
    <w:p>
      <w:pPr>
        <w:spacing w:after="0" w:line="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General and administrative expenses increased $1.9 million due to higher litigation costs as well as higher personnel related and other expenses. The higher personnel related and other expenses included annual merit, bonus and inflationary cost increases.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$0.7 million increase in consumer financing interest expense was due to a higher average outstanding debt balance.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Quarter</w:t>
      </w:r>
    </w:p>
    <w:p>
      <w:pPr>
        <w:spacing w:after="0" w:line="11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expense increased $3.5 million due to $2.2 million of interest expense associated with the Convertible Notes issued during the 2017 third quarter, $0.9 million of imputed interest on a non-interest bearing note payable associated with the acquisition of vacation ownership units located on the Big Island of Hawaii and a $0.4 million increase in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See Footnote 1 “Summary of Significant Accounting Policies” to our Financial Statements for a discussion of recently issued accounting pronouncements, including information on new accounting standards and the future adoption of such standards. Further, see Footnote 15 “Adoption Impact of New Revenue Standard” to our Financial Statements for the impact of the adoption of ASU 2014-09, as amended, on our previously reported historical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capital needs are supported by cash on hand ($323.8 million at the end of the 2018 first quarter), cash generated from operations, our ability to raise capital through securitizations in the ABS market and, to the extent necessary, funds available under the Warehouse Credit Facility and our $250.0 million revolving credit facility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the 2018 first quarter, we had $1.1 billion of total gross debt outstanding, which included $758.8 million of non-recourse debt associated with vacation ownership notes receivable securitizations, $230.0 million of Convertible Notes and a $63.6 million non-interest bearing note payable issued in connection with the acquisition of completed vacation ownership units on the Big Island of Hawaii.</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end of the 2018 first quarter, we had $721.9 million of real estate inventory on hand, comprised of $371.5 million of finished goods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$350.4 million of land and infrastructure. In addition, we had $48.5 million of completed vacation ownership units that have been classified as a component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Property and equipment until the time at which they are legally registered for sale as vacation ownership products.</w:t>
      </w:r>
    </w:p>
    <w:p>
      <w:pPr>
        <w:spacing w:after="0" w:line="10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vacation ownership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0"/>
                <w:szCs w:val="20"/>
                <w:color w:val="auto"/>
              </w:rPr>
            </w:pPr>
          </w:p>
        </w:tc>
        <w:tc>
          <w:tcPr>
            <w:tcW w:w="1580" w:type="dxa"/>
            <w:vAlign w:val="bottom"/>
          </w:tcPr>
          <w:p>
            <w:pPr>
              <w:jc w:val="right"/>
              <w:ind w:right="29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23,254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45,704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(81,229)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(47,228)</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inventory acquisition and development.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2" w:name="page53"/>
    <w:bookmarkEnd w:id="52"/>
    <w:p>
      <w:pPr>
        <w:ind w:right="340" w:firstLine="648"/>
        <w:spacing w:after="0" w:line="297" w:lineRule="auto"/>
        <w:rPr>
          <w:sz w:val="20"/>
          <w:szCs w:val="20"/>
          <w:color w:val="auto"/>
        </w:rPr>
      </w:pPr>
      <w:r>
        <w:rPr>
          <w:rFonts w:ascii="Arial" w:cs="Arial" w:eastAsia="Arial" w:hAnsi="Arial"/>
          <w:sz w:val="16"/>
          <w:szCs w:val="16"/>
          <w:color w:val="auto"/>
        </w:rPr>
        <w:t>In the 2018 first quarter, we generated $23.3 million of cash flows from operating activities, compared to $45.7 million in the 2017 first quarter. Excluding the impact of changes in net income and adjustments for non-cash items, the change in cash flows from operations reflected higher inventory spending, higher payments related to employee benefits programs, timing of payments to property owners’ associations for maintenance fees collected on their behalf, and higher originations driven by higher contract sales, partially offset by higher collections due to an increasing portfolio of outstanding vacation ownership notes receivable, and increased deposits on sales contracts for vacation ownership products.</w:t>
      </w:r>
    </w:p>
    <w:p>
      <w:pPr>
        <w:spacing w:after="0" w:line="5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2"/>
                <w:szCs w:val="22"/>
                <w:color w:val="auto"/>
              </w:rPr>
            </w:pPr>
          </w:p>
        </w:tc>
        <w:tc>
          <w:tcPr>
            <w:tcW w:w="158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Inventory costs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39,796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37,125</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spending less than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measure our inventory capital efficiency by comparing the cash outflow for inventory spending (a cash item) to the amount of inventory costs charged to expense on our Income Statements related to sale of vacation ownership products (a non-cash item).</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inventory spending was less than inventory costs in the 2018 first quarter even as we satisfied a portion of our commitment to purchase vacation ownership units in our North America segment. We expect our inventory spending to be in line with inventory costs throughout the remainder of 2018. Inventory spending included the acquisition of 20 completed vacation ownership units located at our resort in Marco Island, Florida, for $23.9 million, as well as a deposit of $1.9 million for the purchase of completed vacation ownership units located in Bali, Indonesia. We entered into each of these commitments in prior periods as part of our capital efficiency strategy to limit our up-front capital investment and purchase finished inventory closer to the time it is needed for sale. See Footnote 6 “Acquisitions and Dispositions” and Footnote 9 “Contingencies and Commitments” to our Financial Statements for additional information regarding these transactions.</w:t>
      </w:r>
    </w:p>
    <w:p>
      <w:pPr>
        <w:spacing w:after="0" w:line="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inventory spending was less than inventory costs in the 2017 first quarter. Our inventory spending increased throughout the remainder of 2017 as we satisfied our commitments to purchase vacation ownership units in our North America and Asia Pacific segments that we had entered into in prior periods as part of our capital efficiency strategy to limit our up-front capital investment and purchase finished inventory closer to the time it is needed for sale.</w:t>
      </w:r>
    </w:p>
    <w:p>
      <w:pPr>
        <w:spacing w:after="0" w:line="3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2"/>
                <w:szCs w:val="22"/>
                <w:color w:val="auto"/>
              </w:rPr>
            </w:pPr>
          </w:p>
        </w:tc>
        <w:tc>
          <w:tcPr>
            <w:tcW w:w="158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collections — non-securitized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54,605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55,854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originations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(36,572)</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Vacation ownership notes receivable collections increased during the 2018 first quarter, as compared to the 2017 first quarter, due to an increase in the portfolio of outstanding vacation ownership notes receivable. Vacation ownership notes receivable originations in the 2018 first quarter decreased due to a decrease in financing propensity to 61.7 percent for the 2018 first quarter compared to 66.1 percent for the 2017 first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Capital expenditures for property and equipment (excluding inventory)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company 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Dispositions, net</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18"/>
                <w:szCs w:val="18"/>
                <w:color w:val="auto"/>
              </w:rPr>
            </w:pPr>
          </w:p>
        </w:tc>
        <w:tc>
          <w:tcPr>
            <w:tcW w:w="158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70"/>
        </w:trPr>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(8,200)</w:t>
            </w:r>
          </w:p>
        </w:tc>
      </w:tr>
      <w:tr>
        <w:trPr>
          <w:trHeight w:val="270"/>
        </w:trPr>
        <w:tc>
          <w:tcPr>
            <w:tcW w:w="2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(13,254)</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6940" w:space="720"/>
            <w:col w:w="3760"/>
          </w:cols>
          <w:pgMar w:left="240" w:top="584" w:right="239" w:bottom="1440" w:gutter="0" w:footer="0" w:header="0"/>
        </w:sectPr>
      </w:pPr>
    </w:p>
    <w:p>
      <w:pPr>
        <w:ind w:right="40" w:firstLine="648"/>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the 2018 first quarter, capital expenditures for property and equipment of $2.8 million included $2.2 million to support business operations (including $1.5 million for ancillary and other operations assets and $0.7 million for sales locations) and $0.6 million for technology spending.</w:t>
      </w:r>
    </w:p>
    <w:p>
      <w:pPr>
        <w:spacing w:after="0" w:line="16"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the 2017 first quarter, capital expenditures for property and equipment of $5.1 million included $4.6 million to support business operations (including $2.5 million for sales locations and $2.1 million for ancillary and other operations assets) and $0.5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2018 first quarter, we paid $9.0 million to acquire these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2"/>
                <w:szCs w:val="22"/>
                <w:color w:val="auto"/>
              </w:rPr>
            </w:pPr>
          </w:p>
        </w:tc>
        <w:tc>
          <w:tcPr>
            <w:tcW w:w="1580" w:type="dxa"/>
            <w:vAlign w:val="bottom"/>
          </w:tcPr>
          <w:p>
            <w:pPr>
              <w:jc w:val="right"/>
              <w:ind w:right="291"/>
              <w:spacing w:after="0"/>
              <w:rPr>
                <w:sz w:val="20"/>
                <w:szCs w:val="20"/>
                <w:color w:val="auto"/>
              </w:rPr>
            </w:pPr>
            <w:r>
              <w:rPr>
                <w:rFonts w:ascii="Arial" w:cs="Arial" w:eastAsia="Arial" w:hAnsi="Arial"/>
                <w:sz w:val="16"/>
                <w:szCs w:val="16"/>
                <w:b w:val="1"/>
                <w:bCs w:val="1"/>
                <w:color w:val="auto"/>
              </w:rPr>
              <w:t>March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Payment of dividends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(19,010)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(81,229)</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Repayment of Debt Related to Securitization Transactions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reflect repayments of bonds associated with vacation ownership notes receivable securitizations and repayments on the Warehouse Credit Facility (including vacation ownership notes receivable repurchases) as “Repayment of debt related to securitization transactions.” At March 31, 2018, $267.4 million of gross vacation ownership notes receivable were eligible for securitization. See Footnote 10 “Debt” to our Financial Statements for additional information regarding our Warehouse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2018 first quarter, we incurred $1.0 million of debt issuance costs associated with the amendment and extension of the Warehouse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2017 first quarter, we incurred $1.2 million of debt issuance costs associated with the amendment and extension of the Warehouse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type w:val="continuous"/>
        </w:sectPr>
      </w:pPr>
    </w:p>
    <w:bookmarkStart w:id="54" w:name="page55"/>
    <w:bookmarkEnd w:id="54"/>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 the first quarter of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698,626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Footnote 11 “Shareholders’ Equity” to our Financial Statements for further information related to our 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2018 first quarter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7, 2017</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21,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4,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16, 2018</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15,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$0.40</w:t>
            </w:r>
          </w:p>
        </w:tc>
      </w:tr>
    </w:tbl>
    <w:p>
      <w:pPr>
        <w:spacing w:after="0" w:line="12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Further, the Merger Agreement, as defined in Part II, Item 1A Risk Factors restricts our ability to pay dividends other than our regular quarterly dividends until the ILG Combination, referenced therein, is completed.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Part II, Item 7, “Management’s Discussion and Analysis of Financial Condition and Results of Operations,” in our Annual Report on Form 10-K for the year ended December 31, 2017, other than as set forth below.</w:t>
      </w:r>
    </w:p>
    <w:p>
      <w:pPr>
        <w:spacing w:after="0" w:line="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31, 2018, net debt decreased by $82.8 million to $1,012.4 million compared to $1,095.2 million at December 31, 2017, mainly due to a decrease of $85.4 million related to repayments of non-recourse debt associated with vacation ownership notes receivable securitizations. See Footnote 10 “Debt” to our Financial Statements for additional information.</w:t>
      </w:r>
    </w:p>
    <w:p>
      <w:pPr>
        <w:spacing w:after="0" w:line="73"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March 31, 2018, future debt payments to be paid out of collections from our vacation ownership notes receivable, including principal and interest, totaled $850.5 million and were due as follows: $76.1 million remaining in 2018; $98.3 million in 2019; $99.6 million in 2020; $100.0 million in 2021; $97.0 million in 2022; and $379.5 million thereafter.</w:t>
      </w:r>
    </w:p>
    <w:p>
      <w:pPr>
        <w:spacing w:after="0" w:line="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first quarter of 2018, we acquired 20 completed vacation ownership units located at our resort in Marco Island, Florida for $23.9 million related to a previous commitment. We have a remaining commitment of $84.5 million, which we expect will be paid in 2019. See Footnote 6 “Acquisitions and Dispositions” and Footnote 13 “Variable Interest Entities” to our Financial Statements for additional information on this transaction and our activities relating to the variable interest entity involved in this transaction.</w:t>
      </w:r>
    </w:p>
    <w:p>
      <w:pPr>
        <w:spacing w:after="0" w:line="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first quarter of 2018, we assigned a commitment to purchase an operating property located in San Francisco, California to a third-party developer in a capital efficient inventory arrangement. We expect to acquire the operating property in 2020 and to pay the purchase price of $163.5 million as follows: $100.0 million in 2020 and $63.5 million in 2021. See Footnote 9 “Contingencies and Commitments” and Footnote 13 “Variable Interest Entities” to our Financial Statements for additional information on this transaction and our activities relating to the variable interest entity involved in this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our adoption of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which are discussed in Footnote 2 “Revenue” to our interim consolidated financial statements presented in Part 1, Item 1 of this Quarterly Report on Form 10-Q.</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2017.</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 on January 1, 2018, the first day of our 2018 fiscal year. The adoption of the new revenue standard had a significant impact on our financial statements, and we have implemented changes to our controls related to revenue. These changes included the development of new policies based on the new revenue standard, enhanced contract review requirements, and other ongoing monitoring activities. These controls were designed to provide assurance at a reasonable level of the fair presentation of our financial statements and related disclosures. There were no other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our Annual Report on Form 10-K for the fiscal year ended December 31, 2017, other than as set forth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ILG Combination</w:t>
      </w:r>
    </w:p>
    <w:p>
      <w:pPr>
        <w:spacing w:after="0" w:line="117" w:lineRule="exact"/>
        <w:rPr>
          <w:sz w:val="20"/>
          <w:szCs w:val="20"/>
          <w:color w:val="auto"/>
        </w:rPr>
      </w:pPr>
    </w:p>
    <w:p>
      <w:pPr>
        <w:ind w:right="240" w:firstLine="648"/>
        <w:spacing w:after="0" w:line="375" w:lineRule="auto"/>
        <w:rPr>
          <w:sz w:val="20"/>
          <w:szCs w:val="20"/>
          <w:color w:val="auto"/>
        </w:rPr>
      </w:pPr>
      <w:r>
        <w:rPr>
          <w:rFonts w:ascii="Arial" w:cs="Arial" w:eastAsia="Arial" w:hAnsi="Arial"/>
          <w:sz w:val="15"/>
          <w:szCs w:val="15"/>
          <w:b w:val="1"/>
          <w:bCs w:val="1"/>
          <w:i w:val="1"/>
          <w:iCs w:val="1"/>
          <w:color w:val="auto"/>
        </w:rPr>
        <w:t>We will be subject to various uncertainties and contractual restrictions, including the risk of litigation, while the ILG Combination is pending that could cause disruption and may make it more difficult to maintain relationships with our employees, owners, owners’ associations or suppliers</w:t>
      </w:r>
      <w:r>
        <w:rPr>
          <w:rFonts w:ascii="Arial" w:cs="Arial" w:eastAsia="Arial" w:hAnsi="Arial"/>
          <w:sz w:val="15"/>
          <w:szCs w:val="15"/>
          <w:color w:val="auto"/>
        </w:rPr>
        <w:t>.</w:t>
      </w:r>
    </w:p>
    <w:p>
      <w:pPr>
        <w:spacing w:after="0" w:line="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April 30, 2018, we entered into an Agreement and Plan of Merger (“Merger Agreement”) under which we agreed to acquire, in a series of transactions (the “ILG Combination”), all of the outstanding shares of ILG, Inc. (“ILG”). Uncertainty about the effect of the ILG Combination on our employees, owners, owners’ associations and suppliers may have an adverse effect on our business. These uncertainties could impair our ability to attract, retain and motivate key personnel until the ILG Combination is completed and for a period of time after that, and could cause owners, owners’ associations, suppliers and others that deal with us to seek to change our existing business relationships. The pursuit of the ILG Combination and the preparation for the integration may place a significant burden on our management and internal resources. The diversion of management’s attention away from day-to-day business concerns and any difficulties encountered in the transition and integration process could adversely affect our financial results.</w:t>
      </w:r>
    </w:p>
    <w:p>
      <w:pPr>
        <w:spacing w:after="0" w:line="5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addition, the Merger Agreement restricts each company, without the other’s consent, from taking certain specified actions until the ILG Combination closes or the Merger Agreement terminates. These restrictions could prevent us from pursuing otherwise attractive business opportunities and making other changes to our business before completion of the ILG Combination or termination of the Merger Agreement.</w:t>
      </w:r>
    </w:p>
    <w:p>
      <w:pPr>
        <w:spacing w:after="0" w:line="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Following the completion of the ILG Combination, the combined company’s license arrangements with respect to the brands associated with the ILG portfolio could be terminated.</w:t>
      </w:r>
    </w:p>
    <w:p>
      <w:pPr>
        <w:spacing w:after="0" w:line="6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If, following the completion of the ILG Combination, the combined company defaults under the licensing arrangements with Hyatt (assuming Hyatt does not exercise its right to terminate the Hyatt license in connection with the ILG Combination) or Marriott, the combined company could lose the right to use one or more brands associated with the ILG portfolio in connection with our post-combination business. The loss of these rights and/or certain other related rights could materially adversely affect the combined company’s ability to generate revenue and profits from its vacation ownership business.</w:t>
      </w:r>
    </w:p>
    <w:p>
      <w:pPr>
        <w:spacing w:after="0" w:line="4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termination of these licensing arrangements following completion of the ILG Combination could materially harm the combined company’s business and results of operations and impair the combined company’s ability to market and sell its products and maintain its competitive position, and could have a material adverse effect on our financial position, results of operations or cash flows.</w:t>
      </w:r>
    </w:p>
    <w:p>
      <w:pPr>
        <w:spacing w:after="0" w:line="73"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b w:val="1"/>
          <w:bCs w:val="1"/>
          <w:i w:val="1"/>
          <w:iCs w:val="1"/>
          <w:color w:val="auto"/>
        </w:rPr>
        <w:t>Following the completion of the ILG Combination, the combined company’s vacation ownership business will depend on the quality and reputation of the brands associated with the ILG portfolio and any deterioration in the quality or reputation of these brands could adversely affect the combined company’s market share, reputation, business, financial condition and results of operations.</w:t>
      </w:r>
    </w:p>
    <w:p>
      <w:pPr>
        <w:spacing w:after="0" w:line="5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Following completion of the ILG Combination, the combined company will offer vacation ownership products and services under several brands associated with the ILG portfolio. If the quality of any of these brands deteriorates, or the reputation of these brands declines, the combined company market share, reputation, business, financial condition or results of operations could be materially adversely affected.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580" w:right="299" w:bottom="1440" w:gutter="0" w:footer="0" w:header="0"/>
        </w:sectPr>
      </w:pPr>
    </w:p>
    <w:bookmarkStart w:id="57" w:name="page58"/>
    <w:bookmarkEnd w:id="57"/>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the licensors who license their trademarks to us do not consent to our use of their trademarks at new resorts we acquire or develop in the future.</w:t>
      </w:r>
    </w:p>
    <w:p>
      <w:pPr>
        <w:spacing w:after="0" w:line="6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Under the terms of our License Agreements with Marriott International and The Ritz-Carlton Hotel Company, we must obtain Marriott International’s or The Ritz-Carlton Hotel Company’s consent, as applicable, to use the Marriott or Ritz-Carlton trademarks in connection with resorts, residences or other accommodations that we acquire or develop in the future. Following the completion of the ILG Combination, we anticipate that the terms of the combined company’s license agreements will contain similar requirements regarding such use of the brands associated with the ILG portfolio. If our licensors do not permit us to use their trademarks in connection with our development or acquisition plans, the combined company’s ability to expand our business and remain competitive may be materially adversely affected. The requirement to obtain consent to our expansion plans, or the need to identify and secure alternative expansion opportunities because we cannot obtain such consent, may delay implementation of our expansion plans and cause us to incur additional expense.</w:t>
      </w:r>
    </w:p>
    <w:p>
      <w:pPr>
        <w:spacing w:after="0" w:line="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depends on maintenance fees paid by the owners of vacation ownership interests.</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maintenance fees that are levied on owners of our vacation ownership interests by property owners’ association boards are used to maintain and refurbish the vacation ownership properties and to keep the properties in compliance with applicable brand standards. Property owners’ association boards may not levy sufficient maintenance fees, or owners of vacation ownership interests may fail to pay their maintenance fees for reasons such as financial hardship or because of damage to their vacation ownership interests from natural disasters such as hurricanes. In these circumstances, not only could our management fee revenue be adversely affected, but the vacation ownership properties could fall into disrepair and fail to comply with applicable brand standards. If a resort fails to comply with applicable brand standards, the applicable licensor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maintenance fees at our resorts are required to be increased, our products could become less attractive and our business could be harmed.</w:t>
      </w:r>
    </w:p>
    <w:p>
      <w:pPr>
        <w:spacing w:after="0" w:line="1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maintenance fees that are levied on owners of our vacation ownership interests by property owners’ association boards may increase as the costs to maintain and refurbish the vacation ownership properties and to keep the properties in compliance with Marriott and Ritz-Carlton brand standards increase. A similar situation may arise with respect to fees imposed on owners of vacation ownership interests with respect to new properties added to our portfolio following the completion of the ILG Combination. Increased maintenance fees could make our products less desirable, which could have a negative impact on sales of our products and could also cause an increase in defaults with respect to our vacation ownership notes receivable portfolio.</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Failure to complete the ILG Combination could negatively impact our stock price and our future business and financial results</w:t>
      </w:r>
      <w:r>
        <w:rPr>
          <w:rFonts w:ascii="Arial" w:cs="Arial" w:eastAsia="Arial" w:hAnsi="Arial"/>
          <w:sz w:val="17"/>
          <w:szCs w:val="17"/>
          <w:color w:val="auto"/>
        </w:rPr>
        <w:t>.</w:t>
      </w:r>
    </w:p>
    <w:p>
      <w:pPr>
        <w:spacing w:after="0" w:line="1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do not complete the ILG Combination, our ongoing business could be adversely affected, and we may be subject to several risks, including the following:</w:t>
      </w:r>
    </w:p>
    <w:p>
      <w:pPr>
        <w:spacing w:after="0" w:line="62" w:lineRule="exact"/>
        <w:rPr>
          <w:sz w:val="20"/>
          <w:szCs w:val="20"/>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required to pay a termination fee under specified circumstances, including termination of the Merger Agreement by us or ILG to enter into a definitive agreement for certain qualifying acquisition proposals as described in the Merger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to pay certain costs relating to the ILG Combination, such as legal, accounting, financial advisor and other fees and expenses;</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 price could decline to the extent that the current market prices reflect a market assumption that the ILG Combination will be completed;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having had our management focus on the ILG Combination instead of on pursuing other opportunities that could have been beneficial to us.</w:t>
      </w:r>
    </w:p>
    <w:p>
      <w:pPr>
        <w:spacing w:after="0" w:line="1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the ILG Combination is not completed, we cannot assure you that these risks will not materialize and will not materially adversely affect our business, financial results and stock price.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76" w:right="259" w:bottom="1440" w:gutter="0" w:footer="0" w:header="0"/>
        </w:sectPr>
      </w:pPr>
    </w:p>
    <w:bookmarkStart w:id="58" w:name="page59"/>
    <w:bookmarkEnd w:id="58"/>
    <w:p>
      <w:pPr>
        <w:ind w:right="60" w:firstLine="648"/>
        <w:spacing w:after="0" w:line="308" w:lineRule="auto"/>
        <w:rPr>
          <w:sz w:val="20"/>
          <w:szCs w:val="20"/>
          <w:color w:val="auto"/>
        </w:rPr>
      </w:pPr>
      <w:r>
        <w:rPr>
          <w:rFonts w:ascii="Arial" w:cs="Arial" w:eastAsia="Arial" w:hAnsi="Arial"/>
          <w:sz w:val="17"/>
          <w:szCs w:val="17"/>
          <w:b w:val="1"/>
          <w:bCs w:val="1"/>
          <w:i w:val="1"/>
          <w:iCs w:val="1"/>
          <w:color w:val="auto"/>
        </w:rPr>
        <w:t>Our ability to complete the ILG Combination is subject to certain closing conditions and the receipt of consents and approvals from government entities which may impose conditions that could adversely affect us or cause the ILG Combination to be abandoned</w:t>
      </w:r>
      <w:r>
        <w:rPr>
          <w:rFonts w:ascii="Arial" w:cs="Arial" w:eastAsia="Arial" w:hAnsi="Arial"/>
          <w:sz w:val="17"/>
          <w:szCs w:val="17"/>
          <w:color w:val="auto"/>
        </w:rPr>
        <w: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Merger Agreement contains certain customary conditions, including, among others:</w:t>
      </w:r>
    </w:p>
    <w:p>
      <w:pPr>
        <w:spacing w:after="0" w:line="117" w:lineRule="exact"/>
        <w:rPr>
          <w:sz w:val="20"/>
          <w:szCs w:val="20"/>
          <w:color w:val="auto"/>
        </w:rPr>
      </w:pPr>
    </w:p>
    <w:p>
      <w:pPr>
        <w:ind w:left="660" w:right="8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by a majority of the votes cast at a special meeting of our shareholders of the issuance of shares of our common stock to ILG shareholders;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by the holders of a majority of all outstanding shares of ILG common stock of the transactions;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any judgment, order, law or other legal restraint by a court or other governmental entity of competent jurisdiction that prevents the completion of the ILG Combination;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for listing by the NYSE of the shares of our common stock issuable in the ILG Combination.</w:t>
      </w:r>
    </w:p>
    <w:p>
      <w:pPr>
        <w:spacing w:after="0" w:line="11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We cannot assure you that the various closing conditions will be satisfied, or that any required conditions will not materially adversely affect the combined company after the ILG Combination closes, or will not result in the abandonment or delay of the ILG Combination.</w:t>
      </w:r>
    </w:p>
    <w:p>
      <w:pPr>
        <w:spacing w:after="0" w:line="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before the ILG Combination may be completed, various approvals must be obtained from certain regulatory and governmental authorities, including the expiration or termination of the applicable waiting period under the Hart-Scott Rodino Antitrust Improvements Act and receipt of consents and approvals from various other governmental entities. These regulatory and governmental entities could impose conditions on the granting of such approvals. Such conditions and the process of obtaining regulatory approvals could have the effect of delaying closing of the ILG Combination or of imposing additional costs or limitations on the combined company following the closing. The regulatory approvals may not be received at all, may not be received in a timely fashion, or may contain conditions. In addition, ILG’s and our respective obligations to complete the ILG Combination are conditioned on the receipt of certain regulatory approvals or waiver by the other party of such condition.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delay in completing the ILG Combination could reduce or eliminate the benefits that we expect to achieve.</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discussed above, the ILG Combination is subject to a number of conditions beyond ILG’s and our control that could prevent, delay or otherwise materially adversely affect the completion of the combination. We cannot predict whether and when these conditions will be satisfied. Any delay in completing the ILG Combination could cause the combined company not to realize some or all of the synergies that we expect to achieve if the ILG Combination is successfully completed within the expected time frame.</w:t>
      </w:r>
    </w:p>
    <w:p>
      <w:pPr>
        <w:spacing w:after="0" w:line="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Our future results may suffer if third parties terminate or seek to modify existing agreements with ILG or us, including ILG’s license agreement with Hyatt, due to the ILG Combination.</w:t>
      </w:r>
    </w:p>
    <w:p>
      <w:pPr>
        <w:spacing w:after="0" w:line="6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ILG and Marriott Vacations Worldwide are each party to agreements with third parties that may exercise termination or other rights under their respective agreements with ILG or Marriott Vacations Worldwide if we do not obtain their consent to the ILG Combination. Any of these third parties may request modifications of their respective agreements as a condition to granting a waiver or consent under their agreement. The termination or amendment of any of these agreements could materially harm the combined company’s business and results of operations and impair its ability to market and sell its products and maintain its competitive position, and could have a material adverse effect on its financial position, results of operations or cash flows. In addition, the combined company may incur liabilities if it is alleged or found to have breached such agreements, and may also incur costs in seeking to replace any terminated agreements.</w:t>
      </w:r>
    </w:p>
    <w:p>
      <w:pPr>
        <w:spacing w:after="0" w:line="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example, ILG licenses from Hyatt the exclusive global use of the Hyatt brand in connection with ILG’s vacation ownership business. Hyatt can terminate or take other actions with respect to its license agreement with ILG if ILG engages in certain “change of control” transactions, such as the ILG Combination, without Hyatt’s written consent. Hyatt may request modifications of the license agreement as a condition to consenting to the ILG Combination. The termination of the Hyatt license agreement, or the amendment of such agreement on terms less favorable to the combined company, could materially harm the combined company’s business and results of operations and impair its ability to market and sell its products and maintain its competitive position, and could have a material adverse effect on its financial position, results of operations or cash flows.</w:t>
      </w:r>
    </w:p>
    <w:p>
      <w:pPr>
        <w:spacing w:after="0" w:line="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The combined company may not be able to integrate successfully and many of the anticipated benefits of combining ILG and our company may not be realized</w:t>
      </w:r>
      <w:r>
        <w:rPr>
          <w:rFonts w:ascii="Arial" w:cs="Arial" w:eastAsia="Arial" w:hAnsi="Arial"/>
          <w:sz w:val="18"/>
          <w:szCs w:val="18"/>
          <w:color w:val="auto"/>
        </w:rPr>
        <w:t>.</w:t>
      </w:r>
    </w:p>
    <w:p>
      <w:pPr>
        <w:spacing w:after="0" w:line="6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entered into the Merger Agreement with the expectation that the ILG Combination will result in various benefits, including, among other things, cost synergies. Achieving those anticipated benefits is subject to a number of uncertainties, including whether we can integrate the business of ILG in an efficient and effective manner and whether we can manage the business of significantly increased size that will result from the ILG Combination.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76" w:right="279" w:bottom="1440" w:gutter="0" w:footer="0" w:header="0"/>
        </w:sectPr>
      </w:pPr>
    </w:p>
    <w:bookmarkStart w:id="59" w:name="page60"/>
    <w:bookmarkEnd w:id="59"/>
    <w:p>
      <w:pPr>
        <w:ind w:right="20" w:firstLine="648"/>
        <w:spacing w:after="0" w:line="287" w:lineRule="auto"/>
        <w:rPr>
          <w:sz w:val="20"/>
          <w:szCs w:val="20"/>
          <w:color w:val="auto"/>
        </w:rPr>
      </w:pPr>
      <w:r>
        <w:rPr>
          <w:rFonts w:ascii="Arial" w:cs="Arial" w:eastAsia="Arial" w:hAnsi="Arial"/>
          <w:sz w:val="16"/>
          <w:szCs w:val="16"/>
          <w:color w:val="auto"/>
        </w:rPr>
        <w:t>The integration process could also take longer than we anticipate and could result in the loss of valuable employees, the disruption of each company’s ongoing businesses, processes and systems or inconsistencies in standards, controls, procedures, practices, policies and compensation arrangements, any of which could adversely affect the combined company’s ability to achieve the benefits we anticipate. The combined company’s resulting portfolio could be challenging for us to maintain and grow, and the harmonization of our different systems and businesses could be more difficult, disruptive, and time consuming than we anticipate. The combined company’s results of operations could also be adversely affected by any issues attributable to either company’s operations that arise or are based on events or actions that occur before the ILG Combination closes. The combined company may also have difficulty addressing possible differences in corporate cultures and management philosophies. In addition, we must manage the significantly expanded business that will result from the ILG Combination, which could pose substantial challenges for management, including challenges related to the management and monitoring of new operations and associated increased costs and complexity. The integration process is subject to a number of uncertainties, and we cannot assure you that the benefits we anticipate will be realized at all or as quickly as we expect. If we don’t achieve those benefits, our costs could increase, our expected net income could decrease, and the combined company’s future business, financial condition, operating results and prospects could suffer.</w:t>
      </w:r>
    </w:p>
    <w:p>
      <w:pPr>
        <w:spacing w:after="0" w:line="65"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b w:val="1"/>
          <w:bCs w:val="1"/>
          <w:i w:val="1"/>
          <w:iCs w:val="1"/>
          <w:color w:val="auto"/>
        </w:rPr>
        <w:t>Our future results will suffer if we do not effectively manage ILG’s external exchange business following the completion of the ILG Combination.</w:t>
      </w:r>
    </w:p>
    <w:p>
      <w:pPr>
        <w:spacing w:after="0" w:line="6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Following the completion of the ILG Combination, the combined company will operate ILG’s exchange business, which provides owners of vacation ownership interests with access to alternate accommodations through exchange networks encompassing a variety of resorts, including Interval International, the Vistana Signature Network, Hyatt Residence Club and exchanges through Trading Places International. ILG’s external exchange business represents a significant part of ILG’s consolidated revenue. We have not previously operated an external exchange business. Our future success depends, in part, upon our ability to manage ILG’s exchange business, which could pose substantial challenges for management, including challenges related to the management and monitoring of a new line of business. If we are unable to effectively manage ILG’s external exchange business, the combined company’s business, financial position, results of operations and prospects may be materially adversely affected.</w:t>
      </w:r>
    </w:p>
    <w:p>
      <w:pPr>
        <w:spacing w:after="0" w:line="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ILG’s external exchange networks’ transaction levels are influenced by the supply of inventory in the system and the demand for such available inventory, and both supply and demand are influenced by a number of factors that will be beyond the combined company’s control, including, but not limited to, economic conditions, regional concerns, natural disasters or users or developers choosing not to deposit inventory into the exchanges. If the supply and demand of inventory do not keep pace, transactions may decrease or the combined company may elect to purchase additional inventory to fulfill the demand, which could negatively affect its profits and margin.</w:t>
      </w:r>
    </w:p>
    <w:p>
      <w:pPr>
        <w:spacing w:after="0" w:line="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ILG’s exchange business is subject to competition from a number of sources, including its primary competitor, RCI, as well as leisure lodging operators and alternative lodging marketplaces. Further, we expect that developers will continue to create, operate and expand internal exchange and vacation club systems, which would decrease their reliance on external vacation ownership exchange programs, including those expected to be offered by the combined company, and would adversely impact the supply of resort accommodations available through ILG’s external exchange networks. If the combined company is unable to compete effectively in the external exchange business following the ILG combination, the combined company’s business, financial position, results of operations and prospects may be materially adversely affected.</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take on additional indebtedness to finance the acquisition, which could adversely affect us, including by decreasing our business flexibility.</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completion of the ILG Combination, we intend to significantly increase our level of indebtedness. Our increased level of debt, together with certain covenants that may be imposed on the combined company in connection with incurring this indebtedness, will, among other things, (i) require us to dedicate a larger portion of our cash flow from operations to servicing and repayment of debt; (ii) reduce funds available for strategic initiatives and opportunities, dividends, share repurchases, working capital and other general corporate needs; (iii) limit our ability to incur certain kinds or amounts of additional indebtedness, which could restrict our flexibility to react to changes in our business, industry and economic conditions and increasing borrowing costs; and (iv) may create competitive disadvantages relative to other companies with lower debt levels.</w:t>
      </w:r>
    </w:p>
    <w:p>
      <w:pPr>
        <w:spacing w:after="0" w:line="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addition, the combined company’s credit ratings will impact the cost and availability of future borrowings and, accordingly, our cost of capital. The combined company’s ratings will reflect each rating organization’s opinion of the combined company’s financial strength, operating performance and ability to meet its debt obligations. Downgrades in the combined company’s ratings could adversely affect the combined company’s businesses, cash flows, financial condition, operating results and share and debt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i w:val="1"/>
          <w:iCs w:val="1"/>
          <w:color w:val="auto"/>
        </w:rPr>
        <w:t>We will incur substantial transaction costs in connection with the ILG Combination</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to incur a number of non-recurring expenses both before and after completing the ILG Combination, including in obtaining necessary consents and approvals and combining the operations of the two companies. These fees and costs will be substantial. We may also incur unanticipated costs in the integration of our businesses with ILG’s businesses. Although we expect that the elimination of certain duplicative costs, as well as the realization of other efficiencies related to the integration of the two businesses, will offset the incremental transaction-related costs over time, this net benefit may not be achieved in the near term, or at all. Further, if the ILG Combination is not completed, we would have to recognize certain of these expenses without realizing the expected benefits of the combination.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shareholders will be diluted by the ILG Combination</w:t>
      </w:r>
      <w:r>
        <w:rPr>
          <w:rFonts w:ascii="Arial" w:cs="Arial" w:eastAsia="Arial" w:hAnsi="Arial"/>
          <w:sz w:val="18"/>
          <w:szCs w:val="18"/>
          <w:color w:val="auto"/>
        </w:rPr>
        <w:t>.</w:t>
      </w:r>
    </w:p>
    <w:p>
      <w:pPr>
        <w:spacing w:after="0" w:line="11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ILG Combination will dilute the ownership position of our current shareholders. We currently estimate that, upon completion of the combination, our shareholders before the merger will own approximately 57% and former ILG shareholders will own approximately 43% of the combined company’s outstanding common stock. Because of this, our current shareholders may have less influence on the management and policies of the combined company than they now have on us.</w:t>
      </w:r>
    </w:p>
    <w:p>
      <w:pPr>
        <w:spacing w:after="0" w:line="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The combined company may not be able to retain Marriott Vacations Worldwide and/or ILG personnel successfully after the ILG Combination is completed</w:t>
      </w:r>
      <w:r>
        <w:rPr>
          <w:rFonts w:ascii="Arial" w:cs="Arial" w:eastAsia="Arial" w:hAnsi="Arial"/>
          <w:sz w:val="18"/>
          <w:szCs w:val="18"/>
          <w:color w:val="auto"/>
        </w:rPr>
        <w:t>.</w:t>
      </w:r>
    </w:p>
    <w:p>
      <w:pPr>
        <w:spacing w:after="0" w:line="6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success of the ILG Combination will depend in part on the combined company’s ability to retain the talents and dedication of key employees that Marriott Vacations Worldwide and ILG currently employ. It is possible that these employees may decide not to remain with our company or ILG, as applicable, while the ILG Combination is pending or with the combined company after the combination is consummated. If key employees terminate their employment, or if the combined company cannot maintain a sufficient number of employees to maintain effective operations, the combined company’s business activities could be adversely affected and management’s attention could be diverted from successfully integrating ILG to hiring suitable replacements, all of which may cause the combined company’s business to suffer. In addition, we may not be able to locate suitable replacements for any key employees who leave either company, or offer employment to potential replacements on reasonable terms.</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 – January 31,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11,322</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$134.67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11,322</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1,448,173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February 1, 2018 – February 28, 2018</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2,647</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$134.82</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2,647</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2018 – March 31,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13,969</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$134.70</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13,969</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40" w:hanging="652"/>
        <w:spacing w:after="0" w:line="232"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On August 1, 2017, our Board of Directors authorized the repurchase of up to 1.0 million additional shares of our common stock under our existing share repurchase program and extended the duration of the program through May 31, 2018. Prior to that authorization, our Board of Directors had authorized the repurchase of an aggregate of up to 10.9 million shares of our common stock under the share repurchase program since the initiation of the program in October 2013.</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1" w:name="page62"/>
    <w:bookmarkEnd w:id="61"/>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100" w:type="dxa"/>
            <w:vAlign w:val="bottom"/>
            <w:vMerge w:val="restart"/>
          </w:tcPr>
          <w:p>
            <w:pPr>
              <w:jc w:val="center"/>
              <w:ind w:right="1439"/>
              <w:spacing w:after="0"/>
              <w:rPr>
                <w:sz w:val="20"/>
                <w:szCs w:val="20"/>
                <w:color w:val="auto"/>
              </w:rPr>
            </w:pPr>
            <w:r>
              <w:rPr>
                <w:rFonts w:ascii="Arial" w:cs="Arial" w:eastAsia="Arial" w:hAnsi="Arial"/>
                <w:sz w:val="16"/>
                <w:szCs w:val="16"/>
                <w:b w:val="1"/>
                <w:bCs w:val="1"/>
                <w:color w:val="auto"/>
                <w:w w:val="93"/>
              </w:rPr>
              <w:t>Exhibit</w:t>
            </w:r>
          </w:p>
        </w:tc>
        <w:tc>
          <w:tcPr>
            <w:tcW w:w="3800" w:type="dxa"/>
            <w:vAlign w:val="bottom"/>
          </w:tcPr>
          <w:p>
            <w:pPr>
              <w:spacing w:after="0"/>
              <w:rPr>
                <w:sz w:val="18"/>
                <w:szCs w:val="18"/>
                <w:color w:val="auto"/>
              </w:rPr>
            </w:pPr>
          </w:p>
        </w:tc>
        <w:tc>
          <w:tcPr>
            <w:tcW w:w="2400" w:type="dxa"/>
            <w:vAlign w:val="bottom"/>
            <w:vMerge w:val="restart"/>
          </w:tcPr>
          <w:p>
            <w:pPr>
              <w:jc w:val="center"/>
              <w:ind w:left="1179"/>
              <w:spacing w:after="0"/>
              <w:rPr>
                <w:sz w:val="20"/>
                <w:szCs w:val="20"/>
                <w:color w:val="auto"/>
              </w:rPr>
            </w:pPr>
            <w:r>
              <w:rPr>
                <w:rFonts w:ascii="Arial" w:cs="Arial" w:eastAsia="Arial" w:hAnsi="Arial"/>
                <w:sz w:val="16"/>
                <w:szCs w:val="16"/>
                <w:b w:val="1"/>
                <w:bCs w:val="1"/>
                <w:color w:val="auto"/>
                <w:w w:val="90"/>
              </w:rPr>
              <w:t>Filed</w:t>
            </w:r>
          </w:p>
        </w:tc>
        <w:tc>
          <w:tcPr>
            <w:tcW w:w="2940" w:type="dxa"/>
            <w:vAlign w:val="bottom"/>
            <w:gridSpan w:val="3"/>
          </w:tcPr>
          <w:p>
            <w:pPr>
              <w:ind w:left="3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100" w:type="dxa"/>
            <w:vAlign w:val="bottom"/>
            <w:vMerge w:val="continue"/>
          </w:tcPr>
          <w:p>
            <w:pPr>
              <w:spacing w:after="0"/>
              <w:rPr>
                <w:sz w:val="2"/>
                <w:szCs w:val="2"/>
                <w:color w:val="auto"/>
              </w:rPr>
            </w:pPr>
          </w:p>
        </w:tc>
        <w:tc>
          <w:tcPr>
            <w:tcW w:w="3800" w:type="dxa"/>
            <w:vAlign w:val="bottom"/>
          </w:tcPr>
          <w:p>
            <w:pPr>
              <w:spacing w:after="0"/>
              <w:rPr>
                <w:sz w:val="2"/>
                <w:szCs w:val="2"/>
                <w:color w:val="auto"/>
              </w:rPr>
            </w:pPr>
          </w:p>
        </w:tc>
        <w:tc>
          <w:tcPr>
            <w:tcW w:w="240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00" w:type="dxa"/>
            <w:vAlign w:val="bottom"/>
          </w:tcPr>
          <w:p>
            <w:pPr>
              <w:jc w:val="center"/>
              <w:ind w:right="1439"/>
              <w:spacing w:after="0"/>
              <w:rPr>
                <w:sz w:val="20"/>
                <w:szCs w:val="20"/>
                <w:color w:val="auto"/>
              </w:rPr>
            </w:pPr>
            <w:r>
              <w:rPr>
                <w:rFonts w:ascii="Arial" w:cs="Arial" w:eastAsia="Arial" w:hAnsi="Arial"/>
                <w:sz w:val="16"/>
                <w:szCs w:val="16"/>
                <w:b w:val="1"/>
                <w:bCs w:val="1"/>
                <w:color w:val="auto"/>
                <w:w w:val="95"/>
              </w:rPr>
              <w:t>Number</w:t>
            </w:r>
          </w:p>
        </w:tc>
        <w:tc>
          <w:tcPr>
            <w:tcW w:w="3800" w:type="dxa"/>
            <w:vAlign w:val="bottom"/>
          </w:tcPr>
          <w:p>
            <w:pPr>
              <w:ind w:left="1500"/>
              <w:spacing w:after="0"/>
              <w:rPr>
                <w:sz w:val="20"/>
                <w:szCs w:val="20"/>
                <w:color w:val="auto"/>
              </w:rPr>
            </w:pPr>
            <w:r>
              <w:rPr>
                <w:rFonts w:ascii="Arial" w:cs="Arial" w:eastAsia="Arial" w:hAnsi="Arial"/>
                <w:sz w:val="16"/>
                <w:szCs w:val="16"/>
                <w:b w:val="1"/>
                <w:bCs w:val="1"/>
                <w:color w:val="auto"/>
              </w:rPr>
              <w:t>Description</w:t>
            </w:r>
          </w:p>
        </w:tc>
        <w:tc>
          <w:tcPr>
            <w:tcW w:w="2400" w:type="dxa"/>
            <w:vAlign w:val="bottom"/>
          </w:tcPr>
          <w:p>
            <w:pPr>
              <w:jc w:val="center"/>
              <w:ind w:left="1179"/>
              <w:spacing w:after="0"/>
              <w:rPr>
                <w:sz w:val="20"/>
                <w:szCs w:val="20"/>
                <w:color w:val="auto"/>
              </w:rPr>
            </w:pPr>
            <w:r>
              <w:rPr>
                <w:rFonts w:ascii="Arial" w:cs="Arial" w:eastAsia="Arial" w:hAnsi="Arial"/>
                <w:sz w:val="16"/>
                <w:szCs w:val="16"/>
                <w:b w:val="1"/>
                <w:bCs w:val="1"/>
                <w:color w:val="auto"/>
                <w:w w:val="97"/>
              </w:rPr>
              <w:t>Herewith</w:t>
            </w:r>
          </w:p>
        </w:tc>
        <w:tc>
          <w:tcPr>
            <w:tcW w:w="760" w:type="dxa"/>
            <w:vAlign w:val="bottom"/>
          </w:tcPr>
          <w:p>
            <w:pPr>
              <w:ind w:left="160"/>
              <w:spacing w:after="0"/>
              <w:rPr>
                <w:sz w:val="20"/>
                <w:szCs w:val="20"/>
                <w:color w:val="auto"/>
              </w:rPr>
            </w:pPr>
            <w:r>
              <w:rPr>
                <w:rFonts w:ascii="Arial" w:cs="Arial" w:eastAsia="Arial" w:hAnsi="Arial"/>
                <w:sz w:val="16"/>
                <w:szCs w:val="16"/>
                <w:b w:val="1"/>
                <w:bCs w:val="1"/>
                <w:color w:val="auto"/>
              </w:rPr>
              <w:t>Form</w:t>
            </w: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118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75" w:lineRule="exact"/>
        <w:rPr>
          <w:sz w:val="20"/>
          <w:szCs w:val="20"/>
          <w:color w:val="auto"/>
        </w:rPr>
      </w:pPr>
    </w:p>
    <w:p>
      <w:pPr>
        <w:ind w:left="36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2.1</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36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3.2</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10.2</w:t>
        </w:r>
      </w:hyperlink>
    </w:p>
    <w:p>
      <w:pPr>
        <w:spacing w:after="0" w:line="200" w:lineRule="exact"/>
        <w:rPr>
          <w:sz w:val="20"/>
          <w:szCs w:val="20"/>
          <w:color w:val="auto"/>
        </w:rPr>
      </w:pPr>
    </w:p>
    <w:p>
      <w:pPr>
        <w:spacing w:after="0" w:line="295" w:lineRule="exact"/>
        <w:rPr>
          <w:sz w:val="20"/>
          <w:szCs w:val="20"/>
          <w:color w:val="auto"/>
        </w:rPr>
      </w:pPr>
    </w:p>
    <w:p>
      <w:pPr>
        <w:ind w:left="30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10.3</w:t>
        </w:r>
      </w:hyperlink>
    </w:p>
    <w:p>
      <w:pPr>
        <w:spacing w:after="0" w:line="387" w:lineRule="exact"/>
        <w:rPr>
          <w:sz w:val="20"/>
          <w:szCs w:val="20"/>
          <w:color w:val="auto"/>
        </w:rPr>
      </w:pPr>
    </w:p>
    <w:p>
      <w:pPr>
        <w:ind w:left="30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10.4</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10.5</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31.1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31.2</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32.1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32.2</w:t>
        </w:r>
      </w:hyperlink>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101.INS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Agreement and Plan of Merger, dated as of April 30, 2018, by and among Marriott Vacations Worldwide Corporation, ILG, Inc., Ignite Holdco, Inc., Ignite Holdco Subsidiary, Inc., Volt Merger Sub, Inc., and Volt Merger Sub LLC*</w:t>
      </w:r>
    </w:p>
    <w:p>
      <w:pPr>
        <w:spacing w:after="0" w:line="3"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color w:val="auto"/>
        </w:rPr>
        <w:t>Restated Certificate of Incorporation of Marriott Vacations Worldwide Corporation Restated Bylaws of Marriott Vacations Worldwide Corporation</w:t>
      </w:r>
    </w:p>
    <w:p>
      <w:pPr>
        <w:ind w:right="200"/>
        <w:spacing w:after="0" w:line="293" w:lineRule="auto"/>
        <w:rPr>
          <w:sz w:val="20"/>
          <w:szCs w:val="20"/>
          <w:color w:val="auto"/>
        </w:rPr>
      </w:pPr>
      <w:r>
        <w:rPr>
          <w:rFonts w:ascii="Arial" w:cs="Arial" w:eastAsia="Arial" w:hAnsi="Arial"/>
          <w:sz w:val="16"/>
          <w:szCs w:val="16"/>
          <w:color w:val="auto"/>
        </w:rPr>
        <w:t>Omnibus Amendment No. 7, dated March 14, 2018,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Voting and Support Agreement dated as of April 30, 2018, by and among ILG, Inc., Marriott Vacations Worldwide Corporation, Qurate Retail, Inc., and Liberty USA Holdings, LLC</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Services, and Development Agreement, entered into on November 17, 2011, among Marriott International, Inc., Marriott Worldwide Corporation, Marriott Vacations Worldwide Corporation and the other signatories thereto</w:t>
      </w:r>
    </w:p>
    <w:p>
      <w:pPr>
        <w:spacing w:after="0" w:line="19" w:lineRule="exact"/>
        <w:rPr>
          <w:sz w:val="20"/>
          <w:szCs w:val="20"/>
          <w:color w:val="auto"/>
        </w:rPr>
      </w:pPr>
    </w:p>
    <w:p>
      <w:pPr>
        <w:ind w:right="200"/>
        <w:spacing w:after="0" w:line="317" w:lineRule="auto"/>
        <w:rPr>
          <w:sz w:val="20"/>
          <w:szCs w:val="20"/>
          <w:color w:val="auto"/>
        </w:rPr>
      </w:pPr>
      <w:r>
        <w:rPr>
          <w:rFonts w:ascii="Arial" w:cs="Arial" w:eastAsia="Arial" w:hAnsi="Arial"/>
          <w:sz w:val="16"/>
          <w:szCs w:val="16"/>
          <w:color w:val="auto"/>
        </w:rPr>
        <w:t>Tax Sharing and Indemnification Agreement, entered into on November 17, 2011, between Marriott International, Inc. and Marriott Vacations Worldwide Corporation</w:t>
      </w:r>
    </w:p>
    <w:p>
      <w:pPr>
        <w:ind w:right="240"/>
        <w:spacing w:after="0" w:line="277" w:lineRule="auto"/>
        <w:rPr>
          <w:sz w:val="20"/>
          <w:szCs w:val="20"/>
          <w:color w:val="auto"/>
        </w:rPr>
      </w:pPr>
      <w:r>
        <w:rPr>
          <w:rFonts w:ascii="Arial" w:cs="Arial" w:eastAsia="Arial" w:hAnsi="Arial"/>
          <w:sz w:val="18"/>
          <w:szCs w:val="18"/>
          <w:color w:val="auto"/>
        </w:rPr>
        <w:t>Noncompetition Agreement, entered into on November 17, 2011, between Marriott International, Inc. and Marriott Vacations Worldwide Corporation</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8"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ind w:right="1740"/>
        <w:spacing w:after="0" w:line="372" w:lineRule="auto"/>
        <w:rPr>
          <w:sz w:val="20"/>
          <w:szCs w:val="20"/>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 Document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8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5/1/2018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81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3/16/2018</w:t>
            </w:r>
          </w:p>
        </w:tc>
      </w:tr>
      <w:tr>
        <w:trPr>
          <w:trHeight w:val="1026"/>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5/1/2018</w:t>
            </w:r>
          </w:p>
        </w:tc>
      </w:tr>
      <w:tr>
        <w:trPr>
          <w:trHeight w:val="702"/>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sectPr>
          <w:pgSz w:w="11900" w:h="16838" w:orient="portrait"/>
          <w:cols w:equalWidth="0" w:num="3">
            <w:col w:w="800" w:space="280"/>
            <w:col w:w="6220" w:space="540"/>
            <w:col w:w="3580"/>
          </w:cols>
          <w:pgMar w:left="240" w:top="580" w:right="239" w:bottom="1440" w:gutter="0" w:footer="0" w:header="0"/>
          <w:type w:val="continuous"/>
        </w:sectPr>
      </w:pP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Schedules have been omitted pursuant to Item 601(b)(2) of Regulation S-K. The Company agrees to furnish supplemental copies to the SEC of any omitted schedule upon request by the SEC.</w:t>
      </w:r>
    </w:p>
    <w:p>
      <w:pPr>
        <w:spacing w:after="0" w:line="89" w:lineRule="exact"/>
        <w:rPr>
          <w:sz w:val="20"/>
          <w:szCs w:val="20"/>
          <w:color w:val="auto"/>
        </w:rPr>
      </w:pPr>
    </w:p>
    <w:p>
      <w:pPr>
        <w:sectPr>
          <w:pgSz w:w="11900" w:h="16838" w:orient="portrait"/>
          <w:cols w:equalWidth="0" w:num="2">
            <w:col w:w="520" w:space="560"/>
            <w:col w:w="10340"/>
          </w:cols>
          <w:pgMar w:left="240" w:top="580"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We have submitted electronically the following documents formatted in XBRL (Extensible Business Reporting Language) as Exhibit 101 to this</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report: (i) the Interim Consolidated Statements of Income for the three months ended March 31, 2018 and March 31, 2017; (ii) the Interim Consolidated Statements of Comprehensive Income for the three months ended March 31, 2018 and March 31, 2017; (iii) the Interim Consolidated Balance Sheets at March 31, 2018 and December 31, 2017; and (iv) the Interim Consolidated Statements of Cash Flows for the three months ended March 31, 2018 and March 31, 2017.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type w:val="continuous"/>
        </w:sectPr>
      </w:pPr>
    </w:p>
    <w:bookmarkStart w:id="62" w:name="page63"/>
    <w:bookmarkEnd w:id="6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80" w:type="dxa"/>
            <w:vAlign w:val="bottom"/>
          </w:tcPr>
          <w:p>
            <w:pPr>
              <w:spacing w:after="0"/>
              <w:rPr>
                <w:sz w:val="20"/>
                <w:szCs w:val="20"/>
                <w:color w:val="auto"/>
              </w:rPr>
            </w:pPr>
            <w:r>
              <w:rPr>
                <w:rFonts w:ascii="Arial" w:cs="Arial" w:eastAsia="Arial" w:hAnsi="Arial"/>
                <w:sz w:val="18"/>
                <w:szCs w:val="18"/>
                <w:color w:val="auto"/>
              </w:rPr>
              <w:t>May 4, 2018</w:t>
            </w:r>
          </w:p>
        </w:tc>
        <w:tc>
          <w:tcPr>
            <w:tcW w:w="6640" w:type="dxa"/>
            <w:vAlign w:val="bottom"/>
          </w:tcPr>
          <w:p>
            <w:pPr>
              <w:ind w:left="40"/>
              <w:spacing w:after="0"/>
              <w:rPr>
                <w:sz w:val="20"/>
                <w:szCs w:val="20"/>
                <w:color w:val="auto"/>
              </w:rPr>
            </w:pPr>
            <w:r>
              <w:rPr>
                <w:rFonts w:ascii="Arial" w:cs="Arial" w:eastAsia="Arial" w:hAnsi="Arial"/>
                <w:sz w:val="18"/>
                <w:szCs w:val="18"/>
                <w:color w:val="auto"/>
              </w:rPr>
              <w:t>/s/ Stephen P. Weisz</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Stephen P. Weisz</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36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31750</wp:posOffset>
            </wp:positionV>
            <wp:extent cx="4210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364" w:right="3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36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74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2018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3456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74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2018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2"/>
    </w:lvl>
  </w:abstractNum>
  <w:abstractNum w:abstractNumId="3">
    <w:nsid w:val="519B500D"/>
    <w:multiLevelType w:val="hybridMultilevel"/>
    <w:lvl w:ilvl="0">
      <w:lvlJc w:val="left"/>
      <w:lvlText w:val="(%1)"/>
      <w:numFmt w:val="lowerRoman"/>
      <w:start w:val="4"/>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28" Type="http://schemas.openxmlformats.org/officeDocument/2006/relationships/hyperlink" Target="http://www.sec.gov/Archives/edgar/data/1524358/000119312518144431/d577638dex21.htm" TargetMode="External"/><Relationship Id="rId29" Type="http://schemas.openxmlformats.org/officeDocument/2006/relationships/hyperlink" Target="http://www.sec.gov/Archives/edgar/data/1524358/000119312511320045/d256766dex31.htm" TargetMode="External"/><Relationship Id="rId30" Type="http://schemas.openxmlformats.org/officeDocument/2006/relationships/hyperlink" Target="http://www.sec.gov/Archives/edgar/data/1524358/000119312511320045/d256766dex32.htm" TargetMode="External"/><Relationship Id="rId31" Type="http://schemas.openxmlformats.org/officeDocument/2006/relationships/hyperlink" Target="http://www.sec.gov/Archives/edgar/data/1524358/000152435818000009/exhibit101.htm" TargetMode="External"/><Relationship Id="rId32" Type="http://schemas.openxmlformats.org/officeDocument/2006/relationships/hyperlink" Target="http://www.sec.gov/Archives/edgar/data/1524358/000119312518144431/d577638dex101.htm" TargetMode="External"/><Relationship Id="rId33" Type="http://schemas.openxmlformats.org/officeDocument/2006/relationships/hyperlink" Target="http://www.sec.gov/Archives/edgar/data/1524358/000119312511320045/d256766dex101.htm" TargetMode="External"/><Relationship Id="rId34" Type="http://schemas.openxmlformats.org/officeDocument/2006/relationships/hyperlink" Target="http://www.sec.gov/Archives/edgar/data/1524358/000119312511320045/d256766dex104.htm" TargetMode="External"/><Relationship Id="rId35" Type="http://schemas.openxmlformats.org/officeDocument/2006/relationships/hyperlink" Target="http://www.sec.gov/Archives/edgar/data/1524358/000119312511320045/d256766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2019-12-28T22:58:57Z</dcterms:created>
  <dcterms:modified xsi:type="dcterms:W3CDTF">2019-12-28T22:58:57Z</dcterms:modified>
</cp:coreProperties>
</file>