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January 3,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23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MARRIOTT VACATIONS WORLDWIDE CORPORATION</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320" w:type="dxa"/>
            <w:vAlign w:val="bottom"/>
          </w:tcPr>
          <w:p>
            <w:pPr>
              <w:spacing w:after="0"/>
              <w:rPr>
                <w:sz w:val="18"/>
                <w:szCs w:val="18"/>
                <w:color w:val="auto"/>
              </w:rPr>
            </w:pPr>
          </w:p>
        </w:tc>
        <w:tc>
          <w:tcPr>
            <w:tcW w:w="4920" w:type="dxa"/>
            <w:vAlign w:val="bottom"/>
            <w:gridSpan w:val="4"/>
          </w:tcPr>
          <w:p>
            <w:pPr>
              <w:jc w:val="center"/>
              <w:ind w:right="3780"/>
              <w:spacing w:after="0"/>
              <w:rPr>
                <w:sz w:val="20"/>
                <w:szCs w:val="20"/>
                <w:color w:val="auto"/>
              </w:rPr>
            </w:pPr>
            <w:r>
              <w:rPr>
                <w:rFonts w:ascii="Arial" w:cs="Arial" w:eastAsia="Arial" w:hAnsi="Arial"/>
                <w:sz w:val="18"/>
                <w:szCs w:val="18"/>
                <w:b w:val="1"/>
                <w:bCs w:val="1"/>
                <w:color w:val="auto"/>
                <w:w w:val="93"/>
              </w:rPr>
              <w:t>Delaware</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45-2598330</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240" w:type="dxa"/>
            <w:vAlign w:val="bottom"/>
            <w:gridSpan w:val="5"/>
          </w:tcPr>
          <w:p>
            <w:pPr>
              <w:jc w:val="center"/>
              <w:ind w:right="14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900" w:type="dxa"/>
            <w:vAlign w:val="bottom"/>
          </w:tcPr>
          <w:p>
            <w:pPr>
              <w:jc w:val="center"/>
              <w:ind w:left="840"/>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240" w:type="dxa"/>
            <w:vAlign w:val="bottom"/>
            <w:gridSpan w:val="5"/>
          </w:tcPr>
          <w:p>
            <w:pPr>
              <w:jc w:val="center"/>
              <w:ind w:right="1440"/>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gridSpan w:val="2"/>
          </w:tcPr>
          <w:p>
            <w:pPr>
              <w:jc w:val="center"/>
              <w:ind w:left="500"/>
              <w:spacing w:after="0"/>
              <w:rPr>
                <w:sz w:val="20"/>
                <w:szCs w:val="20"/>
                <w:color w:val="auto"/>
              </w:rPr>
            </w:pPr>
            <w:r>
              <w:rPr>
                <w:rFonts w:ascii="Arial" w:cs="Arial" w:eastAsia="Arial" w:hAnsi="Arial"/>
                <w:sz w:val="14"/>
                <w:szCs w:val="14"/>
                <w:b w:val="1"/>
                <w:bCs w:val="1"/>
                <w:color w:val="auto"/>
                <w:w w:val="96"/>
              </w:rPr>
              <w:t>Identification No.)</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5"/>
        </w:trPr>
        <w:tc>
          <w:tcPr>
            <w:tcW w:w="7240" w:type="dxa"/>
            <w:vAlign w:val="bottom"/>
            <w:gridSpan w:val="5"/>
          </w:tcPr>
          <w:p>
            <w:pPr>
              <w:jc w:val="center"/>
              <w:ind w:right="1460"/>
              <w:spacing w:after="0"/>
              <w:rPr>
                <w:sz w:val="20"/>
                <w:szCs w:val="20"/>
                <w:color w:val="auto"/>
              </w:rPr>
            </w:pPr>
            <w:r>
              <w:rPr>
                <w:rFonts w:ascii="Arial" w:cs="Arial" w:eastAsia="Arial" w:hAnsi="Arial"/>
                <w:sz w:val="18"/>
                <w:szCs w:val="18"/>
                <w:b w:val="1"/>
                <w:bCs w:val="1"/>
                <w:color w:val="auto"/>
                <w:w w:val="91"/>
              </w:rPr>
              <w:t>6649 Westwood Blvd., Orlando, FL</w:t>
            </w:r>
          </w:p>
        </w:tc>
        <w:tc>
          <w:tcPr>
            <w:tcW w:w="1900" w:type="dxa"/>
            <w:vAlign w:val="bottom"/>
          </w:tcPr>
          <w:p>
            <w:pPr>
              <w:jc w:val="right"/>
              <w:ind w:right="180"/>
              <w:spacing w:after="0"/>
              <w:rPr>
                <w:sz w:val="20"/>
                <w:szCs w:val="20"/>
                <w:color w:val="auto"/>
              </w:rPr>
            </w:pPr>
            <w:r>
              <w:rPr>
                <w:rFonts w:ascii="Arial" w:cs="Arial" w:eastAsia="Arial" w:hAnsi="Arial"/>
                <w:sz w:val="18"/>
                <w:szCs w:val="18"/>
                <w:b w:val="1"/>
                <w:bCs w:val="1"/>
                <w:color w:val="auto"/>
              </w:rPr>
              <w:t>32821</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240" w:type="dxa"/>
            <w:vAlign w:val="bottom"/>
            <w:gridSpan w:val="5"/>
          </w:tcPr>
          <w:p>
            <w:pPr>
              <w:jc w:val="center"/>
              <w:ind w:right="14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900" w:type="dxa"/>
            <w:vAlign w:val="bottom"/>
          </w:tcPr>
          <w:p>
            <w:pPr>
              <w:jc w:val="center"/>
              <w:ind w:left="840"/>
              <w:spacing w:after="0"/>
              <w:rPr>
                <w:sz w:val="20"/>
                <w:szCs w:val="20"/>
                <w:color w:val="auto"/>
              </w:rPr>
            </w:pPr>
            <w:r>
              <w:rPr>
                <w:rFonts w:ascii="Arial" w:cs="Arial" w:eastAsia="Arial" w:hAnsi="Arial"/>
                <w:sz w:val="14"/>
                <w:szCs w:val="14"/>
                <w:b w:val="1"/>
                <w:bCs w:val="1"/>
                <w:color w:val="auto"/>
                <w:w w:val="95"/>
              </w:rPr>
              <w:t>(Zip Code)</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2320" w:type="dxa"/>
            <w:vAlign w:val="bottom"/>
          </w:tcPr>
          <w:p>
            <w:pPr>
              <w:spacing w:after="0"/>
              <w:rPr>
                <w:sz w:val="24"/>
                <w:szCs w:val="24"/>
                <w:color w:val="auto"/>
              </w:rPr>
            </w:pPr>
          </w:p>
        </w:tc>
        <w:tc>
          <w:tcPr>
            <w:tcW w:w="68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Registrant’s Telephone Number, Including Area Code (407) 206-6000</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80" w:type="dxa"/>
            <w:vAlign w:val="bottom"/>
            <w:gridSpan w:val="4"/>
          </w:tcPr>
          <w:p>
            <w:pPr>
              <w:jc w:val="center"/>
              <w:ind w:right="108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320" w:type="dxa"/>
            <w:vAlign w:val="bottom"/>
            <w:vMerge w:val="restart"/>
          </w:tcPr>
          <w:p>
            <w:pPr>
              <w:ind w:left="1660"/>
              <w:spacing w:after="0"/>
              <w:rPr>
                <w:sz w:val="20"/>
                <w:szCs w:val="20"/>
                <w:color w:val="auto"/>
              </w:rPr>
            </w:pPr>
            <w:r>
              <w:rPr>
                <w:rFonts w:ascii="Arial" w:cs="Arial" w:eastAsia="Arial" w:hAnsi="Arial"/>
                <w:sz w:val="18"/>
                <w:szCs w:val="18"/>
                <w:b w:val="1"/>
                <w:bCs w:val="1"/>
                <w:color w:val="auto"/>
                <w:w w:val="81"/>
              </w:rPr>
              <w:t>Common</w:t>
            </w:r>
          </w:p>
        </w:tc>
        <w:tc>
          <w:tcPr>
            <w:tcW w:w="4920" w:type="dxa"/>
            <w:vAlign w:val="bottom"/>
            <w:gridSpan w:val="4"/>
          </w:tcPr>
          <w:p>
            <w:pPr>
              <w:jc w:val="center"/>
              <w:ind w:right="3780"/>
              <w:spacing w:after="0"/>
              <w:rPr>
                <w:sz w:val="20"/>
                <w:szCs w:val="20"/>
                <w:color w:val="auto"/>
              </w:rPr>
            </w:pPr>
            <w:r>
              <w:rPr>
                <w:rFonts w:ascii="Arial" w:cs="Arial" w:eastAsia="Arial" w:hAnsi="Arial"/>
                <w:sz w:val="14"/>
                <w:szCs w:val="14"/>
                <w:b w:val="1"/>
                <w:bCs w:val="1"/>
                <w:color w:val="auto"/>
                <w:w w:val="91"/>
              </w:rPr>
              <w:t>Title of Each Class</w:t>
            </w: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2320" w:type="dxa"/>
            <w:vAlign w:val="bottom"/>
            <w:vMerge w:val="continu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20" w:type="dxa"/>
            <w:vAlign w:val="bottom"/>
            <w:vMerge w:val="continue"/>
          </w:tcPr>
          <w:p>
            <w:pPr>
              <w:spacing w:after="0"/>
              <w:rPr>
                <w:sz w:val="16"/>
                <w:szCs w:val="16"/>
                <w:color w:val="auto"/>
              </w:rPr>
            </w:pPr>
          </w:p>
        </w:tc>
        <w:tc>
          <w:tcPr>
            <w:tcW w:w="4920" w:type="dxa"/>
            <w:vAlign w:val="bottom"/>
            <w:gridSpan w:val="4"/>
          </w:tcPr>
          <w:p>
            <w:pPr>
              <w:ind w:left="100"/>
              <w:spacing w:after="0" w:line="191" w:lineRule="exact"/>
              <w:rPr>
                <w:sz w:val="20"/>
                <w:szCs w:val="20"/>
                <w:color w:val="auto"/>
              </w:rPr>
            </w:pPr>
            <w:r>
              <w:rPr>
                <w:rFonts w:ascii="Arial" w:cs="Arial" w:eastAsia="Arial" w:hAnsi="Arial"/>
                <w:sz w:val="18"/>
                <w:szCs w:val="18"/>
                <w:b w:val="1"/>
                <w:bCs w:val="1"/>
                <w:color w:val="auto"/>
              </w:rPr>
              <w:t>Stock, $0.01 par value</w:t>
            </w:r>
          </w:p>
        </w:tc>
        <w:tc>
          <w:tcPr>
            <w:tcW w:w="2820" w:type="dxa"/>
            <w:vAlign w:val="bottom"/>
            <w:gridSpan w:val="3"/>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7240" w:type="dxa"/>
            <w:vAlign w:val="bottom"/>
            <w:gridSpan w:val="5"/>
          </w:tcPr>
          <w:p>
            <w:pPr>
              <w:jc w:val="center"/>
              <w:ind w:right="1460"/>
              <w:spacing w:after="0"/>
              <w:rPr>
                <w:sz w:val="20"/>
                <w:szCs w:val="20"/>
                <w:color w:val="auto"/>
              </w:rPr>
            </w:pPr>
            <w:r>
              <w:rPr>
                <w:rFonts w:ascii="Arial" w:cs="Arial" w:eastAsia="Arial" w:hAnsi="Arial"/>
                <w:sz w:val="18"/>
                <w:szCs w:val="18"/>
                <w:b w:val="1"/>
                <w:bCs w:val="1"/>
                <w:color w:val="auto"/>
                <w:w w:val="89"/>
              </w:rPr>
              <w:t>(34,767,931 shares outstanding as of February 21, 2014)</w:t>
            </w:r>
          </w:p>
        </w:tc>
        <w:tc>
          <w:tcPr>
            <w:tcW w:w="1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320" w:type="dxa"/>
            <w:vAlign w:val="bottom"/>
          </w:tcPr>
          <w:p>
            <w:pPr>
              <w:spacing w:after="0"/>
              <w:rPr>
                <w:sz w:val="24"/>
                <w:szCs w:val="24"/>
                <w:color w:val="auto"/>
              </w:rPr>
            </w:pPr>
          </w:p>
        </w:tc>
        <w:tc>
          <w:tcPr>
            <w:tcW w:w="68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12(g) of the Act: NONE</w:t>
            </w: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2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140" w:type="dxa"/>
            <w:vAlign w:val="bottom"/>
            <w:gridSpan w:val="6"/>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340" w:type="dxa"/>
            <w:vAlign w:val="bottom"/>
          </w:tcPr>
          <w:p>
            <w:pPr>
              <w:ind w:left="120"/>
              <w:spacing w:after="0"/>
              <w:rPr>
                <w:sz w:val="20"/>
                <w:szCs w:val="20"/>
                <w:color w:val="auto"/>
              </w:rPr>
            </w:pPr>
            <w:r>
              <w:rPr>
                <w:rFonts w:ascii="Arial" w:cs="Arial" w:eastAsia="Arial" w:hAnsi="Arial"/>
                <w:sz w:val="18"/>
                <w:szCs w:val="18"/>
                <w:color w:val="auto"/>
                <w:w w:val="86"/>
              </w:rPr>
              <w:t>No</w:t>
            </w:r>
          </w:p>
        </w:tc>
        <w:tc>
          <w:tcPr>
            <w:tcW w:w="58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2"/>
        </w:trPr>
        <w:tc>
          <w:tcPr>
            <w:tcW w:w="914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Section 15(d) of the Act.  Yes</w:t>
            </w:r>
          </w:p>
        </w:tc>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5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0" w:gutter="0" w:footer="0" w:header="0"/>
        </w:sectPr>
      </w:pPr>
    </w:p>
    <w:p>
      <w:pPr>
        <w:spacing w:after="0" w:line="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3">
            <w:col w:w="8140" w:space="720"/>
            <w:col w:w="1680" w:space="720"/>
            <w:col w:w="160"/>
          </w:cols>
          <w:pgMar w:left="240" w:top="230"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40" w:space="80"/>
            <w:col w:w="160" w:space="40"/>
            <w:col w:w="6320" w:space="720"/>
            <w:col w:w="1980" w:space="420"/>
            <w:col w:w="160"/>
          </w:cols>
          <w:pgMar w:left="240" w:top="230" w:right="239" w:bottom="0" w:gutter="0" w:footer="0" w:header="0"/>
          <w:type w:val="continuous"/>
        </w:sectPr>
      </w:pPr>
    </w:p>
    <w:bookmarkStart w:id="1" w:name="page2"/>
    <w:bookmarkEnd w:id="1"/>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shares of common stock held by non-affiliates at June 14, 2013, was $1,339,350,435.</w:t>
      </w:r>
    </w:p>
    <w:p>
      <w:pPr>
        <w:spacing w:after="0" w:line="2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Proxy Statement prepared for the 2014 Annual Meeting of Shareholders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60"/>
          </w:cols>
          <w:pgMar w:left="240" w:top="91" w:right="1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0" w:type="dxa"/>
            <w:vAlign w:val="bottom"/>
            <w:gridSpan w:val="8"/>
          </w:tcPr>
          <w:p>
            <w:pPr>
              <w:ind w:left="20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1220" w:type="dxa"/>
            <w:vAlign w:val="bottom"/>
            <w:gridSpan w:val="5"/>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220" w:type="dxa"/>
            <w:vAlign w:val="bottom"/>
            <w:gridSpan w:val="5"/>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w:t>
            </w:r>
          </w:p>
        </w:tc>
        <w:tc>
          <w:tcPr>
            <w:tcW w:w="89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1A.</w:t>
            </w:r>
          </w:p>
        </w:tc>
        <w:tc>
          <w:tcPr>
            <w:tcW w:w="894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1B.</w:t>
            </w:r>
          </w:p>
        </w:tc>
        <w:tc>
          <w:tcPr>
            <w:tcW w:w="894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Properties</w:t>
              </w:r>
            </w:hyperlink>
          </w:p>
        </w:tc>
        <w:tc>
          <w:tcPr>
            <w:tcW w:w="1280" w:type="dxa"/>
            <w:vAlign w:val="bottom"/>
            <w:tcBorders>
              <w:top w:val="single" w:sz="8" w:color="0000EE"/>
            </w:tcBorders>
            <w:gridSpan w:val="7"/>
          </w:tcPr>
          <w:p>
            <w:pPr>
              <w:spacing w:after="0"/>
              <w:rPr>
                <w:sz w:val="17"/>
                <w:szCs w:val="17"/>
                <w:color w:val="auto"/>
              </w:rPr>
            </w:pPr>
          </w:p>
        </w:tc>
        <w:tc>
          <w:tcPr>
            <w:tcW w:w="6900" w:type="dxa"/>
            <w:vAlign w:val="bottom"/>
            <w:gridSpan w:val="11"/>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7600" w:type="dxa"/>
            <w:vAlign w:val="bottom"/>
            <w:gridSpan w:val="1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4.</w:t>
            </w:r>
          </w:p>
        </w:tc>
        <w:tc>
          <w:tcPr>
            <w:tcW w:w="894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220" w:type="dxa"/>
            <w:vAlign w:val="bottom"/>
            <w:gridSpan w:val="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5.</w:t>
            </w:r>
          </w:p>
        </w:tc>
        <w:tc>
          <w:tcPr>
            <w:tcW w:w="894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Market for Registrant’s Common Equity, Related Stockholder Matters and Issuer Purchases of Equity Securities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7.</w:t>
            </w:r>
          </w:p>
        </w:tc>
        <w:tc>
          <w:tcPr>
            <w:tcW w:w="894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Quantitative and Qualitative Disclosures About Market Risk</w:t>
              </w:r>
            </w:hyperlink>
          </w:p>
        </w:tc>
        <w:tc>
          <w:tcPr>
            <w:tcW w:w="2480" w:type="dxa"/>
            <w:vAlign w:val="bottom"/>
            <w:gridSpan w:val="4"/>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580" w:type="dxa"/>
            <w:vAlign w:val="bottom"/>
            <w:gridSpan w:val="6"/>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9.</w:t>
            </w:r>
          </w:p>
        </w:tc>
        <w:tc>
          <w:tcPr>
            <w:tcW w:w="894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2460" w:type="dxa"/>
            <w:vAlign w:val="bottom"/>
            <w:gridSpan w:val="3"/>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9B.</w:t>
            </w:r>
          </w:p>
        </w:tc>
        <w:tc>
          <w:tcPr>
            <w:tcW w:w="894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9">
              <w:r>
                <w:rPr>
                  <w:rFonts w:ascii="Arial" w:cs="Arial" w:eastAsia="Arial" w:hAnsi="Arial"/>
                  <w:sz w:val="18"/>
                  <w:szCs w:val="18"/>
                  <w:color w:val="0000EE"/>
                  <w:w w:val="96"/>
                </w:rPr>
                <w:t>Part III.</w:t>
              </w:r>
            </w:hyperlink>
          </w:p>
        </w:tc>
        <w:tc>
          <w:tcPr>
            <w:tcW w:w="6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Directors, Executive Officers and Corporate Governance</w:t>
              </w:r>
            </w:hyperlink>
          </w:p>
        </w:tc>
        <w:tc>
          <w:tcPr>
            <w:tcW w:w="4840" w:type="dxa"/>
            <w:vAlign w:val="bottom"/>
            <w:gridSpan w:val="7"/>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11.</w:t>
            </w:r>
          </w:p>
        </w:tc>
        <w:tc>
          <w:tcPr>
            <w:tcW w:w="8940" w:type="dxa"/>
            <w:vAlign w:val="bottom"/>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Executive Compensation</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Security Ownership of Certain Beneficial Owners and Management and Related Stockholder Matters</w:t>
              </w:r>
            </w:hyperlink>
          </w:p>
        </w:tc>
        <w:tc>
          <w:tcPr>
            <w:tcW w:w="1640" w:type="dxa"/>
            <w:vAlign w:val="bottom"/>
            <w:gridSpan w:val="2"/>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Certain Relationships and Related Transactions, and Director Independence</w:t>
              </w:r>
            </w:hyperlink>
          </w:p>
        </w:tc>
        <w:tc>
          <w:tcPr>
            <w:tcW w:w="3480" w:type="dxa"/>
            <w:vAlign w:val="bottom"/>
            <w:gridSpan w:val="5"/>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14.</w:t>
            </w:r>
          </w:p>
        </w:tc>
        <w:tc>
          <w:tcPr>
            <w:tcW w:w="8940" w:type="dxa"/>
            <w:vAlign w:val="bottom"/>
            <w:gridSpan w:val="2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Principal Accounting Fees and Services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Part IV.</w:t>
              </w:r>
            </w:hyperlink>
          </w:p>
        </w:tc>
        <w:tc>
          <w:tcPr>
            <w:tcW w:w="660" w:type="dxa"/>
            <w:vAlign w:val="bottom"/>
            <w:gridSpan w:val="2"/>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gridSpan w:val="5"/>
          </w:tcPr>
          <w:p>
            <w:pPr>
              <w:ind w:left="360"/>
              <w:spacing w:after="0" w:line="196" w:lineRule="exact"/>
              <w:rPr>
                <w:sz w:val="20"/>
                <w:szCs w:val="20"/>
                <w:color w:val="auto"/>
              </w:rPr>
            </w:pPr>
            <w:r>
              <w:rPr>
                <w:rFonts w:ascii="Arial" w:cs="Arial" w:eastAsia="Arial" w:hAnsi="Arial"/>
                <w:sz w:val="18"/>
                <w:szCs w:val="18"/>
                <w:color w:val="auto"/>
              </w:rPr>
              <w:t>Item 15.</w:t>
            </w:r>
          </w:p>
        </w:tc>
        <w:tc>
          <w:tcPr>
            <w:tcW w:w="8940" w:type="dxa"/>
            <w:vAlign w:val="bottom"/>
            <w:gridSpan w:val="20"/>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Exhibits, Financial Statement Schedules</w:t>
              </w:r>
            </w:hyperlink>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9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6040" w:type="dxa"/>
            <w:vAlign w:val="bottom"/>
            <w:gridSpan w:val="9"/>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Throughout this Annual Report on Form 10-K (this “Annual Report”), we refer to Marriott Vacations Worldwide Corporation, together with its subsidiaries, as “Marriott Vacations Worldwide,” “we,” “us,” or “the Company.” Unless otherwise specified, each reference to a particular year means the fiscal year ended on the date shown in the table below, rather than the corresponding calendar year. All fiscal years included 52 weeks, except for 2013, which included 53 weeks.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Fiscal Year</w:t>
            </w:r>
          </w:p>
        </w:tc>
        <w:tc>
          <w:tcPr>
            <w:tcW w:w="55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Fiscal Year-End Date</w:t>
            </w:r>
          </w:p>
        </w:tc>
      </w:tr>
      <w:tr>
        <w:trPr>
          <w:trHeight w:val="210"/>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5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3, 2014</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55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December 28, 2012</w:t>
            </w: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5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30, 2011</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2010</w:t>
            </w:r>
          </w:p>
        </w:tc>
        <w:tc>
          <w:tcPr>
            <w:tcW w:w="55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December 31, 2010</w:t>
            </w: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5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1, 2010</w:t>
            </w:r>
          </w:p>
        </w:tc>
      </w:tr>
    </w:tbl>
    <w:p>
      <w:pPr>
        <w:spacing w:after="0" w:line="202"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addition, in order to make this Annual Report easier to read, we refer throughout to (i) our Consolidated Financial Statements as our “Financial Statements,” (ii) our Consolidated Statements of Operations as our “Statements of Operations,” (iii) our Consolidated Balance Sheets as our “Balance Sheets” and (iv) our Consolidated Statements of Cash Flows as our “Cash Flows.” References throughout to numbered “Footnotes” refer to the numbered Notes to our Financial Statements that we include in the Financial Statements section of this Annual Report.</w:t>
      </w:r>
    </w:p>
    <w:p>
      <w:pPr>
        <w:spacing w:after="0" w:line="17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Throughout this Annual Report, we refer to brands that we own, as well as those brands that we license from Marriott International, Inc. (“Marriott International”) or its affiliates, as our brands.</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By referring to our corporate website, www.marriottvacationsworldwide.com, or any other website, we do not incorporate any such website or its contents in this Annual Report.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229"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178"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Annual Report. We do not have any intention or obligation to update forward-looking statements after the date of this Annual Report, except as required by law.</w:t>
      </w:r>
    </w:p>
    <w:p>
      <w:pPr>
        <w:spacing w:after="0" w:line="18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risk factors discussed in “Risk Factors”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(“Ritz-Carlton Hotel Company”), a subsidiary of Marriott International, generally provides on-site management for Ritz-Carlton branded properties. We are one of the world’s largest companies whose business is focused almost entirely on vacation ownership, based on number of owners, number of resorts and revenues.</w:t>
      </w:r>
    </w:p>
    <w:p>
      <w:pPr>
        <w:spacing w:after="0" w:line="17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We generate most of our revenues from four primary sources: selling vacation ownership products; managing our resorts; financing consumer purchases of vacation ownership products; and renting vacation ownership inventory. As of January 3, 2014, we operated 62 properties in the United States and nine other countries and territories and had approximately 420,000 owners of our vacation ownership and residential products.</w:t>
      </w:r>
    </w:p>
    <w:p>
      <w:pPr>
        <w:sectPr>
          <w:pgSz w:w="11900" w:h="16838" w:orient="portrait"/>
          <w:cols w:equalWidth="0" w:num="1">
            <w:col w:w="11420"/>
          </w:cols>
          <w:pgMar w:left="240" w:top="459" w:right="239" w:bottom="1440" w:gutter="0" w:footer="0" w:header="0"/>
        </w:sectPr>
      </w:pPr>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strategic goal is to further strengthen our leadership position in the vacation ownership industry. We believe that we have significant competitive advantages, including our scale and global reach, the quality and strength of the Marriott and Ritz-Carlton brands, our loyal and highly satisfied customer base, our long-standing track record and our experienced management team.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Vacation Ownership Industry</w:t>
      </w:r>
    </w:p>
    <w:p>
      <w:pPr>
        <w:spacing w:after="0" w:line="121" w:lineRule="exact"/>
        <w:rPr>
          <w:sz w:val="20"/>
          <w:szCs w:val="20"/>
          <w:color w:val="auto"/>
        </w:rPr>
      </w:pPr>
    </w:p>
    <w:p>
      <w:pPr>
        <w:ind w:right="180" w:firstLine="456"/>
        <w:spacing w:after="0" w:line="269" w:lineRule="auto"/>
        <w:rPr>
          <w:sz w:val="20"/>
          <w:szCs w:val="20"/>
          <w:color w:val="auto"/>
        </w:rPr>
      </w:pPr>
      <w:r>
        <w:rPr>
          <w:rFonts w:ascii="Arial" w:cs="Arial" w:eastAsia="Arial" w:hAnsi="Arial"/>
          <w:sz w:val="17"/>
          <w:szCs w:val="17"/>
          <w:color w:val="auto"/>
        </w:rPr>
        <w:t>The vacation ownership industry (also known as the timeshare industry) enables customers to share ownership and use of fully-furnished vacation accommodations. Typically, a vacation ownership purchaser acquires either a fee simple interest in a property (or collection of properties), which gives the purchaser title to a fraction of a unit, or a right to use a property for a specific period of time. These rights may consist of a deeded interest in a specified accommodation unit, an undivided interest in a building or resort, or an interest in a trust that owns one or more resorts. Generally, a vacation ownership purchaser’s fee simple interest in or right to use a property is referred to as a “vacation ownership interest.” By purchasing a vacation ownership interest, owners make a commitment to vacation. For many vacation ownership interest purchasers, vacation ownership is an attractive vacation alternative to traditional lodging accommodations (such as hotels, resorts and condominium rentals). By purchasing a vacation ownership interest, owners can avoid the volatility in room rates to which lodging customers are subject. Owners can also enjoy vacation ownership accommodations that are, on average, more than twice the size of traditional hotel rooms and typically have more amenities, such as kitchens, than traditional hotel rooms. Other vacation ownership purchasers find vacation ownership preferable to owning a second home because vacation ownership is more convenient, reduces maintenance and upkeep concerns and offers greater flexibility.</w:t>
      </w:r>
    </w:p>
    <w:p>
      <w:pPr>
        <w:spacing w:after="0" w:line="1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Typically, developers sell vacation ownership interests for a fixed purchase price that is paid in full at closing. Many vacation ownership companies provide financing or facilitate access to third-party bank financing for customers. Vacation ownership resorts are often managed by a nonprofit property owners’ association in which owners of vacation ownership interests participate. Most property owners’ associations are governed by a board of trustees or directors that includes representatives of the owners, which may include the developer for so long as the developer owns interests in the resort. Some vacation ownership resorts are held through a trust structure in which a trustee holds title to the resort and manages the resort. The board of the property owners’ association, or trustee, as applicable, typically delegates much of the responsibility for managing the resort to a management company, which may be affiliated with the developer.</w:t>
      </w:r>
    </w:p>
    <w:p>
      <w:pPr>
        <w:spacing w:after="0" w:line="18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After the initial purchase, most vacation ownership programs require the owner of the vacation ownership interest to pay an annual maintenance fee. This fee represents the owner’s allocable share of the costs and expenses of operating and maintaining the vacation ownership resorts, including management fees and expenses, taxes, insurance, and other related costs, and of providing program services (such as reservation services). This fee typically includes a property management fee payable to the vacation ownership company or an affiliated entity for providing management services as well as an assessment for funds to be deposited into a capital asset reserve fund and used to renovate, refurbish and replace furnishings, common areas and other assets (such as parking lots or roofs) as needed over time. Owners typically reserve their usage of vacation accommodations in advance through a reservation system (often provided by the management company or an affiliated entity), unless a vacation ownership interest specifies fixed usage dates and a particular unit every year.</w:t>
      </w:r>
    </w:p>
    <w:p>
      <w:pPr>
        <w:spacing w:after="0" w:line="16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vacation ownership industry has grown through expansion of established vacation ownership developers as well as the entrance into this market of well-known lodging and entertainment companies, including Marriott International, Wyndham Worldwide Corporation, Starwood Hotels &amp; Resorts Worldwide, Inc., Hilton Hotels Corporation, Hyatt Hotels Corporation and The Walt Disney Company, which have developed larger resorts as the vacation ownership resort industry has matured. The industry’s growth can also be attributed to increased market acceptance of vacation ownership resorts, stronger consumer protection laws and the evolution of vacation ownership interests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the member can redeem in exchange for stays at the vacation ownership resorts included in the network or for other vacation options available through the program.</w:t>
      </w:r>
    </w:p>
    <w:p>
      <w:pPr>
        <w:spacing w:after="0" w:line="17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To enhance the appeal of their products, vacation ownership developers with multiple resorts and/or hotel affiliations typically establish systems that enable owners to use resorts across their resort portfolio and/or their affiliated hotel networks. In addition to these resort systems, developers of all sizes typically also affiliate with vacation ownership exchange companies in order to give customers the ability to exchange their rights to use the developer’s resorts into a broader network of resorts. The two leading exchange service providers are Interval International, with which we are associated, and Resort Condominium International. Interval International’s and Resort Condominium International’s networks include over 2,800 and over 4,000 affiliated resorts, respectively, as identified on each company’s website.</w:t>
      </w:r>
    </w:p>
    <w:p>
      <w:pPr>
        <w:spacing w:after="0" w:line="1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According to the American Resort Development Association (“ARDA”), a trade association representing the vacation ownership and resort development industries, as of December 31, 2012, the U.S. vacation ownership community was comprised of over 1,550 resorts, representing over 189,000 units and an estimated 8.3 million vacation ownership week equivalents. According to ARDA, sales were $6.9 billion in 2012. We believe there is considerable potential for further growth in the vacation ownership industry.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2014, we are celebrating our 30-year anniversary of providing vacation memories and experiences to millions of families. Since 1984, when Marriott International’s predecessor, Marriott Corporation, became the first major lodging company to enter the vacation ownership industry with its acquisition of American Resorts, a small vacation ownership company, we have been recognized as a leader and innovator in the vacation ownership industry. Marriott International leveraged its well-known “Marriott” brand to sell vacation ownership intervals, which were frequently located at resorts developed adjacent to Marriott International hotels. Over time, the company differentiated its offerings through its high-quality resorts that were purpose-built for vacation ownership, exchange opportunities available under its Marriott Rewards customer loyalty program that increased the flexibility of use of ownership, its dedication to excellent customer service and its commitment to ethical business practices. These qualities encouraged repeat business and word-of-mouth customer referrals.</w:t>
      </w:r>
    </w:p>
    <w:p>
      <w:pPr>
        <w:spacing w:after="0" w:line="19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Marriott International, working with ARDA, also encouraged the enactment of responsible consumer-protection legislation and state regulation that enhanced the reputation and respectability of the overall vacation ownership industry. We believe that, over time, Marriott International’s vacation ownership products and services helped improve the public perception of the vacation ownership industry. A number of other major lodging companies later entered the vacation ownership business, further enhancing the industry’s image and credibility.</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November 21, 2011, Marriott International completed the spin-off of its vacation ownership division (the “Spin-Off”). In the Spin-Off, Marriott International’s vacation ownership operations and related residential business were separated from Marriott International through a special tax-free dividend to Marriott International’s shareholders of all of the issued and outstanding common stock of our company. As a result of the Spin-Off, we are an independent company, and our common stock is listed on the New York Stock Exchange under the symbol “VAC.” Marriott Vacations Worldwide Corporation was incorporated in Delaware in June 2011. Our corporate headquarters is located in Orlando, Florida.</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order to provide for an orderly transition to our status as an independent, publicly owned company and to govern the ongoing relationship between us and Marriott International, we and Marriott International entered into several material agreements pertaining to the provision by each company to the other of certain services, and the rights and obligations of each company, following the Spin-Off. These agreements also provide for each company to indemnify the other against certain liabilities arising from our respective businesses. Following the Spin-Off, we and Marriott International have operated independently, and neither company has any ownership interest in the other.</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Separation and Distribution Agreement among our company, certain of our subsidiaries and Marriott International (the “Separation and Distribution Agreement”) governs the principal actions taken in connection with the Spin-Off and sets forth other agreements that govern certain aspects of our continued relationship with Marriott International following the Spin-Off.</w:t>
      </w:r>
    </w:p>
    <w:p>
      <w:pPr>
        <w:spacing w:after="0" w:line="181"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We entered into a License, Services, and Development Agreement with Marriott International and its subsidiary Marriott Worldwide Corporation (the “Marriott License Agreement”) and a License, Services, and Development Agreement with Ritz-Carlton Hotel Company (the “Ritz-Carlton License Agreement” and, together with the Marriott License Agreement, the “License Agreements”). Under the License Agreements,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 We also entered into a Non-Competition Agreement with Marriott International (the “Non-Competition Agreement”), which generally prohibits Marriott International and its subsidiaries from engaging in the vacation ownership business and prohibits us and our subsidiaries from engaging in the hotel business until the earlier of November 21, 2021 or the termination of the Marriott License Agreement.</w:t>
      </w:r>
    </w:p>
    <w:p>
      <w:pPr>
        <w:spacing w:after="0" w:line="182"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Under the Marriott Rewards Affiliation Agreement that we and certain of our subsidiaries entered into with Marriott International and its subsidiary Marriott Rewards, LLC (the “Marriott Rewards Agreement”), we are allowed to continue to participate in the Marriott Rewards customer loyalty program following the Spin-Off; this participation includes the ability to purchase and use Marriott Rewards Points in connection with our Marriott-branded vacation ownership business. The Marriott Rewards Agreement is coterminous with the Marriott License Agreement.</w:t>
      </w:r>
    </w:p>
    <w:p>
      <w:pPr>
        <w:spacing w:after="0" w:line="171"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We entered into a Tax Sharing and Indemnification Agreement with Marriott International (the “Tax Sharing and Indemnification Agreement”). This agreement describes the methodology for allocating between Marriott International and ourselves responsibility for federal, state, local and foreign income and other taxes relating to taxable periods before and after the Spin-Off. It also provides that if any part of the Spin-Off fails to qualify for the tax treatment stated in the ruling Marriott International received from the U.S. Internal Revenue Service (the “IRS”) in connection with the Spin-Off, taxes imposed on Marriott International or that it incurs as a result of such failure will be allocated between Marriott International and us, and describes the conditions under which each company will indemnify and hold harmless the other from and against the taxes so allocated.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Employee Benefits and Other Employment Matters Allocation Agreement that we entered into with Marriott International sets forth our agreement with Marriott International on the allocation of employees and obligations and responsibilities for compensation, benefits and labor matters, including, among other things, the treatment of outstanding awards under the Marriott International, Inc. Stock and Cash Incentive Plan (the “Marriott International Stock Plan”), deferred compensation obligations, retirement plans and medical and other welfare benefit plans.</w:t>
      </w:r>
    </w:p>
    <w:p>
      <w:pPr>
        <w:spacing w:after="0" w:line="17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also entered into a number of transition services agreements with Marriott International. Under these agreements, Marriott International or certain of its subsidiaries provided us with certain services for a limited time following the Spin-Off. As of the end of 2013 we have ceased using most of these services.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design, build, manage and maintain our properties at upscale and luxury levels in accordance with the Marriott and Ritz-Carlton brand standards that we must comply with under the License Agreements.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our products under four brands:</w:t>
      </w:r>
    </w:p>
    <w:p>
      <w:pPr>
        <w:spacing w:after="0" w:line="221"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Marriott Vacation Club</w:t>
      </w:r>
      <w:r>
        <w:rPr>
          <w:rFonts w:ascii="Arial" w:cs="Arial" w:eastAsia="Arial" w:hAnsi="Arial"/>
          <w:sz w:val="18"/>
          <w:szCs w:val="18"/>
          <w:color w:val="auto"/>
        </w:rPr>
        <w:t xml:space="preserve"> brand is our signature offering in the upscale tier of the vacation ownership industry. Marriott Vacation Club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w:t>
      </w:r>
    </w:p>
    <w:p>
      <w:pPr>
        <w:spacing w:after="0" w:line="180" w:lineRule="exact"/>
        <w:rPr>
          <w:sz w:val="20"/>
          <w:szCs w:val="20"/>
          <w:color w:val="auto"/>
        </w:rPr>
      </w:pPr>
    </w:p>
    <w:p>
      <w:pPr>
        <w:jc w:val="both"/>
        <w:ind w:right="100" w:firstLine="456"/>
        <w:spacing w:after="0" w:line="266" w:lineRule="auto"/>
        <w:rPr>
          <w:sz w:val="20"/>
          <w:szCs w:val="20"/>
          <w:color w:val="auto"/>
        </w:rPr>
      </w:pPr>
      <w:r>
        <w:rPr>
          <w:rFonts w:ascii="Arial" w:cs="Arial" w:eastAsia="Arial" w:hAnsi="Arial"/>
          <w:sz w:val="18"/>
          <w:szCs w:val="18"/>
          <w:b w:val="1"/>
          <w:bCs w:val="1"/>
          <w:color w:val="auto"/>
        </w:rPr>
        <w:t xml:space="preserve">Grand Residences by Marriott </w:t>
      </w:r>
      <w:r>
        <w:rPr>
          <w:rFonts w:ascii="Arial" w:cs="Arial" w:eastAsia="Arial" w:hAnsi="Arial"/>
          <w:sz w:val="18"/>
          <w:szCs w:val="18"/>
          <w:color w:val="auto"/>
        </w:rPr>
        <w:t>is an upscale tier vacation ownership and whole ownership residence brand. The accommodations for this brand are</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to those we offer under the Marriott Vacation Club brand. The time period for each Grand Residences by Marriott vacation ownership interest ranges between three and thirteen weeks. We also offer whole ownership residential products under this brand.</w:t>
      </w:r>
    </w:p>
    <w:p>
      <w:pPr>
        <w:spacing w:after="0" w:line="176"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The Ritz-Carlton Destination Club </w:t>
      </w:r>
      <w:r>
        <w:rPr>
          <w:rFonts w:ascii="Arial" w:cs="Arial" w:eastAsia="Arial" w:hAnsi="Arial"/>
          <w:sz w:val="17"/>
          <w:szCs w:val="17"/>
          <w:color w:val="auto"/>
        </w:rPr>
        <w:t>is a luxury tier vacation ownership brand. The Ritz-Carlton Destination Club provides luxurious vacation</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experiences commensurate with the legacy of the Ritz-Carlton brand. The Ritz-Carlton Destination Club resorts typically feature two, three and four bedroom units that generally include marble foyers, walk-in closets, custom kitchen cabinetry and luxury resort amenities such as large feature pools and access to full service restaurants and bars. The on-site services, which usually include daily maid service, valet, in-residence dining, and access to fitness facilities as well as spa and sports facilities as appropriate for each destination, are delivered by Ritz-Carlton Hotel Company.</w:t>
      </w:r>
    </w:p>
    <w:p>
      <w:pPr>
        <w:spacing w:after="0" w:line="168"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The Ritz-Carlton Residences </w:t>
      </w:r>
      <w:r>
        <w:rPr>
          <w:rFonts w:ascii="Arial" w:cs="Arial" w:eastAsia="Arial" w:hAnsi="Arial"/>
          <w:sz w:val="18"/>
          <w:szCs w:val="18"/>
          <w:color w:val="auto"/>
        </w:rPr>
        <w:t>is a luxury tier whole ownership residence brand. The Ritz-Carlton Residences includes whole ownership luxury</w:t>
      </w:r>
      <w:r>
        <w:rPr>
          <w:rFonts w:ascii="Arial" w:cs="Arial" w:eastAsia="Arial" w:hAnsi="Arial"/>
          <w:sz w:val="18"/>
          <w:szCs w:val="18"/>
          <w:b w:val="1"/>
          <w:bCs w:val="1"/>
          <w:color w:val="auto"/>
        </w:rPr>
        <w:t xml:space="preserve"> </w:t>
      </w:r>
      <w:r>
        <w:rPr>
          <w:rFonts w:ascii="Arial" w:cs="Arial" w:eastAsia="Arial" w:hAnsi="Arial"/>
          <w:sz w:val="18"/>
          <w:szCs w:val="18"/>
          <w:color w:val="auto"/>
        </w:rPr>
        <w:t>residential condominiums and home sites for luxury home construction co-located with The Ritz-Carlton Destination Club resorts. Owners can typically purchase condominiums that vary in size from one-bedroom apartments to spacious penthouses. Owners of The Ritz-Carlton Residences can avail themselves of the services and facilities that are associated with the co-located The Ritz-Carlton Destination Club resort on an a la carte basis. On-site services are delivered by Ritz-Carlton Hotel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Points-Based Vacation Ownership Products</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offer the majority of our products through two points-based ownership programs: Marriott Vacation Club Destinations</w:t>
      </w:r>
      <w:r>
        <w:rPr>
          <w:rFonts w:ascii="Arial" w:cs="Arial" w:eastAsia="Arial" w:hAnsi="Arial"/>
          <w:sz w:val="13"/>
          <w:szCs w:val="13"/>
          <w:color w:val="auto"/>
        </w:rPr>
        <w:t>TM</w:t>
      </w:r>
      <w:r>
        <w:rPr>
          <w:rFonts w:ascii="Arial" w:cs="Arial" w:eastAsia="Arial" w:hAnsi="Arial"/>
          <w:sz w:val="16"/>
          <w:szCs w:val="16"/>
          <w:color w:val="auto"/>
        </w:rPr>
        <w:t xml:space="preserve"> (“MVCD”) and Marriott Vacation Club, Asia Pacific. While the individual characteristics of each of our points-based programs differ slightly, in each program, owners receive an annual allotment of points representing the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flexible check-in days. The MVCD and the Marriott Vacation Club, Asia Pacific programs allow owners to bank and borrow their annual point allotments, as well as access other Marriott Vacation Club locations, through internal exchange programs that we and Interval International operate, access Interval International’s over 2,800 affiliated resorts, or trade their vacation ownership usage rights for Marriott Rewards Points. Owners can use Marriott Rewards Points to access the vast majority of Marriott International’s system of over 3,700 participating hotels or redeem their Marriott Rewards Points for airline miles or other merchandise offered through the Marriott Rewards customer loyalty program. In addition to traditional resort stays, the MVCD program enables our owners to utilize their points for the wide variety of innovative vacation experiences that comprise our Explorer Collection, which include cruises, guided tours, safaris and other unique vacation alternatives. Members of our points-based programs pay annual fees in exchange for the ability to participate in the program. MVCD owners hold an interest in real estate, owned in perpetuity. Our Marriott Vacation Club, Asia Pacific program offers usage for a term of approximately 50 years from the program’s 2006 launch date.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In 2012, we ceased offering The Ritz-Carlton Destination Club points-based vacation ownership product. Inventory from one of The Ritz-Carlton Destination Club branded resorts has been added to the MVCD program, and we intend to place additional luxury branded inventory into the MVCD program.</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Weeks-Based Vacation Ownership Products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continue to sell Marriott Vacation Club branded weeks-based vacation ownership products in select markets, including in countries where legal and tax constraints currently limit our ability to include those locations in the MVCD trust. We have historically offered multi-week vacation ownership interests in specific Grand Residences by Marriott and The Ritz-Carlton Destination Club resorts to address demand from some owners for site specific vacation ownership, but expect future demand for these products to be minimal. Our Marriott Vacation Club, Grand Residences by Marriott and The Ritz-Carlton Destination Club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vacation ownership interests as a right-to-use product subject to a finite term under the Marriott Vacation Club brand in Europe and Asia Pacific and under the Grand Residences by Marriott brand in Europe.</w:t>
      </w:r>
    </w:p>
    <w:p>
      <w:pPr>
        <w:spacing w:after="0" w:line="17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As part of the launch of the MVCD program in mid-2010, we offered our existing Marriott Vacation Club owners who held weeks-based products in the United States and Caribbean the opportunity to participate in the MVCD program on a voluntary basis. In mid-2012, we began offering owners who held weeks-based products in Europe the opportunity to participate in the MVCD program. All existing owners, whether or not they elected to participate in the MVCD program, retained their existing rights and privileges of vacation ownership. Owners who elected to participate in the program received the ability to trade their weeks-based intervals usage for vacation club points usage each year, subject to payment of an initial enrollment fee and annual fees. As of the end of 2013, almost 134,000 weeks-based owners have enrolled over 233,000 weeks in the MVCD program since its launch and, of these owners who have enrolled weeks with one of our sales executives, approximately 45 percent have also purchased MVCD points.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2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of vacation ownership products; and renting vacation ownership inventory.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Our principal source of revenue is the sale of vacation ownership interests. See “—Marketing and Sales Activities” below for information regarding our marketing and sales activities.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generate revenue from fees we earn for managing each of our resorts. See “—Property Management Activities” below for additional information on the terms of our management agreements. In addition, we earn revenue for providing ancillary offerings, including food and beverage, retail, and golf and spa offerings at our various resorts. We also receive annual club dues and certain transaction-based fees from owners and other third parties, including our guests, for services provided.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earn interest income on loans that we provide to purchasers of our vacation ownership interests, as well as loan servicing and other fees. See “— Consumer Financing” below for further information regarding our consumer financing activities.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generate rental revenue from transient rentals of inventory we hold for sale as interests in our vacation ownership programs or as residences, or inventory that we control because our owners have elected alternative usage options permitted under our vacation ownership programs.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 Activities</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sell our upscale tier vacation ownership products under the Marriott Vacation Club brand primarily through our worldwide network of resort-based sales centers and certain off-site sales locations. The Marriott Vacation Club products are currently marketed for sale throughout the United States and in over 30 countries around the world, targeting customers who vacation regularly with a focus on family, relaxation and recreational activities. In 2013, approximately 83 percent of our sales originated at one of our sales centers that are co-located with one of our resorts. We maintain a range of different off-site sales centers, including our central telesales organization based in Orlando, our network of third-party brokers in Latin America and Europe, and our city-based sales centers, such as our sales centers in Dubai and Singapore. We have over 50 global sales locations focused on the sale of Marriott Vacation Club products. We utilize a number of marketing channels to attract qualified customers to our sales locations for our Marriott Vacation Club vacation ownership products.</w:t>
      </w:r>
    </w:p>
    <w:p>
      <w:pPr>
        <w:sectPr>
          <w:pgSz w:w="11900" w:h="16838" w:orient="portrait"/>
          <w:cols w:equalWidth="0" w:num="1">
            <w:col w:w="11420"/>
          </w:cols>
          <w:pgMar w:left="240" w:top="459"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solicit our owners primarily while they are staying in our resorts, but also offer our owners the opportunity to make additional purchases through direct phone sales, owner events and inquiries from our central customer service center located in Salt Lake City, Utah. In 2013, approximately 60 percent of our sales of vacation ownership products were to our owners. However, we are focused on growing our tour flow cost effectively as we pivot to more first-time buyer tours and work towards achieving our long term goal of selling to an equal mix of new buyers and existing buyers. This strategy includes an emphasis on new sales channels concentrated on first-time buyers.</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offer customers who are referred to us by our owners discounted stays at our resorts and conduct scheduled sales tours while they are on-site. Where allowed by regulation, we offer Marriott Rewards Points to our owners when their referral candidates tour with us or buy vacation ownership interests from us.</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We also market to existing Marriott Rewards customer loyalty program members and travelers who are staying in locations where we have resorts. We market extensively to guests in Marriott International hotels that are located near one of our sales locations. In addition, we operate other local marketing venues in various high-traffic areas. A significant part of our direct marketing activities are focused on prospects in the Marriott Rewards customer loyalty program database and our in-house database of qualified prospects. Guests who do not buy a vacation ownership interest during their initial tour are offered a special package for another stay at our resorts within a year. These return guests are typically twice as likely to purchase as a first-time visitor.</w:t>
      </w:r>
    </w:p>
    <w:p>
      <w:pPr>
        <w:spacing w:after="0" w:line="15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Our Marriott Vacation Club sales tours are designed to provide our guests with an overview of our company and our products, as well as a customized presentation to explain how our products and services can meet their vacationing needs. Our sales force is highly trained in a consultative sales approach designed to ensure that we meet customers’ needs on an individual basis. We hire our Marriott Vacation Club sales executives based on stringent selection criteria. After they are hired, they spend a minimum of four weeks in product and sales training before interacting with any customers. We manage our sales executives’ consistency of presentation and professionalism using a variety of sales tools and technology and through a post-presentation survey of our guests that measures many aspects of each guest’s interaction with us.</w:t>
      </w:r>
    </w:p>
    <w:p>
      <w:pPr>
        <w:spacing w:after="0" w:line="17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believe consumers place a great deal of trust in the Marriott and Ritz-Carlton brands and the strength of these brands is important to our ability to attract qualified prospects in the marketplace. We maintain a prominent presence on the www.marriott.com and www.ritzcarlton.com websites. Our proprietary sites, which include www.marriottvacationsworldwide.com, www.marriottvacationclub.com and www.ritzcarltonclub.com, had over 5.8 million visits in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Development Activities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secure inventory by building additional phases at our existing resorts, repurchasing inventory in the secondary market or developing or acquiring resorts in strategic markets.</w:t>
      </w:r>
    </w:p>
    <w:p>
      <w:pPr>
        <w:spacing w:after="0" w:line="17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intend to selectively pursue growth opportunities in North America and Asia by targeting high-quality inventory sources that allow us to add desirable new locations to our system, as well as new sales locations, through transactions that limit our capital investment. These “asset light” deals may consist of the development of turn-key resorts financed by third-party partners, the purchase of constructed inventory just prior to sale, or the entry into fee-for-service arrangements. We proactively buy back previously sold vacation ownership interests under our repurchase program at lower costs than would be required to develop new inventory. We also intend to further control inventory spending by placing additional Ritz-Carlton branded inventory that we own into the MVCD program.</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Approximately one-third of our vacation ownership resorts are co-located with Marriott International and Ritz-Carlton hotel properties. Co-location of our resorts with Marriott International or Ritz-Carlton branded hotels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have been available for the resort on a stand-alone basis. Shared infrastructure can also reduce our overall development costs for our resorts on a per unit basis. Integration of services and sharing staff and other expenses can lower overhead and operating costs for our resorts. Our on-site access to hotel customers, including Marriott Rewards customer loyalty program members, who are visiting co-located hotels also provides us with a cost-effective marketing channel for our vacation ownership products.</w:t>
      </w:r>
    </w:p>
    <w:p>
      <w:pPr>
        <w:spacing w:after="0" w:line="192"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Co-located resorts require cooperation and coordination among all parties and are subject to cost sharing and integration agreements among us, the applicable property owners’ association and managers and owners of the co-located hotel. Our License Agreements with Marriott International and Ritz-Carlton allow for the development of co-located properties in the future, and we intend to opportunistically pursue co-located projects with them.</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our points-based business model, we are able to supply many sales offices with new inventory from a small number of resort locations, which provides us with greater efficiency in the use of our capital. As a result, our risk associated with construction delays is concentrated in fewer locations than it has been in the past. Additionally, selling vacation ownership interests in a system of resorts under a points-based business model increases the risk of temporary inventory depletion. We sell vacation ownership interests denominated in points from a single trust entity in each of our North America and Asia Pacific business segments. Thus, the primary source of inventory for each segment is concentrated in its corresponding trust. To avoid the risk of temporary inventory depletion, we employ a strategy of seeking to maintain a six- to nine-month surplus supply of completed inventory. Even in the unlikely event that this surplus is not sufficient, we believe that the actual risk of temporary inventory depletion is relatively minor, as there are other mitigation strategies that could be employed to prevent such an occurrence, such as accelerating completion of resorts under construction, acquiring vacation ownership interests on the secondary market, or reducing sales pace by adjusting prices or sales incentives.</w:t>
      </w:r>
    </w:p>
    <w:p>
      <w:pPr>
        <w:spacing w:after="0" w:line="18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Owners generally can offer their vacation ownership interests for resale on the secondary market, which can create pricing pressure on the sale of developer inventory. However, owners who purchase vacation ownership interests on the secondary market typically do not receive all of the benefits that owners who purchase products directly from us receive. When an owner purchases a vacation ownership interest directly from us, the owner receives certain entitlements that are tied to the underlying vacation ownership interest, such as the right to reserve a resort unit that underlies their vacation ownership interest in order to occupy that unit or exchange its use for use of a unit at another resort through an outside exchange company, as well as benefits that are incidental to the purchase of the vacation ownership interest. While a purchaser on the secondary market will receive all of the entitlements that are tied to the underlying vacation ownership interest, the purchaser is not entitled to receive certain incidental benefits. For example, owners who purchase our products on the secondary market are not entitled to trade their usage rights for Marriott Rewards Points. Owners of our points-based products who do not purchase from us have restricted access to our internal exchange program and are not entitled to trade their usage rights for Marriott Rewards Points. Therefore, those owners are only entitled to use the inventory that underlies the vacation ownership interests they purchased. Additionally, most of our vacation ownership interests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property owners’ association, as well as any exchange company membership dues or service fees.</w:t>
      </w:r>
    </w:p>
    <w:p>
      <w:pPr>
        <w:spacing w:after="0" w:line="172"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We own certain parcels of undeveloped and partially developed land that we originally acquired for vacation ownership development, as well as built luxury inventory, including unfinished units. However, as we target new destinations for our points program and pursue future “asset light” development opportunities, we have implemented a plan to dispose of certain undeveloped and partially developed land and excess built luxury inventory.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Management Activities</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enter into a management agreement with the property owners’ association at each of our resorts or, in the case of resorts held by a trust, with the associated trust. In exchange for a management fee, we typically provide owner account management (reservations and usage selection), housekeeping, check-in, maintenance and billing and collections services. The management fee is typically based on either a percentage of total cost to operate such resorts or a fixed fee arrangement. We earn these fees regardless of usage or occupancy. We also receive revenues that represent reimbursement for certain costs we incur under our management agreements, principally payroll-related costs, at the locations where we employ the associates providing on-site services.</w:t>
      </w:r>
    </w:p>
    <w:p>
      <w:pPr>
        <w:spacing w:after="0" w:line="158" w:lineRule="exact"/>
        <w:rPr>
          <w:sz w:val="20"/>
          <w:szCs w:val="20"/>
          <w:color w:val="auto"/>
        </w:rPr>
      </w:pPr>
    </w:p>
    <w:p>
      <w:pPr>
        <w:jc w:val="both"/>
        <w:ind w:right="300" w:firstLine="456"/>
        <w:spacing w:after="0" w:line="255" w:lineRule="auto"/>
        <w:rPr>
          <w:sz w:val="20"/>
          <w:szCs w:val="20"/>
          <w:color w:val="auto"/>
        </w:rPr>
      </w:pPr>
      <w:r>
        <w:rPr>
          <w:rFonts w:ascii="Arial" w:cs="Arial" w:eastAsia="Arial" w:hAnsi="Arial"/>
          <w:sz w:val="18"/>
          <w:szCs w:val="18"/>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In our nearly 30-year history, our management agreements for most of our resorts have been regularly renewed. When our management agreement for a Marriott Vacation Club branded resort expires or is terminated, the resort loses the ability to use the Marriott name and trademarks. The owners at such resorts also lose their ability to trade their vacation ownership usage rights for Marriott Rewards Points and to access other Marriott Vacation Club resorts through our internal exchange system.</w:t>
      </w:r>
    </w:p>
    <w:p>
      <w:pPr>
        <w:spacing w:after="0" w:line="193"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Ritz-Carlton Hotel Company manages the on-site operations for substantially all The Ritz-Carlton Destination Club and The Ritz-Carlton Residences properties under separate management agreements with us or the relevant property owners’ association or trust for each property. We provide property owners’ association governance and vacation ownership program management services for The Ritz-Carlton Destination Club and The Ritz-Carlton Residences properties, including preparing association budgets, facilitating association meetings, billing and collecting maintenance fees, and supporting reservations, vacation experience planning and other off-site member services. We and Ritz-Carlton Hotel Company split the management fees equally for these resorts. If a management agreement for a resort expires or is terminated, the resort loses the ability to use the Ritz-Carlton name and trademarks. The owners at such resorts also lose their ability to access other usage benefits, such as access to accommodations at other The Ritz-Carlton Destination Club resorts, preferential access to Ritz-Carlton hotels worldwide and access to our internal exchange and vacation travel options.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Each management agreement requires the property owners’ association or trust to provide sufficient funds to pay for the vacation ownership program and resort operating costs. To satisfy this requirement, owners of vacation ownership interests pay an annual maintenance fee. This fee represents the owner’s allocable share of the costs of operating and maintaining the vacation ownership resorts,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assets (such as parking lots or roofs) as needed over time. As the owner of completed but unsold vacation ownership inventory, we also pay maintenance fees in accordance with the legal requirements of the jurisdictions applicable to such resorts and programs. In addition, in early phases of development at a resort, we sometimes enter into subsidy agreements with the property owners’ associations under which we agree to pay costs that otherwise would be covered by annual maintenance fees associated with vacation ownership interests or units that have not yet been built. These subsidy arrangements help keep maintenance fees at a customary level for owners who purchase in the early stages of development.</w:t>
      </w:r>
    </w:p>
    <w:p>
      <w:pPr>
        <w:spacing w:after="0" w:line="16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event of a default by an owner in payment of maintenance fees or other assessments, the property owners’ association typically has the right to foreclose on or revoke the defaulting owner’s vacation ownership interest. We have entered into arrangements with several property owners’ associations to assist in reselling foreclosed or revoked vacation ownership interests in exchange for a fee or to reacquire such foreclosed or revoked vacation ownership interests from the property owners’ associations.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Financing</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offer purchase money financing for qualified purchasers of our vacation ownership products. By offering or eliminating financing incentives and modifying underwriting standards, we have been able to increase or decrease our financing activities depending on market conditions. We are not providing financing to residential buyers.</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our North America segment in 2013, approximately 40 percent of Marriott Vacation Club customers financed their purchase with us. The average loan for our Marriott Vacation Club products totaled approximately $23,000, which represented 88 percent of the average purchase price. Our policy is to require a minimum down payment of 10 percent of the purchase price for qualified applicants, although down payments and interest rates are typically higher for applicants with credit scores below certain levels and for purchasers who do not have credit scores, such as non-U.S. purchasers. The average interest rate for loans for our Marriott Vacation Club products made in 2013 was 12.02 percent and the average term was 9.6 years. Interest rates are fixed, and a loan fully amortizes over the life of the loan. The average monthly mortgage payment for a Marriott Vacation Club owner who received a loan in 2013 was $439. Since 2008, approximately 17 percent of borrowers have prepaid their loan within the first six months. Generally, loans for The Ritz-Carlton Destination Club products have a significantly higher balance, a longer term and a lower interest rate than loans for our Marriott Vacation Club products.</w:t>
      </w:r>
    </w:p>
    <w:p>
      <w:pPr>
        <w:spacing w:after="0" w:line="16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2013, approximately 85 percent of our loans were used to finance U.S.-based products. In our North American business, we perform a credit investigation or other review or inquiry to determine the purchaser’s credit history before extending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In 2013, the average FICO score of our customers who were U.S. citizens or residents who financed a vacation ownership purchase was 729; 67 percent had a credit score of over 700, 88 percent had a credit score of over 650 and over 97 percent had a credit score of over 600.</w:t>
      </w:r>
    </w:p>
    <w:p>
      <w:pPr>
        <w:spacing w:after="0" w:line="16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use other information to determine minimum down payments and interest rates applicable to loans made to purchasers that do not have a credit score or who do not reside within the United States, such as regional historical default rates and currency fluctuation risk.</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the event of a default, we generally have the right to foreclose on or revoke the defaulting owner’s vacation ownership interest. We typically resell interests that we reacquire through foreclosure.</w:t>
      </w:r>
    </w:p>
    <w:p>
      <w:pPr>
        <w:spacing w:after="0" w:line="17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securitize the majority of the consumer loans we originate in support of our North American business. Historically, we have sold these loans to institutional investors in the asset-backed securities (“ABS”) market on a non-recourse basis, completing transactions once or twice each year. In 2013, we completed a transaction securitizing $263 million of vacation ownership notes receivable at a weighted average interest rate of 2.21 percent and an advance rate of 95 percent. This transaction generated approximately $250 million of gross cash proceeds. Net cash proceeds after transaction costs, cash reserves and repayment of amounts outstanding under our non-recourse warehouse credit facility (the “Warehouse Credit Facility”) were $148 million. On an ongoing basis, we have the ability to use the Warehouse Credit Facility to securitize eligible consumer loans. Those loans may later be transferred to term securitizations transactions in the ABS market, which we intend to complete at least once a year. Excluding amounts securitized through the Warehouse Credit Facility, since the early 1990s, we have securitized over $5.1 billion of loans. We retain the servicing and collection responsibilities for the loans we securitize, for which we receive a servicing fee.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believe that competition in the vacation ownership industry is based primarily on the quality, number and location of vacation ownership resorts, trust in the brand, pricing of product offerings and the availability of program benefits, such as exchange programs and access to affiliated hotel networks. Vacation ownership is a vacation option that is positioned and sold as an attractive alternative to vacation rentals (such as hotels, resorts and condominium rentals) and second home ownership. The various segments within the vacation ownership industry are differentiated by the quality level of the accommodations, range of services and ancillary offerings, and price. We believe that we have significant competitive advantages that support our leadership position in the vacation ownership industry.</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leading global “pure-play” vacation ownership company</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We are one of the world’s largest “pure-play” vacation ownership companies (that is, a company whose business is focused almost entirely on vacation ownership), based on number of owners, number of resorts and revenues. As a “pure-play” vacation ownership company, we are able to enhance our focus on the vacation ownership industry and tailor our business strategy to address our company’s industry-specific goals and needs.</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our scale and global reach, coupled with our renowned brands and development, marketing, sales and management expertise, help us achieve operational efficiencies and support future growth opportunities. Our size allows us to provide owners with a wide variety of experiences within our resort portfolio. We also believe our size helps us obtain better financing terms from lenders, achieve cost savings in procurement and attract talented management and associates.</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breadth and depth of our operations enables us to offer a variety of products. We cater to a diverse range of customers through our upscale tier Marriott-branded resorts and our luxury tier Ritz-Carlton branded resorts.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Premier global brands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our exclusive licenses of the Marriott and Ritz-Carlton brands for use in the vacation ownership business provide us with a meaningful competitive advantage. Marriott International is a leading lodging company with more than 3,800 properties in 72 countries and territories, including Marriott and Ritz-Carlton branded properties. Consumer confidence in these renowned brands helps us attract and retain guests and owners. In addition, we provide our customers with access to the award-winning Marriott Rewards customer loyalty program. We also utilize the Marriott and Ritz-Carlton websites, www.marriott.com and www.ritzcarlton.com, as relatively low-cost marketing tools to introduce Marriott and Ritz-Carlton guests to our products and rent available inventory.</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Loyal, highly satisfied customers</w:t>
      </w:r>
    </w:p>
    <w:p>
      <w:pPr>
        <w:spacing w:after="0" w:line="117"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We have a large, highly satisfied customer base. In 2013, based on nearly 224,000 survey responses, nearly 90 percent of respondents indicated that they were highly satisfied with our products, sales and owner services and their on-site experiences (by selecting 8, 9 or 10 on a 10-point scale). Owner satisfaction is also demonstrated by the fact that our average resort occupancy was 90 percent in 2013, significantly higher than the overall vacation ownership industry average of nearly 77 percent in 2012, the most recent year for which data has been reported by ARDA. We believe that strong customer satisfaction and brand loyalty result in more frequent use of our products and encourage owners to purchase additional products and to recommend our products to friends and family, which in turn generates higher revenues.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Long-standing track record, experienced management and engaged associates</w:t>
      </w:r>
    </w:p>
    <w:p>
      <w:pPr>
        <w:spacing w:after="0" w:line="11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have been a pioneer in the vacation ownership industry since 1984, when Marriott International became the first company to introduce a lodging-branded vacation ownership product. Our seasoned management team is led by Stephen P. Weisz, our President and Chief Executive Officer. Mr. Weisz has served as President of our company since 1996 and has over 40 years of combined experience at Marriott International and Marriott Vacations Worldwide. William J. Shaw, the Chairman of our Board of Directors, is the former Vice Chairman, President and Chief Operating Officer of Marriott International and has nearly 37 years of experience at Marriott International. Our nine executive officers have an average of over 24 years of total combined experience at Marriott Vacations Worldwide and Marriott International, with nearly half of those years spent leading our business. We believe our management team’s extensive public company and vacation ownership industry experience enables us to respond quickly and effectively to changing market conditions and consumer trends. Management’s experience in the highly regulated vacation ownership industry also provides us with a competitive advantage in expanding existing product forms and developing new ones.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believe that our associates provide superior customer service, which enhances our competitive position. We leverage outstanding associate engagement and strong corporate culture to deliver positive customer experiences in sales, marketing and resort operations. We survey our associates regularly through an external survey provider to understand their satisfaction and engagement, defined as how passionate employees are about the company’s mission and their willingness to “go the extra mile” to see it succeed. We routinely rank highly compared to other companies participating in such surveys. In 2013, 83 percent of our associates indicated that they were “engaged,” which is three points above Aon Hewitt’s “Global Best Employer” benchmark of 80 percent. This external benchmark is based on research conducted by Aon Hewitt of more than 500 organizations that are considered to be “Best Employers.”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strategic goal is to further strengthen our leadership position in the vacation ownership industry. To achieve this goal, we are pursuing the following initiatives: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Drive profitable sales growth</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intend to continue to generate growth in vacation ownership sales by leveraging our globally recognized brand names and focusing on our approximately 420,000 owners around the world. In 2013, approximately 60 percent of our sales of vacation ownership products were to our owners. However, we are focused on growing our tour flow cost effectively as we pivot to more first-time buyer tours and work towards achieving our long term goal of selling to an equal mix of new buyers and existing buyers. This strategy includes an emphasis on new sales channels concentrated on first-time buyers. We also continue to drive improved development margin through more efficient marketing and sales spending and managing inventory costs and development activities.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Maximize cash flow and optimize our capital structure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Through the use of our points-based products, we are able to more closely match inventory development with sales pace and reduce inventory levels, thereby improving our cash flows over time. Additionally, by limiting the amount of completed inventory on hand, we are able to reduce the maintenance fees that we pay on unsold units. Over the last few years, we have significantly reduced our costs, and we intend to continue to control costs as sales volumes grow.</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expect our modest level of debt and limited near-term capital needs will enable us to maintain a level of liquidity that ensures financial flexibility, giving us the ability to pursue strategic growth opportunities, withstand potential future economic downturns, optimize our cost of capital, and pursue strategies for returning capital to shareholders. We intend to meet our liquidity needs through operating cash flow, the disposition of excess undeveloped and partially developed land and excess built luxury inventory, our $200 million revolving credit facility (the “Revolving Corporate Credit Facility”), our Warehouse Credit Facility and continued access to the ABS term financing market.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Focus on our owners, guests and associates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in the business of providing high-quality vacation experiences to our owners and guests around the world. We intend to maintain and improve their satisfaction with our products and services, particularly since our owners and guests are our most cost-effective sales channels. We intend to continue to sell our products through these very effective channels and believe that maintaining a high level of engagement across all of our customer groups is key to our success.</w:t>
      </w:r>
    </w:p>
    <w:p>
      <w:pPr>
        <w:spacing w:after="0" w:line="18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Engaging our associates in the success of our business continues to be one of our long-term core strategies. We understand the connection between the engagement of our associates and the satisfaction and engagement of our owners and guests. At the heart of our culture is the belief that if a company takes care of its associates, they will take care of the company’s guests and the guests will return again and again.</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Opportunistically dispose of excess assets and selectively pursue “asset light” deal structures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intend to dispose of certain excess assets over the next few years and redeploy the capital from these sales. The majority of these dispositions consist of undeveloped land holdings. We expect these assets will be marketed and sold as the real estate markets in the respective locations of these assets improve.</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intend to selectively pursue growth opportunities in North America and Asia by targeting high-quality inventory sources that allow us to add desirable new locations to our system, as well as new sales locations, through transactions that limit our capital investment. These “asset light” deals may consist of the development of turn-key resorts financed by third-party partners, the purchase of constructed inventory just prior to sale, or the entry into fee-for-service arrangements.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Selectively pursue compelling new business opportunities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As an independent company, we are positioned to explore new business opportunities, such as development of our exchange activities, new management affiliations and acquisitions of existing vacation ownership and related businesses, which we may not have previously pursued as part of Marriott International. We intend to selectively pursue these types of opportunities with a focus on driving recurring streams of revenue and profit. Prior to entering into any new business, we will evaluate its strategic fit and assess whether it is complementary to our current business, has strong expected financial returns and leverages our existing competencies.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Our operations are grouped into three business segments: North America, Europe and Asia Pacific. The “Corporate and Other” information described below includes activities that do not collectively comprise a separate reportable segment. Prior to 2013, our business was grouped into four reportable segments: North America, Luxury, Europe and Asia Pacific. Effective December 29, 2012, we combined the reporting of the financial results of the former Luxury segment with the North America segment based upon our decision to scale back separate development activity for the luxury market and to aggregate future marketing and sales efforts for upscale and luxury inventory. Existing service standards and on-site management remain unaffected by our reporting changes. Prior year amounts have been recast for consistency with the current year’s presentation. See Footnote No. 19, “Business Segments,” to our Financial Statements for further information on our segments.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our revenue for 2013 for each of our segments and each of our revenue sources (dollars in millions).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89"/>
              </w:rPr>
              <w:t>Revenue Source</w:t>
            </w:r>
          </w:p>
        </w:tc>
        <w:tc>
          <w:tcPr>
            <w:tcW w:w="3680" w:type="dxa"/>
            <w:vAlign w:val="bottom"/>
            <w:vMerge w:val="restart"/>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North</w:t>
            </w:r>
          </w:p>
        </w:tc>
        <w:tc>
          <w:tcPr>
            <w:tcW w:w="280" w:type="dxa"/>
            <w:vAlign w:val="bottom"/>
          </w:tcPr>
          <w:p>
            <w:pPr>
              <w:spacing w:after="0"/>
              <w:rPr>
                <w:sz w:val="14"/>
                <w:szCs w:val="14"/>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Europe</w:t>
            </w:r>
          </w:p>
        </w:tc>
        <w:tc>
          <w:tcPr>
            <w:tcW w:w="26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Asia Pacific</w:t>
            </w:r>
          </w:p>
        </w:tc>
        <w:tc>
          <w:tcPr>
            <w:tcW w:w="100" w:type="dxa"/>
            <w:vAlign w:val="bottom"/>
          </w:tcPr>
          <w:p>
            <w:pPr>
              <w:spacing w:after="0"/>
              <w:rPr>
                <w:sz w:val="14"/>
                <w:szCs w:val="14"/>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1000" w:type="dxa"/>
            <w:vAlign w:val="bottom"/>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4"/>
              </w:rPr>
              <w:t>America</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8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Vacation ownership sales</w:t>
            </w:r>
          </w:p>
        </w:tc>
        <w:tc>
          <w:tcPr>
            <w:tcW w:w="1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Resort management and other services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Rental</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1,545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141</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1,750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Financial information by segment and geographic area for 2013, 2012 and 2011 appears in Footnote No. 19, “Business Segments,” to our Financial Statements.</w:t>
      </w:r>
    </w:p>
    <w:p>
      <w:pPr>
        <w:spacing w:after="0" w:line="17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generally own the unsold vacation ownership inventory at our properties as either a deeded beneficial interest in a real estate land trust, a deeded interest at a specific resort, or a right to use interest in real estate owned or leased by a trust or other property owning or leasing vehicle (these forms of ownership are described in more detail in “Business—Our Products”). With respect to inventory that has not yet been converted into one of these forms of vacation ownership, we generally hold a fee interest in the underlying real estate rights to the land parcel, building or units corresponding to such inventory. Further, we also own or lease other property at these resorts, including golf courses, fitness, spa and sports facilities, food and beverage outlets, resort lobbies and other common area assets. See Footnote No. 9, “Contingencies and Commitments,” to our Financial Statements for more information on our golf course land leases and other operating leases. Substantially all of our ownership and leasehold interests in these properties, subject to certain exceptions, are pledged as collateral for our Revolving Corporate Credit Facility.</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Properties</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As of January 3, 2014, we operated 62 properties (under 85 management contracts) with 12,829 vacation ownership villas (“units”) and approximately 420,000 owners. The following table shows our vacation ownership and residential properties as of January 3, 2014, and indicates the segment that operates such property: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Vacation</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Ownership</w:t>
            </w: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Units</w:t>
            </w:r>
          </w:p>
        </w:tc>
        <w:tc>
          <w:tcPr>
            <w:tcW w:w="7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r>
              <w:rPr>
                <w:rFonts w:ascii="Arial" w:cs="Arial" w:eastAsia="Arial" w:hAnsi="Arial"/>
                <w:sz w:val="12"/>
                <w:szCs w:val="12"/>
                <w:b w:val="1"/>
                <w:bCs w:val="1"/>
                <w:color w:val="auto"/>
              </w:rPr>
              <w:t>(1)</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Segment</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Experience</w:t>
            </w:r>
          </w:p>
        </w:tc>
        <w:tc>
          <w:tcPr>
            <w:tcW w:w="19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Location</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(VO) or</w:t>
            </w:r>
          </w:p>
        </w:tc>
        <w:tc>
          <w:tcPr>
            <w:tcW w:w="660" w:type="dxa"/>
            <w:vAlign w:val="bottom"/>
            <w:gridSpan w:val="2"/>
            <w:vMerge w:val="continue"/>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Planned</w:t>
            </w:r>
          </w:p>
        </w:tc>
        <w:tc>
          <w:tcPr>
            <w:tcW w:w="0" w:type="dxa"/>
            <w:vAlign w:val="bottom"/>
          </w:tcPr>
          <w:p>
            <w:pPr>
              <w:spacing w:after="0"/>
              <w:rPr>
                <w:sz w:val="1"/>
                <w:szCs w:val="1"/>
                <w:color w:val="auto"/>
              </w:rPr>
            </w:pPr>
          </w:p>
        </w:tc>
      </w:tr>
      <w:tr>
        <w:trPr>
          <w:trHeight w:val="176"/>
        </w:trPr>
        <w:tc>
          <w:tcPr>
            <w:tcW w:w="454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Residential</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Built</w:t>
            </w:r>
            <w:r>
              <w:rPr>
                <w:rFonts w:ascii="Arial" w:cs="Arial" w:eastAsia="Arial" w:hAnsi="Arial"/>
                <w:sz w:val="12"/>
                <w:szCs w:val="12"/>
                <w:b w:val="1"/>
                <w:bCs w:val="1"/>
                <w:color w:val="auto"/>
                <w:w w:val="96"/>
              </w:rPr>
              <w:t>(2)</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Units</w:t>
            </w:r>
            <w:r>
              <w:rPr>
                <w:rFonts w:ascii="Arial" w:cs="Arial" w:eastAsia="Arial" w:hAnsi="Arial"/>
                <w:sz w:val="12"/>
                <w:szCs w:val="12"/>
                <w:b w:val="1"/>
                <w:bCs w:val="1"/>
                <w:color w:val="auto"/>
                <w:w w:val="92"/>
              </w:rPr>
              <w:t>(3)</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47 Park Street-Grand Residences by Marriott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Europe</w:t>
            </w:r>
          </w:p>
        </w:tc>
        <w:tc>
          <w:tcPr>
            <w:tcW w:w="10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Urban</w:t>
            </w:r>
          </w:p>
        </w:tc>
        <w:tc>
          <w:tcPr>
            <w:tcW w:w="100" w:type="dxa"/>
            <w:vAlign w:val="bottom"/>
            <w:vMerge w:val="continue"/>
            <w:shd w:val="clear" w:color="auto" w:fill="CCEEFF"/>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London, UK</w:t>
            </w:r>
          </w:p>
        </w:tc>
        <w:tc>
          <w:tcPr>
            <w:tcW w:w="10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VO</w:t>
            </w:r>
          </w:p>
        </w:tc>
        <w:tc>
          <w:tcPr>
            <w:tcW w:w="10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rPr>
                <w:sz w:val="20"/>
                <w:szCs w:val="20"/>
                <w:color w:val="auto"/>
              </w:rPr>
            </w:pPr>
            <w:r>
              <w:rPr>
                <w:rFonts w:ascii="Arial" w:cs="Arial" w:eastAsia="Arial" w:hAnsi="Arial"/>
                <w:sz w:val="16"/>
                <w:szCs w:val="16"/>
                <w:color w:val="auto"/>
              </w:rPr>
              <w:t>Aruba Ocean Club</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North America</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Island/Beach</w:t>
            </w:r>
          </w:p>
        </w:tc>
        <w:tc>
          <w:tcPr>
            <w:tcW w:w="1960" w:type="dxa"/>
            <w:vAlign w:val="bottom"/>
            <w:gridSpan w:val="2"/>
          </w:tcPr>
          <w:p>
            <w:pPr>
              <w:spacing w:after="0"/>
              <w:rPr>
                <w:sz w:val="20"/>
                <w:szCs w:val="20"/>
                <w:color w:val="auto"/>
              </w:rPr>
            </w:pPr>
            <w:r>
              <w:rPr>
                <w:rFonts w:ascii="Arial" w:cs="Arial" w:eastAsia="Arial" w:hAnsi="Arial"/>
                <w:sz w:val="16"/>
                <w:szCs w:val="16"/>
                <w:color w:val="auto"/>
              </w:rPr>
              <w:t>Aruba</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VO</w:t>
            </w:r>
          </w:p>
        </w:tc>
        <w:tc>
          <w:tcPr>
            <w:tcW w:w="460" w:type="dxa"/>
            <w:vAlign w:val="bottom"/>
          </w:tcPr>
          <w:p>
            <w:pPr>
              <w:jc w:val="right"/>
              <w:spacing w:after="0"/>
              <w:rPr>
                <w:sz w:val="20"/>
                <w:szCs w:val="20"/>
                <w:color w:val="auto"/>
              </w:rPr>
            </w:pPr>
            <w:r>
              <w:rPr>
                <w:rFonts w:ascii="Arial" w:cs="Arial" w:eastAsia="Arial" w:hAnsi="Arial"/>
                <w:sz w:val="16"/>
                <w:szCs w:val="16"/>
                <w:color w:val="auto"/>
              </w:rPr>
              <w:t>218</w:t>
            </w:r>
          </w:p>
        </w:tc>
        <w:tc>
          <w:tcPr>
            <w:tcW w:w="200" w:type="dxa"/>
            <w:vAlign w:val="bottom"/>
          </w:tcPr>
          <w:p>
            <w:pPr>
              <w:spacing w:after="0"/>
              <w:rPr>
                <w:sz w:val="17"/>
                <w:szCs w:val="17"/>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Aruba Surf Club</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North America</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Island/Beach</w:t>
            </w:r>
          </w:p>
        </w:tc>
        <w:tc>
          <w:tcPr>
            <w:tcW w:w="1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Aruba</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VO</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rPr>
                <w:sz w:val="20"/>
                <w:szCs w:val="20"/>
                <w:color w:val="auto"/>
              </w:rPr>
            </w:pPr>
            <w:r>
              <w:rPr>
                <w:rFonts w:ascii="Arial" w:cs="Arial" w:eastAsia="Arial" w:hAnsi="Arial"/>
                <w:sz w:val="16"/>
                <w:szCs w:val="16"/>
                <w:color w:val="auto"/>
              </w:rPr>
              <w:t>Barony Beach Club</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North America</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Beach</w:t>
            </w:r>
          </w:p>
        </w:tc>
        <w:tc>
          <w:tcPr>
            <w:tcW w:w="1960" w:type="dxa"/>
            <w:vAlign w:val="bottom"/>
            <w:gridSpan w:val="2"/>
          </w:tcPr>
          <w:p>
            <w:pPr>
              <w:spacing w:after="0"/>
              <w:rPr>
                <w:sz w:val="20"/>
                <w:szCs w:val="20"/>
                <w:color w:val="auto"/>
              </w:rPr>
            </w:pPr>
            <w:r>
              <w:rPr>
                <w:rFonts w:ascii="Arial" w:cs="Arial" w:eastAsia="Arial" w:hAnsi="Arial"/>
                <w:sz w:val="16"/>
                <w:szCs w:val="16"/>
                <w:color w:val="auto"/>
              </w:rPr>
              <w:t>Hilton Head, SC</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VO</w:t>
            </w:r>
          </w:p>
        </w:tc>
        <w:tc>
          <w:tcPr>
            <w:tcW w:w="460" w:type="dxa"/>
            <w:vAlign w:val="bottom"/>
          </w:tcPr>
          <w:p>
            <w:pPr>
              <w:jc w:val="right"/>
              <w:spacing w:after="0"/>
              <w:rPr>
                <w:sz w:val="20"/>
                <w:szCs w:val="20"/>
                <w:color w:val="auto"/>
              </w:rPr>
            </w:pPr>
            <w:r>
              <w:rPr>
                <w:rFonts w:ascii="Arial" w:cs="Arial" w:eastAsia="Arial" w:hAnsi="Arial"/>
                <w:sz w:val="16"/>
                <w:szCs w:val="16"/>
                <w:color w:val="auto"/>
              </w:rPr>
              <w:t>255</w:t>
            </w:r>
          </w:p>
        </w:tc>
        <w:tc>
          <w:tcPr>
            <w:tcW w:w="200" w:type="dxa"/>
            <w:vAlign w:val="bottom"/>
          </w:tcPr>
          <w:p>
            <w:pPr>
              <w:spacing w:after="0"/>
              <w:rPr>
                <w:sz w:val="17"/>
                <w:szCs w:val="17"/>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BeachPlace Towers</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North America</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Beach</w:t>
            </w:r>
          </w:p>
        </w:tc>
        <w:tc>
          <w:tcPr>
            <w:tcW w:w="1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Fort Lauderdale, FL</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VO</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rPr>
                <w:sz w:val="20"/>
                <w:szCs w:val="20"/>
                <w:color w:val="auto"/>
              </w:rPr>
            </w:pPr>
            <w:r>
              <w:rPr>
                <w:rFonts w:ascii="Arial" w:cs="Arial" w:eastAsia="Arial" w:hAnsi="Arial"/>
                <w:sz w:val="16"/>
                <w:szCs w:val="16"/>
                <w:color w:val="auto"/>
              </w:rPr>
              <w:t>Canyon Villas at Desert Ridge</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North America</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Golf/Desert</w:t>
            </w:r>
          </w:p>
        </w:tc>
        <w:tc>
          <w:tcPr>
            <w:tcW w:w="1960" w:type="dxa"/>
            <w:vAlign w:val="bottom"/>
            <w:gridSpan w:val="2"/>
          </w:tcPr>
          <w:p>
            <w:pPr>
              <w:spacing w:after="0"/>
              <w:rPr>
                <w:sz w:val="20"/>
                <w:szCs w:val="20"/>
                <w:color w:val="auto"/>
              </w:rPr>
            </w:pPr>
            <w:r>
              <w:rPr>
                <w:rFonts w:ascii="Arial" w:cs="Arial" w:eastAsia="Arial" w:hAnsi="Arial"/>
                <w:sz w:val="16"/>
                <w:szCs w:val="16"/>
                <w:color w:val="auto"/>
              </w:rPr>
              <w:t>Phoenix, AZ</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VO</w:t>
            </w:r>
          </w:p>
        </w:tc>
        <w:tc>
          <w:tcPr>
            <w:tcW w:w="460" w:type="dxa"/>
            <w:vAlign w:val="bottom"/>
          </w:tcPr>
          <w:p>
            <w:pPr>
              <w:jc w:val="right"/>
              <w:spacing w:after="0"/>
              <w:rPr>
                <w:sz w:val="20"/>
                <w:szCs w:val="20"/>
                <w:color w:val="auto"/>
              </w:rPr>
            </w:pPr>
            <w:r>
              <w:rPr>
                <w:rFonts w:ascii="Arial" w:cs="Arial" w:eastAsia="Arial" w:hAnsi="Arial"/>
                <w:sz w:val="16"/>
                <w:szCs w:val="16"/>
                <w:color w:val="auto"/>
              </w:rPr>
              <w:t>213</w:t>
            </w:r>
          </w:p>
        </w:tc>
        <w:tc>
          <w:tcPr>
            <w:tcW w:w="200" w:type="dxa"/>
            <w:vAlign w:val="bottom"/>
          </w:tcPr>
          <w:p>
            <w:pPr>
              <w:spacing w:after="0"/>
              <w:rPr>
                <w:sz w:val="17"/>
                <w:szCs w:val="17"/>
                <w:color w:val="auto"/>
              </w:rPr>
            </w:pPr>
          </w:p>
        </w:tc>
        <w:tc>
          <w:tcPr>
            <w:tcW w:w="740" w:type="dxa"/>
            <w:vAlign w:val="bottom"/>
            <w:gridSpan w:val="2"/>
          </w:tcPr>
          <w:p>
            <w:pPr>
              <w:ind w:left="50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Club Son Antem</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Europe</w:t>
            </w:r>
          </w:p>
        </w:tc>
        <w:tc>
          <w:tcPr>
            <w:tcW w:w="12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6"/>
              </w:rPr>
              <w:t>Island/Golf</w:t>
            </w:r>
          </w:p>
        </w:tc>
        <w:tc>
          <w:tcPr>
            <w:tcW w:w="1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Mallorca, Spain</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VO</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rPr>
                <w:sz w:val="20"/>
                <w:szCs w:val="20"/>
                <w:color w:val="auto"/>
              </w:rPr>
            </w:pPr>
            <w:r>
              <w:rPr>
                <w:rFonts w:ascii="Arial" w:cs="Arial" w:eastAsia="Arial" w:hAnsi="Arial"/>
                <w:sz w:val="16"/>
                <w:szCs w:val="16"/>
                <w:color w:val="auto"/>
              </w:rPr>
              <w:t>Crystal Shores on Marco Island</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North America</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Island/Beach</w:t>
            </w:r>
          </w:p>
        </w:tc>
        <w:tc>
          <w:tcPr>
            <w:tcW w:w="1960" w:type="dxa"/>
            <w:vAlign w:val="bottom"/>
            <w:gridSpan w:val="2"/>
          </w:tcPr>
          <w:p>
            <w:pPr>
              <w:spacing w:after="0"/>
              <w:rPr>
                <w:sz w:val="20"/>
                <w:szCs w:val="20"/>
                <w:color w:val="auto"/>
              </w:rPr>
            </w:pPr>
            <w:r>
              <w:rPr>
                <w:rFonts w:ascii="Arial" w:cs="Arial" w:eastAsia="Arial" w:hAnsi="Arial"/>
                <w:sz w:val="16"/>
                <w:szCs w:val="16"/>
                <w:color w:val="auto"/>
              </w:rPr>
              <w:t>Marco Island, FL</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rPr>
              <w:t>VO</w:t>
            </w:r>
          </w:p>
        </w:tc>
        <w:tc>
          <w:tcPr>
            <w:tcW w:w="460" w:type="dxa"/>
            <w:vAlign w:val="bottom"/>
          </w:tcPr>
          <w:p>
            <w:pPr>
              <w:jc w:val="right"/>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17"/>
                <w:szCs w:val="17"/>
                <w:color w:val="auto"/>
              </w:rPr>
            </w:pP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Custom House</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North America</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Urban</w:t>
            </w:r>
          </w:p>
        </w:tc>
        <w:tc>
          <w:tcPr>
            <w:tcW w:w="1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Boston, MA</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VO</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Vacation</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Ownership</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Units</w:t>
            </w:r>
          </w:p>
        </w:tc>
        <w:tc>
          <w:tcPr>
            <w:tcW w:w="7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w:t>
            </w:r>
            <w:r>
              <w:rPr>
                <w:rFonts w:ascii="Arial" w:cs="Arial" w:eastAsia="Arial" w:hAnsi="Arial"/>
                <w:sz w:val="12"/>
                <w:szCs w:val="12"/>
                <w:b w:val="1"/>
                <w:bCs w:val="1"/>
                <w:color w:val="auto"/>
              </w:rPr>
              <w:t>(1)</w:t>
            </w:r>
          </w:p>
        </w:tc>
        <w:tc>
          <w:tcPr>
            <w:tcW w:w="13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Segment</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Experience</w:t>
            </w:r>
          </w:p>
        </w:tc>
        <w:tc>
          <w:tcPr>
            <w:tcW w:w="198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Location</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(VO) or</w:t>
            </w:r>
          </w:p>
        </w:tc>
        <w:tc>
          <w:tcPr>
            <w:tcW w:w="660" w:type="dxa"/>
            <w:vAlign w:val="bottom"/>
            <w:gridSpan w:val="2"/>
            <w:vMerge w:val="continue"/>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Planned</w:t>
            </w:r>
          </w:p>
        </w:tc>
        <w:tc>
          <w:tcPr>
            <w:tcW w:w="0" w:type="dxa"/>
            <w:vAlign w:val="bottom"/>
          </w:tcPr>
          <w:p>
            <w:pPr>
              <w:spacing w:after="0"/>
              <w:rPr>
                <w:sz w:val="1"/>
                <w:szCs w:val="1"/>
                <w:color w:val="auto"/>
              </w:rPr>
            </w:pPr>
          </w:p>
        </w:tc>
      </w:tr>
      <w:tr>
        <w:trPr>
          <w:trHeight w:val="176"/>
        </w:trPr>
        <w:tc>
          <w:tcPr>
            <w:tcW w:w="448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Residential</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Built</w:t>
            </w:r>
            <w:r>
              <w:rPr>
                <w:rFonts w:ascii="Arial" w:cs="Arial" w:eastAsia="Arial" w:hAnsi="Arial"/>
                <w:sz w:val="12"/>
                <w:szCs w:val="12"/>
                <w:b w:val="1"/>
                <w:bCs w:val="1"/>
                <w:color w:val="auto"/>
                <w:w w:val="96"/>
              </w:rPr>
              <w:t>(2)</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Units</w:t>
            </w:r>
            <w:r>
              <w:rPr>
                <w:rFonts w:ascii="Arial" w:cs="Arial" w:eastAsia="Arial" w:hAnsi="Arial"/>
                <w:sz w:val="12"/>
                <w:szCs w:val="12"/>
                <w:b w:val="1"/>
                <w:bCs w:val="1"/>
                <w:color w:val="auto"/>
                <w:w w:val="92"/>
              </w:rPr>
              <w:t>(3)</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Cypress Harbour</w:t>
            </w:r>
          </w:p>
        </w:tc>
        <w:tc>
          <w:tcPr>
            <w:tcW w:w="12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North America</w:t>
            </w:r>
          </w:p>
        </w:tc>
        <w:tc>
          <w:tcPr>
            <w:tcW w:w="100" w:type="dxa"/>
            <w:vAlign w:val="bottom"/>
            <w:vMerge w:val="continue"/>
            <w:shd w:val="clear" w:color="auto" w:fill="CCEEFF"/>
          </w:tcPr>
          <w:p>
            <w:pPr>
              <w:spacing w:after="0"/>
              <w:rPr>
                <w:sz w:val="12"/>
                <w:szCs w:val="12"/>
                <w:color w:val="auto"/>
              </w:rPr>
            </w:pPr>
          </w:p>
        </w:tc>
        <w:tc>
          <w:tcPr>
            <w:tcW w:w="112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Entertainment</w:t>
            </w:r>
          </w:p>
        </w:tc>
        <w:tc>
          <w:tcPr>
            <w:tcW w:w="120" w:type="dxa"/>
            <w:vAlign w:val="bottom"/>
            <w:vMerge w:val="continue"/>
            <w:shd w:val="clear" w:color="auto" w:fill="CCEEFF"/>
          </w:tcPr>
          <w:p>
            <w:pPr>
              <w:spacing w:after="0"/>
              <w:rPr>
                <w:sz w:val="12"/>
                <w:szCs w:val="12"/>
                <w:color w:val="auto"/>
              </w:rPr>
            </w:pPr>
          </w:p>
        </w:tc>
        <w:tc>
          <w:tcPr>
            <w:tcW w:w="1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Orlando, FL</w:t>
            </w:r>
          </w:p>
        </w:tc>
        <w:tc>
          <w:tcPr>
            <w:tcW w:w="10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VO</w:t>
            </w:r>
          </w:p>
        </w:tc>
        <w:tc>
          <w:tcPr>
            <w:tcW w:w="100" w:type="dxa"/>
            <w:vAlign w:val="bottom"/>
            <w:vMerge w:val="continue"/>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510</w:t>
            </w:r>
          </w:p>
        </w:tc>
        <w:tc>
          <w:tcPr>
            <w:tcW w:w="200" w:type="dxa"/>
            <w:vAlign w:val="bottom"/>
            <w:vMerge w:val="continue"/>
            <w:shd w:val="clear" w:color="auto" w:fill="CCEEFF"/>
          </w:tcPr>
          <w:p>
            <w:pPr>
              <w:spacing w:after="0"/>
              <w:rPr>
                <w:sz w:val="12"/>
                <w:szCs w:val="12"/>
                <w:color w:val="auto"/>
              </w:rPr>
            </w:pPr>
          </w:p>
        </w:tc>
        <w:tc>
          <w:tcPr>
            <w:tcW w:w="660" w:type="dxa"/>
            <w:vAlign w:val="bottom"/>
            <w:shd w:val="clear" w:color="auto" w:fill="CCEEFF"/>
          </w:tcPr>
          <w:p>
            <w:pPr>
              <w:ind w:left="440"/>
              <w:spacing w:after="0" w:line="142" w:lineRule="exact"/>
              <w:rPr>
                <w:sz w:val="20"/>
                <w:szCs w:val="20"/>
                <w:color w:val="auto"/>
              </w:rPr>
            </w:pPr>
            <w:r>
              <w:rPr>
                <w:rFonts w:ascii="Arial" w:cs="Arial" w:eastAsia="Arial" w:hAnsi="Arial"/>
                <w:sz w:val="14"/>
                <w:szCs w:val="14"/>
                <w:color w:val="auto"/>
              </w:rPr>
              <w:t>—</w:t>
            </w:r>
          </w:p>
        </w:tc>
        <w:tc>
          <w:tcPr>
            <w:tcW w:w="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Desert Springs Villas</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Golf/Desert</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Palm Desert, CA</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638</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Fairway Villas</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Golf</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Absecon, NJ</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Frenchman’s Cove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Island/Beach</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St. Thomas, USVI</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30"/>
        </w:trPr>
        <w:tc>
          <w:tcPr>
            <w:tcW w:w="4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Grand Chateau</w:t>
            </w:r>
          </w:p>
        </w:tc>
        <w:tc>
          <w:tcPr>
            <w:tcW w:w="132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6"/>
              </w:rPr>
              <w:t>North America</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6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/Asia Pacific</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Entertainment</w:t>
            </w:r>
          </w:p>
        </w:tc>
        <w:tc>
          <w:tcPr>
            <w:tcW w:w="1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Las Vegas, NV</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448</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Grand Residences by Marriott at Bay Point</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Golf</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Panama City, FL</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Residential</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Grande Ocean</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Hilton Head, SC</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290</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Grande Vista</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Entertainment</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Orlando, FL</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900</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Harbour Club</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Hilton Head, SC</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Harbour Lake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Entertainment</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Orlando, FL</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312</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Harbour Point/Sunset Pointe</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Hilton Head, SC</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111</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Heritage Club</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Golf</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Hilton Head, SC</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Imperial Palm Villas</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Entertainment</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Orlando, FL</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Kauai Beach Club</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Island/Beach</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Kauai, HI</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232</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Kauai Lagoons: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Grand Residences by Marriott</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Island/Beach</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Kauai, HI</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Residential</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Kalanipu’u</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Island/Beach</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Kauai, HI</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480" w:type="dxa"/>
            <w:vAlign w:val="bottom"/>
            <w:gridSpan w:val="2"/>
          </w:tcPr>
          <w:p>
            <w:pPr>
              <w:spacing w:after="0" w:line="130" w:lineRule="exact"/>
              <w:rPr>
                <w:sz w:val="20"/>
                <w:szCs w:val="20"/>
                <w:color w:val="auto"/>
              </w:rPr>
            </w:pPr>
            <w:r>
              <w:rPr>
                <w:rFonts w:ascii="Arial" w:cs="Arial" w:eastAsia="Arial" w:hAnsi="Arial"/>
                <w:sz w:val="14"/>
                <w:szCs w:val="14"/>
                <w:color w:val="auto"/>
              </w:rPr>
              <w:t>Ko Olina Beach Club</w:t>
            </w:r>
          </w:p>
        </w:tc>
        <w:tc>
          <w:tcPr>
            <w:tcW w:w="132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6"/>
              </w:rPr>
              <w:t>North America</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/Asia Pacific</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980" w:type="dxa"/>
            <w:vAlign w:val="bottom"/>
            <w:gridSpan w:val="2"/>
          </w:tcPr>
          <w:p>
            <w:pPr>
              <w:spacing w:after="0"/>
              <w:rPr>
                <w:sz w:val="20"/>
                <w:szCs w:val="20"/>
                <w:color w:val="auto"/>
              </w:rPr>
            </w:pPr>
            <w:r>
              <w:rPr>
                <w:rFonts w:ascii="Arial" w:cs="Arial" w:eastAsia="Arial" w:hAnsi="Arial"/>
                <w:sz w:val="14"/>
                <w:szCs w:val="14"/>
                <w:color w:val="auto"/>
              </w:rPr>
              <w:t>Oahu, HI</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560</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Lakeshore Reserve</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Entertainment</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Orlando, FL</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Legends Edge at Bay Point</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Golf</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Panama City, FL</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Mai Khao Beach Resort</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Asia Pacific</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Phuket, Thailand</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127</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Manor Club at Ford’s Colony</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Entertainment</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Williamsburg, VA</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Marbella Beach Resort</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Europe</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Marbella, Spain</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288</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Marriott Grand Residence Club, Lake Tahoe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Mountain/Ski</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Lake Tahoe, CA</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199</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Maui Ocean Club</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Island/Beach</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Maui, HI</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459</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Monarch at Sea Pines</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Hilton Head, SC</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122</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Mountain Valley Lodge</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Mountain/Ski</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Breckenridge, CO</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MountainSide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Mountain/Ski</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Park City, UT</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182</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Newport Coast Villas</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Newport Beach, CA</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Ocean Pointe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Palm Beach Shores, FL</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341</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Ocean Watch Villas at Grand Dunes</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Myrtle Beach, SC</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374</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Oceana Palms</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Singer Island, FL</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169</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Phuket Beach Club</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Asia Pacific</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Phuket, Thailand</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144</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Playa Andaluza</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Europe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Estepona, Spain</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173</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Royal Palms</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Entertainment</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Orlando, FL</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123</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Sabal Palms</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Entertainment</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Orlando, FL</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Shadow Ridge</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5"/>
              </w:rPr>
              <w:t>Golf/Desert</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Palm Desert, CA</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500</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St. Kitts Beach Club</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Island/Beach</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West Indies</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Streamside</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Mountain/Ski</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Vail, CO</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96</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Summit Watch</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Mountain/Ski</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Park City, UT</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135</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Surf Watch</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Hilton Head, SC</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195</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The Abaco Club on Winding Bay</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Vacation Ownership</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Island/Beach</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Bahamas</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Residential</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Island/Beach</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Bahamas</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Residential</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Buckingham</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Asia Pacific</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Entertainment</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Macau, China</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The Empire Place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Asia Pacific</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Urban</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Bangkok, Thailand</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Ritz-Carlton Club and Residences, Jupiter</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Vacation Ownership</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Golf</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Jupiter, FL</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Residential</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Golf</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Jupiter, FL</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Residential</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The Ritz-Carlton Club and Residences, San Francisco</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Vacation Ownership</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Urban</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 Francisco, CA</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44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Residential</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Urban</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San Francisco, CA</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Residential</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Ritz-Carlton Club, Aspen Highlands</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Mountain/Ski</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Aspen, CO</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The Ritz-Carlton Club, Lake Tahoe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Mountain/Ski</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Lake Tahoe, CA</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Ritz-Carlton Club, St. Thomas</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Beach</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 Thomas, USVI</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The Ritz Carlton Club, Vail</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Mountain/Ski</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Vail, CO</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Timber Lodge</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Mountain/Ski</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Lake Tahoe, CA</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264</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Village d’Ile-de-France</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Europe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Entertainment</w:t>
            </w:r>
          </w:p>
        </w:tc>
        <w:tc>
          <w:tcPr>
            <w:tcW w:w="1980" w:type="dxa"/>
            <w:vAlign w:val="bottom"/>
            <w:gridSpan w:val="2"/>
          </w:tcPr>
          <w:p>
            <w:pPr>
              <w:spacing w:after="0" w:line="149" w:lineRule="exact"/>
              <w:rPr>
                <w:sz w:val="20"/>
                <w:szCs w:val="20"/>
                <w:color w:val="auto"/>
              </w:rPr>
            </w:pPr>
            <w:r>
              <w:rPr>
                <w:rFonts w:ascii="Arial" w:cs="Arial" w:eastAsia="Arial" w:hAnsi="Arial"/>
                <w:sz w:val="14"/>
                <w:szCs w:val="14"/>
                <w:color w:val="auto"/>
              </w:rPr>
              <w:t>Paris, France</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185</w:t>
            </w:r>
          </w:p>
        </w:tc>
        <w:tc>
          <w:tcPr>
            <w:tcW w:w="7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Villas at Doral</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Golf</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Miami, FL</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141</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480" w:type="dxa"/>
            <w:vAlign w:val="bottom"/>
            <w:gridSpan w:val="2"/>
          </w:tcPr>
          <w:p>
            <w:pPr>
              <w:spacing w:after="0" w:line="130" w:lineRule="exact"/>
              <w:rPr>
                <w:sz w:val="20"/>
                <w:szCs w:val="20"/>
                <w:color w:val="auto"/>
              </w:rPr>
            </w:pPr>
            <w:r>
              <w:rPr>
                <w:rFonts w:ascii="Arial" w:cs="Arial" w:eastAsia="Arial" w:hAnsi="Arial"/>
                <w:sz w:val="14"/>
                <w:szCs w:val="14"/>
                <w:color w:val="auto"/>
              </w:rPr>
              <w:t>Waiohai Beach Club</w:t>
            </w:r>
          </w:p>
        </w:tc>
        <w:tc>
          <w:tcPr>
            <w:tcW w:w="132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6"/>
              </w:rPr>
              <w:t>North America</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/Asia Pacific</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Island/Beach</w:t>
            </w:r>
          </w:p>
        </w:tc>
        <w:tc>
          <w:tcPr>
            <w:tcW w:w="1980" w:type="dxa"/>
            <w:vAlign w:val="bottom"/>
            <w:gridSpan w:val="2"/>
          </w:tcPr>
          <w:p>
            <w:pPr>
              <w:spacing w:after="0"/>
              <w:rPr>
                <w:sz w:val="20"/>
                <w:szCs w:val="20"/>
                <w:color w:val="auto"/>
              </w:rPr>
            </w:pPr>
            <w:r>
              <w:rPr>
                <w:rFonts w:ascii="Arial" w:cs="Arial" w:eastAsia="Arial" w:hAnsi="Arial"/>
                <w:sz w:val="14"/>
                <w:szCs w:val="14"/>
                <w:color w:val="auto"/>
              </w:rPr>
              <w:t>Kauai, HI</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VO</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231</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Willow Ridge Lodge</w:t>
            </w:r>
          </w:p>
        </w:tc>
        <w:tc>
          <w:tcPr>
            <w:tcW w:w="13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6"/>
              </w:rPr>
              <w:t>North America</w:t>
            </w:r>
          </w:p>
        </w:tc>
        <w:tc>
          <w:tcPr>
            <w:tcW w:w="12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Entertainment</w:t>
            </w:r>
          </w:p>
        </w:tc>
        <w:tc>
          <w:tcPr>
            <w:tcW w:w="1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Branson, MO</w:t>
            </w:r>
          </w:p>
        </w:tc>
        <w:tc>
          <w:tcPr>
            <w:tcW w:w="1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8"/>
              </w:rPr>
              <w:t>VO</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w:t>
            </w:r>
          </w:p>
        </w:tc>
        <w:tc>
          <w:tcPr>
            <w:tcW w:w="7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56"/>
        </w:trPr>
        <w:tc>
          <w:tcPr>
            <w:tcW w:w="4480" w:type="dxa"/>
            <w:vAlign w:val="bottom"/>
            <w:gridSpan w:val="2"/>
          </w:tcPr>
          <w:p>
            <w:pPr>
              <w:ind w:left="580"/>
              <w:spacing w:after="0" w:line="155" w:lineRule="exact"/>
              <w:rPr>
                <w:sz w:val="20"/>
                <w:szCs w:val="20"/>
                <w:color w:val="auto"/>
              </w:rPr>
            </w:pPr>
            <w:r>
              <w:rPr>
                <w:rFonts w:ascii="Arial" w:cs="Arial" w:eastAsia="Arial" w:hAnsi="Arial"/>
                <w:sz w:val="14"/>
                <w:szCs w:val="14"/>
                <w:b w:val="1"/>
                <w:bCs w:val="1"/>
                <w:color w:val="auto"/>
              </w:rPr>
              <w:t>Total</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12,829</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gridSpan w:val="2"/>
            <w:shd w:val="clear" w:color="auto" w:fill="CCEEFF"/>
          </w:tcPr>
          <w:p>
            <w:pPr>
              <w:ind w:left="300"/>
              <w:spacing w:after="0" w:line="143" w:lineRule="exact"/>
              <w:rPr>
                <w:sz w:val="20"/>
                <w:szCs w:val="20"/>
                <w:color w:val="auto"/>
              </w:rPr>
            </w:pPr>
            <w:r>
              <w:rPr>
                <w:rFonts w:ascii="Arial" w:cs="Arial" w:eastAsia="Arial" w:hAnsi="Arial"/>
                <w:sz w:val="14"/>
                <w:szCs w:val="14"/>
                <w:b w:val="1"/>
                <w:bCs w:val="1"/>
                <w:color w:val="auto"/>
              </w:rPr>
              <w:t>Units Available for Sale</w:t>
            </w:r>
            <w:r>
              <w:rPr>
                <w:rFonts w:ascii="Arial" w:cs="Arial" w:eastAsia="Arial" w:hAnsi="Arial"/>
                <w:sz w:val="12"/>
                <w:szCs w:val="12"/>
                <w:b w:val="1"/>
                <w:bCs w:val="1"/>
                <w:color w:val="auto"/>
              </w:rPr>
              <w:t>(4)</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b w:val="1"/>
                <w:bCs w:val="1"/>
                <w:color w:val="auto"/>
              </w:rPr>
              <w:t>852</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center"/>
        <w:ind w:left="5620" w:right="60" w:hanging="5612"/>
        <w:spacing w:after="0" w:line="449" w:lineRule="auto"/>
        <w:tabs>
          <w:tab w:leader="none" w:pos="450" w:val="left"/>
        </w:tabs>
        <w:numPr>
          <w:ilvl w:val="0"/>
          <w:numId w:val="3"/>
        </w:numPr>
        <w:rPr>
          <w:rFonts w:ascii="Arial" w:cs="Arial" w:eastAsia="Arial" w:hAnsi="Arial"/>
          <w:sz w:val="15"/>
          <w:szCs w:val="15"/>
          <w:color w:val="auto"/>
        </w:rPr>
      </w:pPr>
      <w:r>
        <w:rPr>
          <w:rFonts w:ascii="Arial" w:cs="Arial" w:eastAsia="Arial" w:hAnsi="Arial"/>
          <w:sz w:val="18"/>
          <w:szCs w:val="18"/>
          <w:color w:val="auto"/>
        </w:rPr>
        <w:t>A property is counted as a separate property to the extent it does not share common areas (such as check-in facilities, pools, etc.) with another property. 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“Units Built” represents units with a certificate of occupancy.</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“Additional Planned Units” represents the total additional units under construction or that we expect to build.</w:t>
      </w:r>
    </w:p>
    <w:p>
      <w:pPr>
        <w:spacing w:after="0" w:line="9" w:lineRule="exact"/>
        <w:rPr>
          <w:rFonts w:ascii="Arial" w:cs="Arial" w:eastAsia="Arial" w:hAnsi="Arial"/>
          <w:sz w:val="15"/>
          <w:szCs w:val="15"/>
          <w:color w:val="auto"/>
        </w:rPr>
      </w:pPr>
    </w:p>
    <w:p>
      <w:pPr>
        <w:ind w:left="460" w:right="1980" w:hanging="452"/>
        <w:spacing w:after="0" w:line="492" w:lineRule="auto"/>
        <w:tabs>
          <w:tab w:leader="none" w:pos="449" w:val="left"/>
        </w:tabs>
        <w:numPr>
          <w:ilvl w:val="0"/>
          <w:numId w:val="4"/>
        </w:numPr>
        <w:rPr>
          <w:rFonts w:ascii="Arial" w:cs="Arial" w:eastAsia="Arial" w:hAnsi="Arial"/>
          <w:sz w:val="15"/>
          <w:szCs w:val="15"/>
          <w:color w:val="auto"/>
        </w:rPr>
      </w:pPr>
      <w:r>
        <w:rPr>
          <w:rFonts w:ascii="Arial" w:cs="Arial" w:eastAsia="Arial" w:hAnsi="Arial"/>
          <w:sz w:val="18"/>
          <w:szCs w:val="18"/>
          <w:color w:val="auto"/>
        </w:rPr>
        <w:t xml:space="preserve">To be sold as vacation ownership interests; includes units that we reacquired through foreclosure or our repurchase program. </w:t>
      </w:r>
      <w:r>
        <w:rPr>
          <w:rFonts w:ascii="Arial" w:cs="Arial" w:eastAsia="Arial" w:hAnsi="Arial"/>
          <w:sz w:val="18"/>
          <w:szCs w:val="18"/>
          <w:i w:val="1"/>
          <w:iCs w:val="1"/>
          <w:color w:val="auto"/>
        </w:rPr>
        <w:t>North America Segment</w:t>
      </w:r>
    </w:p>
    <w:p>
      <w:pPr>
        <w:spacing w:after="0" w:line="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our North America segment, we develop, market, sell and manage vacation ownership products under the Marriott Vacation Club and Grand Residences by Marriott brands in the United States and the Caribbean, and resort residential real estate located within our vacation ownership developments under the Grand Residences by Marriott brand. We also develop, market, sell and manage vacation ownership and related products under The Ritz-Carlton Destination Club brand, and sell whole ownership luxury residential products under The Ritz-Carlton Residences brand.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 Segment</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Asia Pacific Segment</w:t>
      </w:r>
    </w:p>
    <w:p>
      <w:pPr>
        <w:spacing w:after="0" w:line="117"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In our Asia Pacific segment, we develop, market, sell and manage vacation ownership products through Marriott Vacation Club, Asia Pacific, a right-to-use points program that we specifically designed to appeal to the vacation preferences of the Asian market, as well as a weeks-based right-to-use product. We believe opportunity exists to expand our Asia Pacific segment and are seeking to add inventory to support the growth of this business.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 and Other</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Corporate and Other includes financial items not specifically identifiable to an individual segment, including expenses in support of our financing operations, consumer financing interest expense, non-capitalizable development expenses supporting overall company development, company-wide general and administrative costs, the fixed royalty fee payable under the License Agreements and interest expense.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We manage and sell properties under the Marriott Vacation Club, Grand Residences by Marriott, The Ritz-Carlton Destination Club and The Ritz-Carlton Residences brands under license agreements with Marriott International and Ritz-Carlton Hotel Company. The foregoing segment descriptions specify the brands that are used by each of our segments. We operate in a highly competitive industry and our brand names, trademarks, service marks, trade names and logos are very important to the marketing and sales of our products and services. We believe that our licensed brand names and other intellectual property have come to represent the highest standards of quality, caring, service and value to our customers and the traveling public. We register and protect our intellectual property where we deem appropriate and otherwise seek to protect against its unauthorized use.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general, the vacation ownership business is modestly seasonal, with stronger revenue generation during traditional vacation periods, including summer months and major holidays. Similar to the lodging industry, our rental operations generally maintain higher occupancy and room rates during the first, second and third quarters of our fiscal year compared to our fourth quarter. These seasonal patterns can be expected to cause fluctuations in the quarterly rental revenues and margin. Our residential business is generally not subject to seasonal fluctuations; rather, the sales pace of our residential products typically depends on the underlying residential real estate environment in the applicable geographic market.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Competition in the vacation ownership industry is based primarily on the quality, number and location of vacation ownership resorts, the quality and capability of the related property management program, trust in the brand, pricing of product offerings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upscale and luxury tiers of the vacation ownership segment of the industry and the upscale and luxury tiers of the whole ownership segment (also referred to as the residential segment) of the industry.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vacation ownership industry is highly fragmented, with competitors ranging from small vacation ownership companies to large branded hotel companies that operate vacation ownership businesses. In North America and the Caribbean, we typically compete with companies that sell upscale tier vacation ownership products under a lodging or entertainment brand umbrella, such as Starwood Vacation Ownership, Hilton Grand Vacations Club, Hyatt Vacation Club, and Disney Vacation Club, as well as numerous regional vacation ownership operators. Our luxury vacation ownership products compete with vacation ownership products offered by Four Seasons, Exclusive Resorts and several other smaller independent companies. In addition, the vacation ownership industry competes generally with other vacation rental options (such as hotels, resorts and condominium rentals) offered by the lodging industry.</w:t>
      </w:r>
    </w:p>
    <w:p>
      <w:pPr>
        <w:spacing w:after="0" w:line="16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Outside North America and the Caribbean, we operate in two primary regions, Europe and Asia Pacific. In both regions, we are one of the largest lodging-branded vacation ownership companies operating in the upscale tier, with regional operators dominating the competitive landscape. Where possible, our vacation ownership properties in these regions are co-located with Marriott International branded hotels. In Europe, our owner base is derived primarily from the North America, Europe and Middle East regions. In Asia Pacific, our owner base is derived primarily from the Asia Pacific region and secondarily from the Europe and North America regions.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Our business is heavily regulated. We are subject to a wide variety of complex international, national, federal, state and local laws, regulations and policies in jurisdictions around the world. Some laws, regulations and policies impact multiple areas of our business, such as anti-corruption laws and regulations, including regulations applicable under the U.S. Treasury’s Office of Foreign Asset Control and the U.S. Foreign Corrupt Practices Act (“FCPA”). The FCPA and similar anti-corruption laws in other jurisdictions generally prohibit companies and their intermediaries from making improper payments to government officials for the purpose of obtaining or generating business. Other laws, regulations and policies primarily affect one of four areas of our business: real estate development activities; marketing and sales activities; lending activities; and resort management activities.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Estate Development Regulation</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real estate development activities are regulated under a number of different timeshare, condominium and land sales disclosure statutes in many jurisdictions. We are generally subject to laws and regulations typically applicable to real estate development, subdivision, and construction activities, such as laws relating to zoning, land use restrictions, environmental regulation, accessibility, title transfers, title insurance and taxation. In the United States, these include the Fair Housing Act 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and Sales Regulation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marketing and sales activities are closely regulated. In addition to regulations contained in laws enacted specifically for the vacation ownership and land sales industries, a wide variety of laws govern our marketing and sales activities in the jurisdictions in which we carry out such activities, including fair housing statutes, the Federal Interstate Land Sales Full Disclosure Act, U.S. Federal Trade Commission and state “Little FTC Act” regulations regulating unfair and deceptive trade practices and unfair competition, state attorney general regulations, anti-fraud laws, prize, gift and sweepstakes laws, real estate and other licensing laws and regulations, telemarketing laws, home solicitation sales laws, tour operator laws, lodging certificate and seller of travel laws, securities laws, consumer privacy laws and other consumer protection laws.</w:t>
      </w:r>
    </w:p>
    <w:p>
      <w:pPr>
        <w:spacing w:after="0" w:line="19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Many jurisdictions, including many jurisdictions in the United States, require that we file detailed registration or offering statements with regulatory authorities disclosing certain information regarding the vacation ownership interests and other real estate interests we market and sell, such as information concerning the interests being offered, the project, resort or program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Regulation outside the United States includes, for example, European regulations to which our vacation ownership activities within the European Union are subject and Singapore regulations to which certain of our Asia Pacific operations are subject. Among other things, the European and Singapore regulations require: (1) delivery of specified disclosure (some of which must be provided in a specific format) to purchasers; (2) require a specified “cooling off” rescission period after a purchase is made; and (3) prohibit any advance payments for a purchase.</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must obtain the approval of numerous governmental authorities for our marketing and sales activities. Changes in circumstances or applicable law may necessitate the application for or modification of existing approvals. Currently, we are qualified to market and sell vacation ownership products in all 50 states and the District of Columbia in the United States and numerous countries in North and South America, the Caribbean, Europe, Asia and the Middle East.</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Laws in many jurisdictions in which we sell vacation ownership interests grant the purchaser of a vacation ownership interest the right to cancel a purchase contract during a specified rescission period following the later of the date the contract was signed or the date the purchaser received the last of the documents required to be provided by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recent years, regulators in many jurisdictions have increased regulations and enforcement actions related to telemarketing operations, including requiring adherence to “do not call” legislation. These measures have significantly increased the costs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utilize various programs and procedures that we believe help reduce the possibility that we contact individuals who have requested to be placed on federal or state “do not call” lists.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Lending Regulation</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lending activities are subject to a number of laws and regulations. In the United States, these may include the Real Estate Settlement Procedures Act and Regulation X, the Truth In Lending Act and Regulation Z, the Federal Trade Commission Act, the Equal Credit Opportunity Act and Regulation B, the Fair Credit Reporting Act, the Foreign Investment In Real Property Tax Act, the Fair Housing Act, the Fair Debt Collection Practices Act, the Electronic Funds Transfer Act and Regulation E, the Unfair or Deceptive Acts or Practices regulations and Regulation AA, the USA PATRIOT Act, the Right to Financial Privacy Act, the Gramm-Leach-Bliley Act, the Dodd-Frank Wall Street Reform and Consumer Protection Act (subject to certain exceptions applicable to the timeshare industry) and the Fair and Accurate Credit Transactions Act. Our lending activities are also subject to the laws and regulations of other jurisdictions, including, among others, laws and regulations related to consumer loans, retail installment contracts, mortgage lending, fair debt collection practices, consumer collection practices, mortgage disclosure, lender licenses and money laundering.</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Regulation</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resort management activities are subject to laws and regulations regarding community association management, public lodging, food and beverage services, labor, employment, health care, health and safety, accessibility, discrimination, immigration, gaming, and the environment (including climate change). In addition, 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under certain circumstances (for example, upon a super-majority vote of the owners), even if we are not in default under the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and Awareness</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environmental laws and regulations. Our compliance with such provisions also has not had a material impact on our capital expenditures, earnings or competitive position, nor do we anticipate that such compliance will have a material impact in the future.</w:t>
      </w:r>
    </w:p>
    <w:p>
      <w:pPr>
        <w:spacing w:after="0" w:line="19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take our commitment to protecting the environment seriously. We have collaborated with Audubon International to further the “greening” of our resorts in our North America segment through the Audubon Green Leaf Eco-Rating Program for Hotels. The Audubon partnership is just one of several programs incorporated into our green initiatives. We have more than 20 years of energy conservation experience that we have put to use in implementing our environmental strategy across all of our segments. This strategy includes further reducing energy and water consumption, expanding our portfolio of green resorts, including LEED</w:t>
      </w:r>
      <w:r>
        <w:rPr>
          <w:rFonts w:ascii="Arial" w:cs="Arial" w:eastAsia="Arial" w:hAnsi="Arial"/>
          <w:sz w:val="15"/>
          <w:szCs w:val="15"/>
          <w:color w:val="auto"/>
        </w:rPr>
        <w:t>®</w:t>
      </w:r>
      <w:r>
        <w:rPr>
          <w:rFonts w:ascii="Arial" w:cs="Arial" w:eastAsia="Arial" w:hAnsi="Arial"/>
          <w:sz w:val="18"/>
          <w:szCs w:val="18"/>
          <w:color w:val="auto"/>
        </w:rPr>
        <w:t xml:space="preserve"> (Leadership in Energy &amp; Environmental Design) certification, educating and inspiring associates and guests to support the environment, and embracing innovation.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January 3, 2014 we had nearly 10,000 employees with an average length of service of approximately seven years. We believe our relations with our employees are very good.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Our website address is www.marriottvacationsworldwide.com. Our Annual Reports on Form 10-K, Quarterly Reports on Form 10-Q, Current Reports on Form 8-K and any and all amendments thereto are available free of charge through our website as soon as reasonably practicable after they are filed or furnished to the Securities and Exchange Commission (the “SEC”). These materials are also accessible on the SEC’s website at www.sec.gov.</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General economic uncertainty and weak demand in the vacation ownership industry could impact our financial results and growth.</w:t>
      </w:r>
    </w:p>
    <w:p>
      <w:pPr>
        <w:spacing w:after="0" w:line="23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Weak economic conditions in the United States, Europe, Asia and much of the rest of the world and the uncertainty over the duration of such conditions could have a negative impact on the vacation ownership industry. Weak consumer confidence and limited availability of consumer credit can, as it has in the past, cause us to experience weakened demand for our vacation ownership products. Recent improvements in demand trends globally may not continue, and our future financial results and growth could be harmed or constrained if economic conditions worsen.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sale of vacation ownership interests in the secondary market by existing owners could cause our sales revenues and profits to decline.</w:t>
      </w:r>
    </w:p>
    <w:p>
      <w:pPr>
        <w:spacing w:after="0" w:line="24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Existing owners have offered, and are expected to continue to offer, their vacation ownership interests for sale on the secondary market. The prices at which these interests are sold are typically less than the prices at which we would sell the interests. As a result, these sales create additional pricing pressure on our sale of vacation ownership products, which could cause our sales revenues and profits to decline. In addition, if the secondary market for vacation ownership interests becomes more organized and liquid than it currently is, the resulting availability of vacation ownership interests (particularly where the vacation ownership interests are available for sale at lower prices than the prices at which we would sell them) could adversely affect our sales and our sales revenues. Furthermore, the volume of vacation ownership interests inventory that we are able to repurchase each year may decline if a viable secondary market develops.</w:t>
      </w:r>
    </w:p>
    <w:p>
      <w:pPr>
        <w:spacing w:after="0" w:line="18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Our business will be materially harmed if our License Agreements with Marriott International and Ritz-Carlton Hotel Company are terminated or if we are unable to maintain our ongoing relationship with Marriott International.</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Our success will depend, in part, on the maintenance of ongoing relationships with Marriott International that are governed by a number of agreements that we entered into with Marriott International in connection with the Spin-Off. In particular, our License Agreements with Marriott International and Ritz-Carlton Hotel Company, among other things, provide us with the exclusive right to use the Marriott and Ritz-Carlton names, respectively, in our vacation ownership business. Each License Agreement has an initial term that expires in 2090; however, if we breach our obligations under either License Agreement, Marriott International and Ritz-Carlton Hotel Company may be entitled to terminate the License Agreements.</w:t>
      </w:r>
    </w:p>
    <w:p>
      <w:pPr>
        <w:spacing w:after="0" w:line="15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termination of the License Agreements would materially harm our business and results of operations and impair our ability to market and sell our products and maintain our competitive position, and could have a material adverse effect on our financial position, results of operations or cash flows. For example, we would not be able to rely on the strength of the Marriott and Ritz-Carlton brands to attract qualified prospects in the marketplace, which would cause our revenue and profits to decline and our marketing and sales expenses to increase. We would not be able to use www.marriott.com and www.ritzcarlton.com as channels through which to rent available inventory, which would cause our rental revenue to decline.</w:t>
      </w:r>
    </w:p>
    <w:p>
      <w:pPr>
        <w:spacing w:after="0" w:line="173"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In addition, the Marriott Rewards Agreement would also terminate upon termination of the License Agreements, and we would not be able to offer Marriott Rewards Points to owners and potential owners, which would impair our ability to sell our products and would reduce the flexibility and options available in connection with our products.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b w:val="1"/>
          <w:bCs w:val="1"/>
          <w:i w:val="1"/>
          <w:iCs w:val="1"/>
          <w:color w:val="auto"/>
        </w:rPr>
        <w:t>If Marriott International or Ritz-Carlton Hotel Company terminates our rights to use the Marriott or Ritz-Carlton marks at any properties that do not meet applicable brand standards, our reputation could be harmed and our ability to market and sell our products at those properties could be impaired.</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Marriott International and Ritz-Carlton Hotel Company can terminate our rights under our License Agreements to use the Marriott or Ritz-Carlton marks at any properties that do not meet applicable brand standards. The termination of such rights could harm our reputation and impair our ability to market and sell our products at the subject properties, either of which could harm our business, and we could be subject to claims by Marriott International and Ritz-Carlton Hotel Company, property owners, third parties with whom we have contracted and others.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b w:val="1"/>
          <w:bCs w:val="1"/>
          <w:i w:val="1"/>
          <w:iCs w:val="1"/>
          <w:color w:val="auto"/>
        </w:rPr>
        <w:t>Our ability to expand our business and remain competitive could be harmed if Marriott International or Ritz-Carlton Hotel Company do not consent to our use of their trademarks at new resorts we acquire or develop in the future.</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the terms of our License Agreements with Marriott International and Ritz-Carlton Hotel Company, we must obtain Marriott International’s or Ritz-Carlton Hotel Company’s consent, as applicable, to use the Marriott or Ritz-Carlton trademarks in connection with resorts, residences or other accommodations that we acquire or develop in the future. Marriott International or Ritz-Carlton Hotel Company may reject a proposed project if, among other things, the project does not meet Marriott International’s or Ritz-Carlton Hotel Company’s respective construction and design standards or Marriott International or Ritz-Carlton Hotel Company reasonably believes the project will breach contractual or legal restrictions applicable to them and their affiliates. In addition, Ritz-Carlton Hotel Company may reject a proposed project if Ritz-Carlton Hotel Company will not be able to provide services that comply with Ritz-Carlton brand standards at the proposed project. If Marriott International or Ritz-Carlton Hotel Company do not permit us to use their trademarks in connection with our development or acquisition plans, our ability to expand our Marriott and Ritz-Carlton businesses and remain competitive may be materially adversely affected. The requirement to obtain Marriott International’s or Ritz-Carlton Hotel Company’s consent to our expansion plans, or the need to identify and secure alternative expansion opportunities because Marriott International or Ritz-Carlton Hotel Company do not allow us to use their trademarks with proposed new projects, may delay implementation of our expansion plans and cause us to incur additional expense.</w:t>
      </w:r>
    </w:p>
    <w:p>
      <w:pPr>
        <w:spacing w:after="0" w:line="173"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b w:val="1"/>
          <w:bCs w:val="1"/>
          <w:i w:val="1"/>
          <w:iCs w:val="1"/>
          <w:color w:val="auto"/>
        </w:rPr>
        <w:t>Our business depends on the quality and reputation of the Marriott and Ritz-Carlton brands, and any deterioration in the quality or reputation of these brands could have an adverse impact on our market share, reputation, business, financial condition or results of operations.</w:t>
      </w:r>
    </w:p>
    <w:p>
      <w:pPr>
        <w:spacing w:after="0" w:line="124"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Currently, our products and services are predominantly offered under Marriott or Ritz-Carlton brand names, and we intend to continue to develop and offer products and services under these brands in the future. If the quality of these brands deteriorates, or the reputation of these brands declines, our market share, reputation, business, financial condition or results of operations could be materially adversely affected.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points-based product form exposes us to an increased risk of temporary inventory depletion.</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Selling vacation ownership interests in a system of resorts under a points-based business model increases the risk of temporary inventory depletion. We sell vacation ownership interests denominated in points from a single trust entity in each of our North America and Asia Pacific business segments. Thus, the primary source of inventory for each of these segments is concentrated in its corresponding trust. In contrast, under our prior business model, we sold weeks-based vacation ownership interests tied to specific resorts; we thus had more sources of inventory (i.e., resorts), and the risk of inventory depletion was diffused among those sources of inventory.</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Temporary depletion of inventory available for sale can be caused by three primary factors: (1) delayed delivery of inventory under construction;</w:t>
      </w:r>
    </w:p>
    <w:p>
      <w:pPr>
        <w:spacing w:after="0" w:line="35" w:lineRule="exact"/>
        <w:rPr>
          <w:sz w:val="20"/>
          <w:szCs w:val="20"/>
          <w:color w:val="auto"/>
        </w:rPr>
      </w:pPr>
    </w:p>
    <w:p>
      <w:pPr>
        <w:ind w:right="100" w:firstLine="8"/>
        <w:spacing w:after="0" w:line="277"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delayed receipt of required governmental registrations of inventory for sale; and (3) significant unanticipated increases in sales pace. If the inventory available for sale for a particular trust were to be depleted before new inventory is added and available for sale, we would be required to temporarily suspend sales until inventory is replenished. This could reduce our cash flow and have a negative impact on our results of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development activities expose us to project cost and completion risks.</w:t>
      </w:r>
    </w:p>
    <w:p>
      <w:pPr>
        <w:spacing w:after="0" w:line="22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Both directly and through arrangements with third parties, we develop new vacation ownership properties and new phases of existing vacation ownership properties. Our ongoing involvement in the development of inventory presents a number of risks, including that: (1) weakness in the capital markets may limit our ability, or that of third parties with whom we do business, to raise capital for completion of projects or for development of future properties; (2) to the extent construction costs escalate faster than the pace at which we can increase the price of vacation ownership interests, our profits may be adversely affected; (3) construction delays, zoning and other local approvals, cost overruns, lender financial defaults, or natural or man-made disasters, such as earthquakes, tsunamis, hurricanes, floods, fires, volcanic eruptions, radiation releases and oil spills, may increase overall project costs or result in project cancellations; and (4) any liability or alleged liability associated with latent defects in projects we have constructed or that we construct in the future may adversely affect our business, financial condition and reputation.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depend on capital to develop, acquire and repurchase vacation ownership inventory, and we may be unable to access capital when necessary.</w:t>
      </w:r>
    </w:p>
    <w:p>
      <w:pPr>
        <w:spacing w:after="0" w:line="26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availability of funds for new investments, primarily developing, acquiring or repurchasing vacation ownership inventory, depends in part on liquidity factors and capital markets over which we can exert little, if any, control. Instability in the financial markets and any resulting contraction of available liquidity and leverage could constrain the capital markets for real estate investments. In addition, we have historically securitized the majority of the consumer loans we originate in support of our North America segment in the ABS market, completing transactions once or twice each year. Instability in the financial markets could also impact the timing and volume of any securitizations we undertake, as well as the financial terms of such securitizations. Any future deterioration in the financial markets could preclude, delay or increase the cost to us of future note securitizations. Such deterioration could also impact our ability to renew the Warehouse Credit Facility, which we must do in order to access funds under that facility after September 2015, on terms favorable to us, or at all.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Further, the obligations of MVW US Holdings, Inc. (“MVW US Holdings”), our consolidated subsidiary, to its preferred shareholders and any indebtedness we incur, including indebtedness under our Revolving Corporate Credit Facility or our Warehouse Credit Facility, may adversely affect our ability to obtain any additional financing necessary to acquire additional vacation ownership inventory or make other investments in our business, or to repurchase vacation ownership interests that our owners propose to sell to third parties.</w:t>
      </w:r>
    </w:p>
    <w:p>
      <w:pPr>
        <w:spacing w:after="0" w:line="18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b w:val="1"/>
          <w:bCs w:val="1"/>
          <w:i w:val="1"/>
          <w:iCs w:val="1"/>
          <w:color w:val="auto"/>
        </w:rPr>
        <w:t>The terms of any future equity or debt financing may give holders of any preferred securities rights that are senior to rights of our common shareholders or impose more stringent operating restrictions on our company.</w:t>
      </w:r>
    </w:p>
    <w:p>
      <w:pPr>
        <w:spacing w:after="0" w:line="17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Debt or equity financing may not be available to us on acceptable terms. If we incur additional debt or raise equity through the issuance of additional preferred stock, the terms of the debt or the preferred stock issued may give the holders rights, preferences and privileges senior to those of holders of our common stock, particularly in the event of liquidation. The terms of the debt may also impose additional and more stringent restrictions on our operations. If we raise funds through the issuance of additional equity, the ownership of our existing shareholders would be diluted.</w:t>
      </w:r>
    </w:p>
    <w:p>
      <w:pPr>
        <w:spacing w:after="0" w:line="17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b w:val="1"/>
          <w:bCs w:val="1"/>
          <w:i w:val="1"/>
          <w:iCs w:val="1"/>
          <w:color w:val="auto"/>
        </w:rPr>
        <w:t>If the default rates or other credit metrics underlying our vacation ownership receivables deteriorate, our vacation ownership notes receivable securitization program could be adversely affected.</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vacation ownership notes receivable securitization program could be adversely affected if a particular vacation ownership receivables pool fails to meet certain ratios, which could occur if the default rates or other credit metrics of the underlying vacation ownership notes receivable deteriorate. Our ability to sell securities backed by our vacation ownership notes receivable depends on the continued ability and willingness of capital market participants to invest in such securities. Asset-backed securities issued in our securitization programs could be downgraded by credit agencies in the future. If a downgrade occurs, our ability to complete other securitization transactions on acceptable terms or at all could be jeopardized, and we could be forced to rely on other potentially more expensive and less attractive funding sources, to the extent available. This would decrease our profitability and might require us to adjust our business operations, including by reducing or suspending our provision of financing to purchasers of vacation ownership interests. Sales of vacation ownership interests may decline if we reduce or suspend the provision of financing to purchasers, which may adversely affect our cash flows, revenues and profits.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Purchaser defaults on the vacation ownership notes receivable our business generates could reduce our revenues, cash flows and profits.</w:t>
      </w:r>
    </w:p>
    <w:p>
      <w:pPr>
        <w:spacing w:after="0" w:line="24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We are subject to the risk that purchasers of our vacation ownership interests may default on the financing that we provide. Purchaser defaults could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If default rates increase beyond current projections and result in higher than expected foreclosure activity, our results of operations could be adversely affected.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In addition, we may not be able to resell foreclosed interests in a timely manner or for an attractive price.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obligations of MVW US Holdings to its preferred shareholders will limit the ability of MVW US Holdings to distribute cash to us.</w:t>
      </w:r>
    </w:p>
    <w:p>
      <w:pPr>
        <w:spacing w:after="0" w:line="23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subsidiary, MVW US Holdings, issued approximately $40 million in mandatorily redeemable preferred stock to Marriott International, which sold the preferred stock to third-party investors prior to completion of the Spin-Off. For the first five years the Series A preferred stock will pay an annual cash dividend equal to the five year U.S. Treasury Rate as of October 19, 2011 plus a spread of 10.958 percent, for a total annual cash dividend rate of 12 percent. On the fifth anniversary of issuance, if we do not elect to redeem the preferred stock, the annual cash dividend rate will be reset to the five year U.S. Treasury Rate in effect on such date plus the same 10.958 percent spread. The payment of this dividend will reduce the amount of cash otherwise available for distribution by MVW US Holdings to us for further distribution to our common shareholders or for other corporate purposes. MVW US Holdings will not be able to pay any dividends to us if it is in arrears on the payment of dividends to the preferred shareholders. In addition, in the event of a liquidation of MVW US Holdings, the preferred shareholders will be entitled to an aggregate liquidation preference of $40 million plus any accrued and unpaid dividends and a premium if the liquidation occurs during the first five years after issuance of the preferred stock, which will reduce the amount of cash available for distribution by MVW US Holdings to us. Further, if MVW US Holdings either (1) is in arrears on the payment of six or more quarterly dividend payments on the preferred stock, whether or not the payment dates are consecutive, or (2) defaults on its obligations to redeem the preferred stock on the tenth anniversary of issuance or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following a change of control, the preferred shareholders may designate a representative to attend meetings of our Board of Directors as a non-voting observer until all unpaid dividends on the outstanding shares of preferred stock have been paid or all such unpaid dividends have been paid or declared with an amount sufficient for the payment set aside for payment, or the shares required to be redeemed have been redeemed, as applicable.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degree to which we are leveraged may have a material adverse effect on our financial position, results of operations and cash flows.</w:t>
      </w:r>
    </w:p>
    <w:p>
      <w:pPr>
        <w:spacing w:after="0" w:line="24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can borrow up to $200 million under the Revolving Corporate Credit Facility. Our ability to make dividend payments to preferred shareholders of MVW US Holdings and to make payments on and refinance our indebtedness, including any future debt that we may incur, will depend on our ability to generate cash in the future from operations, financings or asset sales. Our ability to generate cash is subject to general economic, financial, competitive, legislative, regulatory and other factors that we cannot control. If we cannot repay or refinance our debt as it becomes due, we may be forced to sell assets or take other disadvantageous actions, including (1) reducing capital expenditures, (2) limiting financing offered to customers, which could result in reduced sales, and (3) dedicating an unsustainable level of our cash flow from operations to the payment of principal and interest on our indebtedness. In addition, our ability to withstand competitive pressures and to react to changes in the vacation ownership industry could be impaired. The lenders who hold such debt could also accelerate amounts due, which could potentially trigger a default or acceleration of our other debt.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growth of our business and the execution of our business strategies depend on the services of our senior management and our associates.</w:t>
      </w:r>
    </w:p>
    <w:p>
      <w:pPr>
        <w:spacing w:after="0" w:line="24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believe that our future growth depends, in part, on the continued services of our senior management team, including our President and Chief Executive Officer, Stephen P. Weisz. The loss of any members of our senior management team could adversely affect our strategic and customer relationships and impede our ability to execute our business strategies.</w:t>
      </w:r>
    </w:p>
    <w:p>
      <w:pPr>
        <w:spacing w:after="0" w:line="181" w:lineRule="exact"/>
        <w:rPr>
          <w:sz w:val="20"/>
          <w:szCs w:val="20"/>
          <w:color w:val="auto"/>
        </w:rPr>
      </w:pPr>
    </w:p>
    <w:p>
      <w:pPr>
        <w:jc w:val="both"/>
        <w:ind w:right="660" w:firstLine="456"/>
        <w:spacing w:after="0" w:line="312" w:lineRule="auto"/>
        <w:rPr>
          <w:sz w:val="20"/>
          <w:szCs w:val="20"/>
          <w:color w:val="auto"/>
        </w:rPr>
      </w:pPr>
      <w:r>
        <w:rPr>
          <w:rFonts w:ascii="Arial" w:cs="Arial" w:eastAsia="Arial" w:hAnsi="Arial"/>
          <w:sz w:val="16"/>
          <w:szCs w:val="16"/>
          <w:color w:val="auto"/>
        </w:rPr>
        <w:t>In addition, insufficient numbers of talented associates could constrain our ability to maintain and expand our business. We compete with other companies both within and outside of our industry for talented personnel. If we cannot recruit, train, develop or retain sufficient numbers of talented associates, we could experience increased associate turnover, decreased guest satisfaction, low morale, inefficiency or internal control failures.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failure to keep pace with developments in technology could impair our operations or competitive position.</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business model and competitive conditions in the vacation ownership industry demand the use of sophisticated technology and systems, including those used for our sales, reservation, inventory management and property management systems, and technologies we make available to our owners. We must refine, update and/or replace these technologies and systems with more advanced systems on a regular basis. If we cannot do so as quickly as our competitors or within budgeted costs and time frames, our business could suffer. We also may not achieve the benefits that we anticipate from any new technology or system, and a failure to do so could result in higher than anticipated costs or could harm our operating results.</w:t>
      </w:r>
    </w:p>
    <w:p>
      <w:pPr>
        <w:spacing w:after="0" w:line="173"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b w:val="1"/>
          <w:bCs w:val="1"/>
          <w:i w:val="1"/>
          <w:iCs w:val="1"/>
          <w:color w:val="auto"/>
        </w:rPr>
        <w:t>Our operations outside of the United States make us susceptible to the risks of doing business internationally, which could lower our revenues, increase our costs, reduce our profits or disrupt our business.</w:t>
      </w:r>
    </w:p>
    <w:p>
      <w:pPr>
        <w:spacing w:after="0" w:line="170"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We conduct business in over 30 countries and territories, and our operations outside the United States represented approximately 12 percent of our revenues in 2013. International properties and operations expose us to a number of additional challenges and risks, including the following, any of which could reduce our revenues or profits, increase our costs, or disrupt our business: (1) complex and changing laws, regulations and policies of governments that may impact our operations, including foreign ownership restrictions, import and export controls, and trade restrictions; (2) U.S. laws that affect the activities of U.S. companies abroad; (3) limitations on our ability to repatriate non-U.S. earnings in a tax-effective manner; (4) the difficulties involved in managing an organization doing business in many different countries; (5) uncertainties as to the enforceability of contract and intellectual property rights under local laws;</w:t>
      </w:r>
    </w:p>
    <w:p>
      <w:pPr>
        <w:spacing w:after="0" w:line="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rapid changes in government policy, political or civil unrest, acts of terrorism or the threat of international boycotts or U.S. anti-boycott legislation;</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rate fluctuations; and (8) other exposure to local economic risks.</w:t>
      </w:r>
    </w:p>
    <w:p>
      <w:pPr>
        <w:spacing w:after="0" w:line="21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b w:val="1"/>
          <w:bCs w:val="1"/>
          <w:i w:val="1"/>
          <w:iCs w:val="1"/>
          <w:color w:val="auto"/>
        </w:rPr>
        <w:t>Disagreements with the owners of vacation ownership interests and property owners’ associations may result in litigation and the loss of management contracts.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nature of our relationships with our owners and our responsibilities in managing our vacation ownership properties will from time to time give rise to disagreements with the owners of vacation ownership interests and property owners’ associations. Owners of our vacation ownership interests may also disagree with changes we make to our products or programs. We seek to expeditiously resolve any disagreements in order to develop and maintain positive relations with current and potential owners and property owners’ associations, but cannot always do so. Failure to resolve such disagreements has resulted in litigation, and could do so again in the future. If any such litigation results in a significant adverse judgment, settlement or court order, we could suffer significant losses, our profits could be reduced, our reputation could be harmed and our future ability to operate our business could be constrained. Disagreements with property owners’ associations could also result in the loss of management contracts.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expiration, termination or renegotiation of our management contracts could adversely affect our cash flows, revenues and profits.</w:t>
      </w:r>
    </w:p>
    <w:p>
      <w:pPr>
        <w:spacing w:after="0" w:line="23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enter into a management agreement with the property owners’ association at each of our resorts or, in the case of resorts held by a trust, with the associated trust. The management fee is typically based on either a percentage of total cost to operate such resorts or a fixed fee arrangement. We also receive revenues that represent reimbursement for certain costs we incur under our management agreements, principally payroll-related costs, at the locations where we employ the associates providing on-site services. The terms of our management agreements typically range from three to ten years and are generally subject to periodic renewal for one to five year terms. Many of these agreements renew automatically unless either party provides notice of termination before the expiration of the term. Any of these management contracts may expire at the end of its then-current term (following notice by a party of non-renewal) or be terminated, or the contract terms may be renegotiated in a manner adverse to us. If a management agreement is terminated or not renewed on favorable terms, our cash flows, revenues and profits could be adversely affected.</w:t>
      </w:r>
    </w:p>
    <w:p>
      <w:pPr>
        <w:spacing w:after="0" w:line="17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b w:val="1"/>
          <w:bCs w:val="1"/>
          <w:i w:val="1"/>
          <w:iCs w:val="1"/>
          <w:color w:val="auto"/>
        </w:rPr>
        <w:t>The maintenance and refurbishment of vacation ownership properties depends on maintenance fees paid by the owners of vacation ownership interests.</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Owners of our vacation ownership interests must pay maintenance fees levied by property owners’ association boards. These maintenance fees are used to maintain and refurbish the vacation ownership properties and to keep the properties in compliance with Marriott and Ritz-Carlton brand standards. If property owners’ association boards do not levy sufficient maintenance fees, or if owners of vacation ownership interests do not pay their maintenance fees, not only would our management fee revenue be adversely affected, but the vacation ownership properties could fall into disrepair and fail to comply with applicable brand standards. If a resort fails to comply with applicable brand standards, Marriott International or Ritz-Carlton Hotel Company could terminate our rights under the applicable License Agreement to use its trademarks at the non-compliant resort, which would result in the loss of management fees, decrease customer satisfaction and impair our ability to market and sell our products at the non-compliant locations.</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b w:val="1"/>
          <w:bCs w:val="1"/>
          <w:i w:val="1"/>
          <w:iCs w:val="1"/>
          <w:color w:val="auto"/>
        </w:rPr>
        <w:t>Failure to maintain the integrity of internal or customer data could result in faulty business decisions or operational inefficiencies, damage our reputation and/or subject us to costs, fines or lawsuits.</w:t>
      </w:r>
    </w:p>
    <w:p>
      <w:pPr>
        <w:spacing w:after="0" w:line="17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collect and retain large volumes of internal and customer data, including social security numbers, credit card numbers and other personally identifiable information of our customers in various information systems and those of our service providers. We also maintain personally identifiable information about our employees. The integrity and protection of that customer, employee and company data is critical to us. We could make faulty decisions if that data is inaccurate or incomplete. Our customers and employees also have a high expectation that we and our service providers will adequately protect their personal information. The regulatory environment as well as the requirements imposed on us by the payment card industry surrounding information, security and privacy is also increasingly demanding, in both the United States and other jurisdictions in which we operate. Our systems may be unable to satisfy changing regulatory and payment card industry requirements and employee and customer expectations, or may require significant additional investments or time in order to do so.</w:t>
      </w:r>
    </w:p>
    <w:p>
      <w:pPr>
        <w:spacing w:after="0" w:line="19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information systems and records, including those we maintain with our service providers, may be subject to security breaches, cyber attacks, system failures, viruses, operator error or inadvertent releases of data. A significant theft, loss, or fraudulent use of customer, employee or company data maintained by us or by a service provider could adversely impact our reputation and could result in remedial and other expenses, fines or litigation. A breach in the security of our information systems or those of our service providers could lead to an interruption in the operation of our systems, resulting in operational inefficiencies and a loss of profits.</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b w:val="1"/>
          <w:bCs w:val="1"/>
          <w:i w:val="1"/>
          <w:iCs w:val="1"/>
          <w:color w:val="auto"/>
        </w:rPr>
        <w:t>Our industry is competitive, which may impact our ability to compete successfully with other vacation ownership brands and with other vacation rental options for customers.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number of highly competitive companies participate in the vacation ownership industry, including several branded hotel companies. Our brands compete with the vacation ownership brands of major hotel chains in national and international venues, as well as with the vacation rental options (such as hotels, resorts and condominium rentals) offered by the lodging industry. In addition, under our License Agreements with Marriott International and Ritz-Carlton Hotel Company, if other international hotel operators offer new products and services as part of their respective hotel businesses that may directly compete with our vacation ownership products and services in the future, then Marriott International and Ritz-Carlton Hotel Company may also offer such new products and services, and use their respective trademarks in connection with such offers. If Marriott International or Ritz-Carlton Hotel Company offer new vacation ownership products and services under their trademarks, our vacation ownership products and services may compete directly with those of Marriott International or Ritz-Carlton Hotel Company, and we may not be able to distinguish our vacation ownership products and services from those offered by Marriott International and Ritz-Carlton Hotel Company.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regulation, and any failure to comply with applicable laws and regulations could have a material adverse effect on our business.</w:t>
      </w:r>
    </w:p>
    <w:p>
      <w:pPr>
        <w:spacing w:after="0" w:line="1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business is heavily regulated. We are subject to a wide variety of complex international, national, federal, state and local laws, regulations and policies in jurisdictions around the world. Some laws, regulations and policies impact multiple areas of our business, such as anti-corruption laws and regulations, including regulations applicable under the U.S. Treasury’s Office of Foreign Asset Control and the FCPA. Other laws, regulations and policies primarily affect one of four areas of our business: real estate development activities; marketing and sales activities; lending activities; and resort management activities. For more information regarding laws, regulations and policies to which we are subject, see “Business—Regulation.”</w:t>
      </w:r>
    </w:p>
    <w:p>
      <w:pPr>
        <w:spacing w:after="0" w:line="173"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FCPA and similar anti-corruption laws in other jurisdictions generally prohibit companies and their intermediaries from making improper payments to government officials for the purpose of obtaining or generating business. Our internal controls and procedures may not always protect us from the reckless or criminal acts that may be committed by our employees or third parties with whom we work. If we are found to be liable for violations of the FCPA or similar anti-corruption laws in international jurisdictions, criminal or civil penalties could be imposed on us.</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real estate development activities are subject to laws and regulations typically applicable to real estate development, subdivision and construction activities, such as laws relating to zoning, land use restrictions, environmental regulation, accessibility, title transfers, title insurance and taxation. In addition, we are subject to laws in some jurisdictions that impose liability on property developers for construction defects discovered or repairs made by future owners of property developed by the developer.</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number of laws govern our marketing and sales activities, such as vacation ownership and land sales acts, fair housing statutes, regulations regulating unfair and deceptive trade practices and unfair competition, anti-fraud laws, prize, gift and sweepstakes laws, real estate and other licensing laws and regulations, telemarketing laws, home solicitation sales laws, tour operator laws, seller of travel laws, securities laws, consumer privacy laws and consumer protection laws. In addition, laws in many jurisdictions in which we sell vacation ownership interests grant the purchaser of a vacation ownership interest the right to cancel a purchase contract during a specified rescission period.</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recent years, “do not call” legislation has significantly increased the costs associated with telemarketing. We have implemented procedures that we believe will help reduce the possibility that we contact individuals on regulatory “do not call” lists, but such procedures may not be effective in ensuring regulatory compliance. Additionally, we are not considered an affiliate of Marriott International for purposes of “do not call” legislation in some jurisdictions, which may make it more difficult for us to utilize customer information we obtain from Marriott International.</w:t>
      </w:r>
    </w:p>
    <w:p>
      <w:pPr>
        <w:spacing w:after="0" w:line="17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Many jurisdictions, including many jurisdictions in the United States, require that we file detailed registration or offering statements with regulatory authorities disclosing certain information regarding the vacation ownership interests and other real estate interests we market and sell. Regulation outside the United States includes, for example, European regulations to which our vacation ownership activities within the European Union are subject and Singapore regulations to which certain of our Asia Pacific operations are subject. Among other things, the European and Singapore regulations require: (1) delivery of specified disclosure (some of which must be provided in a specific format) to purchasers; (2) require a specified “cooling off” rescission period after a purchase is made; and (3) prohibit any advance payments for a purchase.</w:t>
      </w:r>
    </w:p>
    <w:p>
      <w:pPr>
        <w:spacing w:after="0" w:line="178"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Our lending activities are subject to a number of U.S. laws and regulations, as well as laws and regulations of other jurisdictions, including, among others, laws and regulations related to consumer loans, retail installment contracts, mortgage lending, fair debt collection practices, consumer collection practices, mortgage disclosure, lender licenses and money laundering.</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resort management activities are subject to laws and regulations regarding community association management, public lodging, food and beverage services, labor, employment, health care, health and safety, accessibility, discrimination, immigration, gaming and the environment (including climate change). In addition, 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under certain circumstances (for example, upon a super-majority vote of the owners), even if we are not in default under the agreement. Such statutory provisions expose us to a risk that one or more of our management agreements may not be renewed or may be terminated prior to the end of the term specified in such agreements. Upon non-renewal or termination of our management agreement for a particular resort, such resort loses the ability to use the Marriott or Ritz-Carlton name and trademarks and ceases to be a part of our system. In addition, we lose the management fee revenue associated with such resort.</w:t>
      </w:r>
    </w:p>
    <w:p>
      <w:pPr>
        <w:spacing w:after="0" w:line="19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We may not be successful in maintaining compliance with all laws, regulations and policies to which we are currently subject, and the cost of compliance with such laws, regulations and policies could be significant. Failure to comply with current or future applicable laws, regulations and policies could have a material adverse effect on our business. For example, if we do not comply with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applicable laws, governmental authorities in the jurisdictions where the violations occurred may revoke or refuse to renew licenses or registrations we must have in order to operate our business. Failure to comply with applicable laws could also render sales contracts for our products void or voidable, subject us to fines or other sanctions and increase our exposure to litigation.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privacy law could adversely affect our ability to market our products effectively.</w:t>
      </w:r>
    </w:p>
    <w:p>
      <w:pPr>
        <w:spacing w:after="0" w:line="22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rely on a variety of direct marketing techniques, including telemarketing, email marketing and postal mailings. Adoption of new state or federal laws regulating marketing and solicitation, or international data protection laws that govern these activities, or changes to existing laws, such as the Telemarketing Sales Rule and the CANSPAM Act, could adversely affect the continuing effectiveness of telemarketing, email and postal mailing techniques and could force us to make further changes in our marketing strategy. If this occurs, we may not be able to develop adequate alternative marketing strategies, which could impact the amount and timing of our sales of vacation ownership interests and other products. We also obtain access to potential customers from travel service providers or other companies with whom we have relationships and market to some individuals on these lists directly or by including our marketing message in the other companies’ marketing materials. If access to these lists was prohibited or otherwise restricted, our ability to develop new customers and introduce our products to them could be impaired.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tax regulations could reduce our profits or increase our costs.</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Jurisdictions in which we do business may at any time review tax and other revenue raising laws, regulations and policies, and any resulting changes could impose new restrictions, costs or prohibitions on our current practices and reduce our profits. In particular, governments may revise tax laws, regulations or official interpretations in ways that could have a significant impact on us, including modifications that could reduce the profits that we can effectively realize from our non-U.S. operations, or that could require costly changes to those operations, or the way that we structure them. For example, most U.S. company effective tax rates reflect the fact that income earned and reinvested outside the United States is generally taxed at local rates, which are often much lower than U.S. tax rates. If changes in tax laws, regulations or interpretations were to significantly increase the tax rates on non-U.S. income, our effective tax rate could increase, our profits could be reduced, and if such increases were a result of our status as a U.S. company, we could be placed at a disadvantage to our non-U.S. competitors if those competitors remain subject to lower local tax rates.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may be adversely affected by factors that disrupt or deter travel.</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profitability of the vacation ownership resorts that we develop and manage may be adversely affected by a number of factors that can disrupt or deter travel. For example, fear of exposure to contagious diseases, such as H1N1 Flu, Avian Flu and Severe Acute Respiratory Syndrome, or natural or man-made disasters, such as earthquakes, tsunamis, hurricanes, floods, fires, volcanic eruptions, radiation releases and oil spills, may deter travelers from scheduling sales tours at our resorts or cause them to cancel travel plans. Actual or threatened war, civil unrest and terrorist activity, as well as heightened travel security measures instituted in response to the same, could also interrupt or deter travel plans. In addition, demand for vacation options such as our vacation ownership products may decrease if the cost of travel, including the cost of transportation and fuel, increases or if general economic conditions decline. Changes in the desirability of the locations where we develop and manage resorts as vacation destinations and changes in vacation and travel patterns may adversely affect our cash flows, revenue and profits.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Damage to, or other potential losses involving, properties that we own or manage may not be covered by insurance.</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Market forces beyond our control may limit the scope of the insurance coverage we can obtain or our ability to obtain coverage at reasonable rates. Certain types of losses, generally of a catastrophic nature, such as earthquakes, hurricanes and floods, or terrorist acts, may be uninsurable or the price of coverage for such losses may be too expensive to justify obtaining insurance. As a result, the cost of our insurance may increase and our coverage levels may decrease. In addition, in the event of a substantial loss, the insurance coverage we carry may not be sufficient to pay the full market value or replacement cost of our lost investment or that of owners of vacation ownership interests or in some cases may not provide a recovery for any part of a loss. As a result, we could lose some or all of the capital we have invested in a property, as well as the anticipated future revenue from the property, and we could remain obligated under guarantees or other financial obligations related to the property.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cannot dispose of excess land and inventory at favorable prices or at all, our future cash flows and net income could be reduced.</w:t>
      </w:r>
    </w:p>
    <w:p>
      <w:pPr>
        <w:spacing w:after="0" w:line="23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have excess land that was purchased for future development, as well as excess built luxury real estate inventory at a few of our projects. Current economic conditions, as well as restrictions such as zoning, entitlement, contractual and similar restrictions related to the excess land and inventory could adversely affect our ability to dispose of properties at favorable prices or at all. We are responsible for maintenance fees and operating costs relating to this unsold excess land and inventory. If we are not able to sell this excess land and inventory we will continue to bear these costs, which may increase over time, and our net income will be reduced.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b w:val="1"/>
          <w:bCs w:val="1"/>
          <w:i w:val="1"/>
          <w:iCs w:val="1"/>
          <w:color w:val="auto"/>
        </w:rPr>
        <w:t>If we identify additional excess land and inventory in the future, or if our estimates of the fair value of our excess land and inventory change, our financial position and results of operations could be adversely affected.</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Based on our current plans, we believe we have identified all excess land and inventory. However, if our plans change, we may conclude in the future that additional land and inventory are excess, in which case we would likely terminate plans to develop such land and instead seek to dispose of such excess land and inventory through bulk sales or other methods. If we identify additional excess land and inventory in the future, we may have to record additional non-cash impairment charges to write-down the value of such assets. Any such impairment charges may have an adverse impact on our financial position and results of operations. The sale of any such additional excess land and inventory will be subject to the risks described in the risk factor entitled “—</w:t>
      </w:r>
      <w:r>
        <w:rPr>
          <w:rFonts w:ascii="Arial" w:cs="Arial" w:eastAsia="Arial" w:hAnsi="Arial"/>
          <w:sz w:val="17"/>
          <w:szCs w:val="17"/>
          <w:i w:val="1"/>
          <w:iCs w:val="1"/>
          <w:color w:val="auto"/>
        </w:rPr>
        <w:t>If we cannot</w:t>
      </w:r>
      <w:r>
        <w:rPr>
          <w:rFonts w:ascii="Arial" w:cs="Arial" w:eastAsia="Arial" w:hAnsi="Arial"/>
          <w:sz w:val="17"/>
          <w:szCs w:val="17"/>
          <w:color w:val="auto"/>
        </w:rPr>
        <w:t xml:space="preserve"> </w:t>
      </w:r>
      <w:r>
        <w:rPr>
          <w:rFonts w:ascii="Arial" w:cs="Arial" w:eastAsia="Arial" w:hAnsi="Arial"/>
          <w:sz w:val="17"/>
          <w:szCs w:val="17"/>
          <w:i w:val="1"/>
          <w:iCs w:val="1"/>
          <w:color w:val="auto"/>
        </w:rPr>
        <w:t>dispose of excess land and inventory at favorable prices or at all, our future cash flows and net income could be reduced</w:t>
      </w:r>
      <w:r>
        <w:rPr>
          <w:rFonts w:ascii="Arial" w:cs="Arial" w:eastAsia="Arial" w:hAnsi="Arial"/>
          <w:sz w:val="17"/>
          <w:szCs w:val="17"/>
          <w:color w:val="auto"/>
        </w:rPr>
        <w:t>.” In addition, if real estate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change, our estimates of the fair value of our excess land and inventory may change. If our estimates of the fair value of these assets decline, we may have to record additional non-cash impairment charges to write-down the value of such assets to the estimated fair value. Any such impairment charges may have an adverse impact on our financial position and results of operations.</w:t>
      </w:r>
    </w:p>
    <w:p>
      <w:pPr>
        <w:spacing w:after="0" w:line="18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If we are not able to conclude that our internal control over financial reporting is effective, or if our independent registered public accounting firm is not able to provide an unqualified report on the effectiveness of our internal control over financial reporting, our business, financial condition or results of operations could be materially adversely affected.</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a public entity, we are subject to the reporting requirements of the Securities Exchange Act of 1934 (the “Exchange Act”) and requirements of the Sarbanes-Oxley Act of 2002 (the “Sarbanes-Oxley Act”), including the obligation of our management to report on its assessment of the effectiveness of our internal control over financial reporting. We continue to establish new infrastructure and systems, including infrastructure and systems to replace financial, administrative and other corporate services that had been provided by Marriott International, some of which may impact our ability to favorably assess the effectiveness of our internal control over financial reporting. If we cannot favorably assess the effectiveness of our internal control over financial reporting, or our independent registered public accounting firm cannot provide an unqualified report on the effectiveness of our internal control over financial reporting, investor confidence and, in turn, the market price of our common stock could decline.</w:t>
      </w:r>
    </w:p>
    <w:p>
      <w:pPr>
        <w:spacing w:after="0" w:line="17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We agreed to indemnify Marriott International for taxes and related losses resulting from actions we take that cause the distribution to fail to qualify as a tax-free transaction.</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Pursuant to the Tax Sharing and Indemnification Agreement we entered into with Marriott International, we have agreed to indemnify Marriott International for certain taxes and related losses resulting from (1) any breach of the covenants regarding the preservation of the tax-free status of the distribution and the intended tax treatment of certain related transactions undertaken in connection with the distribution, (2) certain acquisitions of our equity securities or assets or those of certain of our subsidiaries, and (3) any breach by us or any member of our group of certain of our representations in the documents submitted to the IRS and the separation documents between Marriott International and us. The amount of Marriott International’s taxes for which we have agreed to indemnify Marriott International in respect of the distribution will be based on the excess, if any, of the aggregate fair market value of our stock over Marriott International’s tax basis in our stock at the time of the distribution of our common stock in the Spin-Off. In addition, if the distribution fails to qualify as a tax-free transaction for reasons other than those specified in the Spin-Off tax indemnification provisions, liability for any resulting taxes related to the distribution will be apportioned between Marriott International and us based on the relative fair market values of Marriott International and us. In addition, Marriott International expects to recognize, for U.S. federal income tax purposes, significant built-in losses in properties used in the vacation ownership and related residential businesses. If Marriott International’s U.S. federal consolidated group is unable to deduct these losses for U.S. federal income tax purposes, and, instead, the tax basis of the properties that is attributable to the built-in losses is available to our U.S. federal consolidated group, we have agreed to indemnify Marriott International for certain lost tax benefits that Marriott International otherwise would have recognized if Marriott International’s U.S. federal consolidated group was able to deduct such losses. The amount of any future indemnification payments could be substantial.</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Spin-Off may expose us to potential liabilities arising out of state and federal fraudulent conveyance laws and legal dividend requirements.</w:t>
      </w:r>
    </w:p>
    <w:p>
      <w:pPr>
        <w:spacing w:after="0" w:line="24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Spin-Off is subject to review under various state and federal fraudulent conveyance laws. Fraudulent conveyance laws generally provide that an entity engages in a constructive fraudulent conveyance when (1) the entity transfers assets and does not receive fair consideration or reasonably equivalent value in return, and (2) the entity (a) is insolvent at the time of the transfer or is rendered insolvent by the transfer, (b) has unreasonably small capital with which to carry on its business, or (c) intends to incur or believes it will incur debts beyond its ability to repay its debts as they mature. The measure of insolvency for purposes of the fraudulent conveyance laws will vary depending on which jurisdiction’s law is applied, and we cannot predict with certainty what standard a court would apply to determine insolvency or whether a court would determine that we, Marriott International or any of our respective subsidiaries were solvent at the time of or after giving effect to the Spin-Off. An unpaid creditor or an entity acting on behalf of a creditor may bring a lawsuit alleging that the Spin-Off or any of the related transactions constituted a constructive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fraudulent conveyance. If a court accepts these allegations, it could impose a number of remedies, including without limitation, voiding our claims against Marriott International, requiring our shareholders to return to Marriott International some or all of the shares of our common stock issued in the Spin-Off, or providing Marriott International with a claim for money damages against us in an amount equal to the difference between the consideration received by Marriott International and the fair market value of our company at the time of the Spin-Off. The distribution of our common stock is also subject to review under state corporate distribution statutes. Under the General Corporation Law of the State of Delaware (the “DGCL”), a corporation may only pay dividends to its shareholders either (1) out of its surplus (net assets minus capital) or (2) if there is no such surplus, out of its net profits for the fiscal year in which the dividend is declared and/or the preceding fiscal year. The Marriott International board of directors obtained an opinion that each of us and Marriott International would be solvent at the time of the Spin-Off (including immediately after the payment of the dividend and the Spin-Off), would be able to repay its debts as they mature following the Spin-Off and would have sufficient capital to carry on its businesses and the Spin-Off and the distribution would be made entirely out of surplus in accordance with Section 170 of the DGCL. A court could reach conclusions different from those set forth in such opinion in determining whether Marriott International or we were insolvent at the time of, or after giving effect to, the Spin-Off, or whether lawful funds were available for the separation and the distribution to Marriott International’s shareholders.</w:t>
      </w:r>
    </w:p>
    <w:p>
      <w:pPr>
        <w:spacing w:after="0" w:line="18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A court could require that we assume responsibility for obligations allocated to Marriott International under the Separation and Distribution Agreement.</w:t>
      </w:r>
    </w:p>
    <w:p>
      <w:pPr>
        <w:spacing w:after="0" w:line="170"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Under the Separation and Distribution Agreement, from and after the Spin-Off, each of us and Marriott International are responsible for the debts, liabilities and other obligations related to the business or businesses it owns and operates following the consummation of the Spin-Off. Although we do not expect to be liable for any obligations that were not allocated to us under the Separation and Distribution Agreement, a court could disregard the allocation agreed to between the parties, and require that we assume responsibility for obligations allocated to Marriott International (for example, tax and/or environmental liabilities), particularly if Marriott International were to refuse or were unable to pay or perform the allocated obligations.</w:t>
      </w:r>
    </w:p>
    <w:p>
      <w:pPr>
        <w:spacing w:after="0" w:line="158"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b w:val="1"/>
          <w:bCs w:val="1"/>
          <w:i w:val="1"/>
          <w:iCs w:val="1"/>
          <w:color w:val="auto"/>
        </w:rPr>
        <w:t>Certain of our executive officers and directors may have actual or potential conflicts of interest because of their ownership of Marriott International equity or their current or former positions in Marriott International.</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Certain of our executive officers and directors are former officers and employees of Marriott International and thus have professional relationships with Marriott International’s executive officers and directors. In addition, many of our executive officers and directors have financial interests in Marriott International that are substantial to them as a result of their ownership of Marriott International stock, options and other equity awards. These relationships and personal financial interests may create, or may create the appearance of, conflicts of interest when these directors and officers face decisions that could have different implications for Marriott International than for us.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Our share repurchase program may not enhance long-term stockholder value, and could increase the volatility of the market price of our common stock and diminish our cash reserves.</w:t>
      </w:r>
    </w:p>
    <w:p>
      <w:pPr>
        <w:spacing w:after="0" w:line="17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October 8, 2013, our Board of Directors authorized a share repurchase program under which we may purchase up to 3,500,000 shares of our common stock prior to March 28, 2015. The share repurchase program does not obligate us to repurchase any specific dollar amount, or to acquire any specific number, of shares. The timing and amount of repurchases, if any, will depend upon several factors, including market conditions, business conditions, statutory and contractual restrictions, the trading price of our common stock and the nature of other investment opportunities available to us. The repurchase program may be limited, suspended or discontinued at any time without prior notice. In addition, repurchases of our common stock pursuant to our share repurchase program could affect our stock price and increase its volatility. The existence of a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and to pursue possible future strategic opportunities and acquisitions. Our share repurchases may not enhance stockholder value because the market price of our common stock may decline below the prices at which we repurchased shares of stock and short-term stock price fluctuations could reduce the program’s effectiveness.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common stock has a limited trading history. The market price of our common stock may fluctuate widely, depending on many factors, some of which may be beyond our control, including:</w:t>
      </w:r>
    </w:p>
    <w:p>
      <w:pPr>
        <w:spacing w:after="0" w:line="7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due to factors related to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business developments or significant acquisitions or dispositions;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of securities analysts to continue to cover our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investor perception of our company and the vacation ownership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initiation of or developments in legal proceedings;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adversely affect the trading price of our common stock.</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and in our agreements with Marriott International could delay or prevent a change in control.</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Provisions of our Charter and Bylaws may delay or prevent a merger or acquisition that a shareholder may consider favorable. For example, our Charter and Bylaws provide for a classified board, require advance notice for shareholder proposals and nominations, place limitations on convening shareholder meetings and authorize our Board of Directors to issue one or more series of preferred stock. The holders of the preferred stock issued by our subsidiary MVW US Holdings have the right to require MVW US Holdings to redeem the preferred stock if we sell all or substantially all of our assets or MVW US Holdings sells all or substantially all of its assets or completes a change of control, as defined in the terms of the preferred stock. These provisions may also discourage acquisition proposals or delay or prevent a change in control, which could harm our stock price. In addition, Delaware law also imposes some restrictions on mergers and other business combinations between any holder of 15 percent or more of our outstanding common stock and us.</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provisions in our agreements with Marriott International may delay or prevent a merger or acquisition that a shareholder may consider favorable. Under the Tax Sharing and Indemnification Agreement, we agreed not to enter into any transaction involving an acquisition or issuance of our common stock or any other transaction (or, to the extent we have the right to prohibit it, to permit any such transaction) that could reasonably be expected to cause the distribution of our common stock to be taxable to Marriott International. We are required to indemnify Marriott International for any tax resulting from any such prohibited transaction, and we are required to meet various requirements, including obtaining the approval of Marriott International or obtaining an IRS ruling or unqualified opinion of tax counsel acceptable to Marriott International, before engaging in such transactions. Further, our License Agreements with Marriott International and Ritz-Carlton Hotel Company provide that a change in control may not occur without the consent of Marriott International or Ritz-Carlton Hotel Company, respectively. A change in control for purposes of these agreements would occur if, among other things, a person or group acquires beneficial ownership of, or the power to exercise effective control over, shares of our common stock representing more than 15 percent of the combined voting power of the then-outstanding securities entitled to vote generally in elections of directors.</w:t>
      </w:r>
    </w:p>
    <w:p>
      <w:pPr>
        <w:spacing w:after="0" w:line="3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As of January 3, 2014, we operated 62 vacation ownership or residential properties in the United States and nine other countries and territories. These vacation ownership and residential properties are described in Part I, Item 1, “Business,” of this Annual Report. Except as indicated in Part I, Item 1, “Business,” we own all unsold inventory at these properties. We also own, manage or lease golf courses, fitness, spa and sports facilities, undeveloped and partially developed land and other common area assets at some of our resorts, including resort lobbies and food and beverage outlets.</w:t>
      </w:r>
    </w:p>
    <w:p>
      <w:pPr>
        <w:spacing w:after="0" w:line="15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own or lease our regional offices and sales centers, both in the United States and internationally. Our corporate headquarters in Orlando, Florida consists of approximately 175,000 square feet of leased space in two buildings, under a lease expiring in August 2021. We also own an office facility in Lakeland, Florida consisting of approximately 125,000 square feet.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9,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ind w:right="17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600" w:firstLine="456"/>
        <w:spacing w:after="0" w:line="342" w:lineRule="auto"/>
        <w:rPr>
          <w:sz w:val="20"/>
          <w:szCs w:val="20"/>
          <w:color w:val="auto"/>
        </w:rPr>
      </w:pPr>
      <w:r>
        <w:rPr>
          <w:rFonts w:ascii="Arial" w:cs="Arial" w:eastAsia="Arial" w:hAnsi="Arial"/>
          <w:sz w:val="16"/>
          <w:szCs w:val="16"/>
          <w:color w:val="auto"/>
        </w:rPr>
        <w:t>Our common stock currently is traded on the New York Stock Exchange, or the “NYSE,” under the symbol “VAC.” We have not made any unregistered sales of our equity securities. The following table sets forth the high and low sales prices for our common stock for the indicated periods.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4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Low</w:t>
            </w: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w:t>
            </w:r>
          </w:p>
        </w:tc>
        <w:tc>
          <w:tcPr>
            <w:tcW w:w="2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Quarter ended March 22, 2013</w:t>
            </w:r>
          </w:p>
        </w:tc>
        <w:tc>
          <w:tcPr>
            <w:tcW w:w="2640" w:type="dxa"/>
            <w:vAlign w:val="bottom"/>
            <w:gridSpan w:val="2"/>
          </w:tcPr>
          <w:p>
            <w:pPr>
              <w:jc w:val="center"/>
              <w:ind w:left="2050"/>
              <w:spacing w:after="0"/>
              <w:rPr>
                <w:sz w:val="20"/>
                <w:szCs w:val="20"/>
                <w:color w:val="auto"/>
              </w:rPr>
            </w:pPr>
            <w:r>
              <w:rPr>
                <w:rFonts w:ascii="Arial" w:cs="Arial" w:eastAsia="Arial" w:hAnsi="Arial"/>
                <w:sz w:val="18"/>
                <w:szCs w:val="18"/>
                <w:color w:val="auto"/>
                <w:w w:val="90"/>
              </w:rPr>
              <w:t>$47.33</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$38.30</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Quarter ended June 14, 2013</w:t>
            </w:r>
          </w:p>
        </w:tc>
        <w:tc>
          <w:tcPr>
            <w:tcW w:w="2640" w:type="dxa"/>
            <w:vAlign w:val="bottom"/>
            <w:gridSpan w:val="2"/>
            <w:shd w:val="clear" w:color="auto" w:fill="CCEEFF"/>
          </w:tcPr>
          <w:p>
            <w:pPr>
              <w:jc w:val="center"/>
              <w:ind w:left="2050"/>
              <w:spacing w:after="0"/>
              <w:rPr>
                <w:sz w:val="20"/>
                <w:szCs w:val="20"/>
                <w:color w:val="auto"/>
              </w:rPr>
            </w:pPr>
            <w:r>
              <w:rPr>
                <w:rFonts w:ascii="Arial" w:cs="Arial" w:eastAsia="Arial" w:hAnsi="Arial"/>
                <w:sz w:val="18"/>
                <w:szCs w:val="18"/>
                <w:color w:val="auto"/>
                <w:w w:val="90"/>
              </w:rPr>
              <w:t>$47.21</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$41.25</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Quarter ended September 6, 2013</w:t>
            </w:r>
          </w:p>
        </w:tc>
        <w:tc>
          <w:tcPr>
            <w:tcW w:w="2640" w:type="dxa"/>
            <w:vAlign w:val="bottom"/>
            <w:gridSpan w:val="2"/>
          </w:tcPr>
          <w:p>
            <w:pPr>
              <w:jc w:val="center"/>
              <w:ind w:left="2050"/>
              <w:spacing w:after="0"/>
              <w:rPr>
                <w:sz w:val="20"/>
                <w:szCs w:val="20"/>
                <w:color w:val="auto"/>
              </w:rPr>
            </w:pPr>
            <w:r>
              <w:rPr>
                <w:rFonts w:ascii="Arial" w:cs="Arial" w:eastAsia="Arial" w:hAnsi="Arial"/>
                <w:sz w:val="18"/>
                <w:szCs w:val="18"/>
                <w:color w:val="auto"/>
                <w:w w:val="90"/>
              </w:rPr>
              <w:t>$47.92</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$40.43</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Quarter ended January 3, 2014</w:t>
            </w:r>
          </w:p>
        </w:tc>
        <w:tc>
          <w:tcPr>
            <w:tcW w:w="2640" w:type="dxa"/>
            <w:vAlign w:val="bottom"/>
            <w:gridSpan w:val="2"/>
            <w:shd w:val="clear" w:color="auto" w:fill="CCEEFF"/>
          </w:tcPr>
          <w:p>
            <w:pPr>
              <w:jc w:val="center"/>
              <w:ind w:left="2050"/>
              <w:spacing w:after="0"/>
              <w:rPr>
                <w:sz w:val="20"/>
                <w:szCs w:val="20"/>
                <w:color w:val="auto"/>
              </w:rPr>
            </w:pPr>
            <w:r>
              <w:rPr>
                <w:rFonts w:ascii="Arial" w:cs="Arial" w:eastAsia="Arial" w:hAnsi="Arial"/>
                <w:sz w:val="18"/>
                <w:szCs w:val="18"/>
                <w:color w:val="auto"/>
                <w:w w:val="90"/>
              </w:rPr>
              <w:t>$53.71</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$43.16</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2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Quarter ended March 23, 2012</w:t>
            </w:r>
          </w:p>
        </w:tc>
        <w:tc>
          <w:tcPr>
            <w:tcW w:w="2640" w:type="dxa"/>
            <w:vAlign w:val="bottom"/>
            <w:gridSpan w:val="2"/>
            <w:shd w:val="clear" w:color="auto" w:fill="CCEEFF"/>
          </w:tcPr>
          <w:p>
            <w:pPr>
              <w:jc w:val="center"/>
              <w:ind w:left="2050"/>
              <w:spacing w:after="0"/>
              <w:rPr>
                <w:sz w:val="20"/>
                <w:szCs w:val="20"/>
                <w:color w:val="auto"/>
              </w:rPr>
            </w:pPr>
            <w:r>
              <w:rPr>
                <w:rFonts w:ascii="Arial" w:cs="Arial" w:eastAsia="Arial" w:hAnsi="Arial"/>
                <w:sz w:val="18"/>
                <w:szCs w:val="18"/>
                <w:color w:val="auto"/>
                <w:w w:val="90"/>
              </w:rPr>
              <w:t>$28.03</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$17.35</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Quarter ended June 15, 2012</w:t>
            </w:r>
          </w:p>
        </w:tc>
        <w:tc>
          <w:tcPr>
            <w:tcW w:w="2640" w:type="dxa"/>
            <w:vAlign w:val="bottom"/>
            <w:gridSpan w:val="2"/>
          </w:tcPr>
          <w:p>
            <w:pPr>
              <w:jc w:val="center"/>
              <w:ind w:left="2050"/>
              <w:spacing w:after="0"/>
              <w:rPr>
                <w:sz w:val="20"/>
                <w:szCs w:val="20"/>
                <w:color w:val="auto"/>
              </w:rPr>
            </w:pPr>
            <w:r>
              <w:rPr>
                <w:rFonts w:ascii="Arial" w:cs="Arial" w:eastAsia="Arial" w:hAnsi="Arial"/>
                <w:sz w:val="18"/>
                <w:szCs w:val="18"/>
                <w:color w:val="auto"/>
                <w:w w:val="90"/>
              </w:rPr>
              <w:t>$33.64</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$26.02</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Quarter ended September 7, 2012</w:t>
            </w:r>
          </w:p>
        </w:tc>
        <w:tc>
          <w:tcPr>
            <w:tcW w:w="2640" w:type="dxa"/>
            <w:vAlign w:val="bottom"/>
            <w:gridSpan w:val="2"/>
            <w:shd w:val="clear" w:color="auto" w:fill="CCEEFF"/>
          </w:tcPr>
          <w:p>
            <w:pPr>
              <w:jc w:val="center"/>
              <w:ind w:left="2050"/>
              <w:spacing w:after="0"/>
              <w:rPr>
                <w:sz w:val="20"/>
                <w:szCs w:val="20"/>
                <w:color w:val="auto"/>
              </w:rPr>
            </w:pPr>
            <w:r>
              <w:rPr>
                <w:rFonts w:ascii="Arial" w:cs="Arial" w:eastAsia="Arial" w:hAnsi="Arial"/>
                <w:sz w:val="18"/>
                <w:szCs w:val="18"/>
                <w:color w:val="auto"/>
                <w:w w:val="90"/>
              </w:rPr>
              <w:t>$33.02</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$27.77</w:t>
            </w:r>
          </w:p>
        </w:tc>
        <w:tc>
          <w:tcPr>
            <w:tcW w:w="100" w:type="dxa"/>
            <w:vAlign w:val="bottom"/>
            <w:shd w:val="clear" w:color="auto" w:fill="CCEEFF"/>
          </w:tcPr>
          <w:p>
            <w:pPr>
              <w:spacing w:after="0"/>
              <w:rPr>
                <w:sz w:val="18"/>
                <w:szCs w:val="18"/>
                <w:color w:val="auto"/>
              </w:rPr>
            </w:pP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Quarter ended December 28, 2012</w:t>
            </w:r>
          </w:p>
        </w:tc>
        <w:tc>
          <w:tcPr>
            <w:tcW w:w="2640" w:type="dxa"/>
            <w:vAlign w:val="bottom"/>
            <w:gridSpan w:val="2"/>
          </w:tcPr>
          <w:p>
            <w:pPr>
              <w:jc w:val="center"/>
              <w:ind w:left="2050"/>
              <w:spacing w:after="0"/>
              <w:rPr>
                <w:sz w:val="20"/>
                <w:szCs w:val="20"/>
                <w:color w:val="auto"/>
              </w:rPr>
            </w:pPr>
            <w:r>
              <w:rPr>
                <w:rFonts w:ascii="Arial" w:cs="Arial" w:eastAsia="Arial" w:hAnsi="Arial"/>
                <w:sz w:val="18"/>
                <w:szCs w:val="18"/>
                <w:color w:val="auto"/>
                <w:w w:val="90"/>
              </w:rPr>
              <w:t>$42.16</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$32.60</w:t>
            </w:r>
          </w:p>
        </w:tc>
        <w:tc>
          <w:tcPr>
            <w:tcW w:w="10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On February 14, 2014, there were 29,447 holders of record of our common stock. Because many of the shares of our common stock are held by brokers and other institutions on behalf of shareholders, we are unable to determine the total number of shareholders represented by these record holders; however, we believe that there were approximately 37,150 beneficial owners of our common stock as of February 14,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We currently do not intend to pay dividends. Any future determination to pay cash dividends will be based on our financial condition, results of operations and capital requirements, as well as applicable law, regulatory constraints, industry practice and other business considerations that our Board of Directors considers relevant. Our Revolving Corporate Credit Facility contains restrictions on our ability to pay dividends. The terms of agreements governing debt that we may incur in the future may also limit or prohibit dividend payments. Accordingly, we cannot assure you that we will either pay dividends in the future or continue to pay any dividend that we may commence in the future.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Total Number of</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Shares</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Shares That May Yet</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w:t>
            </w: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Announced</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4200" w:type="dxa"/>
            <w:vAlign w:val="bottom"/>
            <w:vMerge w:val="restart"/>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of Shares</w:t>
            </w:r>
          </w:p>
        </w:tc>
        <w:tc>
          <w:tcPr>
            <w:tcW w:w="1420" w:type="dxa"/>
            <w:vAlign w:val="bottom"/>
            <w:gridSpan w:val="3"/>
            <w:vMerge w:val="continue"/>
          </w:tcPr>
          <w:p>
            <w:pPr>
              <w:spacing w:after="0"/>
              <w:rPr>
                <w:sz w:val="12"/>
                <w:szCs w:val="12"/>
                <w:color w:val="auto"/>
              </w:rPr>
            </w:pP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Plans or</w:t>
            </w: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420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per Share</w:t>
            </w:r>
          </w:p>
        </w:tc>
        <w:tc>
          <w:tcPr>
            <w:tcW w:w="5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5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5, 2013 – November 1, 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150,354</w:t>
            </w: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November 2, 2013 – November 29, 2013</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116,115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50.62</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116,115</w:t>
            </w:r>
          </w:p>
        </w:tc>
        <w:tc>
          <w:tcPr>
            <w:tcW w:w="1340" w:type="dxa"/>
            <w:vAlign w:val="bottom"/>
          </w:tcPr>
          <w:p>
            <w:pPr>
              <w:jc w:val="right"/>
              <w:spacing w:after="0"/>
              <w:rPr>
                <w:sz w:val="20"/>
                <w:szCs w:val="20"/>
                <w:color w:val="auto"/>
              </w:rPr>
            </w:pPr>
            <w:r>
              <w:rPr>
                <w:rFonts w:ascii="Arial" w:cs="Arial" w:eastAsia="Arial" w:hAnsi="Arial"/>
                <w:sz w:val="18"/>
                <w:szCs w:val="18"/>
                <w:color w:val="auto"/>
              </w:rPr>
              <w:t>3,233,531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2013 – January 3, 2014</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238,554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51.52</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238,554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60" w:hanging="452"/>
        <w:spacing w:after="0" w:line="308"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7"/>
          <w:szCs w:val="17"/>
          <w:color w:val="auto"/>
        </w:rPr>
        <w:t>On October 8, 2013, our Board of Directors authorized a share repurchase program under which we may purchase up to 3,500,000 shares of our common stock prior to March 28, 2015. No purchases were made under the program prior to October 22, 2013.</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172085</wp:posOffset>
            </wp:positionV>
            <wp:extent cx="5282565" cy="3104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82565"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above graph compares the relative performance of our common stock, the S&amp;P SmallCap 600 Index and the S&amp;P Composite 1500 Hotels, Resorts &amp; Cruise Lines Index. The graph assumes that $100 was invested in our common stock and each index on November 8, 2011, the date a “when-issued” trading market for our common stock began. The stock price performance reflected above is not necessarily indicative of future stock price performance. The foregoing performance graph is being furnished as part of this Annual Report solely in accordance with the requirement under Rule 14a-3(b)(9) to furnish our stockholders with such information, and therefore, shall not be deemed to be filed or incorporated by reference into any filings by the Company under the Securities Act of 1933, as amended, or the Exchange Act.</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360" w:firstLine="456"/>
        <w:spacing w:after="0" w:line="276" w:lineRule="auto"/>
        <w:rPr>
          <w:sz w:val="20"/>
          <w:szCs w:val="20"/>
          <w:color w:val="auto"/>
        </w:rPr>
      </w:pPr>
      <w:r>
        <w:rPr>
          <w:rFonts w:ascii="Arial" w:cs="Arial" w:eastAsia="Arial" w:hAnsi="Arial"/>
          <w:sz w:val="17"/>
          <w:szCs w:val="17"/>
          <w:color w:val="auto"/>
        </w:rPr>
        <w:t>The following tables present a summary of selected historical consolidated financial data for the periods indicated below. The selected historical consolidated statements of operations data for fiscal years 2013, 2012 and 2011 and the selected consolidated balance sheet data for fiscal years 2013 and 2012 are derived from our consolidated financial statements included elsewhere in this Annual Report. The selected historical consolidated statement of operations data for fiscal year 2010 and 2009 and the selected consolidated balance sheet data for fiscal years 2011, 2010 and 2009 are derived from our audited consolidated financial statements not included in this Annual Report.</w:t>
      </w:r>
    </w:p>
    <w:p>
      <w:pPr>
        <w:spacing w:after="0" w:line="173"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Prior to November 21, 2011, the effective date of the Spin-Off, our company was a subsidiary of Marriott International. For periods prior to the Spin-Off, our historical financial statements include allocations of certain expenses from Marriott International, including expenses for costs related to functions such as treasury, tax, accounting, legal, internal audit, human resources, public and investor relations, general management, real estate, shared information technology systems, corporate governance activities and centrally managed employee benefit arrangements. These costs may not be representative of the costs we have incurred or will incur in the future as an independent, public company, and do not include certain additional costs we have incurred or may incur as a public company that we did not incur as a wholly owned subsidiary of Marriott International.</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financial statements included in this Annual Report may not necessarily reflect our financial position, results of operations and cash flows as if we had operated as a stand-alone public company during periods presented prior to the Spin-Off. Accordingly, our historical results for periods prior to the Spin-Off should not be relied upon as an indicator of our future performance. The following table includes earnings before interest expense, taxes, depreciation and amortization (“EBITDA”), which is a financial measure we use in our business that is not prescribed or authorized by United States Generally Accepted Accounting Principles (“GAAP”). We believe this measure is useful to help investors understand our results of operations. We explain this measure and reconcile it to the most directly comparable financial measure calculated and presented in accordance with GAAP in Footnote No. 4 to the following table.</w:t>
      </w:r>
    </w:p>
    <w:p>
      <w:pPr>
        <w:spacing w:after="0" w:line="16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following selected historical financial and other data should be read in conjunction with “Item 7—Management’s Discussion and Analysis of Financial Condition and Results of Operations,” and our Financial Statements and related notes included elsewhere in this Annual Report. All fiscal years included 52 weeks, except for 2013, which included 53 weeks.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Years</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5"/>
              </w:rPr>
              <w:t>2012</w:t>
            </w:r>
            <w:r>
              <w:rPr>
                <w:rFonts w:ascii="Arial" w:cs="Arial" w:eastAsia="Arial" w:hAnsi="Arial"/>
                <w:sz w:val="12"/>
                <w:szCs w:val="12"/>
                <w:b w:val="1"/>
                <w:bCs w:val="1"/>
                <w:color w:val="auto"/>
                <w:w w:val="95"/>
              </w:rPr>
              <w:t>(1)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w w:val="95"/>
              </w:rPr>
              <w:t>2011</w:t>
            </w:r>
            <w:r>
              <w:rPr>
                <w:rFonts w:ascii="Arial" w:cs="Arial" w:eastAsia="Arial" w:hAnsi="Arial"/>
                <w:sz w:val="12"/>
                <w:szCs w:val="12"/>
                <w:b w:val="1"/>
                <w:bCs w:val="1"/>
                <w:color w:val="auto"/>
                <w:w w:val="95"/>
              </w:rPr>
              <w:t>(1)</w:t>
            </w:r>
          </w:p>
        </w:tc>
        <w:tc>
          <w:tcPr>
            <w:tcW w:w="18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r>
              <w:rPr>
                <w:rFonts w:ascii="Arial" w:cs="Arial" w:eastAsia="Arial" w:hAnsi="Arial"/>
                <w:sz w:val="12"/>
                <w:szCs w:val="12"/>
                <w:b w:val="1"/>
                <w:bCs w:val="1"/>
                <w:color w:val="auto"/>
              </w:rPr>
              <w:t>(1)(2)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2009</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Total revenues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1,624</w:t>
            </w:r>
          </w:p>
        </w:tc>
        <w:tc>
          <w:tcPr>
            <w:tcW w:w="18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1,592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total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Shares used in computing basic earnings (loss) per share (in millions)</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Shares used in computing diluted earnings (loss) per share (in millions)</w:t>
            </w:r>
            <w:r>
              <w:rPr>
                <w:rFonts w:ascii="Arial" w:cs="Arial" w:eastAsia="Arial" w:hAnsi="Arial"/>
                <w:sz w:val="15"/>
                <w:szCs w:val="15"/>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(end of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2,613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3,643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Total mandatorily redeemable preferred stock of consolidated subsidiary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Total equity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1,895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(4)</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(184)</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r>
              <w:rPr>
                <w:rFonts w:ascii="Arial" w:cs="Arial" w:eastAsia="Arial" w:hAnsi="Arial"/>
                <w:sz w:val="15"/>
                <w:szCs w:val="15"/>
                <w:color w:val="auto"/>
              </w:rPr>
              <w:t>(5)</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Vacation ownership</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692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products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720"/>
              <w:spacing w:after="0"/>
              <w:rPr>
                <w:sz w:val="20"/>
                <w:szCs w:val="20"/>
                <w:color w:val="auto"/>
              </w:rPr>
            </w:pPr>
            <w:r>
              <w:rPr>
                <w:rFonts w:ascii="Arial" w:cs="Arial" w:eastAsia="Arial" w:hAnsi="Arial"/>
                <w:sz w:val="18"/>
                <w:szCs w:val="18"/>
                <w:color w:val="auto"/>
              </w:rPr>
              <w:t>Total before cancellation reversal (allowance)</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Cancellation reversal (allowance)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80" w:hanging="452"/>
        <w:spacing w:after="0" w:line="258"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Data presented herein has been restated for certain previously unrecorded immaterial adjustments to our Financial Statements. Refer to Footnote No. 1, “Summary of Significant Accounting Policies,” to our Financial Statements for further information.</w:t>
      </w:r>
    </w:p>
    <w:p>
      <w:pPr>
        <w:spacing w:after="0" w:line="1" w:lineRule="exact"/>
        <w:rPr>
          <w:rFonts w:ascii="Arial" w:cs="Arial" w:eastAsia="Arial" w:hAnsi="Arial"/>
          <w:sz w:val="15"/>
          <w:szCs w:val="15"/>
          <w:color w:val="auto"/>
        </w:rPr>
      </w:pPr>
    </w:p>
    <w:p>
      <w:pPr>
        <w:jc w:val="both"/>
        <w:ind w:left="460" w:right="260" w:hanging="452"/>
        <w:spacing w:after="0" w:line="323"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6"/>
          <w:szCs w:val="16"/>
          <w:color w:val="auto"/>
        </w:rPr>
        <w:t>We adopted Accounting Standards Update No. 2009-17, “</w:t>
      </w:r>
      <w:r>
        <w:rPr>
          <w:rFonts w:ascii="Arial" w:cs="Arial" w:eastAsia="Arial" w:hAnsi="Arial"/>
          <w:sz w:val="16"/>
          <w:szCs w:val="16"/>
          <w:i w:val="1"/>
          <w:iCs w:val="1"/>
          <w:color w:val="auto"/>
        </w:rPr>
        <w:t>Consolidations (Topic 810): Improvements to Financial Reporting by Enterprises Involved</w:t>
      </w:r>
      <w:r>
        <w:rPr>
          <w:rFonts w:ascii="Arial" w:cs="Arial" w:eastAsia="Arial" w:hAnsi="Arial"/>
          <w:sz w:val="16"/>
          <w:szCs w:val="16"/>
          <w:color w:val="auto"/>
        </w:rPr>
        <w:t xml:space="preserve"> </w:t>
      </w:r>
      <w:r>
        <w:rPr>
          <w:rFonts w:ascii="Arial" w:cs="Arial" w:eastAsia="Arial" w:hAnsi="Arial"/>
          <w:sz w:val="16"/>
          <w:szCs w:val="16"/>
          <w:i w:val="1"/>
          <w:iCs w:val="1"/>
          <w:color w:val="auto"/>
        </w:rPr>
        <w:t>with Variable Interest Entities</w:t>
      </w:r>
      <w:r>
        <w:rPr>
          <w:rFonts w:ascii="Arial" w:cs="Arial" w:eastAsia="Arial" w:hAnsi="Arial"/>
          <w:sz w:val="16"/>
          <w:szCs w:val="16"/>
          <w:color w:val="auto"/>
        </w:rPr>
        <w:t>” in the first quarter of 2010, which significantly increased our reported vacation ownership notes receivable and debt.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140" w:hanging="452"/>
        <w:spacing w:after="0" w:line="288"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6"/>
          <w:szCs w:val="16"/>
          <w:color w:val="auto"/>
        </w:rPr>
        <w:t>For periods prior to 2011, the same number of shares is being used for diluted income (loss) per common share as for basic income (loss) per common share as all 100 shares of our common stock then outstanding were held by Marriott International prior to the Spin-Off and no dilutive securities were outstanding for any such period. See Footnote No. 6, “Earnings per Share,” to our Financial Statements for further information on this calculation.</w:t>
      </w:r>
    </w:p>
    <w:p>
      <w:pPr>
        <w:ind w:left="460" w:right="180" w:hanging="452"/>
        <w:spacing w:after="0" w:line="252"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calculation (which previously adjusted for consumer financing interest expense),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 Prior year amounts have been reclassified to conform to our 2013 presentation.</w:t>
      </w:r>
    </w:p>
    <w:p>
      <w:pPr>
        <w:spacing w:after="0" w:line="86" w:lineRule="exact"/>
        <w:rPr>
          <w:rFonts w:ascii="Arial" w:cs="Arial" w:eastAsia="Arial" w:hAnsi="Arial"/>
          <w:sz w:val="15"/>
          <w:szCs w:val="15"/>
          <w:color w:val="auto"/>
        </w:rPr>
      </w:pPr>
    </w:p>
    <w:p>
      <w:pPr>
        <w:ind w:left="460" w:right="20"/>
        <w:spacing w:after="0" w:line="270" w:lineRule="auto"/>
        <w:rPr>
          <w:rFonts w:ascii="Arial" w:cs="Arial" w:eastAsia="Arial" w:hAnsi="Arial"/>
          <w:sz w:val="15"/>
          <w:szCs w:val="15"/>
          <w:color w:val="auto"/>
        </w:rPr>
      </w:pPr>
      <w:r>
        <w:rPr>
          <w:rFonts w:ascii="Arial" w:cs="Arial" w:eastAsia="Arial" w:hAnsi="Arial"/>
          <w:sz w:val="17"/>
          <w:szCs w:val="17"/>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74" w:lineRule="exact"/>
        <w:rPr>
          <w:sz w:val="20"/>
          <w:szCs w:val="20"/>
          <w:color w:val="auto"/>
        </w:rPr>
      </w:pPr>
    </w:p>
    <w:p>
      <w:pPr>
        <w:ind w:left="460" w:right="100"/>
        <w:spacing w:after="0" w:line="286" w:lineRule="auto"/>
        <w:rPr>
          <w:sz w:val="20"/>
          <w:szCs w:val="20"/>
          <w:color w:val="auto"/>
        </w:rPr>
      </w:pPr>
      <w:r>
        <w:rPr>
          <w:rFonts w:ascii="Arial" w:cs="Arial" w:eastAsia="Arial" w:hAnsi="Arial"/>
          <w:sz w:val="17"/>
          <w:szCs w:val="17"/>
          <w:color w:val="auto"/>
        </w:rPr>
        <w:t>EBITDA has limitations and should not be considered in isolation or as a substitute for performance measures calculated in accordance with GAAP. In addition, other companies in our industry may calculate EBITDA differently than we do or may not calculate it at all, limiting its usefulness as a comparative measure. The table below shows our EBITDA calculation and reconciles that measure with Net income (loss).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Years</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60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w w:val="91"/>
              </w:rPr>
              <w:t>2012</w:t>
            </w:r>
            <w:r>
              <w:rPr>
                <w:rFonts w:ascii="Arial" w:cs="Arial" w:eastAsia="Arial" w:hAnsi="Arial"/>
                <w:sz w:val="12"/>
                <w:szCs w:val="12"/>
                <w:b w:val="1"/>
                <w:bCs w:val="1"/>
                <w:color w:val="auto"/>
                <w:w w:val="91"/>
              </w:rPr>
              <w:t>(1)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5"/>
              </w:rPr>
              <w:t>2011</w:t>
            </w:r>
            <w:r>
              <w:rPr>
                <w:rFonts w:ascii="Arial" w:cs="Arial" w:eastAsia="Arial" w:hAnsi="Arial"/>
                <w:sz w:val="12"/>
                <w:szCs w:val="12"/>
                <w:b w:val="1"/>
                <w:bCs w:val="1"/>
                <w:color w:val="auto"/>
                <w:w w:val="95"/>
              </w:rPr>
              <w:t>(1)</w:t>
            </w:r>
          </w:p>
        </w:tc>
        <w:tc>
          <w:tcPr>
            <w:tcW w:w="3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2010</w:t>
            </w:r>
            <w:r>
              <w:rPr>
                <w:rFonts w:ascii="Arial" w:cs="Arial" w:eastAsia="Arial" w:hAnsi="Arial"/>
                <w:sz w:val="12"/>
                <w:szCs w:val="12"/>
                <w:b w:val="1"/>
                <w:bCs w:val="1"/>
                <w:color w:val="auto"/>
                <w:w w:val="89"/>
              </w:rPr>
              <w:t>(1)(2)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91"/>
              </w:rPr>
              <w:t>2009</w:t>
            </w:r>
            <w:r>
              <w:rPr>
                <w:rFonts w:ascii="Arial" w:cs="Arial" w:eastAsia="Arial" w:hAnsi="Arial"/>
                <w:sz w:val="12"/>
                <w:szCs w:val="12"/>
                <w:b w:val="1"/>
                <w:bCs w:val="1"/>
                <w:color w:val="auto"/>
                <w:w w:val="91"/>
              </w:rPr>
              <w:t>(1)</w:t>
            </w:r>
          </w:p>
        </w:tc>
        <w:tc>
          <w:tcPr>
            <w:tcW w:w="100" w:type="dxa"/>
            <w:vAlign w:val="bottom"/>
          </w:tcPr>
          <w:p>
            <w:pPr>
              <w:spacing w:after="0"/>
              <w:rPr>
                <w:sz w:val="12"/>
                <w:szCs w:val="12"/>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(a)</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r>
      <w:tr>
        <w:trPr>
          <w:trHeight w:val="27"/>
        </w:trPr>
        <w:tc>
          <w:tcPr>
            <w:tcW w:w="4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r>
      <w:tr>
        <w:trPr>
          <w:trHeight w:val="20"/>
        </w:trPr>
        <w:tc>
          <w:tcPr>
            <w:tcW w:w="4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Interest expense excludes consumer financing interest expense.</w:t>
      </w:r>
    </w:p>
    <w:p>
      <w:pPr>
        <w:spacing w:after="0" w:line="22" w:lineRule="exact"/>
        <w:rPr>
          <w:sz w:val="20"/>
          <w:szCs w:val="20"/>
          <w:color w:val="auto"/>
        </w:rPr>
      </w:pPr>
    </w:p>
    <w:p>
      <w:pPr>
        <w:ind w:left="460" w:right="60" w:hanging="452"/>
        <w:spacing w:after="0" w:line="253"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Contract sales represent the total amount of vacation ownership product sales under purchase agreements signed during the period where we have received a down payment of at least 10 percent of the contract price, reduced by actual rescissions during the period. Contract sales differ from revenues from the sale of vacation ownership products that we report in our Statements of Operations due to the requirements for revenue recognition described in Footnote No. 1, “Summary of Significant Accounting Policies,” to our Financial Statements. We consider contract sales to be an important operating measure because it reflects the pace of sales in our business.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You should read the following discussion of our results of operations and financial condition together with our audited historical consolidated financial statements and accompanying notes that we have included elsewhere in this Annual Report as well as the discussion in the section of this Annual Report entitled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Our consolidated financial statements, which we discuss below, reflect our historical financial condition, results of operations and cash flows. The financial information discussed below and included in this Annual Report, however, may not necessarily reflect what our financial condition, results of operations or cash flows would have been had we been operated as a separate, independent entity during all of the periods presented, or what our financial condition, results of operations and cash flows may be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Ritz-Carlton Hotel Company generally provides on-site management for Ritz-Carlton branded properties. We are one of the world’s largest companies whose business is focused almost entirely on vacation ownership, based on number of owners, number of resorts and revenues.</w:t>
      </w:r>
    </w:p>
    <w:p>
      <w:pPr>
        <w:spacing w:after="0" w:line="15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business is grouped into three reportable segments: North America, Europe and Asia Pacific. As of January 3, 2014, we operated 62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 See “Business—Segments” for further details regarding our individual properties by segment.</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described in Footnote No. 1, “Summary of Significant Accounting Policies,” to our Financial Statements included in this Annual Report, through the date of the Spin-Off, the Financial Statements discussed below were prepared on a stand-alone basis and were derived from the consolidated financial statements and accounting records of Marriott International. These Financial Statements have been prepared as if the Spin-Off had occurred as of the first day of the earliest period presented and include an allocation of certain Marriott International expenses as discussed in the section of this Annual Report entitled “Selected Financial Data.” The Financial Statements reflect our historical financial position, results of operations and cash flows as we have historically operated, in conformity with GAAP. All significant intracompany transactions and accounts within these Financial Statements have been eliminated. Beginning November 22, 2011, for periods following completion of the Spin-Off, our financial results also include the impact of the royalty fee payable under our License Agreements and the dividend payable on the mandatorily redeemable preferred stock of our consolidated subsidiary, MVW US Holdings (included in interest expense).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Full year 2013 highlights include:</w:t>
      </w:r>
    </w:p>
    <w:p>
      <w:pPr>
        <w:spacing w:after="0" w:line="131" w:lineRule="exact"/>
        <w:rPr>
          <w:sz w:val="20"/>
          <w:szCs w:val="20"/>
          <w:color w:val="auto"/>
        </w:rPr>
      </w:pPr>
    </w:p>
    <w:p>
      <w:pPr>
        <w:ind w:left="900" w:right="2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Due to our reporting calendar, the fourth quarter and full year 2013 include the impact of an additional week of financial results as compared to 2012.</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generated $1.75 billion of total revenues, including $672 million from the sale of vacation ownership products, and $162 million of cash flows from operating activities.</w:t>
      </w:r>
    </w:p>
    <w:p>
      <w:pPr>
        <w:spacing w:after="0" w:line="75"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company contract sales were $694 million, up $6 million from $688 million in 2012, including $9 million of contract sales from the additional week in 2013. North America contract sales were $623 million, up $40 million from 2012, driven by an 8 percent increase in volume per guest (“VPG”) to $3,200, including $9 million of contract sales from the additional week in 2013.</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company development margin was 21.2 percent, and North America development margin was 22.1 percent, an increase of 7.2 percentage points and 3.9 percentage points, respectively, year-over-year.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generated $80 million of net income, up $73 million from $7 million in 2012.</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Basic earnings per share increased to $2.25 per share, up from $0.19 per share for 2012, and diluted earnings per share increased to $2.18 per share, up from $0.18 per share for 2012.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revenues from the sale of vacation ownership products when all of the following conditions exist:</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binding sales contract has been executed;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statutory rescission period has expired;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receivable is deemed collectible;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remainder of our obligations are substantially completed.</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generally within one to two years from the date of issuance. Sales incentives are only awarded if the sale is closed.</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166"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from vacation ownership purchases as a reduction of revenues from the sale of vacation ownership products at the time we recognize revenues from a sale.</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We report, on a supplemental basis, contract sales for each of our three segments. 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on our Statements of Operations due to the requirements for revenue recognition described above. We consider contract sales to be an important operating measure because it reflects the pace of sales in our business. Total contract sales include sales from company-owned projects and, for periods prior to 2012, also included sales generated under a marketing and sales arrangement with a joint venture.</w:t>
      </w:r>
    </w:p>
    <w:p>
      <w:pPr>
        <w:spacing w:after="0" w:line="17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Revenue associated with company-owned contract sales is reflected as sale of vacation ownership products while revenue associated with joint venture contract sales is reflected on the Equity in earnings line on the Statements of Operations.</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Operations to true-up revenues and costs in that period to those that would have been recorded historically if the revised estimates had been used. These true-ups, which we refer to as product cost true-ups, will have a positive or negative impact on our Statements of Operations.</w:t>
      </w:r>
    </w:p>
    <w:p>
      <w:pPr>
        <w:spacing w:after="0" w:line="178"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various resorts. We also receive annual club dues and certain transaction-based fees from owners and other third parties, including our guests, for services provided.</w:t>
      </w:r>
    </w:p>
    <w:p>
      <w:pPr>
        <w:spacing w:after="0" w:line="166"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We provide day-to-day-management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total costs to operate the resorts or a fixed fee arrangement. We earn these fees regardless of usage or occupancy.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Fiscal Years</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6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FICO score</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729</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729</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736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Operations.</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financing incentive programs, the percentage of customers choosing to finance their vacation ownership purchase with us (which we refer to as “financing propensity”) declined significantly through 2009 and has leveled out since then. As a result, we expect that interest income will continue to decline over the next few years until new originations outpace the decline in principal of the existing vacation ownership notes receivable portfolio.</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mortgaged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Operations. Historical default rates, which represent annual defaults as a percentage of each year’s beginning gross vacation ownership notes receivable balance, were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Fiscal Years</w:t>
            </w:r>
          </w:p>
        </w:tc>
        <w:tc>
          <w:tcPr>
            <w:tcW w:w="440" w:type="dxa"/>
            <w:vAlign w:val="bottom"/>
            <w:tcBorders>
              <w:bottom w:val="single" w:sz="8" w:color="auto"/>
            </w:tcBorders>
          </w:tcPr>
          <w:p>
            <w:pPr>
              <w:spacing w:after="0"/>
              <w:rPr>
                <w:sz w:val="14"/>
                <w:szCs w:val="14"/>
                <w:color w:val="auto"/>
              </w:rPr>
            </w:pPr>
          </w:p>
        </w:tc>
      </w:tr>
      <w:tr>
        <w:trPr>
          <w:trHeight w:val="142"/>
        </w:trPr>
        <w:tc>
          <w:tcPr>
            <w:tcW w:w="72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Historical default rates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4.5%</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obtain rental inventory from:</w:t>
      </w:r>
    </w:p>
    <w:p>
      <w:pPr>
        <w:spacing w:after="0" w:line="13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Unsold inventory;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Inventory we control because owners have elected alternative usage options offered through our vacation ownership programs.</w:t>
      </w:r>
    </w:p>
    <w:p>
      <w:pPr>
        <w:spacing w:after="0" w:line="225"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Rental revenues are primarily the revenues we earn from renting this inventory. We also recognize rental revenue from the utilization of plus points under the MVCD program when those points are redeemed for rental stays at one of our resorts or upon expiration of the points.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expenses include:</w:t>
      </w:r>
    </w:p>
    <w:p>
      <w:pPr>
        <w:spacing w:after="0" w:line="131"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Explorer Collection, for owners who elect to exchange their inventory;</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our MVCD program.</w:t>
      </w:r>
    </w:p>
    <w:p>
      <w:pPr>
        <w:sectPr>
          <w:pgSz w:w="11900" w:h="16838" w:orient="portrait"/>
          <w:cols w:equalWidth="0" w:num="1">
            <w:col w:w="11380"/>
          </w:cols>
          <w:pgMar w:left="240" w:top="459" w:right="279" w:bottom="144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80"/>
          </w:cols>
          <w:pgMar w:left="240" w:top="459" w:right="27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also record other revenues and expenses which are primarily comprised of fees received from and expenses relating to our external exchange company and settlement fees and expenses from the sale of vacation ownership products.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Cost reimbursements include direct and indirect costs that property owners’ associations and joint ventures in which we participate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and for development and marketing and sales services that joint ventures contract with us to perform. Cost reimbursements consist of actual expenses with no added margin.</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Consumer Financing Interest Expense</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Consumer financing interest expense represents interest expense associated with the debt from our Warehouse Credit Facility and from the securitization of our vacation ownership notes receivable in the ABS market.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3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30" w:lineRule="exact"/>
        <w:rPr>
          <w:rFonts w:ascii="Arial" w:cs="Arial" w:eastAsia="Arial" w:hAnsi="Arial"/>
          <w:sz w:val="18"/>
          <w:szCs w:val="18"/>
          <w:color w:val="auto"/>
        </w:rPr>
      </w:pPr>
    </w:p>
    <w:p>
      <w:pPr>
        <w:ind w:left="900" w:right="60" w:hanging="325"/>
        <w:spacing w:after="0" w:line="31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VPG, which we calculate by dividing contract sales, excluding fractional and residential sales, telesales and other sales that are not attributed to a tour at a sales location, by the number of sales tours in a given period. We believe that this operating metric is valuable in evaluating the effectiveness of the sales process as it combines the impact of average contract price with the number of touring guests who make a purchase.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Rounding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changes presented in our public filings are calculated using whole dollars.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Restatement of Prior Financial Statements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2013, during the course of an internal review of certain sales documentation processes related to the sale of certain vacation ownership interests in properties associated with our Europe segment, we determined that the documentation we provided for certain sales of vacation ownership products was not strictly compliant. As a result, in accordance with applicable European regulation, the period of time during which purchasers of such interests may rescind their purchases was extended. We record revenues from the sale of vacation ownership products once the rescission period has ended. Originally, we recorded revenues from these sales of vacation ownership products based on the rescission periods in effect assuming compliant documentation had been provided to the purchasers rather than the extended periods. As a result, we recognized revenue in incorrect periods between fiscal years 2010 and 2013 and misstated revenues in our previously filed consolidated financial statements.</w:t>
      </w:r>
    </w:p>
    <w:p>
      <w:pPr>
        <w:sectPr>
          <w:pgSz w:w="11900" w:h="16838" w:orient="portrait"/>
          <w:cols w:equalWidth="0" w:num="1">
            <w:col w:w="11420"/>
          </w:cols>
          <w:pgMar w:left="240" w:top="45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documentation issue described above was limited to sales documentation provided to purchasers of certain interests in properties associated with our Europe segment. We took corrective measures and, as a result, compliant documentation is being provided to purchasers. In addition, we provided compliant documentation to purchasers for whom the extended rescission period had not yet expired. The cumulative impact of these items through December 28, 2012 was a reduction in reported income before income taxes of $12 million. However, as compliant documentation was subsequently provided as part of our corrective measures, the extended rescission period for most of the purchases at issue ended during the second quarter of 2013. As of January 3, 2014, sales having a net pre-tax impact of $1 million had been rescinded. As a result, approximately $11 million of the cumulative impact of these items is reflected as an increase in income before income taxes for the year ended January 3, 2014.</w:t>
      </w:r>
    </w:p>
    <w:p>
      <w:pPr>
        <w:spacing w:after="0" w:line="16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consolidated restated financial statements include certain other corrections related to the timing of recording adjustments to previously reported deferred tax balances. Certain deferred tax assets were determined to not be realizable in future years and thus were eliminated, albeit in the incorrect fiscal year for the years ended December 28, 2012, December 30, 2011 and December 31, 2010. The need for these corrections was identified while we were developing internal processes relating to deferred taxes after we became a stand-alone public company. In addition to the adjustments required as a result of the errors described above, the restated consolidated financial statements include certain previously unrecorded immaterial adjustments to our financial statements for fiscal years 2009, 2010 and 2011 relating to cost reimbursements, which previously were recorded on a net basis.</w:t>
      </w:r>
    </w:p>
    <w:p>
      <w:pPr>
        <w:spacing w:after="0" w:line="16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adjustments necessary to correct all of these errors have no impact on previously reported cash flows from operations and do not have a material impact on our balance sheet as of any date. In accordance with applicable accounting guidance, an adjustment to the financial statements for each individual period presented is required to reflect the correction of the period-specific effects of the errors described above, if material. Based on our evaluation of relevant quantitative and qualitative factors, we determined the identified misstatements are not material to our individual prior period consolidated financial statements; however, the cumulative correction of the prior period errors would be material to our current year consolidated financial statements. Consequently, we have restated the Statements of Operations for the years ended December 28, 2012 and December 30, 2011. We have restated the accompanying Balance Sheet as of December 28, 2012.</w:t>
      </w:r>
    </w:p>
    <w:p>
      <w:pPr>
        <w:spacing w:after="0" w:line="17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cumulative impact of these misstatements on our Cash Flows for the years ended December 28, 2012 and December 30, 2011 is inconsequential as the impact on individual line items within operating activities is not material and has no impact on net cash provided by (used in) operating, investing or financing activities. However, we have restated these Cash Flows to reflect changes to individual line items within operating activities.</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cumulative effect of misstatements for periods prior to the year ended December 30, 2011, of approximately $9 million has been presented as a reduction to retained earnings as of January 1, 2011 in our Consolidated Statements of Shareholders’ Equity.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discussion presents an analysis of our results of operations for 2013, 2012 and 2011.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Fiscal Years</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8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right"/>
              <w:ind w:right="15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1,750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1,639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sales</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financing interest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Royalty fee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Gains and other income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Equity in earnings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5"/>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(charges) reversals on equity investment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80" w:type="dxa"/>
            <w:vAlign w:val="bottom"/>
          </w:tcPr>
          <w:p>
            <w:pPr>
              <w:ind w:left="7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8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00" w:type="dxa"/>
            <w:vAlign w:val="bottom"/>
            <w:gridSpan w:val="3"/>
          </w:tcPr>
          <w:p>
            <w:pPr>
              <w:ind w:left="460"/>
              <w:spacing w:after="0"/>
              <w:rPr>
                <w:sz w:val="20"/>
                <w:szCs w:val="20"/>
                <w:color w:val="auto"/>
              </w:rPr>
            </w:pPr>
            <w:r>
              <w:rPr>
                <w:rFonts w:ascii="Arial" w:cs="Arial" w:eastAsia="Arial" w:hAnsi="Arial"/>
                <w:sz w:val="18"/>
                <w:szCs w:val="18"/>
                <w:i w:val="1"/>
                <w:iCs w:val="1"/>
                <w:color w:val="auto"/>
              </w:rPr>
              <w:t>2013 Compared to 2012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00" w:type="dxa"/>
            <w:vAlign w:val="bottom"/>
            <w:gridSpan w:val="3"/>
            <w:vMerge w:val="restart"/>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Fiscal Years</w:t>
            </w: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24"/>
                <w:szCs w:val="24"/>
                <w:color w:val="auto"/>
              </w:rPr>
            </w:pPr>
          </w:p>
        </w:tc>
        <w:tc>
          <w:tcPr>
            <w:tcW w:w="76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8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w w:val="83"/>
              </w:rPr>
              <w:t>2012</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3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80" w:type="dxa"/>
            <w:vAlign w:val="bottom"/>
          </w:tcPr>
          <w:p>
            <w:pPr>
              <w:ind w:left="260"/>
              <w:spacing w:after="0"/>
              <w:rPr>
                <w:sz w:val="20"/>
                <w:szCs w:val="20"/>
                <w:color w:val="auto"/>
              </w:rPr>
            </w:pPr>
            <w:r>
              <w:rPr>
                <w:rFonts w:ascii="Arial" w:cs="Arial" w:eastAsia="Arial" w:hAnsi="Arial"/>
                <w:sz w:val="18"/>
                <w:szCs w:val="18"/>
                <w:color w:val="auto"/>
              </w:rPr>
              <w:t>Vacation ownership</w:t>
            </w:r>
          </w:p>
        </w:tc>
        <w:tc>
          <w:tcPr>
            <w:tcW w:w="1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679</w:t>
            </w:r>
          </w:p>
        </w:tc>
        <w:tc>
          <w:tcPr>
            <w:tcW w:w="4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687</w:t>
            </w:r>
          </w:p>
        </w:tc>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products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340" w:type="dxa"/>
            <w:vAlign w:val="bottom"/>
            <w:gridSpan w:val="2"/>
          </w:tcPr>
          <w:p>
            <w:pPr>
              <w:ind w:left="360"/>
              <w:spacing w:after="0"/>
              <w:rPr>
                <w:sz w:val="20"/>
                <w:szCs w:val="20"/>
                <w:color w:val="auto"/>
              </w:rPr>
            </w:pPr>
            <w:r>
              <w:rPr>
                <w:rFonts w:ascii="Arial" w:cs="Arial" w:eastAsia="Arial" w:hAnsi="Arial"/>
                <w:sz w:val="18"/>
                <w:szCs w:val="18"/>
                <w:color w:val="auto"/>
              </w:rPr>
              <w:t>Total contract sales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meaningful</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$6 million increase in total contract sales was driven by $40 million, or 7 percent, of higher contract sales in our key North America segment, partially offset by $20 million of lower contract sales in our Asia Pacific segment (due to the closure of our off-site sales locations in Hong Kong and Japan in the fourth quarter of 2012) and $14 million of lower contract sales in our Europe segment ($11 million as we continued to sell through developer inventory and as $3 million as a result of higher rescission activity due to the extended rescission periods in our Europe segment during the second quarter of 2013).</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in contract sales in our North America segment included $14 million of higher residential contract sales, including $9 million associated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the continued execution of our strategy to dispose of excess inventory, and a $26 million, or 5 percent, increase in vacation ownership contract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includes $9 million from the additional week in 2013. The increase in vacation ownership contract sales reflected an 8 percent increase in VPG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$3,200 in 2013 from $2,963 in the prior year. This increase in VPG was due to a nearly 4 percent price increase and a 1 percentage point increase in 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efficiency resulting from improved marketing and sales execution. These increases were partially offset by a 3 percent decline in tours. The decline in tours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driven by an increase in weeks-based owner utilization of the MVCD program, with owners taking advantage of the program’s flexibility to take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vacations of shorter duration and exercise alternative usage options. This has reduced our existing owner tour flow because fewer owners are in our resorts,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their stays in our resorts are shorter, than in prior years. We intend to increase tour flow through new programs aimed at generating existing owner tours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developing new sales channels targeted toward first-time buyers.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5"/>
          </w:tcPr>
          <w:p>
            <w:pPr>
              <w:ind w:left="260"/>
              <w:spacing w:after="0"/>
              <w:rPr>
                <w:sz w:val="20"/>
                <w:szCs w:val="20"/>
                <w:color w:val="auto"/>
              </w:rPr>
            </w:pPr>
            <w:r>
              <w:rPr>
                <w:rFonts w:ascii="Arial" w:cs="Arial" w:eastAsia="Arial" w:hAnsi="Arial"/>
                <w:sz w:val="14"/>
                <w:szCs w:val="14"/>
                <w:b w:val="1"/>
                <w:bCs w:val="1"/>
                <w:color w:val="auto"/>
              </w:rPr>
              <w:t>Fiscal Years</w:t>
            </w:r>
          </w:p>
        </w:tc>
        <w:tc>
          <w:tcPr>
            <w:tcW w:w="9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30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89"/>
              </w:rPr>
              <w:t>2011</w:t>
            </w:r>
          </w:p>
        </w:tc>
        <w:tc>
          <w:tcPr>
            <w:tcW w:w="3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Company-Owned</w:t>
            </w:r>
          </w:p>
        </w:tc>
        <w:tc>
          <w:tcPr>
            <w:tcW w:w="1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687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653</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products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5300" w:type="dxa"/>
            <w:vAlign w:val="bottom"/>
          </w:tcPr>
          <w:p>
            <w:pPr>
              <w:ind w:left="1080"/>
              <w:spacing w:after="0"/>
              <w:rPr>
                <w:sz w:val="20"/>
                <w:szCs w:val="20"/>
                <w:color w:val="auto"/>
              </w:rPr>
            </w:pPr>
            <w:r>
              <w:rPr>
                <w:rFonts w:ascii="Arial" w:cs="Arial" w:eastAsia="Arial" w:hAnsi="Arial"/>
                <w:sz w:val="18"/>
                <w:szCs w:val="18"/>
                <w:color w:val="auto"/>
              </w:rPr>
              <w:t>Subtotal</w:t>
            </w:r>
          </w:p>
        </w:tc>
        <w:tc>
          <w:tcPr>
            <w:tcW w:w="1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688</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Cancellation reversal</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300" w:type="dxa"/>
            <w:vAlign w:val="bottom"/>
          </w:tcPr>
          <w:p>
            <w:pPr>
              <w:ind w:left="1080"/>
              <w:spacing w:after="0"/>
              <w:rPr>
                <w:sz w:val="20"/>
                <w:szCs w:val="20"/>
                <w:color w:val="auto"/>
              </w:rPr>
            </w:pPr>
            <w:r>
              <w:rPr>
                <w:rFonts w:ascii="Arial" w:cs="Arial" w:eastAsia="Arial" w:hAnsi="Arial"/>
                <w:sz w:val="18"/>
                <w:szCs w:val="18"/>
                <w:color w:val="auto"/>
              </w:rPr>
              <w:t>Total company-owned contract sales</w:t>
            </w:r>
          </w:p>
        </w:tc>
        <w:tc>
          <w:tcPr>
            <w:tcW w:w="1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688</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products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1080"/>
              <w:spacing w:after="0"/>
              <w:rPr>
                <w:sz w:val="20"/>
                <w:szCs w:val="20"/>
                <w:color w:val="auto"/>
              </w:rPr>
            </w:pPr>
            <w:r>
              <w:rPr>
                <w:rFonts w:ascii="Arial" w:cs="Arial" w:eastAsia="Arial" w:hAnsi="Arial"/>
                <w:sz w:val="18"/>
                <w:szCs w:val="18"/>
                <w:color w:val="auto"/>
              </w:rPr>
              <w:t>Subtotal</w:t>
            </w:r>
          </w:p>
        </w:tc>
        <w:tc>
          <w:tcPr>
            <w:tcW w:w="1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Cancellation reversal</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1080"/>
              <w:spacing w:after="0"/>
              <w:rPr>
                <w:sz w:val="20"/>
                <w:szCs w:val="20"/>
                <w:color w:val="auto"/>
              </w:rPr>
            </w:pPr>
            <w:r>
              <w:rPr>
                <w:rFonts w:ascii="Arial" w:cs="Arial" w:eastAsia="Arial" w:hAnsi="Arial"/>
                <w:sz w:val="18"/>
                <w:szCs w:val="18"/>
                <w:color w:val="auto"/>
              </w:rPr>
              <w:t>Total joint venture contract sales</w:t>
            </w:r>
          </w:p>
        </w:tc>
        <w:tc>
          <w:tcPr>
            <w:tcW w:w="1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 sales</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$30 million increase in total company-owned gross contract sales (before cancellation reversals) was driven by $52 million (10 percent) of higher contract sales in our key North America segment, partially offset by $13 million of lower contract sales in our Asia Pacific segment and $9 million of lower contract sales in our Europe segment as we continued to sell through developer inventory. The lower sales in our Asia Pacific segment were driven mainly by the closure of our off-site sales locations in Hong Kong and Japan in the fourth quarter of 2012 in accordance with our strategy to use more efficient on-site sales locations rather than off-site sales locations.</w:t>
      </w:r>
    </w:p>
    <w:p>
      <w:pPr>
        <w:spacing w:after="0" w:line="188"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increase in contract sales in our North America segment reflected an 18 percent increase in VPG to $2,963 in 2012 from $2,504 in the prior year. This increase in VPG in 2012 was due to a 2 percentage point increase in closing efficiency, resulting from improved marketing and sales execution, and a 2 percent price increase. This increase was partially offset by lower sales of our Ritz-Carlton inventory, which reflects the decision to scale back separate development activity for the luxury market and to aggregate future marketing and sales efforts for upscale and luxury inventory.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Fiscal Years</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Development margin</w:t>
            </w:r>
          </w:p>
        </w:tc>
        <w:tc>
          <w:tcPr>
            <w:tcW w:w="1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7.2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900" w:type="dxa"/>
            <w:vAlign w:val="bottom"/>
          </w:tcPr>
          <w:p>
            <w:pPr>
              <w:spacing w:after="0"/>
              <w:rPr>
                <w:sz w:val="24"/>
                <w:szCs w:val="24"/>
                <w:color w:val="auto"/>
              </w:rPr>
            </w:pPr>
          </w:p>
        </w:tc>
        <w:tc>
          <w:tcPr>
            <w:tcW w:w="1920" w:type="dxa"/>
            <w:vAlign w:val="bottom"/>
          </w:tcPr>
          <w:p>
            <w:pPr>
              <w:jc w:val="right"/>
              <w:ind w:right="39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increase in revenues from the sale of vacation ownership products was due to $45 million of higher revenue reportability compared to the prior year, a $6 million increase in contract sales and $6 million of lower vacation ownership notes receivable reserve activity, partially offset by $3 million of higher plus points issued as sales incentives in the current period. Plus points will ultimately be recognized as rental revenues upon usage or expiration of the plus points rather than revenues from the sale of vacation ownership products. The $45 million of higher revenue reportability resulted from $30 million of higher revenue reportability in 2013 compared to $15 million of lower revenue reportability in the prior year. Revenue reportability was higher in the current year because the rescission period related to certain sales made in the current or prior periods expired during the current year, including $21 million of higher revenue reportability related to the impact of the extended rescission periods in our Europe segment, and because certain sales met the down payment requirement for revenue recognition purposes prior to the end of the current year. The lower reportability in the prior year reflected the fact that certain sales made during, or prior to, that period remained in the statutory rescission period or did not meet the down payment requirement for revenue recognition purposes prior to the end of the year, including $9 million of lower revenue reportability related to the impact of the extended rescission periods in our Europe segment.</w:t>
      </w:r>
    </w:p>
    <w:p>
      <w:pPr>
        <w:spacing w:after="0" w:line="1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increase in development margin reflected a $33 million increase from higher contract sales volume net of lower direct variable expenses (i.e., cost of vacation ownership products and marketing and sales) due to more efficient marketing and sales spending and a favorable mix of lower cost real estate inventory being sold, $27 million of higher revenue reportability year-over-year (including $18 million of higher revenue reportability related to the impact of the extended rescission periods in our Europe segment), $6 million of prior year charges related mainly to the closure of our Asia Pacific off-site sales locations in the fourth quarter of 2012, a $2 million benefit from lower vacation ownership notes receivable reserve activity, a $1 million prior year charge related to the settlement of a construction related dispute at one of our properties, and $1 million of lower charges associated with Marriott Rewards Points issued prior to the Spin-Off as there were $1 million of higher than expected redemption costs in 2013 compared to $2 million of higher than expected redemption costs in 2012. These increases were partially offset by $12 million of lower favorable product cost true-ups ($18 million in 2013 compared to $30 million in the prior year) and $2 million of severance charges related to the restructuring of sales locations in Europe in early 2013.</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favorable product cost true-ups recorded in 2013 were the result of $12 million from increases in estimated future revenues associated with the sale of foreclosed inventory as well as changes in the sequencing of inventory into the MVCD program due to the continued reacquisition of previously sold inventory, $4 million from lower construction costs, and nearly $2 million from an increase in estimated future revenues associated with our Asia Pacific product.</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7 percentage point improvement in the development margin percentage reflected a 3 percentage point increase due to higher revenue reportability year-over-year, a 3 percentage point increase from the lower cost of vacation ownership products due to a favorable mix of lower cost real estate inventory being sold, a 2 percentage point increase due to increased efficiency in marketing and sales spending and a 1 percentage point increase from lower year-over-year other expenses. These increases were partially offset by a 2 percentage point decrease due to the lower favorable product cost true-up activity compared to the prior year.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Fiscal Years</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0"/>
              </w:rPr>
              <w:t>(9)</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w w:val="99"/>
              </w:rPr>
              <w:t>36</w:t>
            </w: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12</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Development margin</w:t>
            </w:r>
          </w:p>
        </w:tc>
        <w:tc>
          <w:tcPr>
            <w:tcW w:w="1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99"/>
              </w:rPr>
              <w:t>39</w:t>
            </w: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6.4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While company-owned contract sales (before cancellation reversals) increased $30 million in 2012, revenues from the sale of vacation ownership products decreased $9 million from the prior year as a result of $33 million of lower revenue reportability and $6 million of higher vacation ownership notes receivable reserve activity due mainly to a favorable true-up recorded in 2011 for lower than estimated default and delinquency activity in our former Luxury segment. The $33 million of lower revenue reportability resulted from $15 million of lower revenue reportability in 2012 compared to $18 million of higher revenue reportability in the prior year. Revenue reportability was lower in 2012 because certain sales made during, or prior to, that period remained in the statutory rescission period or did not meet the down payment requirement for revenue recognition purposes prior to the end of the period, including $9 million related to the impact of the extended rescission periods in our Europe segment, and because certain financed sales did not meet the down payment requirement for revenue recognition purposes prior to the end of the year. Revenue reportability in 2011 was favorably impacted because certain 2010 sales did not meet the requirements for revenue recognition purposes until 2011, offset partially by the impact of certain sales that remained in the statutory rescission period as of the end of 2011, including $7 million related to the impact of the extended rescission periods in our Europe segment.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increase in development margin reflects a $34 million increase from higher contract sales volume net of lower direct variable expenses (i.e., cost of vacation ownership products and marketing and sales) mainly from more efficient marketing and sales spending and favorable mix of real estate inventory being sold, $28 million of favorable product cost true-ups ($30 million of favorable product cost true-ups in 2012 compared to $2 million in the prior year) and $9 million of charges incurred in the prior year, including $6 million of severance costs and $3 million of costs related to Americans with Disabilities Act (“ADA”) compliance and Hurricane Irene damage at our resort in the Bahamas. These increases were partially offset by a $20 million decrease due to lower revenue reportability year-over-year, including $3 million related to the impact of the extended rescission periods in our Europe segment, $6 million of charges related mainly to the closure of our Asia Pacific off-site sales locations in the fourth quarter of 2012, $3 million from higher vacation ownership notes receivable reserve activity, a $2 million charge related to higher than expected redemption costs associated with Marriott Rewards Points issued prior to the Spin-Off, and a $1 million charge related to the settlement of a construction related dispute at one of our properties.</w:t>
      </w:r>
    </w:p>
    <w:p>
      <w:pPr>
        <w:spacing w:after="0" w:line="16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favorable product cost true-ups recorded in 2012 were the result of $24 million from increases in estimated sales revenues we expect to generate over the life of the projects, primarily due to adjustments to future volume and pricing assumptions based upon our sales experience to date, and $6 million from lower overall development costs on specific projects that are substantially completed.</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6 percentage point improvement in the development margin percentage reflects a nearly 6 percentage point increase from lower cost of vacation ownership products due to nearly 5 percentage points of favorable product cost true-up activity and, to a lesser extent, a favorable mix of lower cost real estate inventory being sold, and a 5 percentage point increase from efficiencies in marketing and sales spending. These increases were partially offset by a 3 percentage point decline due to lower revenue reportability and a 1 percentage point decline related to higher vacation ownership notes receivable reserve activity in 2012.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w w:val="88"/>
              </w:rPr>
              <w:t>Fiscal Years</w:t>
            </w:r>
          </w:p>
        </w:tc>
        <w:tc>
          <w:tcPr>
            <w:tcW w:w="6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4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186</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19"/>
                <w:szCs w:val="19"/>
                <w:color w:val="auto"/>
              </w:rPr>
            </w:pPr>
          </w:p>
        </w:tc>
        <w:tc>
          <w:tcPr>
            <w:tcW w:w="660" w:type="dxa"/>
            <w:vAlign w:val="bottom"/>
          </w:tcPr>
          <w:p>
            <w:pPr>
              <w:jc w:val="right"/>
              <w:ind w:right="1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4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19"/>
                <w:szCs w:val="19"/>
                <w:color w:val="auto"/>
              </w:rPr>
            </w:pPr>
          </w:p>
        </w:tc>
        <w:tc>
          <w:tcPr>
            <w:tcW w:w="66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26.7%</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7"/>
              </w:rPr>
              <w:t>21.4%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 pts</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increase in resort management and other services revenues reflected $4 million of additional annual club dues earned in connection with the MVCD program due to the cumulative increase in owners enrolled in the program and $3 million of higher management fees resulting from the cumulative increase in the number of vacation ownership products sold and higher operating costs across the system. Our ancillary revenues were flat when compared to the prior year, reflecting the offset of a $9 million decline in revenues due to the disposition of a golf course and related assets at one of our Ritz-Carlton branded projects late in 2012 by a $9 million increase in ancillary revenues from food and beverage and golf offerings at our other resorts.</w:t>
      </w:r>
    </w:p>
    <w:p>
      <w:pPr>
        <w:spacing w:after="0" w:line="15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improvement in the resort management and other services margin reflected $5 million of additional annual club dues earned in connection with the MVCD program net of expenses, a $4 million benefit from the disposition of a golf course and related assets at one of our Ritz-Carlton branded projects late in 2012 that experienced an operating loss in 2012, $3 million of higher customer services margin resulting from lower operating expenses, a $2 million increase in management fees net of expenses and $2 million of higher ancillary revenues net of expenses at our resorts.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Fiscal Years</w:t>
            </w:r>
          </w:p>
        </w:tc>
        <w:tc>
          <w:tcPr>
            <w:tcW w:w="5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175</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19"/>
                <w:szCs w:val="19"/>
                <w:color w:val="auto"/>
              </w:rPr>
            </w:pPr>
          </w:p>
        </w:tc>
        <w:tc>
          <w:tcPr>
            <w:tcW w:w="66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c>
          <w:tcPr>
            <w:tcW w:w="660" w:type="dxa"/>
            <w:vAlign w:val="bottom"/>
          </w:tcPr>
          <w:p>
            <w:pPr>
              <w:jc w:val="right"/>
              <w:ind w:right="13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 pts</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increase in resort management and other services revenues reflects $7 million of additional annual club dues earned in connection with the MVCD program, $4 million of higher management fees resulting from the cumulative increase in the number of vacation ownership products sold and higher operating costs across the system, $3 million of higher ancillary revenues from food and beverage and golf offerings, and nearly $1 million of higher resales revenues due to an increase in resales activity. These increases were partially offset by $1 million of lower customer service revenue due to lower Marriott Rewards Points exchange activity.</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improvement in the resort management and other services margin reflects $6 million of additional annual club dues earned in connection with the MVCD program net of expenses and lower variable enrollment costs due to fewer enrollments in 2012 than the prior year, a $5 million increase in management fees net of expenses, $3 million of higher ancillary revenues net of expenses and $1 million of higher resales revenues net of expenses. These increases were offset by $1 million of lower customer service revenues net of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Years</w:t>
            </w:r>
          </w:p>
        </w:tc>
        <w:tc>
          <w:tcPr>
            <w:tcW w:w="4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97"/>
              </w:rPr>
              <w:t>Change</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0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2012</w:t>
            </w:r>
          </w:p>
        </w:tc>
        <w:tc>
          <w:tcPr>
            <w:tcW w:w="5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94"/>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60" w:type="dxa"/>
            <w:vAlign w:val="bottom"/>
          </w:tcPr>
          <w:p>
            <w:pPr>
              <w:jc w:val="center"/>
              <w:ind w:left="253"/>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4"/>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Financing expenses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660" w:type="dxa"/>
            <w:vAlign w:val="bottom"/>
          </w:tcPr>
          <w:p>
            <w:pPr>
              <w:jc w:val="center"/>
              <w:ind w:left="253"/>
              <w:spacing w:after="0"/>
              <w:rPr>
                <w:sz w:val="20"/>
                <w:szCs w:val="20"/>
                <w:color w:val="auto"/>
              </w:rPr>
            </w:pPr>
            <w:r>
              <w:rPr>
                <w:rFonts w:ascii="Arial" w:cs="Arial" w:eastAsia="Arial" w:hAnsi="Arial"/>
                <w:sz w:val="18"/>
                <w:szCs w:val="18"/>
                <w:color w:val="auto"/>
                <w:w w:val="92"/>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Financing margin</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4"/>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0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decrease in financing revenues was due to a $109 million decline in the average gross vacation ownership notes receivable balance. This decline reflected our continued collection of existing vacation ownership notes receivable at a faster pace than our origination of new vacation ownership notes receivable. The $9 million decrease in financing margin from the prior year reflected the lower interest income, partially offset by lower expenses due to lower foreclosure activity.</w:t>
      </w:r>
    </w:p>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Financing margin net of consumer financing interest expense increased $1 million to $85 million in 2013 from $84 million in the prior year. See “Consumer Financing Interest Expense” below for further discussion.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Fiscal Years</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500" w:type="dxa"/>
            <w:vAlign w:val="bottom"/>
            <w:gridSpan w:val="2"/>
            <w:vMerge w:val="continue"/>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2012</w:t>
            </w: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2011</w:t>
            </w:r>
          </w:p>
        </w:tc>
        <w:tc>
          <w:tcPr>
            <w:tcW w:w="4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3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Financing expenses</w:t>
            </w:r>
          </w:p>
        </w:tc>
        <w:tc>
          <w:tcPr>
            <w:tcW w:w="3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Financing margin</w:t>
            </w: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gridSpan w:val="2"/>
            <w:vMerge w:val="continue"/>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340" w:type="dxa"/>
            <w:vAlign w:val="bottom"/>
          </w:tcPr>
          <w:p>
            <w:pPr>
              <w:jc w:val="right"/>
              <w:ind w:right="14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decrease in financing revenues is due to a $138 million decline in the average gross vacation ownership notes receivable balance. This decline reflects our continued collection of existing vacation ownership notes receivable at a faster pace than our origination of new vacation ownership notes receivable. The $16 million decrease in financing margin from the prior year reflected the lower interest income, partially offset by nearly $2 million of lower expenses due to lower foreclosure activity.</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Financing margin net of consumer financing interest expense declined $10 million to $84 million in 2012 from $94 million in the prior year. See “Consumer Financing Interest Expense” below for further discussion.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Change</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9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360"/>
              <w:spacing w:after="0"/>
              <w:rPr>
                <w:sz w:val="20"/>
                <w:szCs w:val="20"/>
                <w:color w:val="auto"/>
              </w:rPr>
            </w:pPr>
            <w:r>
              <w:rPr>
                <w:rFonts w:ascii="Arial" w:cs="Arial" w:eastAsia="Arial" w:hAnsi="Arial"/>
                <w:sz w:val="18"/>
                <w:szCs w:val="18"/>
                <w:color w:val="auto"/>
              </w:rPr>
              <w:t>Unsold maintenance fees—upscale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fees—luxury</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0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Rental margin</w:t>
            </w:r>
          </w:p>
        </w:tc>
        <w:tc>
          <w:tcPr>
            <w:tcW w:w="10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 pts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Years</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Change</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1,098,755</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962,946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135,809</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205.68</w:t>
            </w:r>
          </w:p>
        </w:tc>
        <w:tc>
          <w:tcPr>
            <w:tcW w:w="6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189.30</w:t>
            </w:r>
          </w:p>
        </w:tc>
        <w:tc>
          <w:tcPr>
            <w:tcW w:w="3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16.38</w:t>
            </w:r>
          </w:p>
        </w:tc>
        <w:tc>
          <w:tcPr>
            <w:tcW w:w="6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 pts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increase in rental revenues was due to a company-wide 14 percent increase in transient keys rented ($27 million), which were primarily sourced from an 8 percent increase in available keys (141,000 additional available keys) resulting from an increase in the number of owners choosing to exchange their vacation ownership interests for alternative usage options, additional inventory from a new phase completed at one of our projects in Hawaii after the end of the second quarter of 2012 and a lower utilization of plus points for stays at our resorts, as well as a company-wide 9 percent increase in average transient rate ($18 million) driven by stronger consumer demand and a favorable mix of available inventory. These increases were partially offset by an $8 million decrease in plus points revenue (which is recognized upon utilization of plus points for stays at our resorts or upon expiration of the points) resulting from the decline in new enrollments in the MVCD program by existing owners (due to the maturity of the MVCD program), and the corresponding decline in issuance of plus points as incentives for enrollment in the MVCD program.</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increase in rental margin reflected $16 million of higher rental revenues net of direct variable expenses (such as housekeeping), expenses incurred due to owners choosing alternative usage options, and higher unsold maintenance fees, as well as $3 million of lower charges associated with Marriott Rewards Points issued prior to the Spin-Off ($4 million of higher than expected redemption costs in 2013 compared to $7 million of higher than expected redemption costs in 2012). These increases were partially offset by the $8 million decline in plus points revenue. The increase in unsold maintenance fees reflected the addition of new inventory upon completion of a phase at one of our projects in Hawaii in 2012, as well as increased expenses associated with our inventory repurchase program.</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Fiscal Years</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Unsold maintenance fees—upscale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fees—luxury</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Rental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4.1 pts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Fiscal Years</w:t>
            </w:r>
          </w:p>
        </w:tc>
        <w:tc>
          <w:tcPr>
            <w:tcW w:w="7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962,946</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883,471</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79,475</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189.30</w:t>
            </w:r>
          </w:p>
        </w:tc>
        <w:tc>
          <w:tcPr>
            <w:tcW w:w="5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186.57</w:t>
            </w: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2.73</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0.0 pts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The increase in rental revenues is due to $15 million from a company-wide 9 percent increase in transient keys rented, which were primarily sourced from a nearly 6 percent increase in available keys (95,000 additional available keys) due to more owners choosing to exchange their vacation ownership interests for alternative usage options, and more than $2 million from a company-wide 1 percent increase in average transient rate driven by stronger consumer demand and mix of available inventory. These increases were offset by $4 million of lower plus points revenue (which is recognized upon utilization of plus points for stays at our resorts or upon expiration of the points).</w:t>
      </w:r>
    </w:p>
    <w:p>
      <w:pPr>
        <w:spacing w:after="0" w:line="173"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increase in rental margin reflects $12 million of higher rental revenues net of direct variable expenses (such as housekeeping) and expenses incurred due to owners choosing alternative usage options due to stronger rental demand and more effective monetization of the increased available keys, $5 million of lower maintenance fees on unsold inventory, and $2 million of lower subsidy costs. These increases were partially offset by $7 million of higher than expected costs in 2012 associated with the redemption of Marriott Rewards Points issued prior to the Spin-Off and $4 million of lower plus points revenue.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Fiscal Years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2013</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2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center"/>
              <w:ind w:left="117"/>
              <w:spacing w:after="0"/>
              <w:rPr>
                <w:sz w:val="20"/>
                <w:szCs w:val="20"/>
                <w:color w:val="auto"/>
              </w:rPr>
            </w:pPr>
            <w:r>
              <w:rPr>
                <w:rFonts w:ascii="Arial" w:cs="Arial" w:eastAsia="Arial" w:hAnsi="Arial"/>
                <w:sz w:val="18"/>
                <w:szCs w:val="18"/>
                <w:color w:val="auto"/>
                <w:w w:val="89"/>
              </w:rPr>
              <w:t>30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center"/>
              <w:ind w:left="74"/>
              <w:spacing w:after="0"/>
              <w:rPr>
                <w:sz w:val="20"/>
                <w:szCs w:val="20"/>
                <w:color w:val="auto"/>
              </w:rPr>
            </w:pPr>
            <w:r>
              <w:rPr>
                <w:rFonts w:ascii="Arial" w:cs="Arial" w:eastAsia="Arial" w:hAnsi="Arial"/>
                <w:sz w:val="18"/>
                <w:szCs w:val="18"/>
                <w:color w:val="auto"/>
                <w:w w:val="89"/>
              </w:rPr>
              <w:t>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expenses</w:t>
            </w:r>
          </w:p>
        </w:tc>
        <w:tc>
          <w:tcPr>
            <w:tcW w:w="2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77"/>
              <w:spacing w:after="0"/>
              <w:rPr>
                <w:sz w:val="20"/>
                <w:szCs w:val="20"/>
                <w:color w:val="auto"/>
              </w:rPr>
            </w:pPr>
            <w:r>
              <w:rPr>
                <w:rFonts w:ascii="Arial" w:cs="Arial" w:eastAsia="Arial" w:hAnsi="Arial"/>
                <w:sz w:val="18"/>
                <w:szCs w:val="18"/>
                <w:color w:val="auto"/>
                <w:w w:val="93"/>
              </w:rPr>
              <w:t>(16)</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net of expenses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9"/>
              </w:rPr>
              <w:t>14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Other revenues net of expenses decreased in 2013 compared to the prior year mainly as a result of higher expenses primarily due to more MVCD owners utilizing an external exchange company.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Fiscal Years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2012</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2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center"/>
              <w:ind w:left="117"/>
              <w:spacing w:after="0"/>
              <w:rPr>
                <w:sz w:val="20"/>
                <w:szCs w:val="20"/>
                <w:color w:val="auto"/>
              </w:rPr>
            </w:pPr>
            <w:r>
              <w:rPr>
                <w:rFonts w:ascii="Arial" w:cs="Arial" w:eastAsia="Arial" w:hAnsi="Arial"/>
                <w:sz w:val="18"/>
                <w:szCs w:val="18"/>
                <w:color w:val="auto"/>
                <w:w w:val="89"/>
              </w:rPr>
              <w:t>30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center"/>
              <w:ind w:left="74"/>
              <w:spacing w:after="0"/>
              <w:rPr>
                <w:sz w:val="20"/>
                <w:szCs w:val="20"/>
                <w:color w:val="auto"/>
              </w:rPr>
            </w:pPr>
            <w:r>
              <w:rPr>
                <w:rFonts w:ascii="Arial" w:cs="Arial" w:eastAsia="Arial" w:hAnsi="Arial"/>
                <w:sz w:val="18"/>
                <w:szCs w:val="18"/>
                <w:color w:val="auto"/>
                <w:w w:val="89"/>
              </w:rPr>
              <w:t>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expenses</w:t>
            </w:r>
          </w:p>
        </w:tc>
        <w:tc>
          <w:tcPr>
            <w:tcW w:w="2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77"/>
              <w:spacing w:after="0"/>
              <w:rPr>
                <w:sz w:val="20"/>
                <w:szCs w:val="20"/>
                <w:color w:val="auto"/>
              </w:rPr>
            </w:pPr>
            <w:r>
              <w:rPr>
                <w:rFonts w:ascii="Arial" w:cs="Arial" w:eastAsia="Arial" w:hAnsi="Arial"/>
                <w:sz w:val="18"/>
                <w:szCs w:val="18"/>
                <w:color w:val="auto"/>
                <w:w w:val="93"/>
              </w:rPr>
              <w:t>(14)</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74"/>
              <w:spacing w:after="0"/>
              <w:rPr>
                <w:sz w:val="20"/>
                <w:szCs w:val="20"/>
                <w:color w:val="auto"/>
              </w:rPr>
            </w:pPr>
            <w:r>
              <w:rPr>
                <w:rFonts w:ascii="Arial" w:cs="Arial" w:eastAsia="Arial" w:hAnsi="Arial"/>
                <w:sz w:val="18"/>
                <w:szCs w:val="18"/>
                <w:color w:val="auto"/>
                <w:w w:val="93"/>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net of expenses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9"/>
              </w:rPr>
              <w:t>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Other revenues net of expenses remained in line with 2011 due to $1 million of higher external exchange company and settlement revenues and $1 million of higher expenses. The increase in expenses resulted from a $2 million favorable true-up in the prior year related to the 2010 bonus accrual following final bonus payouts totaling less than the amount accrued, partially offset by $1 million of lower miscellaneous expenses in 2012 over the prior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Cost reimbursements increased $23 million, or 6 percent, over the prior year, reflecting an increase of $30 million in cost reimbursements due to higher costs (including $7 million due to the fact that 2013 had 53 weeks) and $6 million due to additional completed inventory in the current year, partially offset by $13 million of lower costs associated with the termination of two management contracts 2013.</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reimbursements increased $13 million, or 3 percent, over the prior year, reflecting higher costs and the impact of growth across the system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ectPr>
          <w:pgSz w:w="11900" w:h="16838" w:orient="portrait"/>
          <w:cols w:equalWidth="0" w:num="1">
            <w:col w:w="11420"/>
          </w:cols>
          <w:pgMar w:left="240" w:top="459" w:right="239" w:bottom="0" w:gutter="0" w:footer="0" w:header="0"/>
        </w:sectPr>
      </w:pP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2013 Compared to 2012</w:t>
      </w:r>
    </w:p>
    <w:p>
      <w:pPr>
        <w:sectPr>
          <w:pgSz w:w="11900" w:h="16838" w:orient="portrait"/>
          <w:cols w:equalWidth="0" w:num="1">
            <w:col w:w="11420"/>
          </w:cols>
          <w:pgMar w:left="240" w:top="459" w:right="239" w:bottom="0" w:gutter="0" w:footer="0" w:header="0"/>
          <w:type w:val="continuous"/>
        </w:sectPr>
      </w:pPr>
    </w:p>
    <w:bookmarkStart w:id="44" w:name="page45"/>
    <w:bookmarkEnd w:id="44"/>
    <w:p>
      <w:pPr>
        <w:ind w:firstLine="456"/>
        <w:spacing w:after="0" w:line="257" w:lineRule="auto"/>
        <w:rPr>
          <w:sz w:val="20"/>
          <w:szCs w:val="20"/>
          <w:color w:val="auto"/>
        </w:rPr>
      </w:pPr>
      <w:r>
        <w:rPr>
          <w:rFonts w:ascii="Arial" w:cs="Arial" w:eastAsia="Arial" w:hAnsi="Arial"/>
          <w:sz w:val="18"/>
          <w:szCs w:val="18"/>
          <w:color w:val="auto"/>
        </w:rPr>
        <w:t>General and administrative expenses increased $13 million (from $86 million to $99 million) over the prior year due to $9 million of higher personnel related costs (including $1 million due to the fact that 2013 had 53 weeks), $8 million of higher legal expenses, $2 million of higher stand-alone public company costs and $1 million of higher audit related expenses. These increases were offset by $4 million of savings related to organizational and separation related efforts in the human resources, information technology and finance and accounting areas, $2 million from lower depreciation expense and $1 million from the favorable resolution of an international non-income tax matter.</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80"/>
          </w:cols>
          <w:pgMar w:left="240" w:top="125"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General and administrative expenses increased $5 million (from $81 million to $86 million) over the prior year due mainly to incremental stand-alone public company costs incurred in the current year and higher personnel related costs (in the form of higher bonus costs and merit-based compensation), offset partially by cost savings.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2013 first quarter we reversed $1 million of the charge we recorded in 2012 based upon final settlement of the lawsuit related to The Ritz-Carlton Club and Residences, San Francisco (the “RCC San Francisco”) described below that was pending at the end of 2012. In the fourth quarter of 2013 we recorded a $5 million charge related to the settlement of a lawsuit related to a project in our Europe segment. The plaintiffs in this lawsuit alleged breach of a partnership agreement and copyright infringement in connection with renovations at that project.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the 2012 fourth quarter we agreed to settle two lawsuits in which certain of our subsidiaries were defendants. The plaintiffs in the lawsuits, residential unit owners at the RCC San Francisco, questioned the adequacy of disclosures made prior to 2008, when our business was part of Marriott International, regarding bonds issued for that project under California’s Mello-Roos Community Facilities Act of 1982 (the “Mello-Roos Act”) and their payment obligations with respect to such bonds. A third lawsuit was pending at the end of 2012 in which one owner at the RCC San Francisco had asserted similar claims. That lawsuit was settled in 2013.</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 result of the settlements and the pending lawsuit, we recorded a charge in connection with these matters of $41 million in the year ended December 28, 2012, of which $39 million was recorded in the fourth quarter of 2012. In addition, we repurchased units owned by certain of the plaintiffs in the settled lawsuits which were recorded in inventory at fair value less cost to sell of $13 million. We used Level 3 inputs in a discounted cash flow model to determine the fair value of these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and Separation Related Efforts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 and 2012 Compared to 2011</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Since the Spin-Off, Marriott International has continued to provide us with certain information technology, payroll, human resources and other administrative services pursuant to transition services agreements. In connection with our continued organizational and separation related activities, we have incurred expenses to complete our separation from Marriott International. These costs primarily relate to establishing our own information technology systems and services, independent payroll and accounts payable functions and reorganizing existing human resources, information technology, and related finance and accounting organizations to support our needs as a public company.</w:t>
      </w:r>
    </w:p>
    <w:p>
      <w:pPr>
        <w:spacing w:after="0" w:line="17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Organizational and separation related expenses declined $4 million, from $16 million in 2012 to $12 million in 2013. In addition, $7 million of organizational and separation related costs were capitalized in 2013, compared to $2 million of capitalized costs in 2012. There were no organizational and separation related charges in 2011.</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to incur an additional $5 million to $8 million in connection with these organizational and separation related efforts through 2014, of which approximately $4 million is expected to be capitalized and amortized over the useful lives of the assets. Once completed, we expect these efforts will generate approximately $15 million to $20 million of annualized savings. Approximately $10 million of these incremental savings are reflected in our 2013 financial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Financing Interest Expense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Consumer financing interest expense decreased $10 million (from $41 million to $31 million) due to lower outstanding debt balances of securitized vacation ownership notes receivable and associated interest costs ($5 million) as well as a lower average interest rate ($5 million). The lower average interest rate reflected the continued pay-down of older securitization transactions that carried higher overall interest rates and the benefit of lower interest rates applicable to our most recently completed securitizations of vacation ownership notes receivable.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Consumer financing interest expense decreased $6 million (from $47 million to $41 million) due to lower outstanding debt balances of securitized vacation ownership notes receivable and associated interest costs, partially offset by increases in interest expense and amortized costs associated with the Warehouse Credit Facility.</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459" w:right="2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Interest expense decreased $4 million (from $17 million to $13 million) due to a $3 million decline in expense associated with our liability for the Marriott Rewards customer loyalty program under the Marriott Rewards Agreement and $1 million in capitalized interest costs.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Interest expense increased $17 million (from $0 to $17 million) due to $8 million of expense associated with our liability for the Marriott Rewards customer loyalty program under the Marriott Rewards Agreement, $4 million of higher dividends associated with the preferred stock issued in connection with the Spin-Off, $3 million of lower capitalized interest costs, and $2 million of amortized costs associated with our Revolving Corporate Credit Facility.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 and 2012 Compared to 2011</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Royalty fee expenses relate to amounts due under the License Agreements for periods subsequent to the Spin-Off. Royalty fee expense increased $1 million (from $61 million in 2012 to $62 million in 2013) due to the fact that 2013 had 53 weeks. Royalty fee expense increased $57 million (from $4 million in 2011 to $61 million in 2012) due to a full year of royalty fees in 2012 compared to six weeks of royalty fees in 2011.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additional information related to impairment charges, including how impairments were determined and the impairment charges grouped by product type and/or geographic location, see Footnote No. 16, “Impairment Charges,” to our Financial Statements.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2013, we recorded $1 million of impairment charges related to a leased golf course at a project in our Europe segment.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impairment charges in 2012.</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2011, we recorded a pre-tax non-cash impairment charge of $324 million. As discussed in more detail in Footnote No. 16, “Impairment Charges,” to our Financial Statements, in 2011 management approved a plan to accelerate cash flow through the monetization of certain undeveloped and partially developed parcels of land and excess built luxury fractional and residential inventory.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Other Income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Gains and other income of $1 million related to a gain on the disposition of a multi-family parcel in St. Thomas, U.S. Virgin Islands.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Gains and other income of $9 million included an $8 million gain on the disposition of a golf course and related assets at one of our luxury projects.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Gains and other income of $2 million included a gain on the disposition of excess inventory and land at one of our luxury projects.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$1 million decrease in equity in earnings in 2013 reflected $0 in 2013 compared to $1 million of earnings in 2012 related to our investment in a joint venture in our Asia Pacific segment.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$1 million increase in equity in earnings in 2012 reflected earnings related to our investment in a joint venture in our Asia Pacific segment.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 Reversals on Equity Investment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2013, we increased our accrual by $8 million for remaining costs we expect to incur in connection with an interest in an equity method investment in a joint venture project in our North America segment. This was partially offset by $7 million of earnings attributed to a partial repayment of previously reserved receivables due from the same joint venture.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In 2012, we reversed $2 million of a previously recorded impairment of an equity investment because the actual costs incurred to suspend the marketing and sales operations were lower than previously estimated.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2011, we reversed nearly $4 million of our previously recorded impairment of an equity investment based on facts and circumstances surrounding the project, including favorable resolution of certain construction-related claims and contingent obligations to refund certain deposits relating to sales that had subsequently closed.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effective tax rate for fiscal years 2013, 2012 and 2011 was an expense of 39.23%, an expense of 80.08% and a benefit of 20.59% respectively. Our tax rate is affected by recurring items, such as non-deductible expenses, tax rates in foreign jurisdictions and the relative amount of income we earn in different jurisdictions, which we expect to be fairly consistent in the near term. It is also affected by discrete items that may occur in any given year, but are not consistent from year to year. The following is a description of the items impacting our effective tax rate during the current and prior two years.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Income tax expense increased by $27 million (from $24 million to $51 million) from the prior year. The increase in income tax expense in 2013 is primarily related to increases in income before income taxes in both U.S. and foreign jurisdictions. The increase in income before income taxes for foreign jurisdictions for 2013 is primarily attributable to the cumulative impact of the extended rescission periods in our Europe segment.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Income tax expense increased by $69 million (from a benefit of $45 million to a provision of $24 million) from the prior year. The increase in income tax expense in 2012 is primarily related to an impairment charge recorded in the third quarter of 2011 resulting in the recording of a tax benefit in the prior year. The 2012 effective tax rate differs from the U.S. federal income tax rate of 35 percent due to the impact of foreign losses, for which no benefit is received in our U.S. income tax provision.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calculation (which previously adjusted for consumer financing interest expense),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 Prior year amounts have been reclassified to conform to our 2013 presentation.</w:t>
      </w:r>
    </w:p>
    <w:p>
      <w:pPr>
        <w:spacing w:after="0" w:line="19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166"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EBITDA has limitations and should not be considered in isolation or as a substitute for performance measures calculated in accordance with GAAP. In addition, other companies in our industry may calculate EBITDA differently than we do or may not calculate it at all, limiting its usefulness as a comparative measure. The table below shows our EBITDA calculation and reconciles that measure with Net income (loss).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Fiscal Years</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vMerge w:val="continue"/>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2"/>
                <w:szCs w:val="12"/>
                <w:color w:val="auto"/>
              </w:rPr>
            </w:pPr>
          </w:p>
        </w:tc>
        <w:tc>
          <w:tcPr>
            <w:tcW w:w="78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Interest expense</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5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business is grouped into three reportable business segments: North America, Europe and Asia Pacific. Prior to 2013, our business was grouped into four reportable segments: North America, Luxury, Europe and Asia Pacific. Effective December 29, 2012, we combined the reporting of the financial results of the former Luxury segment with the North America segment based upon our decision to scale back separate development activity for the luxury market and to aggregate future marketing and sales efforts for upscale and luxury inventory. Existing service standards and on-site management remain unaffected by our reporting changes. Prior year amounts have been recast for consistency with the current year’s presentation. See Footnote No. 19, “Business Segments,” to our Financial Statements for further information on our segments, and “Business—Segments” for further details regarding our individual properties by segment.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January 3, 2014, we operated the following 62 properties by segment:</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 xml:space="preserve">U.S. </w:t>
            </w:r>
            <w:r>
              <w:rPr>
                <w:rFonts w:ascii="Arial" w:cs="Arial" w:eastAsia="Arial" w:hAnsi="Arial"/>
                <w:sz w:val="12"/>
                <w:szCs w:val="12"/>
                <w:b w:val="1"/>
                <w:bCs w:val="1"/>
                <w:color w:val="auto"/>
                <w:w w:val="87"/>
              </w:rPr>
              <w:t>(1)</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Non-U.S.</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Europe</w:t>
            </w:r>
          </w:p>
        </w:tc>
        <w:tc>
          <w:tcPr>
            <w:tcW w:w="9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Includes incorporated U.S. territories.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59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Fiscal Years</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9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reimbursements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9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1,444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sales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center"/>
              <w:ind w:left="231"/>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reimbursements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94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1,189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Gains and other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Impairment (charges) reversals on equity investment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center"/>
              <w:ind w:left="231"/>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Segment financial results</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8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60" w:type="dxa"/>
            <w:vAlign w:val="bottom"/>
            <w:gridSpan w:val="2"/>
          </w:tcPr>
          <w:p>
            <w:pPr>
              <w:ind w:left="460"/>
              <w:spacing w:after="0"/>
              <w:rPr>
                <w:sz w:val="20"/>
                <w:szCs w:val="20"/>
                <w:color w:val="auto"/>
              </w:rPr>
            </w:pPr>
            <w:r>
              <w:rPr>
                <w:rFonts w:ascii="Arial" w:cs="Arial" w:eastAsia="Arial" w:hAnsi="Arial"/>
                <w:sz w:val="18"/>
                <w:szCs w:val="18"/>
                <w:i w:val="1"/>
                <w:iCs w:val="1"/>
                <w:color w:val="auto"/>
              </w:rPr>
              <w:t>2013 Compared to 2012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59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0"/>
              </w:rPr>
              <w:t>Fiscal Years</w:t>
            </w:r>
          </w:p>
        </w:tc>
        <w:tc>
          <w:tcPr>
            <w:tcW w:w="300" w:type="dxa"/>
            <w:vAlign w:val="bottom"/>
          </w:tcPr>
          <w:p>
            <w:pPr>
              <w:spacing w:after="0"/>
              <w:rPr>
                <w:sz w:val="24"/>
                <w:szCs w:val="24"/>
                <w:color w:val="auto"/>
              </w:rPr>
            </w:pPr>
          </w:p>
        </w:tc>
        <w:tc>
          <w:tcPr>
            <w:tcW w:w="68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24"/>
                <w:szCs w:val="24"/>
                <w:color w:val="auto"/>
              </w:rPr>
            </w:pP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9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gridSpan w:val="3"/>
          </w:tcPr>
          <w:p>
            <w:pPr>
              <w:jc w:val="right"/>
              <w:ind w:right="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608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582</w:t>
            </w:r>
          </w:p>
        </w:tc>
        <w:tc>
          <w:tcPr>
            <w:tcW w:w="54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products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Total contract sales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623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in contract sales in our North America segment included $14 million of higher residential contract sales, including $9 million associated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with the continued execution of our strategy to dispose of excess inventory, and a $26 million, or 5 percent, increase in vacation ownership contract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includes $9 million from the additional week in 2013. The increase in vacation ownership contract sales reflected an 8 percent increase in VPG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$3,200 in 2013 from $2,963 in the prior year. This increase in VPG was due to a nearly 4 percent price increase and a 1 percentage point increase in 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efficiency resulting from improved marketing and sales execution. These increases were partially offset by a 3 percent decline in tours. The decline in tours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driven by an increase in weeks-based owner utilization of the MVCD program, with owners taking advantage of the program’s flexibility to take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vacations of shorter duration and exercise alternative usage options. This has reduced our existing owner tour flow because fewer owners are in our resorts,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their stays in our resorts are shorter, than in prior years. We intend to increase tour flow through new programs aimed at generating existing owner tours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developing new sales channels targeted toward first-time buyers.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240" w:top="459" w:right="3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Years</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w w:val="83"/>
              </w:rPr>
              <w:t>2011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Company-Owned</w:t>
            </w:r>
          </w:p>
        </w:tc>
        <w:tc>
          <w:tcPr>
            <w:tcW w:w="1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526</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products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5180" w:type="dxa"/>
            <w:vAlign w:val="bottom"/>
          </w:tcPr>
          <w:p>
            <w:pPr>
              <w:ind w:left="1080"/>
              <w:spacing w:after="0"/>
              <w:rPr>
                <w:sz w:val="20"/>
                <w:szCs w:val="20"/>
                <w:color w:val="auto"/>
              </w:rPr>
            </w:pPr>
            <w:r>
              <w:rPr>
                <w:rFonts w:ascii="Arial" w:cs="Arial" w:eastAsia="Arial" w:hAnsi="Arial"/>
                <w:sz w:val="18"/>
                <w:szCs w:val="18"/>
                <w:color w:val="auto"/>
              </w:rPr>
              <w:t>Subtotal</w:t>
            </w:r>
          </w:p>
        </w:tc>
        <w:tc>
          <w:tcPr>
            <w:tcW w:w="1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Cancellation reversal</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180" w:type="dxa"/>
            <w:vAlign w:val="bottom"/>
          </w:tcPr>
          <w:p>
            <w:pPr>
              <w:ind w:left="1080"/>
              <w:spacing w:after="0"/>
              <w:rPr>
                <w:sz w:val="20"/>
                <w:szCs w:val="20"/>
                <w:color w:val="auto"/>
              </w:rPr>
            </w:pPr>
            <w:r>
              <w:rPr>
                <w:rFonts w:ascii="Arial" w:cs="Arial" w:eastAsia="Arial" w:hAnsi="Arial"/>
                <w:sz w:val="18"/>
                <w:szCs w:val="18"/>
                <w:color w:val="auto"/>
              </w:rPr>
              <w:t>Total company-owned contract sales</w:t>
            </w:r>
          </w:p>
        </w:tc>
        <w:tc>
          <w:tcPr>
            <w:tcW w:w="1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4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products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1080"/>
              <w:spacing w:after="0"/>
              <w:rPr>
                <w:sz w:val="20"/>
                <w:szCs w:val="20"/>
                <w:color w:val="auto"/>
              </w:rPr>
            </w:pPr>
            <w:r>
              <w:rPr>
                <w:rFonts w:ascii="Arial" w:cs="Arial" w:eastAsia="Arial" w:hAnsi="Arial"/>
                <w:sz w:val="18"/>
                <w:szCs w:val="18"/>
                <w:color w:val="auto"/>
              </w:rPr>
              <w:t>Subtotal</w:t>
            </w:r>
          </w:p>
        </w:tc>
        <w:tc>
          <w:tcPr>
            <w:tcW w:w="1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Cancellation reversal</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1080"/>
              <w:spacing w:after="0"/>
              <w:rPr>
                <w:sz w:val="20"/>
                <w:szCs w:val="20"/>
                <w:color w:val="auto"/>
              </w:rPr>
            </w:pPr>
            <w:r>
              <w:rPr>
                <w:rFonts w:ascii="Arial" w:cs="Arial" w:eastAsia="Arial" w:hAnsi="Arial"/>
                <w:sz w:val="18"/>
                <w:szCs w:val="18"/>
                <w:color w:val="auto"/>
              </w:rPr>
              <w:t>Total joint venture contract sales</w:t>
            </w:r>
          </w:p>
        </w:tc>
        <w:tc>
          <w:tcPr>
            <w:tcW w:w="1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 sales</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553</w:t>
            </w:r>
          </w:p>
        </w:tc>
        <w:tc>
          <w:tcPr>
            <w:tcW w:w="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increase in company-owned contract sales in our North America segment reflected an 18 percent increase in VPG to $2,963 in 2012 from $2,504 in the prior year. This increase in VPG was due to a 2 percentage point increase in closing efficiency resulting from improved marketing and sales execution and a 2 percent price increase. This increase was partially offset by lower residential sales, which reflects the decision to scale back development activity for the luxury market and aggregate future marketing and sales efforts for upscale and luxury inventory.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Years</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Development margin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increase in revenues from the sale of vacation ownership products was due to the $40 million increase in contract sales, $9 million of higher revenue reportability in 2013 compared to the prior year, and $5 million of lower vacation ownership notes receivable reserve activity (due to lower estimated default and delinquency activity, net of higher contract sales volume and revenue reportability in 2013). These increases were partially offset by $3 million of higher plus points issued as sales incentives in the current year. Plus points will ultimately be recognized as rental revenues upon usage or expiration of the plus points rather than revenues from the sale of vacation ownership products. The $9 million of higher revenue reportability resulted from $5 million of higher revenue reportability in 2013 compared to $4 million of lower revenue reportability in the prior year. Revenue reportability was higher in the current year because certain sales met the down payment requirement for revenue recognition purposes prior to the end of the year, offset partially by the fact that certain sales made during the current year remained in the statutory rescission period at the end of the year. In the prior year, revenue reportability was lower because certain sales made during the prior year period did not meet the down payment requirement for revenue recognition purposes by the end of the year and certain sales made during the prior year period did not meet the rescission requirement for revenue recognition purposes by the end of the year.</w:t>
      </w:r>
    </w:p>
    <w:p>
      <w:pPr>
        <w:spacing w:after="0" w:line="169"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The increase in development margin reflected a $33 million increase from higher contract sales volume net of direct variable expenses (i.e., cost of vacation ownership products and marketing and sales) due to a favorable mix of lower cost real estate inventory being sold and more efficient marketing and sales spending, $6 million of higher revenue reportability year-over-year, a $2 million benefit from lower vacation ownership notes receivable reserve activity, $1 million of lower charges associated with Marriott Rewards Points issued prior to the Spin-Off ($1 million of higher than expected redemption costs in 2013 compared to $2 million of higher than expected redemption costs in 2012), $1 million of severance costs incurred in 2012 and a $1 million charge in 2012 related to the settlement of a construction related dispute at one of our properties. These increases were partially offset by $11 million of higher favorable product cost true-ups in the prior year ($16 million in 2013 compared to $27 million in 2012).</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favorable product cost true-ups recorded in 2013 were the result of $12 million from increases in estimated future revenues associated with the sale of foreclosed inventory as well as changes in the sequencing of inventory into the MVCD program due to the continued reacquisition of previously sold inventory and nearly $4 million from lower construction costs.</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4 percentage point improvement in the development margin percentage reflected a 3 percentage point increase from the lower cost of vacation ownership products due to a favorable mix of lower cost real estate inventory being sold, a nearly 2 percentage point increase due to increased efficiency in marketing and sales spending, and a 1 percentage point increase due to higher revenue reportability year-over-year. These increases were partially offset by a 2 percentage point decrease due to the lower favorable product cost true-up activity compared to the prior year.</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Fiscal Years</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24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Development margin</w:t>
            </w:r>
          </w:p>
        </w:tc>
        <w:tc>
          <w:tcPr>
            <w:tcW w:w="1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18.2%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8.8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increase in revenues from the sale of vacation ownership products was due to the $52 million increase in company-owned contract sales, partially offset by $31 million of lower revenue reportability in 2012 compared to the prior year and a $5 million unfavorable change in the vacation ownership notes receivable reserve activity. The $5 million unfavorable change in the reserve activity was due to a favorable true-up recorded in 2011 for lower than estimated default and delinquency activity, partially offset by lower default and delinquency activity in 2012. The $31 million of lower revenue reportability resulted from $4 million of lower revenue reportability in 2012 compared to $27 million of higher revenue reportability in the prior year. Revenue reportability was impacted unfavorably in 2012 because certain financed sales did not meet the down payment requirement for revenue recognition purposes prior to the end of the period, while revenue reportability in 2011 was favorably impacted because certain 2010 financed sales did not meet the requirements for revenue recognition purposes until 2011.</w:t>
      </w:r>
    </w:p>
    <w:p>
      <w:pPr>
        <w:spacing w:after="0" w:line="19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increase in development margin reflects a $38 million increase from higher contract sales volume net of lower direct variable expenses (i.e., cost of vacation ownership products and marketing and sales) mainly from more efficient marketing and sales spending and a favorable mix of real estate inventory being sold, $27 million of favorable product cost true-ups ($27 million of favorable product cost true-ups in 2012 compared to $0 product cost true-ups in the prior year), and $6 million of charges incurred in the prior year, including $3 million of severance costs and $3 million related to ADA compliance and Hurricane Irene damage at our resort in the Bahamas. These increases were partially offset by a $17 million net impact from lower revenue reportability year-over-year, $2 million of higher vacation ownership notes receivable reserve activity, a $2 million charge related to higher than expected costs in 2012 associated with the redemption of Marriott Reward Points issued prior to the Spin-Off, $1 million of severance costs incurred in 2012 and a $1 million charge related to the settlement of a construction related dispute at one of our properties.</w:t>
      </w:r>
    </w:p>
    <w:p>
      <w:pPr>
        <w:spacing w:after="0" w:line="17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favorable product cost true-ups recorded in 2012 were the result of $21 million from increases in estimated sales revenues we expect to generate over the life of the projects, primarily due to adjustments to future volume and pricing assumptions based upon our sales experience to date, and $6 million from lower overall development costs on specific projects that are substantially completed.</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9 percentage point improvement in the development margin percentage primarily reflects a 7 percentage point increase from lower cost of vacation ownership products due to the favorable product cost true-up activity (5 percentage points) and, to a lesser extent, a favorable mix of lower cost real estate inventory being sold, a 4 percentage point increase from efficiencies in marketing and sales spending, and a 1 percentage point improvement from higher contract sales volume. These increases were partially offset by a 3 percentage point decline due to lower revenue reportability.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Fiscal Years</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88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28.6%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 pts</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The increase in resort management and other services revenues was driven by $4 million of additional annual club dues earned in connection with the MVCD program due to the cumulative increase in owners enrolled in the program and $3 million of higher management fees resulting from the cumulative increase in the number of vacation ownership products sold and higher operating costs across the system. These increases were partially offset by $1 million of lower ancillary revenues, which reflected a $9 million decline due to the disposition of a golf course and related assets at one of our Ritz-Carlton branded projects late in 2012, partially offset by an $8 million increase in ancillary revenues from food and beverage and golf offerings at our other resorts.</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improvement in the resort management and other services margin reflected $4 million of additional annual club dues earned in connection with the MVCD program net of expenses, a $4 million benefit from the disposition of a golf course and related assets at one of our Ritz-Carlton branded projects late in 2012 that experienced an operating loss in 2012, a $3 million increase in customer services margin resulting from lower operating expenses, $2 million of higher ancillary revenues net of expenses at our resorts, a $2 million increase in management fees net of expenses and $1 million of higher resales revenues net of expenses.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Fiscal Years</w:t>
            </w: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22.3%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16.8%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 pts</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increase in resort management and other services revenues reflects $7 million of additional annual club dues earned in connection with the MVCD program, $5 million of higher ancillary revenues from food and beverage and golf offerings, $3 million of higher management fees resulting from the cumulative increase in the number of vacation ownership products sold and higher operating costs across the system, and $1 million of higher resales revenues due to an increase in resales activity.</w:t>
      </w:r>
    </w:p>
    <w:p>
      <w:pPr>
        <w:spacing w:after="0" w:line="18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improvement in resort management and other services margin reflects $7 million of additional annual club dues earned in connection with the MVCD program net of expenses and lower variable enrollment costs due to fewer enrollments in 2012 than in the prior year, $4 million of higher ancillary revenues net of expenses, a $3 million increase in management fees and $1 million of higher resales revenues net of expenses.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Fiscal Years</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500" w:type="dxa"/>
            <w:vAlign w:val="bottom"/>
            <w:gridSpan w:val="2"/>
            <w:vMerge w:val="continue"/>
          </w:tcPr>
          <w:p>
            <w:pPr>
              <w:spacing w:after="0"/>
              <w:rPr>
                <w:sz w:val="12"/>
                <w:szCs w:val="12"/>
                <w:color w:val="auto"/>
              </w:rPr>
            </w:pPr>
          </w:p>
        </w:tc>
        <w:tc>
          <w:tcPr>
            <w:tcW w:w="3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2013</w:t>
            </w: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gridSpan w:val="2"/>
            <w:vMerge w:val="continue"/>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380" w:type="dxa"/>
            <w:vAlign w:val="bottom"/>
          </w:tcPr>
          <w:p>
            <w:pPr>
              <w:jc w:val="right"/>
              <w:ind w:right="145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decrease in financing revenues was primarily due to lower interest income from a lower outstanding vacation ownership notes receivable balance. This decline reflected our continued collection of existing vacation ownership notes receivable at a faster pace than our origination of new vacation ownership notes receivable. We expect financing propensity to remain at or near these levels in the future.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Years</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2011</w:t>
            </w:r>
          </w:p>
        </w:tc>
        <w:tc>
          <w:tcPr>
            <w:tcW w:w="4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136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153</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decrease in financing revenues was primarily due to lower interest income from a lower outstanding vacation ownership notes receivable balance. This decline reflects our continued collection of existing vacation ownership notes receivable at a faster pace than our origination of new vacation ownership notes receivable.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hold a significant amount of luxury inventory in the North America segment and as such, have a corresponding obligation to pay maintenance fees on the real estate interests we own. Because vacation ownership interests in our luxury inventory often consist of multiple weeks, and require upscale fit and finishes and levels of service to meet Ritz-Carlton brand standards, maintenance fees for luxury inventory are much higher than for our other inventory. We mitigate the maintenance fee expense to the extent possible through open market rental and internal sales-related marketing programs; however, our opportunities to rent this inventory are limited due to contractual and legal restrictions.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Fiscal Years</w:t>
            </w:r>
          </w:p>
        </w:tc>
        <w:tc>
          <w:tcPr>
            <w:tcW w:w="8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233</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198</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35</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194"/>
              <w:spacing w:after="0"/>
              <w:rPr>
                <w:sz w:val="20"/>
                <w:szCs w:val="20"/>
                <w:color w:val="auto"/>
              </w:rPr>
            </w:pPr>
            <w:r>
              <w:rPr>
                <w:rFonts w:ascii="Arial" w:cs="Arial" w:eastAsia="Arial" w:hAnsi="Arial"/>
                <w:sz w:val="18"/>
                <w:szCs w:val="18"/>
                <w:color w:val="auto"/>
                <w:w w:val="88"/>
              </w:rPr>
              <w:t>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Unsold maintenance fees—upscale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780" w:type="dxa"/>
            <w:vAlign w:val="bottom"/>
            <w:gridSpan w:val="2"/>
          </w:tcPr>
          <w:p>
            <w:pPr>
              <w:jc w:val="center"/>
              <w:ind w:left="54"/>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fees—luxury</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9"/>
                <w:szCs w:val="19"/>
                <w:color w:val="auto"/>
              </w:rPr>
            </w:pPr>
          </w:p>
        </w:tc>
        <w:tc>
          <w:tcPr>
            <w:tcW w:w="780" w:type="dxa"/>
            <w:vAlign w:val="bottom"/>
            <w:gridSpan w:val="2"/>
          </w:tcPr>
          <w:p>
            <w:pPr>
              <w:jc w:val="center"/>
              <w:ind w:left="54"/>
              <w:spacing w:after="0"/>
              <w:rPr>
                <w:sz w:val="20"/>
                <w:szCs w:val="20"/>
                <w:color w:val="auto"/>
              </w:rPr>
            </w:pPr>
            <w:r>
              <w:rPr>
                <w:rFonts w:ascii="Arial" w:cs="Arial" w:eastAsia="Arial" w:hAnsi="Arial"/>
                <w:sz w:val="18"/>
                <w:szCs w:val="18"/>
                <w:color w:val="auto"/>
                <w:w w:val="91"/>
              </w:rPr>
              <w:t>(12%)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54"/>
              <w:spacing w:after="0"/>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Rental margin</w:t>
            </w:r>
          </w:p>
        </w:tc>
        <w:tc>
          <w:tcPr>
            <w:tcW w:w="9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9"/>
                <w:szCs w:val="19"/>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3.5 pts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Fiscal Years</w:t>
            </w:r>
          </w:p>
        </w:tc>
        <w:tc>
          <w:tcPr>
            <w:tcW w:w="80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15"/>
                <w:szCs w:val="15"/>
                <w:color w:val="auto"/>
              </w:rPr>
              <w:t>(1)</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1,005,851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874,927</w:t>
            </w:r>
          </w:p>
        </w:tc>
        <w:tc>
          <w:tcPr>
            <w:tcW w:w="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130,924</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194"/>
              <w:spacing w:after="0"/>
              <w:rPr>
                <w:sz w:val="20"/>
                <w:szCs w:val="20"/>
                <w:color w:val="auto"/>
              </w:rPr>
            </w:pPr>
            <w:r>
              <w:rPr>
                <w:rFonts w:ascii="Arial" w:cs="Arial" w:eastAsia="Arial" w:hAnsi="Arial"/>
                <w:sz w:val="18"/>
                <w:szCs w:val="18"/>
                <w:color w:val="auto"/>
                <w:w w:val="88"/>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199.65</w:t>
            </w:r>
          </w:p>
        </w:tc>
        <w:tc>
          <w:tcPr>
            <w:tcW w:w="300" w:type="dxa"/>
            <w:vAlign w:val="bottom"/>
          </w:tcPr>
          <w:p>
            <w:pPr>
              <w:spacing w:after="0"/>
              <w:rPr>
                <w:sz w:val="18"/>
                <w:szCs w:val="18"/>
                <w:color w:val="auto"/>
              </w:rPr>
            </w:pP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181.65</w:t>
            </w:r>
          </w:p>
        </w:tc>
        <w:tc>
          <w:tcPr>
            <w:tcW w:w="6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18.00</w:t>
            </w:r>
          </w:p>
        </w:tc>
        <w:tc>
          <w:tcPr>
            <w:tcW w:w="600" w:type="dxa"/>
            <w:vAlign w:val="bottom"/>
          </w:tcPr>
          <w:p>
            <w:pPr>
              <w:spacing w:after="0"/>
              <w:rPr>
                <w:sz w:val="18"/>
                <w:szCs w:val="18"/>
                <w:color w:val="auto"/>
              </w:rPr>
            </w:pPr>
          </w:p>
        </w:tc>
        <w:tc>
          <w:tcPr>
            <w:tcW w:w="680" w:type="dxa"/>
            <w:vAlign w:val="bottom"/>
          </w:tcPr>
          <w:p>
            <w:pPr>
              <w:jc w:val="center"/>
              <w:ind w:left="194"/>
              <w:spacing w:after="0"/>
              <w:rPr>
                <w:sz w:val="20"/>
                <w:szCs w:val="20"/>
                <w:color w:val="auto"/>
              </w:rPr>
            </w:pPr>
            <w:r>
              <w:rPr>
                <w:rFonts w:ascii="Arial" w:cs="Arial" w:eastAsia="Arial" w:hAnsi="Arial"/>
                <w:sz w:val="18"/>
                <w:szCs w:val="18"/>
                <w:color w:val="auto"/>
                <w:w w:val="88"/>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0.0 pts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increase in rental revenues was due to a 15 percent increase in transient keys rented ($25 million), which were primarily sourced from a 10 percent increase in available keys (159,000 additional available keys) resulting from an increase in the number of owners choosing to exchange their vacation ownership interests for alternative usage options, additional inventory from a new phase completed at one of our projects in Hawaii after the end of the second quarter of 2012 and a lower utilization of plus points for stays at our resorts, as well as a 10 percent increase in average transient rate ($18 million) driven by stronger consumer demand and a favorable mix of available inventory. These increases were partially offset by an $8 million decrease in plus points revenue (which is recognized upon utilization of plus points for stays at our resorts or upon expiration of the points) resulting from the decline in new enrollments in the MVCD program by existing owners (due to the maturity of the MVCD program) and corresponding decline in the issuance of plus points as incentives for enrollment in the MVCD program.</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increase in rental margin reflected $14 million of higher rental revenues net of direct variable expenses (such as housekeeping) and expenses incurred due to owners choosing alternative usage options and higher unsold maintenance fees, as well as $3 million of lower charges associated with Marriott Rewards Points issued prior to the Spin-Off ($4 million of higher than expected redemption costs in 2013 compared to $7 million of higher than expected redemption costs in 2012). These increases were partially offset by the $8 million decline in plus points revenue. The increase in unsold maintenance fees reflected the addition of new inventory upon completion of a phase at one of our projects in Hawaii in 2012, as well as increased expenses associated with our inventory repurchase program.</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Fiscal Years</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Unsold maintenance fees—upscale</w:t>
            </w: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fees—luxury</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Rental margin</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 pts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Fiscal Years</w:t>
            </w:r>
          </w:p>
        </w:tc>
        <w:tc>
          <w:tcPr>
            <w:tcW w:w="7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15"/>
                <w:szCs w:val="15"/>
                <w:color w:val="auto"/>
              </w:rPr>
              <w:t>(1)</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874,927</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797,328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77,599</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181.65</w:t>
            </w:r>
          </w:p>
        </w:tc>
        <w:tc>
          <w:tcPr>
            <w:tcW w:w="260" w:type="dxa"/>
            <w:vAlign w:val="bottom"/>
          </w:tcPr>
          <w:p>
            <w:pPr>
              <w:spacing w:after="0"/>
              <w:rPr>
                <w:sz w:val="18"/>
                <w:szCs w:val="18"/>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176.55</w:t>
            </w: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5.10</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 pts)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increase in rental revenues is primarily due to $14 million from a 10 percent increase in transient keys rented, which were primarily sourced from an 8 percent increase in available keys (117,000 additional available keys) due to more owners choosing to exchange their vacation ownership interests for alternative usage options (primarily usage of our Explorer program), and $4 million from a 3 percent increase in average transient rate driven by stronger consumer demand and mix of available inventory, partially offset by the recognition of $4 million of lower plus points revenue (which is recognized upon utilization of plus points for stays at our resorts or upon expiration of the points).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increase in rental margin reflects $15 million of higher rental revenues net of direct variable expenses (such as housekeeping) and expenses incurred due to owners choosing alternative usage options due to stronger rental demand and more effective monetization of the increased available keys, $2 million of lower maintenance fees on unsold inventory and a $2 million decline in subsidy expenses. This increase was partially offset by a $7 million charge related to higher than expected costs in 2012 associated with the redemption of Marriott Rewards Points issued prior to the Spin-Off, and the $4 million decrease in plus points revenue.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Fiscal Years</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reimbursements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Royalty fee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6520" w:type="dxa"/>
            <w:vAlign w:val="bottom"/>
          </w:tcPr>
          <w:p>
            <w:pPr>
              <w:ind w:left="720"/>
              <w:spacing w:after="0"/>
              <w:rPr>
                <w:sz w:val="20"/>
                <w:szCs w:val="20"/>
                <w:color w:val="auto"/>
              </w:rPr>
            </w:pPr>
            <w:r>
              <w:rPr>
                <w:rFonts w:ascii="Arial" w:cs="Arial" w:eastAsia="Arial" w:hAnsi="Arial"/>
                <w:sz w:val="18"/>
                <w:szCs w:val="18"/>
                <w:color w:val="auto"/>
              </w:rPr>
              <w:t>Segment financial results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Fiscal Years</w:t>
            </w:r>
          </w:p>
        </w:tc>
        <w:tc>
          <w:tcPr>
            <w:tcW w:w="2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244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6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2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34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 sales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34</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decline in contract sales reflected $11 million as we continued our strategy to sell through developer inventory and $3 million as a result of higher rescission activity due to the extended rescission periods in this segment during the second quarter of 2013.</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1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1320" w:type="dxa"/>
            <w:vAlign w:val="bottom"/>
            <w:gridSpan w:val="6"/>
          </w:tcPr>
          <w:p>
            <w:pPr>
              <w:ind w:left="100"/>
              <w:spacing w:after="0"/>
              <w:rPr>
                <w:sz w:val="20"/>
                <w:szCs w:val="20"/>
                <w:color w:val="auto"/>
              </w:rPr>
            </w:pPr>
            <w:r>
              <w:rPr>
                <w:rFonts w:ascii="Arial" w:cs="Arial" w:eastAsia="Arial" w:hAnsi="Arial"/>
                <w:sz w:val="14"/>
                <w:szCs w:val="14"/>
                <w:b w:val="1"/>
                <w:bCs w:val="1"/>
                <w:color w:val="auto"/>
              </w:rPr>
              <w:t>Fiscal Years</w:t>
            </w:r>
          </w:p>
        </w:tc>
        <w:tc>
          <w:tcPr>
            <w:tcW w:w="20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7140" w:type="dxa"/>
            <w:vAlign w:val="bottom"/>
            <w:vMerge w:val="continue"/>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79"/>
              </w:rPr>
              <w:t>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 sales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decline in contract sales reflected our strategy to sell through developer inventory.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Fiscal Years</w:t>
            </w:r>
          </w:p>
        </w:tc>
        <w:tc>
          <w:tcPr>
            <w:tcW w:w="6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194"/>
              <w:spacing w:after="0"/>
              <w:rPr>
                <w:sz w:val="20"/>
                <w:szCs w:val="20"/>
                <w:color w:val="auto"/>
              </w:rPr>
            </w:pPr>
            <w:r>
              <w:rPr>
                <w:rFonts w:ascii="Arial" w:cs="Arial" w:eastAsia="Arial" w:hAnsi="Arial"/>
                <w:sz w:val="18"/>
                <w:szCs w:val="18"/>
                <w:color w:val="auto"/>
                <w:w w:val="88"/>
              </w:rPr>
              <w:t>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center"/>
              <w:ind w:left="54"/>
              <w:spacing w:after="0"/>
              <w:rPr>
                <w:sz w:val="20"/>
                <w:szCs w:val="20"/>
                <w:color w:val="auto"/>
              </w:rPr>
            </w:pPr>
            <w:r>
              <w:rPr>
                <w:rFonts w:ascii="Arial" w:cs="Arial" w:eastAsia="Arial" w:hAnsi="Arial"/>
                <w:sz w:val="18"/>
                <w:szCs w:val="18"/>
                <w:color w:val="auto"/>
                <w:w w:val="91"/>
              </w:rPr>
              <w:t>(80%)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88"/>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Development margin</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9"/>
                <w:szCs w:val="19"/>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43.5 pts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higher revenue from the sale of vacation ownership products reflected $36 million of higher revenue reportability and $1 million of lower vacation ownership notes receivable reserve activity, partially offset by a $14 million decline in contract sales. The $36 million of higher revenue reportability resulted from $25 million of higher revenue reportability in 2013 compared to $11 million of lower revenue reportability in the prior year. Revenue reportability was higher in the current year because the rescission period related to certain sales made in the current or prior periods expired before the end of the year, including $21 million of revenue reportability related to the impact of the extended rescission periods in this segment. The lower reportability in the prior year reflected the fact that certain sales made during or prior to that period remained in the statutory rescission period at the end of the period.</w:t>
      </w:r>
    </w:p>
    <w:p>
      <w:pPr>
        <w:spacing w:after="0" w:line="16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increase in development margin reflected $18 million of higher revenue reportability year-over-year related to the impact of the extended rescission periods in this segment, a $3 million increase from lower contract sales volume net of lower direct variable expenses (i.e., cost of vacation ownership products and marketing and sales) due to a favorable mix of lower cost real estate inventory being sold, a $1 million benefit from the lower estimated default and delinquency activity and $1 million of severance in 2012 as a result of eliminating positions at a regional call center. These increases were partially offset by $2 million of severance charges related to the restructuring of sales locations in early 2013, a $1 million net impact from the higher rescission activity due to the extended rescission periods in this segment and $1 million of favorable product cost true-ups in 2012.</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w w:val="92"/>
              </w:rPr>
              <w:t>Fiscal Years</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91"/>
              </w:rPr>
              <w:t>(28%)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8"/>
                <w:szCs w:val="18"/>
                <w:color w:val="auto"/>
              </w:rPr>
            </w:pPr>
          </w:p>
        </w:tc>
        <w:tc>
          <w:tcPr>
            <w:tcW w:w="680" w:type="dxa"/>
            <w:vAlign w:val="bottom"/>
          </w:tcPr>
          <w:p>
            <w:pPr>
              <w:jc w:val="center"/>
              <w:ind w:left="194"/>
              <w:spacing w:after="0"/>
              <w:rPr>
                <w:sz w:val="20"/>
                <w:szCs w:val="20"/>
                <w:color w:val="auto"/>
              </w:rPr>
            </w:pPr>
            <w:r>
              <w:rPr>
                <w:rFonts w:ascii="Arial" w:cs="Arial" w:eastAsia="Arial" w:hAnsi="Arial"/>
                <w:sz w:val="18"/>
                <w:szCs w:val="18"/>
                <w:color w:val="auto"/>
                <w:w w:val="88"/>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88"/>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Development margin</w:t>
            </w:r>
          </w:p>
        </w:tc>
        <w:tc>
          <w:tcPr>
            <w:tcW w:w="1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19"/>
                <w:szCs w:val="19"/>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(21.4 pts)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Revenues from the sale of vacation ownership products decreased $12 million from the prior year, driven by $9 million of lower contract sales, $2 million of lower revenue reportability and $1 million of higher vacation ownership notes receivable reserve activity. The $2 million of lower revenue reportability resulted from $11 million of lower revenue reportability in 2012 and $9 million of lower revenue reportability in the prior year. Revenue reportability was impacted unfavorably in both years as certain sales made during, or prior to, each period remained in the statutory rescission period as of the end of each year, including $9 million in 2012 and $7 million of revenue reportability in 2011 related to the impact of the extended rescission periods in this segment.</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development margin decline is due to a $5 million decrease in sales volume net of direct variable expenses (i.e., cost of vacation ownership products and marketing and sales), a $3 million decrease due to lower revenue reportability related to the impact of the extended rescission periods in this segment), $1 million of higher vacation ownership notes receivable reserve activity and $1 million of severance in 2012 as a result of eliminating positions at a regional call center. These declines are partially offset by $3 million of legal costs in 2011.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Fiscal Years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84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8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Rental</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8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Equity in earnings</w:t>
            </w:r>
          </w:p>
        </w:tc>
        <w:tc>
          <w:tcPr>
            <w:tcW w:w="1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Segment financial results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our Asia Pacific segment, we continue to identify opportunities for development margin improvement and, as a result, we closed our off-site sales locations in Hong Kong and Japan in the fourth quarter of 2012. Our on-site sales locations are more efficient sales channels than our off-site sales locations and we plan to focus on future inventory acquisitions with strong on-site sales distribution potential.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2"/>
              </w:rPr>
              <w:t>Fiscal Years</w:t>
            </w:r>
          </w:p>
        </w:tc>
        <w:tc>
          <w:tcPr>
            <w:tcW w:w="2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26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79"/>
              </w:rPr>
              <w:t>37</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57</w:t>
            </w: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 sales</w:t>
            </w: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37</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decline in contract sales reflected the closure of off-site sales locations in 2012, partially offset by improvements at existing sales locations. These changes resulted in a 53 percent decrease in sales tours and an $851 increase in VPG.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Fiscal Years</w:t>
            </w:r>
          </w:p>
        </w:tc>
        <w:tc>
          <w:tcPr>
            <w:tcW w:w="400" w:type="dxa"/>
            <w:vAlign w:val="bottom"/>
          </w:tcPr>
          <w:p>
            <w:pPr>
              <w:spacing w:after="0"/>
              <w:rPr>
                <w:sz w:val="14"/>
                <w:szCs w:val="14"/>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4"/>
                <w:szCs w:val="14"/>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26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79"/>
              </w:rPr>
              <w:t>57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 sales</w:t>
            </w: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57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decline in contract sales reflects the impact of 23 percent fewer tours due to the closure of our off-site sales locations in Hong Kong and Japan in the fourth quarter of 2012, partially offset by a $124 increase in VPG.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00"/>
          </w:cols>
          <w:pgMar w:left="24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Fiscal Years</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91"/>
              </w:rPr>
              <w:t>(38%)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680" w:type="dxa"/>
            <w:vAlign w:val="bottom"/>
          </w:tcPr>
          <w:p>
            <w:pPr>
              <w:jc w:val="center"/>
              <w:ind w:left="194"/>
              <w:spacing w:after="0"/>
              <w:rPr>
                <w:sz w:val="20"/>
                <w:szCs w:val="20"/>
                <w:color w:val="auto"/>
              </w:rPr>
            </w:pPr>
            <w:r>
              <w:rPr>
                <w:rFonts w:ascii="Arial" w:cs="Arial" w:eastAsia="Arial" w:hAnsi="Arial"/>
                <w:sz w:val="18"/>
                <w:szCs w:val="18"/>
                <w:color w:val="auto"/>
                <w:w w:val="88"/>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Development margin</w:t>
            </w:r>
          </w:p>
        </w:tc>
        <w:tc>
          <w:tcPr>
            <w:tcW w:w="1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16.2 pts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increase in development margin was due to $4 million of charges related to the closure of our off-site sales locations in the fourth quarter of 2012. The lower sales volume net of direct variable expenses (i.e., cost of vacation ownership products and marketing and sales) was flat compared to 2012 as the lower sales volumes were offset by more efficient marketing and sales spending at our existing sales locations in 2013. There were nearly $2 million of favorable product cost true-ups in 2013 and 2012.</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Years</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ind w:left="154"/>
              <w:spacing w:after="0"/>
              <w:rPr>
                <w:sz w:val="20"/>
                <w:szCs w:val="20"/>
                <w:color w:val="auto"/>
              </w:rPr>
            </w:pPr>
            <w:r>
              <w:rPr>
                <w:rFonts w:ascii="Arial" w:cs="Arial" w:eastAsia="Arial" w:hAnsi="Arial"/>
                <w:sz w:val="18"/>
                <w:szCs w:val="18"/>
                <w:color w:val="auto"/>
                <w:w w:val="91"/>
              </w:rPr>
              <w:t>(20%)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8"/>
                <w:szCs w:val="18"/>
                <w:color w:val="auto"/>
              </w:rPr>
            </w:pPr>
          </w:p>
        </w:tc>
        <w:tc>
          <w:tcPr>
            <w:tcW w:w="680" w:type="dxa"/>
            <w:vAlign w:val="bottom"/>
          </w:tcPr>
          <w:p>
            <w:pPr>
              <w:jc w:val="center"/>
              <w:ind w:left="194"/>
              <w:spacing w:after="0"/>
              <w:rPr>
                <w:sz w:val="20"/>
                <w:szCs w:val="20"/>
                <w:color w:val="auto"/>
              </w:rPr>
            </w:pPr>
            <w:r>
              <w:rPr>
                <w:rFonts w:ascii="Arial" w:cs="Arial" w:eastAsia="Arial" w:hAnsi="Arial"/>
                <w:sz w:val="18"/>
                <w:szCs w:val="18"/>
                <w:color w:val="auto"/>
                <w:w w:val="88"/>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194"/>
              <w:spacing w:after="0"/>
              <w:rPr>
                <w:sz w:val="20"/>
                <w:szCs w:val="20"/>
                <w:color w:val="auto"/>
              </w:rPr>
            </w:pPr>
            <w:r>
              <w:rPr>
                <w:rFonts w:ascii="Arial" w:cs="Arial" w:eastAsia="Arial" w:hAnsi="Arial"/>
                <w:sz w:val="18"/>
                <w:szCs w:val="18"/>
                <w:color w:val="auto"/>
                <w:w w:val="88"/>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Development margin</w:t>
            </w:r>
          </w:p>
        </w:tc>
        <w:tc>
          <w:tcPr>
            <w:tcW w:w="1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9"/>
                <w:szCs w:val="19"/>
                <w:color w:val="auto"/>
              </w:rPr>
            </w:pPr>
          </w:p>
        </w:tc>
        <w:tc>
          <w:tcPr>
            <w:tcW w:w="780" w:type="dxa"/>
            <w:vAlign w:val="bottom"/>
            <w:gridSpan w:val="2"/>
          </w:tcPr>
          <w:p>
            <w:pPr>
              <w:jc w:val="center"/>
              <w:ind w:left="54"/>
              <w:spacing w:after="0"/>
              <w:rPr>
                <w:sz w:val="20"/>
                <w:szCs w:val="20"/>
                <w:color w:val="auto"/>
              </w:rPr>
            </w:pPr>
            <w:r>
              <w:rPr>
                <w:rFonts w:ascii="Arial" w:cs="Arial" w:eastAsia="Arial" w:hAnsi="Arial"/>
                <w:sz w:val="18"/>
                <w:szCs w:val="18"/>
                <w:color w:val="auto"/>
                <w:w w:val="91"/>
              </w:rPr>
              <w:t>(57%)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(2.5 pts)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development margin decline was due to $4 million of charges related to the closure of our off-site sales locations in the fourth quarter of 2012, partially offset by $2 million of favorable product cost true-ups and $1 million from the lower sales volume net of direct variable expenses (i.e., cost of vacation ownership products and marketing and sales) due to the closure of our less efficient off-site sales locations in Hong Kong and Japan in the fourth quarter of 2012. The favorable product cost true-up activity includes nearly $2 million of favorable product cost true-ups in 2012 and less than $1 million of unfavorable product cost true-ups in the prior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Fiscal Years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Cost of vacation ownership products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Financing</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Organizational and separation related</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Royalty fee</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supporting overall company development, company-wide general and administrative costs, the fixed royalty fee payable under the License Agreements, as well as consumer financing interest expense.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2013 Compared to 2012</w:t>
      </w:r>
    </w:p>
    <w:p>
      <w:pPr>
        <w:spacing w:after="0" w:line="117" w:lineRule="exact"/>
        <w:rPr>
          <w:sz w:val="20"/>
          <w:szCs w:val="20"/>
          <w:color w:val="auto"/>
        </w:rPr>
      </w:pPr>
    </w:p>
    <w:p>
      <w:pPr>
        <w:jc w:val="both"/>
        <w:ind w:right="320" w:firstLine="456"/>
        <w:spacing w:after="0" w:line="286" w:lineRule="auto"/>
        <w:rPr>
          <w:sz w:val="20"/>
          <w:szCs w:val="20"/>
          <w:color w:val="auto"/>
        </w:rPr>
      </w:pPr>
      <w:r>
        <w:rPr>
          <w:rFonts w:ascii="Arial" w:cs="Arial" w:eastAsia="Arial" w:hAnsi="Arial"/>
          <w:sz w:val="17"/>
          <w:szCs w:val="17"/>
          <w:color w:val="auto"/>
        </w:rPr>
        <w:t>Total expenses were flat compared to the prior year. The decrease of $10 million of lower consumer financing interest expense, $3 million of lower organizational and separation related expenses and $1 million of lower financing expenses due to lower foreclosure activity, was offset by $13 million of higher general and administrative expenses and $1 million of higher cost of vacation ownership products.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$10 million decline in consumer financing interest expense was due to lower outstanding debt balances of securitized vacation ownership notes receivable and associated interest costs ($5 million) as well as a lower average interest rate ($5 million). The lower average interest rate reflected the continued pay-down of older securitization transactions that carried higher overall interest rates and the benefit of lower interest rates applicable to our most recently completed securitizations of vacation ownership notes receivable.</w:t>
      </w:r>
    </w:p>
    <w:p>
      <w:pPr>
        <w:spacing w:after="0" w:line="18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$13 million of higher general and administrative expense was due to $9 million of higher personnel related costs (including $1 million due to the fact that 2013 had 53 weeks), $8 million of higher legal expenses, $2 million of higher stand-alone public company costs and $1 million of higher audit related expenses. These increases were offset by $4 million of savings related to organizational and separation related efforts in the human resources, information technology and finance and accounting areas, $2 million from lower depreciation expense and $1 million from the favorable resolution of an international non-income tax matter.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117"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Total expenses decreased $146 million over the prior year. The $146 million decrease was the result of $205 million of impairment charges incurred in the prior year, $6 million of lower consumer financing interest expense and $2 million of lower financing expenses, partially offset by $46 million of higher royalty fees in 2012, $15 million of organizational and separation related costs incurred in 2012, $5 million of higher general and administrative expenses in 2012 and $1 million of higher cost of vacation ownership products in 2012 due to higher non-capitalizable development costs.</w:t>
      </w:r>
    </w:p>
    <w:p>
      <w:pPr>
        <w:spacing w:after="0" w:line="154"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$5 million increase in general and administrative expenses was due to $5 million of incremental stand-alone public company costs and $4 million of higher personnel related costs (in the form of higher bonus costs and merit-based compensation), partially offset by $4 million of cost savings).</w:t>
      </w:r>
    </w:p>
    <w:p>
      <w:pPr>
        <w:spacing w:after="0" w:line="124"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Consumer financing interest expense decreased $6 million (from $47 million to $41 million) due to lower outstanding debt balances of securitized vacation ownership notes receivable and associated interest costs, partially offset by interest expense and amortized costs associated with the Warehouse Credit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See Footnote No. 1, “Summary of Significant Accounting Policies,” to our Financial Statements for information related to our adoption of new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capital needs are supported by cash on hand ($200 million at the end of 2013), cash generated from operations, our ability to raise capital through securitizations in the ABS market, and to the extent necessary, funds available under the Warehouse Credit Facility and the Revolving Corporate Credit Facility. We believe these sources will be adequate to meet our short-term and long-term liquidity requirements, finance our long-term growth plans, satisfy debt service requirements, and fulfill other cash requirements. At the end of 2013, $674 million of the $678 million of total debt outstanding was non-recourse debt associated with vacation ownership notes receivable securitizations. In addition, we have $40 million of mandatorily redeemable preferred stock of a consolidated subsidiary that we are not required to redeem until October 2021; however, we may redeem the preferred stock after October 2016 at our option.</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sufficient real estate inventory to meet expected demand for our vacation ownership products for the next several years. At the end of 2013, we had $864 million of real estate inventory on hand, comprised of $369 million of finished goods, $151 million of work-in-process, and $344 million of land and infrastructure. As a result, we expect our real estate inventory spending (discussed below) will be less than or in line with cost of vacation ownership products for the near term. We also expect to sell excess Ritz-Carlton branded inventory and dispose of certain undeveloped and partially developed land over the next few years, and plan to sell additional Ritz-Carlton branded inventory through the MVCD program in order to generate incremental cash and reduce related carrying costs.</w:t>
      </w:r>
    </w:p>
    <w:p>
      <w:pPr>
        <w:spacing w:after="0" w:line="19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vacation ownership product offerings also allow us to utilize our real estate inventory efficiently. The majority of our sales are of a points-based product, which permits us to sell vacation ownership products at most of our sales locations, including those where little or no weeks-based inventory remains available for sale. Because we no longer need specific resort-based inventory at each sales location, we have fewer resorts under construction at any given time and can better leverage successful sales locations at completed resorts than in periods before we launched the MVCD program. This allows us to maintain long-term sales locations and reduces the need to develop and staff on-site sales locations at smaller projects in the future. We believe our points-based programs better position us to align our construction of real estate inventory with the pace of sale of vacation ownership products by slowing down or accelerating construction, as demand across our portfolio and market conditions dictate.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intend to selectively pursue growth opportunities in North America and Asia by targeting high-quality inventory sources that allow us to add desirable new locations to our system, as well as new sales locations, through transactions that limit our capital investment. These “asset light” deals could be structured as turn-key developments with third-party partners, purchases of constructed inventory just prior to sale, or fee-for-service arrangements.</w:t>
      </w:r>
    </w:p>
    <w:p>
      <w:pPr>
        <w:spacing w:after="0" w:line="14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In 2012, we completed the sale of the golf course, clubhouse and spa formerly known as The Ritz-Carlton Golf Club and Spa, Jupiter, which was classified within our North America segment, for $34 million, including $5 million of cash and the assumption by the purchaser of liabilities with a book value of $29 million. We also recorded a net gain of $8 million related to this disposition.</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October 8, 2013, our Board of Directors authorized a share repurchase program under which we may purchase up to 3,500,000 shares of our common stock prior to March 28, 2015. The specific timing, amount and other terms of the repurchases will depend on market conditions, corporate and regulatory requirements and other factors. In connection with the repurchase program, we are authorized to adopt one or more plans pursuant to the provisions of Rule 10b5-1 under the Exchange Act. During 2013 we repurchased 505,023 shares for $26 million, at an average price per share of $50.76. See Footnote No. 13, “Shareholders’ Equity,” to our Financial Statements for further information related to the share repurchase program.</w:t>
      </w:r>
    </w:p>
    <w:p>
      <w:pPr>
        <w:spacing w:after="0" w:line="17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During 2013, 2012 and 2011, we had net changes in cash and cash equivalents of $97 million, ($7) million and $84 million, respectively, including distributions to Marriott International of $64 million in 2011. The following table summarizes these changes: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Years</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4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2013</w:t>
            </w:r>
          </w:p>
        </w:tc>
        <w:tc>
          <w:tcPr>
            <w:tcW w:w="7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140"/>
              <w:spacing w:after="0"/>
              <w:rPr>
                <w:sz w:val="20"/>
                <w:szCs w:val="20"/>
                <w:color w:val="auto"/>
              </w:rPr>
            </w:pPr>
            <w:r>
              <w:rPr>
                <w:rFonts w:ascii="Arial" w:cs="Arial" w:eastAsia="Arial" w:hAnsi="Arial"/>
                <w:sz w:val="18"/>
                <w:szCs w:val="18"/>
                <w:color w:val="auto"/>
                <w:w w:val="99"/>
              </w:rPr>
              <w:t>162</w:t>
            </w:r>
          </w:p>
        </w:tc>
        <w:tc>
          <w:tcPr>
            <w:tcW w:w="7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163</w:t>
            </w:r>
          </w:p>
        </w:tc>
        <w:tc>
          <w:tcPr>
            <w:tcW w:w="7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3"/>
              </w:rPr>
              <w:t>(36)</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distribution to Marriott International</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720"/>
              <w:spacing w:after="0"/>
              <w:rPr>
                <w:sz w:val="20"/>
                <w:szCs w:val="20"/>
                <w:color w:val="auto"/>
              </w:rPr>
            </w:pPr>
            <w:r>
              <w:rPr>
                <w:rFonts w:ascii="Arial" w:cs="Arial" w:eastAsia="Arial" w:hAnsi="Arial"/>
                <w:sz w:val="18"/>
                <w:szCs w:val="18"/>
                <w:color w:val="auto"/>
              </w:rPr>
              <w:t>Other financing activities</w:t>
            </w:r>
          </w:p>
        </w:tc>
        <w:tc>
          <w:tcPr>
            <w:tcW w:w="140" w:type="dxa"/>
            <w:vAlign w:val="bottom"/>
          </w:tcPr>
          <w:p>
            <w:pPr>
              <w:spacing w:after="0"/>
              <w:rPr>
                <w:sz w:val="18"/>
                <w:szCs w:val="18"/>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(29)</w:t>
            </w:r>
          </w:p>
        </w:tc>
        <w:tc>
          <w:tcPr>
            <w:tcW w:w="14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change in exchange rates on cash and cash equivalents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tcPr>
          <w:p>
            <w:pPr>
              <w:ind w:left="1080"/>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center"/>
              <w:ind w:left="113"/>
              <w:spacing w:after="0"/>
              <w:rPr>
                <w:sz w:val="20"/>
                <w:szCs w:val="20"/>
                <w:color w:val="auto"/>
              </w:rPr>
            </w:pPr>
            <w:r>
              <w:rPr>
                <w:rFonts w:ascii="Arial" w:cs="Arial" w:eastAsia="Arial" w:hAnsi="Arial"/>
                <w:sz w:val="18"/>
                <w:szCs w:val="18"/>
                <w:color w:val="auto"/>
                <w:w w:val="89"/>
              </w:rPr>
              <w:t>97</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In 2013, we generated $162 million of cash flows from operating activities, compared to $163 million in 2012 and $321 million in 2011. 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or turnkey purchases of new inventory as well as funding our working capital needs.</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Cash from operating activities in 2013 and 2012 was also impacted by items in connection with the Spin-Off. We paid approximately $29 million in 2013 and $68 million in 2012 for cash taxes to taxing authorities, nearly $61 million in 2013 and just over $48 million in 2012 for royalty fees under the Licensing Agreements, $20 million in 2012 for expenses associated with the Spin-Off, nearly $45 million in 2013 and $20 million in 2012 of higher net cash payments for Marriott Rewards Points and approximately $21 million in 2013 and $15 million in 2012 for costs associated with our organizational and separation related efforts. As a result of the increase in deferred tax liabilities associated with deferred sales of vacation ownership interests, we expect cash taxes to be less than our income tax expense in the near term.</w:t>
      </w:r>
    </w:p>
    <w:p>
      <w:pPr>
        <w:spacing w:after="0" w:line="19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We minimize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the rate at which owners finance their vacation ownership purchase with us and cash outlays for real estate inventory acquisition and development.</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recorded $15 million of residential contract sales in 2013, as we continue to execute our strategy to dispose of excess inventory, including $5 million associated with three units at the RCC San Francisco, which we bought back as part of a legal settlement at the end of 2012. We expect to dispose of the remainder of these units in 2014, which should generate approximately $13 million of net cash proceeds.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to net income (loss) and adjustments for non-cash items, the following operating activities are key drivers of our cash flow from operating activities: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estate inventory spending less than cost of sales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Fiscal Years</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inventory spending</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54"/>
              <w:spacing w:after="0"/>
              <w:rPr>
                <w:sz w:val="20"/>
                <w:szCs w:val="20"/>
                <w:color w:val="auto"/>
              </w:rPr>
            </w:pPr>
            <w:r>
              <w:rPr>
                <w:rFonts w:ascii="Arial" w:cs="Arial" w:eastAsia="Arial" w:hAnsi="Arial"/>
                <w:sz w:val="18"/>
                <w:szCs w:val="18"/>
                <w:color w:val="auto"/>
                <w:w w:val="90"/>
              </w:rPr>
              <w:t>(114)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Real estate inventory costs</w:t>
            </w:r>
          </w:p>
        </w:tc>
        <w:tc>
          <w:tcPr>
            <w:tcW w:w="1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94"/>
              <w:spacing w:after="0"/>
              <w:rPr>
                <w:sz w:val="20"/>
                <w:szCs w:val="20"/>
                <w:color w:val="auto"/>
              </w:rPr>
            </w:pPr>
            <w:r>
              <w:rPr>
                <w:rFonts w:ascii="Arial" w:cs="Arial" w:eastAsia="Arial" w:hAnsi="Arial"/>
                <w:sz w:val="18"/>
                <w:szCs w:val="18"/>
                <w:color w:val="auto"/>
                <w:w w:val="86"/>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 estate inventory spending less than cost of sales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6"/>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Statements of Operations related to sale of vacation ownership products (a non-cash item).</w:t>
      </w:r>
    </w:p>
    <w:p>
      <w:pPr>
        <w:spacing w:after="0" w:line="124"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Given the significant level of completed real estate inventory on hand, as well as the capital efficiency resulting from the MVCD program, our spending for real estate inventory remained below the amount of real estate inventory costs in each of 2013, 2012 and 2011. We expect our real estate inventory spending to remain in line with or below real estate inventory costs in the near term.</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real estate inventory spending in 2012 included $7 million required under a commitment to purchase vacation ownership units in our Asia Pacific segment upon completion of construction.</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 for the next several years.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 receivable collections in excess of new mortgages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Fiscal Years</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2012</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collections — non-securitized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Vacation ownership notes receivable collections — securitized</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New vacation ownership notes receivable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9"/>
        </w:trPr>
        <w:tc>
          <w:tcPr>
            <w:tcW w:w="6160" w:type="dxa"/>
            <w:vAlign w:val="bottom"/>
          </w:tcPr>
          <w:p>
            <w:pPr>
              <w:ind w:left="360"/>
              <w:spacing w:after="0"/>
              <w:rPr>
                <w:sz w:val="20"/>
                <w:szCs w:val="20"/>
                <w:color w:val="auto"/>
              </w:rPr>
            </w:pPr>
            <w:r>
              <w:rPr>
                <w:rFonts w:ascii="Arial" w:cs="Arial" w:eastAsia="Arial" w:hAnsi="Arial"/>
                <w:sz w:val="18"/>
                <w:szCs w:val="18"/>
                <w:color w:val="auto"/>
              </w:rPr>
              <w:t>Vacation ownership notes receivable collections in excess of new</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540"/>
              <w:spacing w:after="0"/>
              <w:rPr>
                <w:sz w:val="20"/>
                <w:szCs w:val="20"/>
                <w:color w:val="auto"/>
              </w:rPr>
            </w:pPr>
            <w:r>
              <w:rPr>
                <w:rFonts w:ascii="Arial" w:cs="Arial" w:eastAsia="Arial" w:hAnsi="Arial"/>
                <w:sz w:val="18"/>
                <w:szCs w:val="18"/>
                <w:color w:val="auto"/>
              </w:rPr>
              <w:t>mortgages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for all periods reported. Collections declined slightly in 2013 compared to 2012 due to the declining vacation ownership notes receivable balance. New vacation ownership notes receivable decreased slightly in 2013 compared to 2012 due to a slight decrease in financing propensity to 42 percent in 2013 from 43 percent in 2012, offset partially by an increase in vacation ownership product sales volumes. We expect financing propensity to remain at or near these levels in the future.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2013, and as of January 3, 2014, no securitized vacation ownership notes receivable pools were out of compliance with established performance parameters. For 2012 and 2011, approximately $1 million and $3 million of cash flows, respectively, were redirected as a result of receivable pools failing to meet established performance parameters during those years. See Footnote No. 10, “Debt,” to our Financial Statements for additional information regarding the failure of certain securitization pools to perform within established parameters and the resulting redirection of cash flows. At January 3, 2014, we had seven securitized vacation ownership notes receivable pools outstanding.</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Fiscal Years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2013</w:t>
            </w:r>
          </w:p>
        </w:tc>
        <w:tc>
          <w:tcPr>
            <w:tcW w:w="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2012</w:t>
            </w:r>
          </w:p>
        </w:tc>
        <w:tc>
          <w:tcPr>
            <w:tcW w:w="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Note collections</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restricted cash</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Dispositions</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459" w:right="2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Capital expenditures for property and equipment relates to spending for technology development, buildings and equipment used at sales locations, and ancillary offerings, such as food and beverage offerings at locations where these are provided.</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2013, capital expenditures for property and equipment of $22 million included $14 million of spending to support business operations (including $11 million for ancillary and operations assets and $3 million for sales locations) and $8 million for technology spending (including $7 million for Spin-Off related initiatives).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2012, capital expenditures for property and equipment of $17 million included $12 million spent to support business operations (including $9 million for ancillary and operations assets and $3 million for sales locations) and $5 million for technology spending (including $2 million for Spin-Off related initiatives).</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2011, capital expenditures for property and equipment of $15 million included $10 million for technology spending (including $7 million related to systems enhancements supporting the MVCD program and $2 million for Spin-Off related initiatives) and $5 million to support business operations (including $3 million for ancillary and operations assets and $2 million for sales locations).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collections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collections in 2011 relate to monies collected from a related party.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(Increase) decrease in restricted cash</w:t>
      </w:r>
    </w:p>
    <w:p>
      <w:pPr>
        <w:spacing w:after="0" w:line="11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Restricted cash primarily consists of cash held in reserve accounts related to vacation ownership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expired, depending on legal requirements.</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2013 increase in restricted cash mainly reflects $14 million of higher cash collections for maintenance fees to be remitted to certain property owners’ associations subsequent to the end of 2013 and $3 million of higher cash collected mainly in connection with securitized vacation ownership notes receivable that was distributed to investors subsequent to the end of 2013.</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2012 decrease in restricted cash mainly reflects $11 million of lower cash collected in connection with securitized vacation ownership notes receivable that was distributed to investors subsequent to the end of 2012 (due to four fewer securitized pools outstanding in 2012 as compared to 2011) and, to a lesser extent, lower cash collections for maintenance fees to be remitted to certain property owners’ associations.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2011 increase in restricted cash reflects higher cash collections for maintenance fees to be remitted to certain property owners’ associations.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Dispositions of property and assets generated cash proceeds of $3 million in 2013, $8 million in 2012 and $19 million in 2011. The 2013 dispositions related to the sale of a multi-family parcel and several lots in St. Thomas, U.S. Virgin Islands. The 2012 dispositions primarily related to a disposition of a golf course and related assets at one of our luxury projects (which were classified as property and equipment and other liabilities within our North America segment) for cash of $5 million which generated a net gain of $8 million. The $19 million of dispositions in 2011 primarily related to the bulk sale of excess land and developed inventory (which were classified as inventory within our North America segment).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Fiscal Years</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Borrowings from securitization transactions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Bonds payable on securitized vacation ownership notes receivable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20"/>
              <w:spacing w:after="0"/>
              <w:rPr>
                <w:sz w:val="20"/>
                <w:szCs w:val="20"/>
                <w:color w:val="auto"/>
              </w:rPr>
            </w:pPr>
            <w:r>
              <w:rPr>
                <w:rFonts w:ascii="Arial" w:cs="Arial" w:eastAsia="Arial" w:hAnsi="Arial"/>
                <w:sz w:val="18"/>
                <w:szCs w:val="18"/>
                <w:color w:val="auto"/>
                <w:w w:val="99"/>
              </w:rPr>
              <w:t>238</w:t>
            </w:r>
          </w:p>
        </w:tc>
        <w:tc>
          <w:tcPr>
            <w:tcW w:w="3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Warehouse Credit Facility</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72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93"/>
              </w:rPr>
              <w:t>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 related to securitization transactions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Bonds payable on securitized vacation ownership notes receivable</w:t>
            </w:r>
          </w:p>
        </w:tc>
        <w:tc>
          <w:tcPr>
            <w:tcW w:w="1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(293)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Warehouse Credit Facility</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320" w:type="dxa"/>
            <w:vAlign w:val="bottom"/>
          </w:tcPr>
          <w:p>
            <w:pPr>
              <w:ind w:left="72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Corporate Credit Facility</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Repayment on Revolving Corporate Credit Facility</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Repayment of third party debt</w:t>
            </w:r>
          </w:p>
        </w:tc>
        <w:tc>
          <w:tcPr>
            <w:tcW w:w="140" w:type="dxa"/>
            <w:vAlign w:val="bottom"/>
          </w:tcPr>
          <w:p>
            <w:pPr>
              <w:spacing w:after="0"/>
              <w:rPr>
                <w:sz w:val="18"/>
                <w:szCs w:val="18"/>
                <w:color w:val="auto"/>
              </w:rPr>
            </w:pPr>
          </w:p>
        </w:tc>
        <w:tc>
          <w:tcPr>
            <w:tcW w:w="8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Proceeds from stock option exercises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4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distribution to Marriott International</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10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Renewal of Warehouse Credit Facility</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2013, we entered into an amendment (the “Amendment”) to certain of the agreements associated with the Warehouse Credit Facility. As a result of the Amendment, the revolving period was extended to September 5, 2015, and borrowings under the Warehouse Credit Facility bear interest at a rate based on a blend of the one-month LIBOR and bank conduit commercial paper rates plus 1.2 percent per annum and are generally limited at any point to the sum of the products of the applicable advance rates and the eligible vacation ownership notes receivable at such time. The Amendment also expands the eligibility for certain collateral by permitting some vacation ownership notes receivable from domestic borrowers with low or no credit scores to be securitized through the Warehouse Credit Facility. Other terms of the Warehouse Credit Facility are substantially similar to those in effect prior to the Amendment. In addition to the amendments described above, the Amendment also includes certain modifications intended to comply with provisions of the Dodd-Frank Wall Street Reform and Consumer Protection Act (the “Dodd-Frank Act”) and A Global Regulatory Framework for More Resilient Banks and Banking Systems developed by the Basel Committee on Banking Supervision, initially published in December 2010 and generally referred to as “Basel III.”</w:t>
      </w:r>
    </w:p>
    <w:p>
      <w:pPr>
        <w:spacing w:after="0" w:line="16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At January 3, 2014, no amounts were outstanding under the Warehouse Credit Facility and $78 million of gross vacation ownership notes receivable were eligible for securitization.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During 2013, we entered into a First Amendment (the “Credit Agreement Amendment”) to the Revolving Corporate Credit Facility. Pursuant to the Revolving Corporate Credit Facility, the maximum ratio of consolidated total debt to consolidated adjusted EBITDA (as defined in the Revolving Corporate Credit Facility) that we are required to maintain was 6 to 1 through the end of the first quarter of 2013, decreasing to 5.75 to 1 through the end of the first quarter of 2014, and to 5.25 to 1 thereafter. Prior to the Credit Agreement Amendment, the ratio we were required to maintain was 6 to 1 through the end of the first quarter of 2013, then 5.25 to 1 through the end of the 2014 fiscal year, and 4.75 to 1 thereafter. In addition, the Credit Agreement Amendment provides for certain amendments to the definitions of “Consolidated Adjusted EBITDA” and “Consolidated Total Debt” that will provide us with additional flexibility.</w:t>
      </w:r>
    </w:p>
    <w:p>
      <w:pPr>
        <w:spacing w:after="0" w:line="18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addition to the changes described above, the Credit Agreement Amendment also includes modifications intended to comply with certain provisions of the Dodd-Frank Act regarding the guarantee of foreign exchange and interest rate swap transactions by certain of our subsidiaries that guarantee our obligations under the Revolving Corporate Credit Facility. On June 12, 2013, we also entered into a First Amendment to our November 2012 amended and restated guarantee and collateral agreement (the “Guarantee and Collateral Agreement”), which modified the Guarantee and Collateral Agreement to comply with the provisions of the Dodd-Frank Act described above.</w:t>
      </w:r>
    </w:p>
    <w:p>
      <w:pPr>
        <w:spacing w:after="0" w:line="188"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At January 3, 2014, no amounts were outstanding under the Revolving Corporate Credit Facility, however we had $1 million of letters of credit outstanding.</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00"/>
          </w:cols>
          <w:pgMar w:left="240" w:top="459" w:right="2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Issuance / repayments of debt related to securitizations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and we reflect repayment of bonds associated with vacation ownership notes receivable securitizations and on the Warehouse Credit Facility (including vacation ownership notes receivable repurchases) as “Repayment of debt related to securitization transactions.” We account for our securitizations of vacation ownership notes receivable as secured borrowings and therefore do not recognize a gain or loss as a result of the transaction. The results of operations for the securitization entities are consolidated within our results of operations as these entities are variable interest entities for which we are the primary beneficiary.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2013, we completed the securitization of a pool of $263 million of vacation ownership notes receivable, including $116 million of vacation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ownership notes receivable that were previously securitized in the Warehouse Credit Facility. In connection with the securitization, investors purchased $250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vacation ownership loan backed notes from the MVW Owner Trust 2013-1 (the “2013-1 Trust”) in a private placement. Two classes of vacation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ownership loan backed notes were issued by the 2013-1 Trust: $224 million of Class A Notes and $26 million of Class B Notes. The Class A Notes have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of 2.15 percent and the Class B Notes have an interest rate of 2.74 percent, for an overall weighted average interest rate of 2.21 percent.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for the securitization of the vacation ownership notes receivable, we received initial gross cash proceeds (before transaction expenses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reserves) of approximately $250 million ($246 million after transaction expenses and required reserves), and a subordinated residual interest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2013-1 Trust through which we expect to realize the remaining value of the vacation ownership notes receivable over time. Of this amount,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$98 million was used to repay amounts previously drawn under the Warehouse Credit Facility, and the remainder will be used for general corporate purposes.</w:t>
      </w:r>
    </w:p>
    <w:p>
      <w:pPr>
        <w:spacing w:after="0" w:line="23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During 2012, we completed the securitization of a pool of $250 million of vacation ownership notes receivable, including $122 million of vacation ownership notes receivable that were previously securitized in the Warehouse Credit Facility. In connection with the securitization, investors purchased $238 million in vacation ownership loan backed notes from the Marriott Vacation Club Owner Trust 2012-1 (the “2012-1 Trust”) in a private placement. Two classes of vacation ownership loan backed notes were issued by the 2012-1 Trust: $210 million of Class A Notes and $28 million of Class B Notes. The Class A Notes have an interest rate of 2.51 percent and the Class B Notes have an interest rate of 3.50 percent, for an overall weighted average interest rate of 2.625 percent. As consideration for the securitization of the vacation ownership notes receivable, we received initial gross cash proceeds (before transaction expenses and required reserves) of approximately $238 million ($233 million after transaction expenses and required reserves), and a subordinated residual interest in the 2012-1 Trust through which we expect to realize the remaining value of the vacation ownership notes receivable over time. Of this amount, approximately $101 million was used to repay amounts previously drawn under the Warehouse Credit Facility, and the remainder will be used for general corporate purposes.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Debt issuance costs in 2013 included $4 million associated with the 2013 vacation ownership notes receivable securitization and a combined $1 million related to the renewal of the Warehouse Credit Facility and the amendment of the Revolving Corporate Credit Facility during the year. Debt issuance costs in 2012 included $4 million associated with the 2012 vacation ownership notes receivable securitization and $3 million associated with the amendment and restatement of both the Warehouse Credit Facility and the Revolving Corporate Credit Facility during 2012. Debt issuance costs in 2011 include costs for the establishment of the Warehouse Credit Facility, the Revolving Corporate Credit Facility and the mandatorily redeemable preferred stock of our consolidated subsidiary, which for GAAP purposes is treated as debt.</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Repayment of third party debt</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repayment of third-party debt in 2011 related to the repayment of borrowings we used to finance a sales center in our Asia Pacific segment in accordance with contractual terms. We have no further obligations as of the end of 2011, 2012 or 2013.</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 Repurchase Program</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discussed above, in conjunction with our share repurchase program, we repurchased 505,023 shares of our common stock for $26 million, at an average price per share of $50.76 during 2013. See Footnote No. 13, “Shareholders’ Equity,” to our Financial Statements for further information related to the share repurchase program.</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distribution to Marriott International</w:t>
      </w:r>
    </w:p>
    <w:p>
      <w:pPr>
        <w:spacing w:after="0" w:line="117"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The net distribution to Marriott International in 2011 represents net cash transactions with Marriott International through the date of Spin-Off. See Footnote No. 1, “Summary of Significant Accounting Policies,” to our Financial Statements for further information related to cash management activities prior to Spin-Off.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Contractual Obligations and Off-Balance Sheet Arrangements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the end of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1-3 Years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3-5 Years</w:t>
            </w: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98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Debt</w:t>
            </w:r>
            <w:r>
              <w:rPr>
                <w:rFonts w:ascii="Arial" w:cs="Arial" w:eastAsia="Arial" w:hAnsi="Arial"/>
                <w:sz w:val="15"/>
                <w:szCs w:val="15"/>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Mandatorily redeemable preferred stock of consolidated subsidiary</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Liability for Marriott Rewards customer loyalty program</w:t>
            </w:r>
            <w:r>
              <w:rPr>
                <w:rFonts w:ascii="Arial" w:cs="Arial" w:eastAsia="Arial" w:hAnsi="Arial"/>
                <w:sz w:val="15"/>
                <w:szCs w:val="15"/>
                <w:color w:val="auto"/>
              </w:rPr>
              <w:t>(2)</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obligations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Includes principal as well as interest payments and is paid with proceeds from the collection of vacation ownership notes receivable.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Includes interest accretion.</w:t>
      </w:r>
    </w:p>
    <w:p>
      <w:pPr>
        <w:spacing w:after="0" w:line="9" w:lineRule="exact"/>
        <w:rPr>
          <w:rFonts w:ascii="Arial" w:cs="Arial" w:eastAsia="Arial" w:hAnsi="Arial"/>
          <w:sz w:val="15"/>
          <w:szCs w:val="15"/>
          <w:color w:val="auto"/>
        </w:rPr>
      </w:pPr>
    </w:p>
    <w:p>
      <w:pPr>
        <w:ind w:left="460" w:right="60" w:hanging="452"/>
        <w:spacing w:after="0" w:line="277"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7"/>
          <w:szCs w:val="17"/>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joined in the Marriott International U.S. Federal tax consolidated filing for periods up to the date of the Spin-Off. Although we do not anticipate that a significant impact to our unrecognized tax benefit balance will occur during the next fiscal year as a result of audits by other tax jurisdictions, the amount of our liability for unrecognized tax benefits could change as a result of these audits. See Footnote No. 2, “Income Taxes,” to our Financial Statements for additional information.</w:t>
      </w:r>
    </w:p>
    <w:p>
      <w:pPr>
        <w:spacing w:after="0" w:line="18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We have historically issued guarantees to certain lenders in connection with the provision of third-party financing for our sales of vacation ownership products, which guarantees generally have a stated maximum amount of funding and a term of five to ten years. The terms of the guarantees to lenders generally require us to fund if the purchaser fails to pay under the terms of its note payable. We are entitled to recover any funding to third-party lenders related to these guarantees through reacquisition and resale of the vacation ownership product. Our commitments under these guarantees expire as notes mature or are repaid. Our exposure under such guarantees as of January 3, 2014 in the Asia Pacific and North America segments was $13 million and $3 million, respectively, and the underlying debt to third-party lenders will mature between 2014 and 2022.</w:t>
      </w:r>
    </w:p>
    <w:p>
      <w:pPr>
        <w:spacing w:after="0" w:line="16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9, “Contingencies and Commitments,” to our Financial Statements.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Please see Footnote No. 1, “Summary of Significant Accounting Policies,” to our Financial Statements for further information on accounting policies that we believe to be critical, including our policies on:</w:t>
      </w:r>
    </w:p>
    <w:p>
      <w:pPr>
        <w:spacing w:after="0" w:line="170" w:lineRule="exact"/>
        <w:rPr>
          <w:sz w:val="20"/>
          <w:szCs w:val="20"/>
          <w:color w:val="auto"/>
        </w:rPr>
      </w:pPr>
    </w:p>
    <w:p>
      <w:pPr>
        <w:jc w:val="center"/>
        <w:ind w:left="620" w:right="80"/>
        <w:spacing w:after="0" w:line="449" w:lineRule="auto"/>
        <w:rPr>
          <w:sz w:val="20"/>
          <w:szCs w:val="20"/>
          <w:color w:val="auto"/>
        </w:rPr>
      </w:pPr>
      <w:r>
        <w:rPr>
          <w:rFonts w:ascii="Arial" w:cs="Arial" w:eastAsia="Arial" w:hAnsi="Arial"/>
          <w:sz w:val="18"/>
          <w:szCs w:val="18"/>
          <w:i w:val="1"/>
          <w:iCs w:val="1"/>
          <w:color w:val="auto"/>
        </w:rPr>
        <w:t>Revenue recognition for vacation ownership products</w:t>
      </w:r>
      <w:r>
        <w:rPr>
          <w:rFonts w:ascii="Arial" w:cs="Arial" w:eastAsia="Arial" w:hAnsi="Arial"/>
          <w:sz w:val="18"/>
          <w:szCs w:val="18"/>
          <w:color w:val="auto"/>
        </w:rPr>
        <w:t>, including how we recognize revenue using the percentage-of-completion method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Marriott Rewards customer loyalty program</w:t>
      </w:r>
      <w:r>
        <w:rPr>
          <w:rFonts w:ascii="Arial" w:cs="Arial" w:eastAsia="Arial" w:hAnsi="Arial"/>
          <w:sz w:val="16"/>
          <w:szCs w:val="16"/>
          <w:color w:val="auto"/>
        </w:rPr>
        <w:t>, including how we determine our redemption obligation for Marriott Rewards Points issued prior to 2012;</w:t>
      </w:r>
    </w:p>
    <w:p>
      <w:pPr>
        <w:spacing w:after="0" w:line="248"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i w:val="1"/>
          <w:iCs w:val="1"/>
          <w:color w:val="auto"/>
        </w:rPr>
        <w:t xml:space="preserve">Inventories and cost of vacation ownership products, </w:t>
      </w:r>
      <w:r>
        <w:rPr>
          <w:rFonts w:ascii="Arial" w:cs="Arial" w:eastAsia="Arial" w:hAnsi="Arial"/>
          <w:sz w:val="16"/>
          <w:szCs w:val="16"/>
          <w:color w:val="auto"/>
        </w:rPr>
        <w:t>which requires estimation of future revenues, including incremental revenues from future price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or from the sale of reacquired inventory resulting from defaulted vacation ownership notes receivable, and development costs to apply a relative sales value method specific to the vacation ownership industry and how we evaluate the fair value of our vacation ownership inventory;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property and equipment</w:t>
      </w:r>
      <w:r>
        <w:rPr>
          <w:rFonts w:ascii="Arial" w:cs="Arial" w:eastAsia="Arial" w:hAnsi="Arial"/>
          <w:sz w:val="18"/>
          <w:szCs w:val="18"/>
          <w:color w:val="auto"/>
        </w:rPr>
        <w:t>, including when we record impairment losses;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Loan loss reserves for vacation ownership notes receivable</w:t>
      </w:r>
      <w:r>
        <w:rPr>
          <w:rFonts w:ascii="Arial" w:cs="Arial" w:eastAsia="Arial" w:hAnsi="Arial"/>
          <w:sz w:val="18"/>
          <w:szCs w:val="18"/>
          <w:color w:val="auto"/>
        </w:rPr>
        <w:t>, including information on how we estimate reserves for losses;</w:t>
      </w:r>
    </w:p>
    <w:p>
      <w:pPr>
        <w:spacing w:after="0" w:line="225"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i w:val="1"/>
          <w:iCs w:val="1"/>
          <w:color w:val="auto"/>
        </w:rPr>
        <w:t>Valuation of investments in ventures</w:t>
      </w:r>
      <w:r>
        <w:rPr>
          <w:rFonts w:ascii="Arial" w:cs="Arial" w:eastAsia="Arial" w:hAnsi="Arial"/>
          <w:sz w:val="18"/>
          <w:szCs w:val="18"/>
          <w:color w:val="auto"/>
        </w:rPr>
        <w:t>, including information on how we evaluate the fair value of investments in ventures and when we record</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losses on investments in ventures;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contingencies</w:t>
      </w:r>
      <w:r>
        <w:rPr>
          <w:rFonts w:ascii="Arial" w:cs="Arial" w:eastAsia="Arial" w:hAnsi="Arial"/>
          <w:sz w:val="18"/>
          <w:szCs w:val="18"/>
          <w:color w:val="auto"/>
        </w:rPr>
        <w:t>, including information on how we account for legal contingencies; and</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including information on how we determine our current year amounts payable or refundable, as well as our estimate of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11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We do not foresee any significant changes in either our exposure to fluctuations in interest rates or currency rates or how we manage such exposure in the future.</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Warehouse Credit Facility provides variable rate financing when we place consumer loans we originate primarily in support of our North American business into that facility. We may manage the interest rate risk of this facility by entering into derivative contracts such as swaps or caps that are traditionally utilized in warehouse funding arrangements. We intend to securitize vacation ownership notes receivable in the ABS market at least annually. For these types of transactions or arrangements, we expect to secure fixed rate funding to match our fixed rate vacation ownership notes receivable. However, if we have floating rate debt in the future, we plan to hedge the interest rate risk using derivative instruments. Changes in interest rates may impact the fair value of our fixed rate long-term debt.</w:t>
      </w:r>
    </w:p>
    <w:p>
      <w:pPr>
        <w:spacing w:after="0" w:line="19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From time to time, we may use derivative instruments to reduce market risks due to changes in interest rates and currency exchange rates, including interest rate derivatives that we may be required to enter into as a condition of the Warehouse Credit Facility. As of January 3, 2014, we were not party to any material derivative interest rates or hedges.</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Please see Footnote No. 1, “Summary of Significant Accounting Policies,” to our Financial Statements for additional information associated with derivative instruments.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sets forth the scheduled maturities and the total fair value as of the end of 2013 for our financial instruments that are impacted by market risks: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Average</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Maturities by Period</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Total</w:t>
            </w:r>
          </w:p>
        </w:tc>
        <w:tc>
          <w:tcPr>
            <w:tcW w:w="4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Interest</w:t>
            </w: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3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Thereafter</w:t>
            </w:r>
          </w:p>
        </w:tc>
        <w:tc>
          <w:tcPr>
            <w:tcW w:w="1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Carrying</w:t>
            </w:r>
          </w:p>
        </w:tc>
        <w:tc>
          <w:tcPr>
            <w:tcW w:w="6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48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w w:val="90"/>
              </w:rPr>
              <w:t>Assets — Maturities represent expected principal receipts, fair values represent</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6"/>
              </w:rPr>
              <w:t>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$ 22</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$ 20</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$ 96</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$ 77</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7000" w:type="dxa"/>
            <w:vAlign w:val="bottom"/>
            <w:gridSpan w:val="9"/>
          </w:tcPr>
          <w:p>
            <w:pPr>
              <w:spacing w:after="0"/>
              <w:rPr>
                <w:sz w:val="20"/>
                <w:szCs w:val="20"/>
                <w:color w:val="auto"/>
              </w:rPr>
            </w:pPr>
            <w:r>
              <w:rPr>
                <w:rFonts w:ascii="Arial" w:cs="Arial" w:eastAsia="Arial" w:hAnsi="Arial"/>
                <w:sz w:val="18"/>
                <w:szCs w:val="18"/>
                <w:color w:val="auto"/>
                <w:w w:val="94"/>
              </w:rPr>
              <w:t>Liabilities — Maturities represent expected principal payments, fair values represent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Non-recourse debt associated with vacation ownership notes</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 securitizations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(109)</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$(58)</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(695)</w:t>
            </w:r>
          </w:p>
        </w:tc>
        <w:tc>
          <w:tcPr>
            <w:tcW w:w="0" w:type="dxa"/>
            <w:vAlign w:val="bottom"/>
          </w:tcPr>
          <w:p>
            <w:pPr>
              <w:spacing w:after="0"/>
              <w:rPr>
                <w:sz w:val="1"/>
                <w:szCs w:val="1"/>
                <w:color w:val="auto"/>
              </w:rPr>
            </w:pPr>
          </w:p>
        </w:tc>
      </w:tr>
      <w:tr>
        <w:trPr>
          <w:trHeight w:val="202"/>
        </w:trPr>
        <w:tc>
          <w:tcPr>
            <w:tcW w:w="4840" w:type="dxa"/>
            <w:vAlign w:val="bottom"/>
          </w:tcPr>
          <w:p>
            <w:pPr>
              <w:spacing w:after="0" w:line="201" w:lineRule="exact"/>
              <w:rPr>
                <w:sz w:val="20"/>
                <w:szCs w:val="20"/>
                <w:color w:val="auto"/>
              </w:rPr>
            </w:pPr>
            <w:r>
              <w:rPr>
                <w:rFonts w:ascii="Arial" w:cs="Arial" w:eastAsia="Arial" w:hAnsi="Arial"/>
                <w:sz w:val="18"/>
                <w:szCs w:val="18"/>
                <w:color w:val="auto"/>
              </w:rPr>
              <w:t>Mandatorily redeemable preferred stock of consolidated</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subsidiary</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20"/>
                <w:szCs w:val="20"/>
                <w:color w:val="auto"/>
              </w:rPr>
            </w:pPr>
            <w:r>
              <w:rPr>
                <w:rFonts w:ascii="Arial" w:cs="Arial" w:eastAsia="Arial" w:hAnsi="Arial"/>
                <w:sz w:val="18"/>
                <w:szCs w:val="18"/>
                <w:color w:val="auto"/>
              </w:rPr>
              <w:t>$ —</w:t>
            </w:r>
          </w:p>
        </w:tc>
        <w:tc>
          <w:tcPr>
            <w:tcW w:w="620" w:type="dxa"/>
            <w:vAlign w:val="bottom"/>
            <w:gridSpan w:val="3"/>
          </w:tcPr>
          <w:p>
            <w:pPr>
              <w:ind w:left="100"/>
              <w:spacing w:after="0"/>
              <w:rPr>
                <w:sz w:val="20"/>
                <w:szCs w:val="20"/>
                <w:color w:val="auto"/>
              </w:rPr>
            </w:pPr>
            <w:r>
              <w:rPr>
                <w:rFonts w:ascii="Arial" w:cs="Arial" w:eastAsia="Arial" w:hAnsi="Arial"/>
                <w:sz w:val="18"/>
                <w:szCs w:val="18"/>
                <w:color w:val="auto"/>
              </w:rPr>
              <w:t>$ —</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debt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financial statements required by this item are contained on pages F-1 through F-45 of this Annual Report. See Item 15(a)(1) for a listing of financial statements provided in this Annual Report.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 13a-15(f). Management’s annual report on internal control over financial reporting and the independent registered public accounting firm’s report on the effectiveness of our internal control over financial reporting are incorporated by reference to pages F-2 and F-3 of this Annual Report.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the fourth quarter of 2013, we ceased using Marriott International as our primary wide area network and directory services provider. We deployed new hardware and software to create our own separate network and directory services to facilitate end user and application authentication and we implemented new internal controls over financial reporting related to the operation and security of the new network.</w:t>
      </w:r>
    </w:p>
    <w:p>
      <w:pPr>
        <w:spacing w:after="0" w:line="18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Other than those noted above, there were no changes in our internal control over financial reporting during the fourth quarter of 2013 that have materially affected, or are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described below, we incorporate certain information appearing in the Proxy Statement we will furnish to our shareholders in connection with our 2014 Annual Meeting of Shareholders by reference in this Annual Report.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incorporate this information by reference to “Our Board of Directors,” “Section 16(a) Beneficial Ownership Reporting Compliance,” “Committees of our Board,” “Transactions with Related Persons” and “Selection of Director Nominees” sections of our Proxy Statement. We have included information regarding our executive officers and our Code of Conduct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Set forth below is certain information with respect to our executive officers. The information set forth below is as of February 14, 2014, except where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Name and Title</w:t>
            </w:r>
          </w:p>
        </w:tc>
        <w:tc>
          <w:tcPr>
            <w:tcW w:w="260" w:type="dxa"/>
            <w:vAlign w:val="bottom"/>
          </w:tcPr>
          <w:p>
            <w:pP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6"/>
                <w:szCs w:val="16"/>
                <w:color w:val="auto"/>
              </w:rPr>
            </w:pPr>
          </w:p>
        </w:tc>
        <w:tc>
          <w:tcPr>
            <w:tcW w:w="6800" w:type="dxa"/>
            <w:vAlign w:val="bottom"/>
          </w:tcPr>
          <w:p>
            <w:pPr>
              <w:ind w:left="2780"/>
              <w:spacing w:after="0"/>
              <w:rPr>
                <w:sz w:val="20"/>
                <w:szCs w:val="20"/>
                <w:color w:val="auto"/>
              </w:rPr>
            </w:pPr>
            <w:r>
              <w:rPr>
                <w:rFonts w:ascii="Arial" w:cs="Arial" w:eastAsia="Arial" w:hAnsi="Arial"/>
                <w:sz w:val="14"/>
                <w:szCs w:val="14"/>
                <w:b w:val="1"/>
                <w:bCs w:val="1"/>
                <w:color w:val="auto"/>
              </w:rPr>
              <w:t>Business Experience</w:t>
            </w:r>
          </w:p>
        </w:tc>
      </w:tr>
      <w:tr>
        <w:trPr>
          <w:trHeight w:val="195"/>
        </w:trPr>
        <w:tc>
          <w:tcPr>
            <w:tcW w:w="3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Stephen P. Weisz</w:t>
            </w: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w w:val="99"/>
              </w:rPr>
              <w:t>63</w:t>
            </w:r>
          </w:p>
        </w:tc>
        <w:tc>
          <w:tcPr>
            <w:tcW w:w="200" w:type="dxa"/>
            <w:vAlign w:val="bottom"/>
            <w:tcBorders>
              <w:top w:val="single" w:sz="8" w:color="CCEEFF"/>
            </w:tcBorders>
            <w:shd w:val="clear" w:color="auto" w:fill="CCEEFF"/>
          </w:tcPr>
          <w:p>
            <w:pPr>
              <w:spacing w:after="0"/>
              <w:rPr>
                <w:sz w:val="16"/>
                <w:szCs w:val="16"/>
                <w:color w:val="auto"/>
              </w:rPr>
            </w:pPr>
          </w:p>
        </w:tc>
        <w:tc>
          <w:tcPr>
            <w:tcW w:w="6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Stephen P. Weisz has served as our President since 1996 and as our Chief Executive Officer</w:t>
            </w:r>
          </w:p>
        </w:tc>
      </w:tr>
      <w:tr>
        <w:trPr>
          <w:trHeight w:val="216"/>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w:t>
            </w: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since 2011. Mr. Weisz joined Marriott International in 1972. Over his 39-year career with</w:t>
            </w:r>
          </w:p>
        </w:tc>
      </w:tr>
      <w:tr>
        <w:trPr>
          <w:trHeight w:val="216"/>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Executive Officer</w:t>
            </w: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Marriott International, he held a number of leadership positions in the Lodging division,</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including Regional Vice President of the Mid-Atlantic Region, Senior Vice President of</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Rooms Operations, and Vice President of the Revenue Management Group. Mr. Weisz</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became Senior Vice President of Sales and Marketing for Marriott Hotels, Resorts &amp; Suites in</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1992 and Executive Vice President-Lodging Brands in 1994 before being named to lead our</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company in 1996. He currently serves as a Trustee of the American Resort Development</w:t>
            </w:r>
          </w:p>
        </w:tc>
      </w:tr>
      <w:tr>
        <w:trPr>
          <w:trHeight w:val="230"/>
        </w:trPr>
        <w:tc>
          <w:tcPr>
            <w:tcW w:w="3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Association and is on the Board of Trustees of Children’s Miracle Network.</w:t>
            </w:r>
          </w:p>
        </w:tc>
      </w:tr>
      <w:tr>
        <w:trPr>
          <w:trHeight w:val="202"/>
        </w:trPr>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R. Lee Cunningham</w:t>
            </w:r>
          </w:p>
        </w:tc>
        <w:tc>
          <w:tcPr>
            <w:tcW w:w="726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3"/>
              </w:rPr>
              <w:t>54   R. Lee Cunningham has served as our Executive Vice President and Chief Operating Officer</w:t>
            </w: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and</w:t>
            </w: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7"/>
              </w:rPr>
              <w:t>since December 2012. From 2007 to December 2012, he served as our Executive Vice</w:t>
            </w: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Chief Operating Officer</w:t>
            </w: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6"/>
              </w:rPr>
              <w:t>President and Chief Operating Officer – North America and Caribbean. Mr. Cunningham</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6"/>
              </w:rPr>
              <w:t>joined Marriott International in 1982 and held various front office assignments at Marriott</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2"/>
              </w:rPr>
              <w:t>hotels in Atlanta, Scottsdale, Miami, Kansas City, and Washington, D.C. In 1990, he became</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1"/>
              </w:rPr>
              <w:t>one of Marriott International’s first revenue management-focused associates and held roles at</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1"/>
              </w:rPr>
              <w:t>property, regional and corporate levels. Mr. Cunningham joined our company in 1997 as Vice</w:t>
            </w:r>
          </w:p>
        </w:tc>
      </w:tr>
      <w:tr>
        <w:trPr>
          <w:trHeight w:val="230"/>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President of Revenue Management and Owner Service Operations.</w:t>
            </w:r>
          </w:p>
        </w:tc>
      </w:tr>
      <w:tr>
        <w:trPr>
          <w:trHeight w:val="202"/>
        </w:trPr>
        <w:tc>
          <w:tcPr>
            <w:tcW w:w="4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Clifford M. Delorey</w:t>
            </w:r>
          </w:p>
        </w:tc>
        <w:tc>
          <w:tcPr>
            <w:tcW w:w="726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53   Clifford M. Delorey has served as our Executive Vice President and Chief Resort Experience</w:t>
            </w:r>
          </w:p>
        </w:tc>
      </w:tr>
      <w:tr>
        <w:trPr>
          <w:trHeight w:val="216"/>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Vice President and</w:t>
            </w: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Officer since October 2012. From May 2011 to October 2012, Mr. Delorey served as Vice</w:t>
            </w:r>
          </w:p>
        </w:tc>
      </w:tr>
      <w:tr>
        <w:trPr>
          <w:trHeight w:val="216"/>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Resort Experience Officer</w:t>
            </w: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President of Operations for the Middle East and Africa region for Marriott International. From</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April 2006 to May 2011, he served as our Vice President of Operations for the East region.</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Mr. Delorey joined Marriott International in 1981 and served in a number of operational roles,</w:t>
            </w:r>
          </w:p>
        </w:tc>
      </w:tr>
      <w:tr>
        <w:trPr>
          <w:trHeight w:val="230"/>
        </w:trPr>
        <w:tc>
          <w:tcPr>
            <w:tcW w:w="3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including Director of International Operations.</w:t>
            </w:r>
          </w:p>
        </w:tc>
      </w:tr>
      <w:tr>
        <w:trPr>
          <w:trHeight w:val="202"/>
        </w:trPr>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John E. Geller, Jr.</w:t>
            </w:r>
          </w:p>
        </w:tc>
        <w:tc>
          <w:tcPr>
            <w:tcW w:w="726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6"/>
              </w:rPr>
              <w:t>46   John E. Geller, Jr. has served as our Executive Vice President and Chief Financial Officer</w:t>
            </w: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and</w:t>
            </w: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6"/>
              </w:rPr>
              <w:t>since 2009. Mr. Geller joined Marriott International in 2005 as Senior Vice President and</w:t>
            </w: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Chief Audit Executive and Information Security Officer. In 2008, he led finance and</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4"/>
              </w:rPr>
              <w:t>accounting for Marriott International’s North American Lodging Operation’s West region as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3"/>
              </w:rPr>
              <w:t>Chief Financial Officer. Mr. Geller began his professional career at Arthur Andersen, where</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5"/>
              </w:rPr>
              <w:t>he was promoted to audit partner in its real estate and hospitality practice in 2000. During</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3"/>
              </w:rPr>
              <w:t>2002 and 2003, he was an audit partner with Ernst &amp; Young in its real estate and hospitality</w:t>
            </w:r>
          </w:p>
        </w:tc>
      </w:tr>
      <w:tr>
        <w:trPr>
          <w:trHeight w:val="230"/>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practice. Mr. Geller served as Chief Financial Officer at AutoStar Realty in 2004.</w:t>
            </w:r>
          </w:p>
        </w:tc>
      </w:tr>
      <w:tr>
        <w:trPr>
          <w:trHeight w:val="365"/>
        </w:trPr>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0" w:type="dxa"/>
            <w:vAlign w:val="bottom"/>
            <w:gridSpan w:val="2"/>
          </w:tcPr>
          <w:p>
            <w:pPr>
              <w:jc w:val="right"/>
              <w:ind w:right="5539"/>
              <w:spacing w:after="0"/>
              <w:rPr>
                <w:sz w:val="20"/>
                <w:szCs w:val="20"/>
                <w:color w:val="auto"/>
              </w:rPr>
            </w:pPr>
            <w:r>
              <w:rPr>
                <w:rFonts w:ascii="Arial" w:cs="Arial" w:eastAsia="Arial" w:hAnsi="Arial"/>
                <w:sz w:val="18"/>
                <w:szCs w:val="18"/>
                <w:color w:val="auto"/>
              </w:rPr>
              <w:t>65</w:t>
            </w: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Name and Title</w:t>
            </w:r>
          </w:p>
        </w:tc>
        <w:tc>
          <w:tcPr>
            <w:tcW w:w="260" w:type="dxa"/>
            <w:vAlign w:val="bottom"/>
          </w:tcPr>
          <w:p>
            <w:pPr>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6"/>
                <w:szCs w:val="16"/>
                <w:color w:val="auto"/>
              </w:rPr>
            </w:pPr>
          </w:p>
        </w:tc>
        <w:tc>
          <w:tcPr>
            <w:tcW w:w="6800" w:type="dxa"/>
            <w:vAlign w:val="bottom"/>
          </w:tcPr>
          <w:p>
            <w:pPr>
              <w:ind w:left="2780"/>
              <w:spacing w:after="0"/>
              <w:rPr>
                <w:sz w:val="20"/>
                <w:szCs w:val="20"/>
                <w:color w:val="auto"/>
              </w:rPr>
            </w:pPr>
            <w:r>
              <w:rPr>
                <w:rFonts w:ascii="Arial" w:cs="Arial" w:eastAsia="Arial" w:hAnsi="Arial"/>
                <w:sz w:val="14"/>
                <w:szCs w:val="14"/>
                <w:b w:val="1"/>
                <w:bCs w:val="1"/>
                <w:color w:val="auto"/>
              </w:rPr>
              <w:t>Business Experience</w:t>
            </w:r>
          </w:p>
        </w:tc>
      </w:tr>
      <w:tr>
        <w:trPr>
          <w:trHeight w:val="195"/>
        </w:trPr>
        <w:tc>
          <w:tcPr>
            <w:tcW w:w="3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James H Hunter, IV</w:t>
            </w: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w w:val="99"/>
              </w:rPr>
              <w:t>51</w:t>
            </w:r>
          </w:p>
        </w:tc>
        <w:tc>
          <w:tcPr>
            <w:tcW w:w="200" w:type="dxa"/>
            <w:vAlign w:val="bottom"/>
            <w:tcBorders>
              <w:top w:val="single" w:sz="8" w:color="CCEEFF"/>
            </w:tcBorders>
            <w:shd w:val="clear" w:color="auto" w:fill="CCEEFF"/>
          </w:tcPr>
          <w:p>
            <w:pPr>
              <w:spacing w:after="0"/>
              <w:rPr>
                <w:sz w:val="16"/>
                <w:szCs w:val="16"/>
                <w:color w:val="auto"/>
              </w:rPr>
            </w:pPr>
          </w:p>
        </w:tc>
        <w:tc>
          <w:tcPr>
            <w:tcW w:w="6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James H Hunter, IV has served as our Executive Vice President and General Counsel since</w:t>
            </w:r>
          </w:p>
        </w:tc>
      </w:tr>
      <w:tr>
        <w:trPr>
          <w:trHeight w:val="216"/>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Vice President and</w:t>
            </w: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November 2011. Prior to that time, he had served as Senior Vice President and General</w:t>
            </w:r>
          </w:p>
        </w:tc>
      </w:tr>
      <w:tr>
        <w:trPr>
          <w:trHeight w:val="216"/>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Counsel</w:t>
            </w: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Counsel since 2006. Mr. Hunter joined Marriott International in 1994 as Corporate Counsel</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and was promoted to Senior Counsel in 1996 and Assistant General Counsel in 1998. While</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at Marriott International, he held several leadership positions supporting development of</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Marriott’s lodging brands in all regions worldwide. Prior to joining Marriott International, Mr.</w:t>
            </w:r>
          </w:p>
        </w:tc>
      </w:tr>
      <w:tr>
        <w:trPr>
          <w:trHeight w:val="230"/>
        </w:trPr>
        <w:tc>
          <w:tcPr>
            <w:tcW w:w="3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Hunter was an associate at the law firm of Davis, Graham &amp; Stubbs in Washington, D.C.</w:t>
            </w:r>
          </w:p>
        </w:tc>
      </w:tr>
      <w:tr>
        <w:trPr>
          <w:trHeight w:val="202"/>
        </w:trPr>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Lizabeth Kane-Hanan</w:t>
            </w:r>
          </w:p>
        </w:tc>
        <w:tc>
          <w:tcPr>
            <w:tcW w:w="726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7"/>
              </w:rPr>
              <w:t>47   Lizabeth Kane-Hanan has served as our Executive Vice President and Chief Growth and</w:t>
            </w: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and</w:t>
            </w: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1"/>
              </w:rPr>
              <w:t>Inventory Officer since November 2011. Prior to that time, she had served as our Senior Vice</w:t>
            </w: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Chief Growth and Inventory Officer</w:t>
            </w: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6"/>
              </w:rPr>
              <w:t>President, Resort Development and Planning, Inventory and Revenue Management and</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1"/>
              </w:rPr>
              <w:t>Product Innovation since 2009. Ms. Kane-Hanan joined our company in 2000, and has nearly</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1"/>
              </w:rPr>
              <w:t>25 years of hospitality industry experience. Before joining Marriott International, she spent 14</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9"/>
              </w:rPr>
              <w:t>years in public accounting and advisory firms, including Arthur Andersen and Horwath</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Hospitality, where she specialized in real estate strategic planning, acquisitions and</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8"/>
              </w:rPr>
              <w:t>development. At our company, she has held several leadership positions of increasing</w:t>
            </w:r>
          </w:p>
        </w:tc>
      </w:tr>
      <w:tr>
        <w:trPr>
          <w:trHeight w:val="230"/>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responsibility.</w:t>
            </w:r>
          </w:p>
        </w:tc>
      </w:tr>
      <w:tr>
        <w:trPr>
          <w:trHeight w:val="202"/>
        </w:trPr>
        <w:tc>
          <w:tcPr>
            <w:tcW w:w="4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Brian E. Miller</w:t>
            </w:r>
          </w:p>
        </w:tc>
        <w:tc>
          <w:tcPr>
            <w:tcW w:w="7260" w:type="dxa"/>
            <w:vAlign w:val="bottom"/>
            <w:gridSpan w:val="3"/>
            <w:shd w:val="clear" w:color="auto" w:fill="CCEEFF"/>
          </w:tcPr>
          <w:p>
            <w:pPr>
              <w:ind w:left="40"/>
              <w:spacing w:after="0" w:line="201" w:lineRule="exact"/>
              <w:rPr>
                <w:sz w:val="20"/>
                <w:szCs w:val="20"/>
                <w:color w:val="auto"/>
              </w:rPr>
            </w:pPr>
            <w:r>
              <w:rPr>
                <w:rFonts w:ascii="Arial" w:cs="Arial" w:eastAsia="Arial" w:hAnsi="Arial"/>
                <w:sz w:val="18"/>
                <w:szCs w:val="18"/>
                <w:color w:val="auto"/>
                <w:w w:val="95"/>
              </w:rPr>
              <w:t>50   Brian E. Miller has served as our Executive Vice President and Chief Sales and Marketing</w:t>
            </w:r>
          </w:p>
        </w:tc>
      </w:tr>
      <w:tr>
        <w:trPr>
          <w:trHeight w:val="216"/>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Vice President and</w:t>
            </w: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Officer since November 2011. Prior to that time, he had served as our Senior Vice President,</w:t>
            </w:r>
          </w:p>
        </w:tc>
      </w:tr>
      <w:tr>
        <w:trPr>
          <w:trHeight w:val="216"/>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Sales and Marketing Officer</w:t>
            </w: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Sales and Marketing and Service Operations since 2007. Mr. Miller joined our company in</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1991 as National Director of Marketing Operations and has more than 25 years of vacation</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ownership marketing and sales expertise. In 1994, he was promoted to Vice President of</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Marketing. From 1995 to 2000, he served as Regional Vice President of Sales and Marketing</w:t>
            </w:r>
          </w:p>
        </w:tc>
      </w:tr>
      <w:tr>
        <w:trPr>
          <w:trHeight w:val="216"/>
        </w:trPr>
        <w:tc>
          <w:tcPr>
            <w:tcW w:w="3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for the Europe and Middle East region based in London. He left our company briefly, but</w:t>
            </w:r>
          </w:p>
        </w:tc>
      </w:tr>
      <w:tr>
        <w:trPr>
          <w:trHeight w:val="230"/>
        </w:trPr>
        <w:tc>
          <w:tcPr>
            <w:tcW w:w="3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returned in 2001 to assume the role of Senior Vice President, Sales and Marketing.</w:t>
            </w:r>
          </w:p>
        </w:tc>
      </w:tr>
      <w:tr>
        <w:trPr>
          <w:trHeight w:val="202"/>
        </w:trPr>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Dwight D. Smith</w:t>
            </w:r>
          </w:p>
        </w:tc>
        <w:tc>
          <w:tcPr>
            <w:tcW w:w="7260" w:type="dxa"/>
            <w:vAlign w:val="bottom"/>
            <w:gridSpan w:val="3"/>
          </w:tcPr>
          <w:p>
            <w:pPr>
              <w:ind w:left="40"/>
              <w:spacing w:after="0" w:line="201" w:lineRule="exact"/>
              <w:rPr>
                <w:sz w:val="20"/>
                <w:szCs w:val="20"/>
                <w:color w:val="auto"/>
              </w:rPr>
            </w:pPr>
            <w:r>
              <w:rPr>
                <w:rFonts w:ascii="Arial" w:cs="Arial" w:eastAsia="Arial" w:hAnsi="Arial"/>
                <w:sz w:val="18"/>
                <w:szCs w:val="18"/>
                <w:color w:val="auto"/>
                <w:w w:val="95"/>
              </w:rPr>
              <w:t>53   Dwight D. Smith has served as our Executive Vice President and Chief Information Officer</w:t>
            </w: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and</w:t>
            </w: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3"/>
              </w:rPr>
              <w:t>since December 2011. Prior to that time, he served as our Senior Vice President and Chief</w:t>
            </w: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Chief Information Officer</w:t>
            </w: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7"/>
              </w:rPr>
              <w:t>Information Officer since 2006. Mr. Smith joined Marriott International in 1988 as Senior</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1"/>
              </w:rPr>
              <w:t>Manager and then Director of Information Resources for Roy Rogers Restaurants. He worked</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2"/>
              </w:rPr>
              <w:t>from 1982 to 1988 at Andersen Consulting as Staff Consultant and then Consulting Manager</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3"/>
              </w:rPr>
              <w:t>in the advanced technology group. Mr. Smith moved to our corporate headquarters in 1990.</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Michael E. Yonker</w:t>
            </w:r>
          </w:p>
        </w:tc>
        <w:tc>
          <w:tcPr>
            <w:tcW w:w="7260" w:type="dxa"/>
            <w:vAlign w:val="bottom"/>
            <w:gridSpan w:val="3"/>
          </w:tcPr>
          <w:p>
            <w:pPr>
              <w:ind w:left="40"/>
              <w:spacing w:after="0"/>
              <w:rPr>
                <w:sz w:val="20"/>
                <w:szCs w:val="20"/>
                <w:color w:val="auto"/>
              </w:rPr>
            </w:pPr>
            <w:r>
              <w:rPr>
                <w:rFonts w:ascii="Arial" w:cs="Arial" w:eastAsia="Arial" w:hAnsi="Arial"/>
                <w:sz w:val="18"/>
                <w:szCs w:val="18"/>
                <w:color w:val="auto"/>
                <w:w w:val="93"/>
              </w:rPr>
              <w:t>55   Michael E. Yonker has served as our Executive Vice President and Chief Human Resources</w:t>
            </w: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and</w:t>
            </w: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4"/>
              </w:rPr>
              <w:t>Officer since December 2011. Prior to that time, he served as our Chief Human Resources</w:t>
            </w:r>
          </w:p>
        </w:tc>
      </w:tr>
      <w:tr>
        <w:trPr>
          <w:trHeight w:val="216"/>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Chief Human Resources Officer</w:t>
            </w:r>
          </w:p>
        </w:tc>
        <w:tc>
          <w:tcPr>
            <w:tcW w:w="26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4"/>
              </w:rPr>
              <w:t>Officer since 2010. Mr. Yonker joined Marriott International in 1983 as Assistant Controller</w:t>
            </w:r>
          </w:p>
        </w:tc>
      </w:tr>
      <w:tr>
        <w:trPr>
          <w:trHeight w:val="230"/>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w w:val="98"/>
              </w:rPr>
              <w:t>at the Lincolnshire Marriott Resort in Chicago. While at Marriott International, he held 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12350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235075"/>
                    </a:xfrm>
                    <a:prstGeom prst="rect">
                      <a:avLst/>
                    </a:prstGeom>
                    <a:noFill/>
                  </pic:spPr>
                </pic:pic>
              </a:graphicData>
            </a:graphic>
          </wp:anchor>
        </w:drawing>
      </w:r>
    </w:p>
    <w:p>
      <w:pPr>
        <w:ind w:left="4620" w:right="60"/>
        <w:spacing w:after="0" w:line="292" w:lineRule="auto"/>
        <w:rPr>
          <w:sz w:val="20"/>
          <w:szCs w:val="20"/>
          <w:color w:val="auto"/>
        </w:rPr>
      </w:pPr>
      <w:r>
        <w:rPr>
          <w:rFonts w:ascii="Arial" w:cs="Arial" w:eastAsia="Arial" w:hAnsi="Arial"/>
          <w:sz w:val="16"/>
          <w:szCs w:val="16"/>
          <w:color w:val="auto"/>
        </w:rPr>
        <w:t>number of positions with increasing responsibility in both the finance and human resources areas. From 1996 to 1998, he was the Area Director of Human Resources, supporting the mid-central region at Sodexho Marriott. He returned to Marriott International in 1998 as Vice President, Human Resources supporting the Midwest Region and was named our Vice President, Human Resources in 2007 supporting global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Board of Directors has adopted a code of conduct, our Business Conduct Guide, that applies to all of our directors, officers and associates, including our Chief Executive Officer, Chief Financial Officer and Principal Accounting Officer. Our Business Conduct Guide is available in the Investor Relations section of our website (www.marriottvacationsworldwide.com) and is accessible by clicking on “Corporate Governance.” Any amendments to our Business Conduct Guide and any grant of a waiver from a provision of our Business Conduct Guide requiring disclosure under applicable SEC rules will be disclosed at the same location as the Business Conduct Guide in the Investor Relations section of our website located at www.marriottvacationsworldwide.com.</w:t>
      </w:r>
    </w:p>
    <w:p>
      <w:pPr>
        <w:spacing w:after="0" w:line="3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incorporate this information by reference to the “Executive and Director Compensation” and “Compensation Committee Interlocks and Insider Participation” sections of our Proxy Statement.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incorporate this information by reference to the “Securities Authorized for Issuance Under Equity Compensation Plans” and the “Stock Ownership” sections of our Proxy Statement.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We incorporate this information by reference to the “Transactions with Related Persons,” and “Director Independence” sections of our Proxy Statement.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We incorporate this information by reference to the “Independent Registered Public Accounting Firm Fee Disclosure” and the “Pre-Approval of Independent Auditor Fees and Services Policy” sections of our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(a)(1)-(2) Financial Statements and Schedules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financial statements and schedules listed in the accompanying Index to Consolidated Financial Statements on page F-1 are filed as part of this Report. We include the financial statement schedules required by the applicable accounting regulations of the SEC in the notes to our consolidated financial statements and incorporate that information in that information in this Item 15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See “Index to Exhibits” beginning on page 70, which is incorporated by reference herein. The Index to Exhibits lists all exhibits filed with this Report and identifies which of those exhibits are management contracts and compensation plans.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we have duly caused this Form 10-K to be signed on our behalf by the undersigned, thereunto duly authorized, on this 27</w:t>
      </w:r>
      <w:r>
        <w:rPr>
          <w:rFonts w:ascii="Arial" w:cs="Arial" w:eastAsia="Arial" w:hAnsi="Arial"/>
          <w:sz w:val="15"/>
          <w:szCs w:val="15"/>
          <w:color w:val="auto"/>
        </w:rPr>
        <w:t>th</w:t>
      </w:r>
      <w:r>
        <w:rPr>
          <w:rFonts w:ascii="Arial" w:cs="Arial" w:eastAsia="Arial" w:hAnsi="Arial"/>
          <w:sz w:val="18"/>
          <w:szCs w:val="18"/>
          <w:color w:val="auto"/>
        </w:rPr>
        <w:t xml:space="preserve"> day of February, 2014.</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MARRIOTT VACATIONS WORLDWIDE CORPORATION</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20"/>
          </w:cols>
          <w:pgMar w:left="24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KNOW BY ALL PERSONS BY THESE PRESENTS, that each person whose signature appears below constitutes and appoints jointly and severally, Stephen P. Weisz, John E. Geller, Jr.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by the following persons on our behalf in the capacities indicated and on the date indicated above.</w:t>
      </w:r>
    </w:p>
    <w:p>
      <w:pPr>
        <w:sectPr>
          <w:pgSz w:w="11900" w:h="16838" w:orient="portrait"/>
          <w:cols w:equalWidth="0" w:num="1">
            <w:col w:w="11400"/>
          </w:cols>
          <w:pgMar w:left="240" w:top="459" w:right="25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pacing w:after="0" w:line="256"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Stephen P. Weisz</w:t>
      </w:r>
    </w:p>
    <w:p>
      <w:pPr>
        <w:spacing w:after="0" w:line="4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Officer:</w:t>
      </w:r>
    </w:p>
    <w:p>
      <w:pPr>
        <w:spacing w:after="0" w:line="121"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John E. Geller, Jr.</w:t>
      </w:r>
    </w:p>
    <w:p>
      <w:pPr>
        <w:spacing w:after="0" w:line="4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Officer:</w:t>
      </w:r>
    </w:p>
    <w:p>
      <w:pPr>
        <w:spacing w:after="0" w:line="121"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/s/ Laurie A. Sullivan</w:t>
      </w:r>
    </w:p>
    <w:p>
      <w:pPr>
        <w:spacing w:after="0" w:line="3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Laurie A.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Corporate Controller and Chief Accounting Officer</w:t>
      </w:r>
    </w:p>
    <w:p>
      <w:pPr>
        <w:spacing w:after="0" w:line="759"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line="56"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 William J. Shaw</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William J. Shaw,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 C.E. Andrews</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C.E. Andrews,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963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 Raymond L. Gellein, Jr.</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Raymond L. Gellein, Jr.,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6963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41"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/s/ Thomas J. Hutchison III</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Thomas J. Hutchison III,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6963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173" w:lineRule="exact"/>
        <w:rPr>
          <w:sz w:val="20"/>
          <w:szCs w:val="20"/>
          <w:color w:val="auto"/>
        </w:rPr>
      </w:pPr>
    </w:p>
    <w:p>
      <w:pPr>
        <w:jc w:val="right"/>
        <w:ind w:right="10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Melquiades R. Martinez</w:t>
      </w:r>
    </w:p>
    <w:p>
      <w:pPr>
        <w:spacing w:after="0" w:line="23" w:lineRule="exact"/>
        <w:rPr>
          <w:sz w:val="20"/>
          <w:szCs w:val="20"/>
          <w:color w:val="auto"/>
        </w:rPr>
      </w:pPr>
    </w:p>
    <w:p>
      <w:pPr>
        <w:jc w:val="center"/>
        <w:ind w:right="1440"/>
        <w:spacing w:after="0"/>
        <w:rPr>
          <w:sz w:val="20"/>
          <w:szCs w:val="20"/>
          <w:color w:val="auto"/>
        </w:rPr>
      </w:pPr>
      <w:r>
        <w:rPr>
          <w:rFonts w:ascii="Arial" w:cs="Arial" w:eastAsia="Arial" w:hAnsi="Arial"/>
          <w:sz w:val="16"/>
          <w:szCs w:val="16"/>
          <w:color w:val="auto"/>
        </w:rPr>
        <w:t>Melquiades R. Martinez,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-116205</wp:posOffset>
            </wp:positionV>
            <wp:extent cx="3404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41"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William W. McCarten</w:t>
      </w:r>
    </w:p>
    <w:p>
      <w:pPr>
        <w:spacing w:after="0" w:line="23"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William W. McCarten,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-130810</wp:posOffset>
            </wp:positionV>
            <wp:extent cx="34048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8"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Dianna F. Morgan</w:t>
      </w:r>
    </w:p>
    <w:p>
      <w:pPr>
        <w:spacing w:after="0" w:line="23"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Dianna F. Morgan,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-130810</wp:posOffset>
            </wp:positionV>
            <wp:extent cx="34048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2">
            <w:col w:w="6800" w:space="720"/>
            <w:col w:w="3880"/>
          </w:cols>
          <w:pgMar w:left="240" w:top="459" w:right="25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Registrant will furnish you, without charge, a copy of any exhibit, upon written request. Written requests to obtain any exhibit should be sent to Marriott Vacations Worldwide Corporation, 6649 Westwood Blvd., Orlando, FL 32821, Attention: Corporate Secretary.</w:t>
      </w:r>
    </w:p>
    <w:p>
      <w:pPr>
        <w:sectPr>
          <w:pgSz w:w="11900" w:h="16838" w:orient="portrait"/>
          <w:cols w:equalWidth="0" w:num="1">
            <w:col w:w="11320"/>
          </w:cols>
          <w:pgMar w:left="240" w:top="459" w:right="339" w:bottom="1440" w:gutter="0" w:footer="0" w:header="0"/>
        </w:sectPr>
      </w:pPr>
    </w:p>
    <w:p>
      <w:pPr>
        <w:spacing w:after="0" w:line="189" w:lineRule="exact"/>
        <w:rPr>
          <w:sz w:val="20"/>
          <w:szCs w:val="20"/>
          <w:color w:val="auto"/>
        </w:rPr>
      </w:pPr>
    </w:p>
    <w:p>
      <w:pPr>
        <w:jc w:val="center"/>
        <w:ind w:left="8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5080</wp:posOffset>
            </wp:positionV>
            <wp:extent cx="2832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66636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9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Separation and Distribution Agreement, entered into on November 17, 2011, among Marriott International, Inc., Marriott Vacations Worldwide Corporation, Marriott Ownership Resorts, Inc., Marriott Resorts Hospitality Corporation, MVCI Asia Pacific Pte. Ltd. and MVCO Series LLC (incorporated by reference to Exhibit 2.1 to the Company’s Current Report on Form 8-K filed on November 22, 2011).</w:t>
      </w:r>
    </w:p>
    <w:p>
      <w:pPr>
        <w:spacing w:after="0" w:line="57" w:lineRule="exact"/>
        <w:rPr>
          <w:sz w:val="20"/>
          <w:szCs w:val="20"/>
          <w:color w:val="auto"/>
        </w:rPr>
      </w:pPr>
    </w:p>
    <w:p>
      <w:pPr>
        <w:sectPr>
          <w:pgSz w:w="11900" w:h="16838" w:orient="portrait"/>
          <w:cols w:equalWidth="0" w:num="2">
            <w:col w:w="520" w:space="400"/>
            <w:col w:w="10400"/>
          </w:cols>
          <w:pgMar w:left="240" w:top="459" w:right="339" w:bottom="1440" w:gutter="0" w:footer="0" w:header="0"/>
          <w:type w:val="continuous"/>
        </w:sectPr>
      </w:pPr>
    </w:p>
    <w:p>
      <w:pPr>
        <w:ind w:left="920" w:right="120" w:hanging="737"/>
        <w:spacing w:after="0" w:line="277"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Certificate of Incorporation of Marriott Vacations Worldwide Corporation (incorporated by reference to Exhibit 3.1 to the Company’s Current Report on Form 8-K filed on November 22, 2011).</w:t>
      </w:r>
    </w:p>
    <w:p>
      <w:pPr>
        <w:spacing w:after="0" w:line="62" w:lineRule="exact"/>
        <w:rPr>
          <w:sz w:val="20"/>
          <w:szCs w:val="20"/>
          <w:color w:val="auto"/>
        </w:rPr>
      </w:pPr>
    </w:p>
    <w:p>
      <w:pPr>
        <w:ind w:left="920" w:right="200" w:hanging="737"/>
        <w:spacing w:after="0" w:line="277"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Restated Bylaws of Marriott Vacations Worldwide Corporation (incorporated by reference to Exhibit 3.2 to the Company’s Current Report on Form 8-K filed on November 22, 2011).</w:t>
      </w:r>
    </w:p>
    <w:p>
      <w:pPr>
        <w:spacing w:after="0" w:line="62" w:lineRule="exact"/>
        <w:rPr>
          <w:sz w:val="20"/>
          <w:szCs w:val="20"/>
          <w:color w:val="auto"/>
        </w:rPr>
      </w:pPr>
    </w:p>
    <w:p>
      <w:pPr>
        <w:ind w:left="920" w:right="20" w:hanging="737"/>
        <w:spacing w:after="0" w:line="277" w:lineRule="auto"/>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certificate representing shares of common stock, par value $0.01 per share, of Marriott Vacations Worldwide Corporation (incorporated by reference to Exhibit 4.1 to the Company’s Registration Statement on Form 10 filed on October 14, 2011).</w:t>
      </w:r>
    </w:p>
    <w:p>
      <w:pPr>
        <w:spacing w:after="0" w:line="62" w:lineRule="exact"/>
        <w:rPr>
          <w:sz w:val="20"/>
          <w:szCs w:val="20"/>
          <w:color w:val="auto"/>
        </w:rPr>
      </w:pPr>
    </w:p>
    <w:p>
      <w:pPr>
        <w:ind w:left="920" w:right="200" w:hanging="827"/>
        <w:spacing w:after="0" w:line="264"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License, Services, and Development Agreement, entered into on November 17, 2011, among Marriott International, Inc., Marriott Worldwide Corporation, Marriott Vacations Worldwide Corporation and the other signatories thereto (incorporated by reference to Exhibit 10.1 to the Company’s Current Report on Form 8-K filed on November 22, 2011).</w:t>
      </w:r>
    </w:p>
    <w:p>
      <w:pPr>
        <w:spacing w:after="0" w:line="73" w:lineRule="exact"/>
        <w:rPr>
          <w:sz w:val="20"/>
          <w:szCs w:val="20"/>
          <w:color w:val="auto"/>
        </w:rPr>
      </w:pPr>
    </w:p>
    <w:p>
      <w:pPr>
        <w:ind w:left="920" w:right="40" w:hanging="827"/>
        <w:spacing w:after="0" w:line="264"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Letter Agreement, dated as of February 21, 2013, between Marriott International, Inc. and Marriott Vacations Worldwide Corporation, supplementing the License, Services, and Development Agreement filed as Exhibit 10.2 hereto (incorporated by reference to Exhibit 10.1 to the Company’s Quarterly Report on Form 10-Q filed on April 25, 2013).</w:t>
      </w:r>
    </w:p>
    <w:p>
      <w:pPr>
        <w:spacing w:after="0" w:line="73" w:lineRule="exact"/>
        <w:rPr>
          <w:sz w:val="20"/>
          <w:szCs w:val="20"/>
          <w:color w:val="auto"/>
        </w:rPr>
      </w:pPr>
    </w:p>
    <w:p>
      <w:pPr>
        <w:jc w:val="both"/>
        <w:ind w:left="920" w:hanging="827"/>
        <w:spacing w:after="0" w:line="264"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License, Services, and Development Agreement, entered into on November 17, 2011, among The Ritz-Carlton Hotel Company, L.L.C., Marriott Vacations Worldwide Corporation and the other signatories thereto (incorporated by reference to Exhibit 10.2 to the Company’s Current Report on Form 8-K filed on November 22, 2011).</w:t>
      </w:r>
    </w:p>
    <w:p>
      <w:pPr>
        <w:spacing w:after="0" w:line="73" w:lineRule="exact"/>
        <w:rPr>
          <w:sz w:val="20"/>
          <w:szCs w:val="20"/>
          <w:color w:val="auto"/>
        </w:rPr>
      </w:pPr>
    </w:p>
    <w:p>
      <w:pPr>
        <w:ind w:left="920" w:right="60" w:hanging="827"/>
        <w:spacing w:after="0" w:line="264" w:lineRule="auto"/>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Employee Benefits and Other Employment Matters Allocation Agreement, entered into on November 17, 2011, between Marriott International, Inc. and Marriott Vacations Worldwide Corporation (incorporated by reference to Exhibit 10.3 to the Company’s Current Report on Form 8-K filed on November 22, 2011).</w:t>
      </w:r>
    </w:p>
    <w:p>
      <w:pPr>
        <w:spacing w:after="0" w:line="73" w:lineRule="exact"/>
        <w:rPr>
          <w:sz w:val="20"/>
          <w:szCs w:val="20"/>
          <w:color w:val="auto"/>
        </w:rPr>
      </w:pPr>
    </w:p>
    <w:p>
      <w:pPr>
        <w:ind w:left="920" w:hanging="827"/>
        <w:spacing w:after="0" w:line="342" w:lineRule="auto"/>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Tax Sharing and Indemnification Agreement, entered into on November 17, 2011, between Marriott International, Inc. and Marriott Vacations Worldwide Corporation (incorporated by reference to Exhibit 10.4 to the Company’s Current Report on Form 8-K filed on November 22, 2011).</w:t>
      </w:r>
    </w:p>
    <w:p>
      <w:pPr>
        <w:spacing w:after="0" w:line="16" w:lineRule="exact"/>
        <w:rPr>
          <w:sz w:val="20"/>
          <w:szCs w:val="20"/>
          <w:color w:val="auto"/>
        </w:rPr>
      </w:pPr>
    </w:p>
    <w:p>
      <w:pPr>
        <w:jc w:val="both"/>
        <w:ind w:left="920" w:right="40" w:hanging="827"/>
        <w:spacing w:after="0" w:line="264" w:lineRule="auto"/>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Amendment, dated August 2, 2012, between Marriott International, Inc. and Marriott Vacations Worldwide Corporation, to the Tax Sharing and Indemnification Agreement filed as Exhibit 10.5 hereto (incorporated by reference to Exhibit 10.1 to the Company’s Quarterly Report on Form 10-Q filed on October 18, 2012).</w:t>
      </w:r>
    </w:p>
    <w:p>
      <w:pPr>
        <w:spacing w:after="0" w:line="73" w:lineRule="exact"/>
        <w:rPr>
          <w:sz w:val="20"/>
          <w:szCs w:val="20"/>
          <w:color w:val="auto"/>
        </w:rPr>
      </w:pPr>
    </w:p>
    <w:p>
      <w:pPr>
        <w:ind w:left="920" w:right="320" w:hanging="827"/>
        <w:spacing w:after="0" w:line="264" w:lineRule="auto"/>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Marriott Rewards Affiliation Agreement, entered into on November 17, 2011, among Marriott International, Inc., Marriott Rewards, LLC, Marriott Vacations Worldwide Corporation, Marriott Ownership Resorts, Inc. and the other signatories thereto (incorporated by reference to Exhibit 10.5 to the Company’s Current Report on Form 8-K filed on November 22, 2011).</w:t>
      </w:r>
    </w:p>
    <w:p>
      <w:pPr>
        <w:spacing w:after="0" w:line="73" w:lineRule="exact"/>
        <w:rPr>
          <w:sz w:val="20"/>
          <w:szCs w:val="20"/>
          <w:color w:val="auto"/>
        </w:rPr>
      </w:pPr>
    </w:p>
    <w:p>
      <w:pPr>
        <w:ind w:left="920" w:right="440" w:hanging="827"/>
        <w:spacing w:after="0" w:line="342" w:lineRule="auto"/>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Non-Competition Agreement, entered into on November 17, 2011, between Marriott International, Inc. and Marriott Vacations Worldwide Corporation (incorporated by reference to Exhibit 10.6 to the Company’s Current Report on Form 8-K filed on November 22, 2011).</w:t>
      </w:r>
    </w:p>
    <w:p>
      <w:pPr>
        <w:spacing w:after="0" w:line="16" w:lineRule="exact"/>
        <w:rPr>
          <w:sz w:val="20"/>
          <w:szCs w:val="20"/>
          <w:color w:val="auto"/>
        </w:rPr>
      </w:pPr>
    </w:p>
    <w:p>
      <w:pPr>
        <w:ind w:left="920" w:hanging="827"/>
        <w:spacing w:after="0" w:line="342" w:lineRule="auto"/>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Omnibus Transition Services Agreement, entered into on November 17, 2011, between Marriott International, Inc. and Marriott Vacations Worldwide Corporation (incorporated by reference to Exhibit 10.7 to the Company’s Current Report on Form 8-K filed on November 22, 2011).</w:t>
      </w:r>
    </w:p>
    <w:p>
      <w:pPr>
        <w:spacing w:after="0" w:line="16" w:lineRule="exact"/>
        <w:rPr>
          <w:sz w:val="20"/>
          <w:szCs w:val="20"/>
          <w:color w:val="auto"/>
        </w:rPr>
      </w:pPr>
    </w:p>
    <w:p>
      <w:pPr>
        <w:ind w:left="920" w:right="340" w:hanging="827"/>
        <w:spacing w:after="0" w:line="264" w:lineRule="auto"/>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First Amendment to Services Exhibit, dated as of October 10, 2012, between Marriott International, Inc. and Marriott Vacations Worldwide Corporation to the Omnibus Transition Services Agreement filed as Exhibit 10.9 hereto (incorporated by reference to Exhibit 10.9 to the Company’s Annual Report on Form 10-K filed on February 22, 2013).</w:t>
      </w:r>
    </w:p>
    <w:p>
      <w:pPr>
        <w:spacing w:after="0" w:line="73" w:lineRule="exact"/>
        <w:rPr>
          <w:sz w:val="20"/>
          <w:szCs w:val="20"/>
          <w:color w:val="auto"/>
        </w:rPr>
      </w:pPr>
    </w:p>
    <w:p>
      <w:pPr>
        <w:ind w:left="920" w:right="220" w:hanging="827"/>
        <w:spacing w:after="0" w:line="264"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Information Resources Transition Services Agreement, entered into on November 17, 2011, between Marriott International, Inc. and Marriott Vacations Worldwide Corporation (incorporated by reference to Exhibit 10.10 to the Company’s Current Report on Form 8-K filed on November 22, 2011).</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20"/>
          </w:cols>
          <w:pgMar w:left="240" w:top="459" w:right="339" w:bottom="1440" w:gutter="0" w:footer="0" w:header="0"/>
          <w:type w:val="continuous"/>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24" w:lineRule="exact"/>
        <w:rPr>
          <w:sz w:val="20"/>
          <w:szCs w:val="20"/>
          <w:color w:val="auto"/>
        </w:rPr>
      </w:pPr>
    </w:p>
    <w:p>
      <w:pPr>
        <w:jc w:val="center"/>
        <w:ind w:right="460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46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5080</wp:posOffset>
            </wp:positionV>
            <wp:extent cx="28321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4880"/>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29845</wp:posOffset>
            </wp:positionV>
            <wp:extent cx="66636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5100" w:space="720"/>
            <w:col w:w="5580"/>
          </w:cols>
          <w:pgMar w:left="240" w:top="459" w:right="259" w:bottom="1440" w:gutter="0" w:footer="0" w:header="0"/>
          <w:type w:val="continuous"/>
        </w:sectPr>
      </w:pPr>
    </w:p>
    <w:p>
      <w:pPr>
        <w:spacing w:after="0"/>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Marriott Vacations Worldwide Corporation Amended and Restated Stock and Cash Incentive Plan.*</w:t>
      </w:r>
    </w:p>
    <w:p>
      <w:pPr>
        <w:spacing w:after="0" w:line="117" w:lineRule="exact"/>
        <w:rPr>
          <w:sz w:val="20"/>
          <w:szCs w:val="20"/>
          <w:color w:val="auto"/>
        </w:rPr>
      </w:pPr>
    </w:p>
    <w:p>
      <w:pPr>
        <w:ind w:left="920" w:right="680" w:hanging="917"/>
        <w:spacing w:after="0" w:line="277" w:lineRule="auto"/>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Restricted Stock Unit Agreement – Marriott Vacations Worldwide Corporation Stock and Cash Incentive Plan (incorporated by reference to Exhibit 10.1 to the Company’s Current Report on Form 8-K filed on December 9, 2011).*</w:t>
      </w:r>
    </w:p>
    <w:p>
      <w:pPr>
        <w:spacing w:after="0" w:line="62" w:lineRule="exact"/>
        <w:rPr>
          <w:sz w:val="20"/>
          <w:szCs w:val="20"/>
          <w:color w:val="auto"/>
        </w:rPr>
      </w:pPr>
    </w:p>
    <w:p>
      <w:pPr>
        <w:ind w:left="920" w:right="400" w:hanging="917"/>
        <w:spacing w:after="0" w:line="277"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Stock Appreciation Right Agreement – Marriott Vacations Worldwide Corporation Stock and Cash Incentive Plan (incorporated by reference to Exhibit 10.2 to the Company’s Current Report on Form 8-K filed on December 9, 2011).*</w:t>
      </w:r>
    </w:p>
    <w:p>
      <w:pPr>
        <w:spacing w:after="0" w:line="62" w:lineRule="exact"/>
        <w:rPr>
          <w:sz w:val="20"/>
          <w:szCs w:val="20"/>
          <w:color w:val="auto"/>
        </w:rPr>
      </w:pPr>
    </w:p>
    <w:p>
      <w:pPr>
        <w:ind w:left="920" w:right="440" w:hanging="917"/>
        <w:spacing w:after="0" w:line="277"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Performance Unit Award Agreement – Marriott Vacations Worldwide Corporation Stock and Cash Incentive Plan (incorporated by reference to Exhibit 10.1 to the Company’s Current Report on Form 8-K filed on March 16, 2012).*</w:t>
      </w:r>
    </w:p>
    <w:p>
      <w:pPr>
        <w:spacing w:after="0" w:line="62" w:lineRule="exact"/>
        <w:rPr>
          <w:sz w:val="20"/>
          <w:szCs w:val="20"/>
          <w:color w:val="auto"/>
        </w:rPr>
      </w:pPr>
    </w:p>
    <w:p>
      <w:pPr>
        <w:ind w:left="920" w:right="360" w:hanging="917"/>
        <w:spacing w:after="0" w:line="277"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Non-Employee Director Share Award Confirmation (incorporated by reference to Exhibit 10.3 to the Company’s Current Report on Form 8-K filed on December 9, 2011).*</w:t>
      </w:r>
    </w:p>
    <w:p>
      <w:pPr>
        <w:spacing w:after="0" w:line="62" w:lineRule="exact"/>
        <w:rPr>
          <w:sz w:val="20"/>
          <w:szCs w:val="20"/>
          <w:color w:val="auto"/>
        </w:rPr>
      </w:pPr>
    </w:p>
    <w:p>
      <w:pPr>
        <w:ind w:left="920" w:right="380" w:hanging="917"/>
        <w:spacing w:after="0" w:line="277"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Form of Non-Employee Director Stock Appreciation Right Award Agreement (incorporated by reference to Exhibit 10.16 to the Company’s Annual Report on Form 10-K filed on March 21, 2012).*</w:t>
      </w:r>
    </w:p>
    <w:p>
      <w:pPr>
        <w:spacing w:after="0" w:line="62" w:lineRule="exact"/>
        <w:rPr>
          <w:sz w:val="20"/>
          <w:szCs w:val="20"/>
          <w:color w:val="auto"/>
        </w:rPr>
      </w:pPr>
    </w:p>
    <w:p>
      <w:pPr>
        <w:ind w:left="920" w:right="460" w:hanging="917"/>
        <w:spacing w:after="0" w:line="277" w:lineRule="auto"/>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Marriott Vacations Worldwide Corporation Change in Control Severance Plan (incorporated by reference to Exhibit 10.2 to the Company’s Current Report on Form 8-K filed on March 16, 2012).*</w:t>
      </w:r>
    </w:p>
    <w:p>
      <w:pPr>
        <w:spacing w:after="0" w:line="62" w:lineRule="exact"/>
        <w:rPr>
          <w:sz w:val="20"/>
          <w:szCs w:val="20"/>
          <w:color w:val="auto"/>
        </w:rPr>
      </w:pPr>
    </w:p>
    <w:p>
      <w:pPr>
        <w:ind w:left="920" w:right="640" w:hanging="917"/>
        <w:spacing w:after="0" w:line="342"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Form of Participation Agreement for Change in Control Severance Plan – Marriott Vacations Worldwide Corporation Change in Control Severance Plan (incorporated by reference to Exhibit 10.3 to the Company’s Current Report on Form 8-K filed on March 16, 2012).*</w:t>
      </w:r>
    </w:p>
    <w:p>
      <w:pPr>
        <w:spacing w:after="0" w:line="16" w:lineRule="exact"/>
        <w:rPr>
          <w:sz w:val="20"/>
          <w:szCs w:val="20"/>
          <w:color w:val="auto"/>
        </w:rPr>
      </w:pPr>
    </w:p>
    <w:p>
      <w:pPr>
        <w:ind w:left="920" w:right="240" w:hanging="917"/>
        <w:spacing w:after="0" w:line="277"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Marriott Vacations Worldwide Corporation Deferred Compensation Plan (incorporated by reference to Exhibit 10.3 of the Company’s Current Report on Form 8-K filed on June 13, 2013).*</w:t>
      </w:r>
    </w:p>
    <w:p>
      <w:pPr>
        <w:spacing w:after="0" w:line="62" w:lineRule="exact"/>
        <w:rPr>
          <w:sz w:val="20"/>
          <w:szCs w:val="20"/>
          <w:color w:val="auto"/>
        </w:rPr>
      </w:pPr>
    </w:p>
    <w:p>
      <w:pPr>
        <w:ind w:left="920" w:right="400" w:hanging="917"/>
        <w:spacing w:after="0" w:line="264"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Non-Competition Agreement for Approved Retirees dated as of December 6, 2012 made by Robert A. Miller in favor of Marriott Vacations Worldwide Corporation (incorporated by reference to Exhibit 10.23 to the Company’s Annual Report on Form 10-K filed on February 22, 2013).*</w:t>
      </w:r>
    </w:p>
    <w:p>
      <w:pPr>
        <w:spacing w:after="0" w:line="73" w:lineRule="exact"/>
        <w:rPr>
          <w:sz w:val="20"/>
          <w:szCs w:val="20"/>
          <w:color w:val="auto"/>
        </w:rPr>
      </w:pPr>
    </w:p>
    <w:p>
      <w:pPr>
        <w:jc w:val="center"/>
        <w:ind w:right="700"/>
        <w:spacing w:after="0" w:line="308" w:lineRule="auto"/>
        <w:rPr>
          <w:sz w:val="20"/>
          <w:szCs w:val="20"/>
          <w:color w:val="auto"/>
        </w:rPr>
      </w:pPr>
      <w:r>
        <w:rPr>
          <w:rFonts w:ascii="Arial" w:cs="Arial" w:eastAsia="Arial" w:hAnsi="Arial"/>
          <w:sz w:val="17"/>
          <w:szCs w:val="17"/>
          <w:color w:val="auto"/>
        </w:rPr>
        <w:t>10.22      Independent Contractor Agreement dated as of January 2, 2013 between Marriott Ownership Resorts, Inc. and RAMCO Advisors, LLC (incorporated by reference to Exhibit 10.24 to the Company’s Annual Report on Form 10-K filed on February 22, 2013).*</w:t>
      </w:r>
    </w:p>
    <w:p>
      <w:pPr>
        <w:spacing w:after="0" w:line="38" w:lineRule="exact"/>
        <w:rPr>
          <w:sz w:val="20"/>
          <w:szCs w:val="20"/>
          <w:color w:val="auto"/>
        </w:rPr>
      </w:pPr>
    </w:p>
    <w:p>
      <w:pPr>
        <w:jc w:val="both"/>
        <w:ind w:left="920" w:hanging="917"/>
        <w:spacing w:after="0" w:line="286"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Second Amended and Restated Indenture and Servicing Agreement, entered into September 11, 2012 and dated as of September 1, 2012, among Marriott Vacations Worldwide Owner Trust 2011-1, Marriott Ownership Resorts, Inc., and Wells Fargo Bank, National Association (incorporated by reference to Exhibit 10.2 to the Company’s Current Report on Form 8-K filed on September 13, 2012).</w:t>
      </w:r>
    </w:p>
    <w:p>
      <w:pPr>
        <w:spacing w:after="0" w:line="57" w:lineRule="exact"/>
        <w:rPr>
          <w:sz w:val="20"/>
          <w:szCs w:val="20"/>
          <w:color w:val="auto"/>
        </w:rPr>
      </w:pPr>
    </w:p>
    <w:p>
      <w:pPr>
        <w:jc w:val="both"/>
        <w:ind w:left="920" w:right="100" w:hanging="917"/>
        <w:spacing w:after="0" w:line="264"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Amended and Restated Sale Agreement, entered into September 11, 2012 and dated as of September 1, 2012, between MORI SPC Series Corp. and Marriott Vacations Worldwide Owner Trust 2011-1 (incorporated by reference to Exhibit 10.1 to the Company’s Current Report on Form 8-K filed on September 13, 2012).</w:t>
      </w:r>
    </w:p>
    <w:p>
      <w:pPr>
        <w:spacing w:after="0" w:line="73" w:lineRule="exact"/>
        <w:rPr>
          <w:sz w:val="20"/>
          <w:szCs w:val="20"/>
          <w:color w:val="auto"/>
        </w:rPr>
      </w:pPr>
    </w:p>
    <w:p>
      <w:pPr>
        <w:ind w:left="920" w:right="80" w:hanging="917"/>
        <w:spacing w:after="0" w:line="259"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Omnibus Amendment No. 1, dated January 15, 2013, among Marriott Vacations Worldwide Corporation, Marriott Ownership Resorts, Inc. and the other parties named therein to, among other agreements, the Second Amended and Restated Indenture and Servicing Agreement filed as Exhibit 10.23 hereto and the Amended and Restated Sale Agreement filed as Exhibit 10.24 hereto (incorporated by reference to Exhibit 10.27 to the Company’s Annual Report on Form 10-K filed on February 22, 2013).</w:t>
      </w:r>
    </w:p>
    <w:p>
      <w:pPr>
        <w:spacing w:after="0" w:line="79" w:lineRule="exact"/>
        <w:rPr>
          <w:sz w:val="20"/>
          <w:szCs w:val="20"/>
          <w:color w:val="auto"/>
        </w:rPr>
      </w:pPr>
    </w:p>
    <w:p>
      <w:pPr>
        <w:ind w:left="920" w:right="40" w:hanging="917"/>
        <w:spacing w:after="0" w:line="259"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Omnibus Amendment No. 2, dated September 6, 2013, among Marriott Vacations Worldwide Corporation, Marriott Ownership Resorts, Inc. and the other parties named therein to, among other agreements, the Second Amended and Restated Indenture and Servicing Agreement filed as Exhibit 10.23 hereto and the Amended and Restated Sale Agreement filed as Exhibit 10.24 hereto (incorporated by reference to Exhibit 10.1 of the Company’s Current Report on Form 8-K filed on September 9, 2013).</w:t>
      </w:r>
    </w:p>
    <w:p>
      <w:pPr>
        <w:spacing w:after="0" w:line="79" w:lineRule="exact"/>
        <w:rPr>
          <w:sz w:val="20"/>
          <w:szCs w:val="20"/>
          <w:color w:val="auto"/>
        </w:rPr>
      </w:pPr>
    </w:p>
    <w:p>
      <w:pPr>
        <w:ind w:left="920" w:right="100" w:hanging="917"/>
        <w:spacing w:after="0" w:line="259"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and Restatement Agreement, dated as of November 30, 2012, among Marriott Vacations Worldwide Corporation, Marriott Ownership Resorts, Inc., certain subsidiaries of Marriott Vacations Worldwide Corporation, JPMorgan Chase Bank, N.A., and the several banks and other financial institutions or entities from time to time parties thereto (incorporated by reference to Exhibit 10.1 to the Company’s Current Report on Form 8-K filed on November 30, 2012).</w:t>
      </w:r>
    </w:p>
    <w:p>
      <w:pPr>
        <w:spacing w:after="0" w:line="79" w:lineRule="exact"/>
        <w:rPr>
          <w:sz w:val="20"/>
          <w:szCs w:val="20"/>
          <w:color w:val="auto"/>
        </w:rPr>
      </w:pPr>
    </w:p>
    <w:p>
      <w:pPr>
        <w:ind w:left="920" w:right="20" w:hanging="917"/>
        <w:spacing w:after="0" w:line="276"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7"/>
          <w:szCs w:val="17"/>
          <w:color w:val="auto"/>
        </w:rPr>
        <w:t>Amended and Restated Credit Agreement, dated as of November 30, 2012, among Marriott Vacations Worldwide Corporation, Marriott Ownership Resorts, Inc., the several banks and other financial institutions or entities from time to time parties thereto, JPMorgan Chase Bank, N.A., as administrative agent, Bank of America, N.A. and Deutsche Bank Securities Inc., as co-documentation agents, and Merrill Lynch, Pierce, Fenner &amp; Smith Incorporated and Deutsche Bank Securities Inc., as co-syndication agents (incorporated by reference to Exhibit 10.2 to the Company’s Current Report on Form 8-K filed on November 30, 2012).</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0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Exhibit</w:t>
            </w:r>
          </w:p>
        </w:tc>
        <w:tc>
          <w:tcPr>
            <w:tcW w:w="10260" w:type="dxa"/>
            <w:vAlign w:val="bottom"/>
          </w:tcPr>
          <w:p>
            <w:pPr>
              <w:spacing w:after="0"/>
              <w:rPr>
                <w:sz w:val="14"/>
                <w:szCs w:val="14"/>
                <w:color w:val="auto"/>
              </w:rPr>
            </w:pPr>
          </w:p>
        </w:tc>
      </w:tr>
      <w:tr>
        <w:trPr>
          <w:trHeight w:val="185"/>
        </w:trPr>
        <w:tc>
          <w:tcPr>
            <w:tcW w:w="1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tcPr>
          <w:p>
            <w:pPr>
              <w:spacing w:after="0"/>
              <w:rPr>
                <w:sz w:val="16"/>
                <w:szCs w:val="16"/>
                <w:color w:val="auto"/>
              </w:rPr>
            </w:pP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60" w:type="dxa"/>
            <w:vAlign w:val="bottom"/>
            <w:tcBorders>
              <w:bottom w:val="single" w:sz="8" w:color="auto"/>
            </w:tcBorders>
          </w:tcPr>
          <w:p>
            <w:pPr>
              <w:spacing w:after="0" w:line="20" w:lineRule="exact"/>
              <w:rPr>
                <w:sz w:val="1"/>
                <w:szCs w:val="1"/>
                <w:color w:val="auto"/>
              </w:rPr>
            </w:pPr>
          </w:p>
        </w:tc>
      </w:tr>
      <w:tr>
        <w:trPr>
          <w:trHeight w:val="277"/>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10.29</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First Amendment, dated June 12, 2013, among Marriott Vacations Worldwide Corporation, Marriott Ownership Resorts, Inc., the several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banks and other financial institutions or entities from time to time party thereto, Bank of America, N.A. and Deutsche Bank Securities Inc., 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co-documentation agents, Merrill Lynch, Pierce, Fenner &amp; Smith Incorporated and Deutsche Bank Securities Inc., as co-syndication agents,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and JPMorgan Chase Bank, N.A., as administrative agent, to the Amended and Restated Credit Agreement filed as Exhibit 10.28 hereto</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10.1 of the Company’s Current Report on Form 8-K filed on June 13, 2013).</w:t>
            </w:r>
          </w:p>
        </w:tc>
      </w:tr>
      <w:tr>
        <w:trPr>
          <w:trHeight w:val="31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10.30</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Second Amendment, dated October 4, 2013, among Marriott Vacations Worldwide Corporation, Marriott Ownership Resorts, Inc., the several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banks and other financial institutions or entities from time to time party thereto, Bank of America, N.A. and Deutsche Bank Securities Inc., 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co-documentation agents, Merrill Lynch, Pierce, Fenner &amp; Smith Incorporated and Deutsche Bank Securities Inc., as co-syndication agents,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and JPMorgan Chase Bank, N.A., as administrative agent, to the Amended and Restated Credit Agreement filed as Exhibit 10.28 hereto</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to Exhibit 10.2 to the Company’s Quarterly Report on Form 10-Q filed on October 10, 2013).</w:t>
            </w:r>
          </w:p>
        </w:tc>
      </w:tr>
      <w:tr>
        <w:trPr>
          <w:trHeight w:val="31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10.31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Amended and Restated Guarantee and Collateral Agreement, dated as of November 30, 2012, made by Marriott Vacations Worldwide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Corporation, Marriott Ownership Resorts, Inc. and certain subsidiaries of Marriott Vacations Worldwide Corporation in favor of JPMorgan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Chase Bank, N.A., as administrative agent for the banks and other financial institutions or entities from time to time parties to the Amended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and Restated Credit Agreement filed as Exhibit 10.33 hereto (incorporated by reference to Exhibit 10.3 to the Company’s Current Report on</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 filed on November 30, 2012).</w:t>
            </w:r>
          </w:p>
        </w:tc>
      </w:tr>
      <w:tr>
        <w:trPr>
          <w:trHeight w:val="310"/>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10.32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First Amendment, dated June 12, 2013, made by Marriott Vacations Worldwide Corporation, Marriott Ownership Resorts, Inc., and certain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subsidiaries of Marriott Vacations Worldwide Corporation in favor of JPMorgan Chase Bank, N.A., as administrative agent, to the Amended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and Restated Guarantee and Collateral Agreement filed as Exhibit 10.31 hereto (incorporated by reference to Exhibit 10.2 of the Company’s</w:t>
            </w:r>
          </w:p>
        </w:tc>
      </w:tr>
      <w:tr>
        <w:trPr>
          <w:trHeight w:val="230"/>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Current Report on Form 8-K filed on June 13, 2013).</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Subsidiaries of Marriott Vacations Worldwide Corporation.</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Powers of Attorney (included on the signature pages hereto).</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r>
      <w:tr>
        <w:trPr>
          <w:trHeight w:val="324"/>
        </w:trPr>
        <w:tc>
          <w:tcPr>
            <w:tcW w:w="11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101.SCH</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7"/>
              </w:rPr>
              <w:t>101.CAL</w:t>
            </w:r>
          </w:p>
        </w:tc>
        <w:tc>
          <w:tcPr>
            <w:tcW w:w="10260" w:type="dxa"/>
            <w:vAlign w:val="bottom"/>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116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101.DEF</w:t>
            </w:r>
          </w:p>
        </w:tc>
        <w:tc>
          <w:tcPr>
            <w:tcW w:w="1026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60" w:type="dxa"/>
            <w:vAlign w:val="bottom"/>
            <w:gridSpan w:val="3"/>
          </w:tcPr>
          <w:p>
            <w:pPr>
              <w:jc w:val="center"/>
              <w:ind w:right="480"/>
              <w:spacing w:after="0"/>
              <w:rPr>
                <w:sz w:val="20"/>
                <w:szCs w:val="20"/>
                <w:color w:val="auto"/>
              </w:rPr>
            </w:pPr>
            <w:r>
              <w:rPr>
                <w:rFonts w:ascii="Arial" w:cs="Arial" w:eastAsia="Arial" w:hAnsi="Arial"/>
                <w:sz w:val="18"/>
                <w:szCs w:val="18"/>
                <w:color w:val="auto"/>
                <w:w w:val="98"/>
              </w:rPr>
              <w:t>101.LAB</w:t>
            </w:r>
          </w:p>
        </w:tc>
        <w:tc>
          <w:tcPr>
            <w:tcW w:w="10260" w:type="dxa"/>
            <w:vAlign w:val="bottom"/>
          </w:tcPr>
          <w:p>
            <w:pPr>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1160" w:type="dxa"/>
            <w:vAlign w:val="bottom"/>
            <w:gridSpan w:val="3"/>
          </w:tcPr>
          <w:p>
            <w:pPr>
              <w:jc w:val="center"/>
              <w:ind w:right="500"/>
              <w:spacing w:after="0"/>
              <w:rPr>
                <w:sz w:val="20"/>
                <w:szCs w:val="20"/>
                <w:color w:val="auto"/>
              </w:rPr>
            </w:pPr>
            <w:r>
              <w:rPr>
                <w:rFonts w:ascii="Arial" w:cs="Arial" w:eastAsia="Arial" w:hAnsi="Arial"/>
                <w:sz w:val="18"/>
                <w:szCs w:val="18"/>
                <w:color w:val="auto"/>
                <w:w w:val="91"/>
              </w:rPr>
              <w:t>101.PRE</w:t>
            </w:r>
          </w:p>
        </w:tc>
        <w:tc>
          <w:tcPr>
            <w:tcW w:w="10260" w:type="dxa"/>
            <w:vAlign w:val="bottom"/>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attached the following documents formatted in XBRL (Extensible Business Reporting Language) as Exhibit 101 to this report:</w:t>
      </w:r>
    </w:p>
    <w:p>
      <w:pPr>
        <w:spacing w:after="0" w:line="23" w:lineRule="exact"/>
        <w:rPr>
          <w:sz w:val="20"/>
          <w:szCs w:val="20"/>
          <w:color w:val="auto"/>
        </w:rPr>
      </w:pPr>
    </w:p>
    <w:p>
      <w:pPr>
        <w:ind w:right="240" w:firstLine="8"/>
        <w:spacing w:after="0" w:line="253"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Consolidated Statements of Operations for the fiscal years ended January 3, 2014, December 28, 2012 and December 30, 2011; (ii) the Consolidated Statements of Comprehensive Income (Loss) for the fiscal years ended January 3, 2014, December 28, 2012 and December 30, 2011; (iii) the Consolidated Balance Sheets at January 3, 2014 and December 28, 2012; (iv) the Consolidated Statements of Cash Flows for the fiscal years ended January 3, 2014, December 28, 2012 and December 30, 2011; and (v) the Consolidated Statements of Shareholders’ Equity for the fiscal years ended January 3, 2014, December 28, 2012 and December 30, 2011.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2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0"/>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0000EE"/>
            </w:tcBorders>
            <w:gridSpan w:val="9"/>
          </w:tcPr>
          <w:p>
            <w:pPr>
              <w:spacing w:after="0" w:line="190"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Management’s Report on Internal Control Over Financial Reporting</w:t>
              </w:r>
            </w:hyperlink>
          </w:p>
        </w:tc>
        <w:tc>
          <w:tcPr>
            <w:tcW w:w="6000" w:type="dxa"/>
            <w:vAlign w:val="bottom"/>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Report of Independent Registered Public Accounting Firm</w:t>
              </w:r>
            </w:hyperlink>
          </w:p>
        </w:tc>
        <w:tc>
          <w:tcPr>
            <w:tcW w:w="66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920" w:type="dxa"/>
            <w:vAlign w:val="bottom"/>
            <w:gridSpan w:val="1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2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Operations</w:t>
              </w:r>
            </w:hyperlink>
          </w:p>
        </w:tc>
        <w:tc>
          <w:tcPr>
            <w:tcW w:w="670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Comprehensive Income (Loss)</w:t>
              </w:r>
            </w:hyperlink>
          </w:p>
        </w:tc>
        <w:tc>
          <w:tcPr>
            <w:tcW w:w="66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Consolidated Balance Sheets</w:t>
              </w:r>
            </w:hyperlink>
          </w:p>
        </w:tc>
        <w:tc>
          <w:tcPr>
            <w:tcW w:w="88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Consolidated Statements of Cash Flows</w:t>
              </w:r>
            </w:hyperlink>
          </w:p>
        </w:tc>
        <w:tc>
          <w:tcPr>
            <w:tcW w:w="80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Consolidated Statements of Shareholders’ Equity</w:t>
              </w:r>
            </w:hyperlink>
          </w:p>
        </w:tc>
        <w:tc>
          <w:tcPr>
            <w:tcW w:w="736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Notes to Consolidated Financial Statements</w:t>
              </w:r>
            </w:hyperlink>
          </w:p>
        </w:tc>
        <w:tc>
          <w:tcPr>
            <w:tcW w:w="776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7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In connection with the preparation of the Company’s annual consolidated financial statements, management has undertaken an assessment of the effectiveness of the Company’s internal control over financial reporting as of January 3, 2014, based on criteria established in Internal Control-Integrated Framework issued by the Committee of Sponsoring Organizations of the Treadway Commission (1992 framework) (the “COSO criteria”).</w:t>
      </w:r>
    </w:p>
    <w:p>
      <w:pPr>
        <w:spacing w:after="0" w:line="14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Based on this assessment, management has concluded that, applying the COSO criteria, as of January 3, 2014,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Marriott Vacations Worldwide Corporation:</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audited Marriott Vacations Worldwide Corporation’s internal control over financial reporting as of January 3, 2014, based on criteria established in Internal Control—Integrated Framework issued by the Committee of Sponsoring Organizations of the Treadway Commission (1992 framework) (the “COSO criteria”). Marriott Vacations Worldwide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our opinion, Marriott Vacations Worldwide Corporation maintained, in all material respects, effective internal control over financial reporting as of January 3, 2014, based on the COSO criteria.</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Marriott Vacations Worldwide Corporation as of January 3, 2014 and December 28, 2012, and the related consolidated statements of operations, comprehensive income (loss), shareholders’ equity, and cash flows for each of the three fiscal years in the period ended January 3, 2014 and our report dated February 27, 2014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Marriott Vacations Worldwide Corporation: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audited the accompanying consolidated balance sheets of Marriott Vacations Worldwide Corporation as of January 3, 2014 and December 28, 2012, and the related consolidated statements of operations, comprehensive income (loss), shareholders’ equity, and cash flows for each of the three fiscal years in the period ended January 3,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Marriott Vacations Worldwide Corporation at January 3, 2014 and December 28, 2012 and the consolidated results of its operations and its cash flows for each of the three fiscal years in the period ended January 3, 2014 in conformity with U.S. generally accepted accounting principles.</w:t>
      </w:r>
    </w:p>
    <w:p>
      <w:pPr>
        <w:spacing w:after="0" w:line="16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Marriott Vacations Worldwide Corporation’s internal control over financial reporting as of January 3, 2014, based on criteria established in Internal Control-Integrated Framework issued by the Committee of Sponsoring Organizations of the Treadway Commission (1992 framework) and our report dated February 27, 2014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672</w:t>
            </w: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618</w:t>
            </w:r>
          </w:p>
        </w:tc>
        <w:tc>
          <w:tcPr>
            <w:tcW w:w="6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Financing</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70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sales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Financing</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settlement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Organizational and separation related</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financing interest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Royalty fee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Gains and other income</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20" w:type="dxa"/>
            <w:vAlign w:val="bottom"/>
          </w:tcPr>
          <w:p>
            <w:pPr>
              <w:ind w:left="340"/>
              <w:spacing w:after="0"/>
              <w:rPr>
                <w:sz w:val="20"/>
                <w:szCs w:val="20"/>
                <w:color w:val="auto"/>
              </w:rPr>
            </w:pPr>
            <w:r>
              <w:rPr>
                <w:rFonts w:ascii="Arial" w:cs="Arial" w:eastAsia="Arial" w:hAnsi="Arial"/>
                <w:sz w:val="18"/>
                <w:szCs w:val="18"/>
                <w:color w:val="auto"/>
              </w:rPr>
              <w:t>Equity in earnings</w:t>
            </w:r>
          </w:p>
        </w:tc>
        <w:tc>
          <w:tcPr>
            <w:tcW w:w="16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(charges) reversals on equity investment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Shares used in computing basic earnings (loss) per share</w:t>
            </w: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6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color w:val="auto"/>
              </w:rPr>
              <w:t>Shares used in computing diluted earnings (loss) per share</w:t>
            </w: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1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w w:val="71"/>
              </w:rPr>
              <w:t>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4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4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 net of tax</w:t>
            </w:r>
          </w:p>
        </w:tc>
        <w:tc>
          <w:tcPr>
            <w:tcW w:w="4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5"/>
                <w:szCs w:val="15"/>
                <w:color w:val="auto"/>
                <w:w w:val="71"/>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4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9</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w:t>
            </w: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880" w:type="dxa"/>
            <w:vAlign w:val="bottom"/>
            <w:gridSpan w:val="2"/>
          </w:tcPr>
          <w:p>
            <w:pPr>
              <w:jc w:val="right"/>
              <w:ind w:right="3610"/>
              <w:spacing w:after="0"/>
              <w:rPr>
                <w:sz w:val="20"/>
                <w:szCs w:val="20"/>
                <w:color w:val="auto"/>
              </w:rPr>
            </w:pPr>
            <w:r>
              <w:rPr>
                <w:rFonts w:ascii="Arial" w:cs="Arial" w:eastAsia="Arial" w:hAnsi="Arial"/>
                <w:sz w:val="18"/>
                <w:szCs w:val="18"/>
                <w:color w:val="auto"/>
              </w:rPr>
              <w:t>F-6</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Year-End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$34 and $31 from VIEs, respectively)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Accounts and contracts receivable (including $5 and $5 from VIEs, respectively)</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(including $719 and $727 from VIEs, respectively)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2,632</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Advance deposits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(including $1 and $1 from VIEs, respectively)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liability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$674 and $674 from VIEs, respectively)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1,423</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Preferred stock — $.01 par value; 2,000,000 shares authorized; none issued or outstanding</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Common stock — $.01 par value; 100,000,000 shares authorized; 35,637,765 and 35,026,533 shares issued, respectively</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Treasury stock — at cost; 505,023 and 0 shares, respectively</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8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1,209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2,632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abbreviation VIEs above means Variable Interest Entities.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income (loss)</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Provision for loan losses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Gain on disposal of property and equipment, net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Equity method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charges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Impairment charges (reversals) on equity investment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assets and liabilities: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Accounts and contracts receivable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Notes receivable originations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Notes receivable collections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advance deposits and accrued liabilities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Liability for Marriott Rewards customer loyalty program</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Payroll and benefit liabilities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compensation liability</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 collections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(Increase) decrease in restricted cash</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Dispositions</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106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Borrowings from securitization transactions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debt related to securitization transactions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Borrowings on Revolving Corporate Credit Facility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on Revolving Corporate Credit Facility</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third party debt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Purchase of treasury stock</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stock option exercises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Net distribution to Marriott International</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Effect of changes in exchange rates on cash and cash equivalents</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EQUIVALENTS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Non-cash reduction of Additional paid-in capital for increase in Deferred tax liabilities distributed to</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Marriott Vacations Worldwide at Spin-Off</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ind w:left="340"/>
              <w:spacing w:after="0" w:line="201" w:lineRule="exact"/>
              <w:rPr>
                <w:sz w:val="20"/>
                <w:szCs w:val="20"/>
                <w:color w:val="auto"/>
              </w:rPr>
            </w:pPr>
            <w:r>
              <w:rPr>
                <w:rFonts w:ascii="Arial" w:cs="Arial" w:eastAsia="Arial" w:hAnsi="Arial"/>
                <w:sz w:val="18"/>
                <w:szCs w:val="18"/>
                <w:color w:val="auto"/>
              </w:rPr>
              <w:t>Non-cash reduction of Additional paid-in capital for elimination of a receivable from Marriott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ind w:left="520"/>
              <w:spacing w:after="0"/>
              <w:rPr>
                <w:sz w:val="20"/>
                <w:szCs w:val="20"/>
                <w:color w:val="auto"/>
              </w:rPr>
            </w:pPr>
            <w:r>
              <w:rPr>
                <w:rFonts w:ascii="Arial" w:cs="Arial" w:eastAsia="Arial" w:hAnsi="Arial"/>
                <w:sz w:val="18"/>
                <w:szCs w:val="18"/>
                <w:color w:val="auto"/>
              </w:rPr>
              <w:t>International at Spin-Off</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assumption of other debt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Non-cash settlement of transactions with Marriott International through equity</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preferred stock to Marriott International</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Equity distribution payable to Marriott International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for exercise of stock options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262"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2013,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Divisional</w:t>
            </w: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3"/>
                <w:szCs w:val="13"/>
                <w:color w:val="auto"/>
              </w:rPr>
            </w:pPr>
          </w:p>
        </w:tc>
        <w:tc>
          <w:tcPr>
            <w:tcW w:w="10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3"/>
                <w:szCs w:val="13"/>
                <w:color w:val="auto"/>
              </w:rPr>
            </w:pPr>
          </w:p>
        </w:tc>
        <w:tc>
          <w:tcPr>
            <w:tcW w:w="6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Outstanding</w:t>
            </w: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year-end 2010</w:t>
            </w:r>
          </w:p>
        </w:tc>
        <w:tc>
          <w:tcPr>
            <w:tcW w:w="78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1"/>
              </w:rPr>
              <w:t>1,876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ind w:left="200"/>
              <w:spacing w:after="0" w:line="142" w:lineRule="exact"/>
              <w:rPr>
                <w:sz w:val="20"/>
                <w:szCs w:val="20"/>
                <w:color w:val="auto"/>
              </w:rPr>
            </w:pPr>
            <w:r>
              <w:rPr>
                <w:rFonts w:ascii="Arial" w:cs="Arial" w:eastAsia="Arial" w:hAnsi="Arial"/>
                <w:sz w:val="14"/>
                <w:szCs w:val="14"/>
                <w:color w:val="auto"/>
                <w:w w:val="93"/>
              </w:rPr>
              <w:t>(9)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2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related to share-based compensation</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spacing w:after="0" w:line="130" w:lineRule="exact"/>
              <w:rPr>
                <w:sz w:val="20"/>
                <w:szCs w:val="20"/>
                <w:color w:val="auto"/>
              </w:rPr>
            </w:pPr>
            <w:r>
              <w:rPr>
                <w:rFonts w:ascii="Arial" w:cs="Arial" w:eastAsia="Arial" w:hAnsi="Arial"/>
                <w:sz w:val="14"/>
                <w:szCs w:val="14"/>
                <w:color w:val="auto"/>
              </w:rPr>
              <w:t>Reclassification of Parent Company investment to Additional paid-in</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tcPr>
          <w:p>
            <w:pPr>
              <w:ind w:left="140"/>
              <w:spacing w:after="0"/>
              <w:rPr>
                <w:sz w:val="20"/>
                <w:szCs w:val="20"/>
                <w:color w:val="auto"/>
              </w:rPr>
            </w:pPr>
            <w:r>
              <w:rPr>
                <w:rFonts w:ascii="Arial" w:cs="Arial" w:eastAsia="Arial" w:hAnsi="Arial"/>
                <w:sz w:val="14"/>
                <w:szCs w:val="14"/>
                <w:color w:val="auto"/>
              </w:rPr>
              <w:t>capital</w:t>
            </w:r>
            <w:r>
              <w:rPr>
                <w:rFonts w:ascii="Arial" w:cs="Arial" w:eastAsia="Arial" w:hAnsi="Arial"/>
                <w:sz w:val="12"/>
                <w:szCs w:val="12"/>
                <w:color w:val="auto"/>
              </w:rPr>
              <w:t>(1)</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(1,113)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distribution to Marriott International</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156"/>
        </w:trPr>
        <w:tc>
          <w:tcPr>
            <w:tcW w:w="4380" w:type="dxa"/>
            <w:vAlign w:val="bottom"/>
            <w:gridSpan w:val="2"/>
          </w:tcPr>
          <w:p>
            <w:pPr>
              <w:spacing w:after="0" w:line="155" w:lineRule="exact"/>
              <w:rPr>
                <w:sz w:val="20"/>
                <w:szCs w:val="20"/>
                <w:color w:val="auto"/>
              </w:rPr>
            </w:pPr>
            <w:r>
              <w:rPr>
                <w:rFonts w:ascii="Arial" w:cs="Arial" w:eastAsia="Arial" w:hAnsi="Arial"/>
                <w:sz w:val="14"/>
                <w:szCs w:val="14"/>
                <w:color w:val="auto"/>
              </w:rPr>
              <w:t>Balance at year-end 2011</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w:t>
            </w:r>
          </w:p>
        </w:tc>
        <w:tc>
          <w:tcPr>
            <w:tcW w:w="2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ind w:left="2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center"/>
              <w:ind w:left="12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color w:val="auto"/>
                <w:w w:val="93"/>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2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Adjustment to reclassification of Marriott International investment to</w:t>
            </w: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r>
              <w:rPr>
                <w:rFonts w:ascii="Arial" w:cs="Arial" w:eastAsia="Arial" w:hAnsi="Arial"/>
                <w:sz w:val="12"/>
                <w:szCs w:val="12"/>
                <w:color w:val="auto"/>
              </w:rPr>
              <w:t>(2)</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Amounts related to share-based compensation</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left="1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year-end 2012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2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line="149" w:lineRule="exact"/>
              <w:rPr>
                <w:sz w:val="20"/>
                <w:szCs w:val="20"/>
                <w:color w:val="auto"/>
              </w:rPr>
            </w:pPr>
            <w:r>
              <w:rPr>
                <w:rFonts w:ascii="Arial" w:cs="Arial" w:eastAsia="Arial" w:hAnsi="Arial"/>
                <w:sz w:val="14"/>
                <w:szCs w:val="14"/>
                <w:color w:val="auto"/>
              </w:rPr>
              <w:t>Amounts related to share-based compensation</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6"/>
        </w:trPr>
        <w:tc>
          <w:tcPr>
            <w:tcW w:w="4380" w:type="dxa"/>
            <w:vAlign w:val="bottom"/>
            <w:gridSpan w:val="2"/>
          </w:tcPr>
          <w:p>
            <w:pPr>
              <w:spacing w:after="0" w:line="155" w:lineRule="exact"/>
              <w:rPr>
                <w:sz w:val="20"/>
                <w:szCs w:val="20"/>
                <w:color w:val="auto"/>
              </w:rPr>
            </w:pPr>
            <w:r>
              <w:rPr>
                <w:rFonts w:ascii="Arial" w:cs="Arial" w:eastAsia="Arial" w:hAnsi="Arial"/>
                <w:sz w:val="14"/>
                <w:szCs w:val="14"/>
                <w:color w:val="auto"/>
              </w:rPr>
              <w:t>Balance at year-end 2013</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w:t>
            </w:r>
          </w:p>
        </w:tc>
        <w:tc>
          <w:tcPr>
            <w:tcW w:w="220" w:type="dxa"/>
            <w:vAlign w:val="bottom"/>
          </w:tcPr>
          <w:p>
            <w:pPr>
              <w:spacing w:after="0"/>
              <w:rPr>
                <w:sz w:val="13"/>
                <w:szCs w:val="13"/>
                <w:color w:val="auto"/>
              </w:rPr>
            </w:pPr>
          </w:p>
        </w:tc>
        <w:tc>
          <w:tcPr>
            <w:tcW w:w="2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ind w:left="240"/>
              <w:spacing w:after="0" w:line="155" w:lineRule="exact"/>
              <w:rPr>
                <w:sz w:val="20"/>
                <w:szCs w:val="20"/>
                <w:color w:val="auto"/>
              </w:rPr>
            </w:pPr>
            <w:r>
              <w:rPr>
                <w:rFonts w:ascii="Arial" w:cs="Arial" w:eastAsia="Arial" w:hAnsi="Arial"/>
                <w:sz w:val="14"/>
                <w:szCs w:val="14"/>
                <w:color w:val="auto"/>
                <w:w w:val="88"/>
              </w:rPr>
              <w:t>(26)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center"/>
              <w:ind w:left="12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80" w:hanging="452"/>
        <w:spacing w:after="0" w:line="274"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7"/>
          <w:szCs w:val="17"/>
          <w:color w:val="auto"/>
        </w:rPr>
        <w:t>Upon the effective date of the Spin-Off, Marriott Vacations Worldwide’s Divisional equity was reclassified and allocated between Common stock and Additional paid-in capital based on the number of shares of Marriott Vacations Worldwide common stock issued and outstanding.</w:t>
      </w:r>
    </w:p>
    <w:p>
      <w:pPr>
        <w:ind w:left="460" w:right="120" w:hanging="452"/>
        <w:spacing w:after="0" w:line="290"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7"/>
          <w:szCs w:val="17"/>
          <w:color w:val="auto"/>
        </w:rPr>
        <w:t>Primarily consists of an adjustment to Deferred tax liabilities for changes in the valuation of Marriott Vacations Worldwide at the time of the Spin-Off, an adjustment to a receivable from Marriott International and other adjustments to the Deferred tax liabilities at the time of Spin-Off.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(“Ritz-Carlton Hotel Company”), a subsidiary of Marriott International, Inc. (“Marriott International”), generally provides on-site management for Ritz-Carlton branded properties.</w:t>
      </w:r>
    </w:p>
    <w:p>
      <w:pPr>
        <w:spacing w:after="0" w:line="16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business is grouped into three reportable segments: North America, Europe and Asia Pacific. As of January 3, 2014, we operated 62 properties in the United States and nine other countries and territories.</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and renting vacation ownership inventory.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117"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On November 21, 2011, the spin-off of Marriott Vacations Worldwide from Marriott International (the “Spin-Off”) was completed pursuant to a Separation and Distribution Agreement (the “Separation and Distribution Agreement”) between Marriott Vacations Worldwide and Marriott International. Marriott Vacations Worldwide became an independent public company as a result of the distribution pursuant to the Spin-Off of 100 percent of the outstanding shares of Marriott Vacations Worldwide common stock to the shareholders of Marriott International.</w:t>
      </w:r>
    </w:p>
    <w:p>
      <w:pPr>
        <w:spacing w:after="0" w:line="17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Prior to the Spin-Off, Marriott International completed an internal reorganization to contribute its non-U.S. and U.S. subsidiaries that conducted its vacation ownership business to Marriott Vacations Worldwide, a newly formed wholly owned subsidiary of Marriott International; the contributed subsidiaries included Marriott Ownership Resorts, Inc., which does business under the name Marriott Vacation Club International. The distribution of Marriott Vacations Worldwide common stock was made on November 21, 2011, with Marriott International shareholders receiving one share of Marriott Vacations Worldwide common stock for every ten shares of Marriott International common stock held as of the close of business Eastern time on the record date of November 10, 2011. Fractional shares of Marriott Vacations Worldwide common stock were not distributed; any fractional share of Marriott Vacations Worldwide common stock otherwise issuable to a Marriott International shareholder was sold in the open market on such shareholder’s behalf, with such shareholders receiving a cash payment in lieu of such fractional share.</w:t>
      </w:r>
    </w:p>
    <w:p>
      <w:pPr>
        <w:spacing w:after="0" w:line="17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connection with the Spin-Off, we entered into the Separation and Distribution Agreement and several other agreements which govern the ongoing relationship between Marriott Vacations Worldwide and Marriott International.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Through the date of the Spin-Off, these financial statements present the historical consolidated results of operations, financial position and cash flows of the Marriott Vacations Worldwide business that now comprises our operations. Intercompany accounts and transactions between consolidated companies have been eliminated in consolidation.</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Through the date of the Spin-Off, the consolidated financial statements presented herein, and discussed below, were prepared on a stand-alone basis and were derived from the consolidated financial statements and accounting records of Marriott International. These consolidated financial statements were prepared as if the reorganization described under “Our Spin-Off from Marriott International, Inc.” above had occurred as of the first day of the earliest period presented. The consolidated financial statements reflect our financial position, results of operations and cash flows as prepared in conformity with United States Generally Accepted Accounting Principles (“GAAP”). All significant intracompany transactions and accounts within these Consolidated Financial Statements have been eliminated.</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Prior to the Spin-Off, Marriott Vacations Worldwide was a subsidiary of Marriott International. The financial information included herein may not necessarily reflect our financial position, results of operations and cash flows in the future or what our financial position, results of operations and cash flows would have been had we been an independent, publicly traded company during all of the periods presented.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fiscal year ends on the Friday nearest to December 31. The fiscal years in the following table included 52 weeks, except for 2013, which included 53 weeks. Unless otherwise specified, each reference to a particular year in these financial statements means the fiscal year ended on the date shown in the following table, rather than the corresponding calendar year:</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700" w:type="dxa"/>
            <w:vAlign w:val="bottom"/>
          </w:tcPr>
          <w:p>
            <w:pPr>
              <w:spacing w:after="0"/>
              <w:rPr>
                <w:sz w:val="20"/>
                <w:szCs w:val="20"/>
                <w:color w:val="auto"/>
              </w:rPr>
            </w:pPr>
            <w:r>
              <w:rPr>
                <w:rFonts w:ascii="Arial" w:cs="Arial" w:eastAsia="Arial" w:hAnsi="Arial"/>
                <w:sz w:val="14"/>
                <w:szCs w:val="14"/>
                <w:b w:val="1"/>
                <w:bCs w:val="1"/>
                <w:color w:val="auto"/>
                <w:w w:val="91"/>
              </w:rPr>
              <w:t>Fiscal Year</w:t>
            </w:r>
          </w:p>
        </w:tc>
        <w:tc>
          <w:tcPr>
            <w:tcW w:w="5500" w:type="dxa"/>
            <w:vAlign w:val="bottom"/>
          </w:tcPr>
          <w:p>
            <w:pPr>
              <w:spacing w:after="0"/>
              <w:rPr>
                <w:sz w:val="16"/>
                <w:szCs w:val="16"/>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Fiscal Year-End Date</w:t>
            </w:r>
          </w:p>
        </w:tc>
      </w:tr>
      <w:tr>
        <w:trPr>
          <w:trHeight w:val="210"/>
        </w:trPr>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5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January 3,</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5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1"/>
              </w:rPr>
              <w:t>December 28,</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18"/>
                <w:szCs w:val="18"/>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5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December 30, 2011</w:t>
            </w:r>
          </w:p>
        </w:tc>
      </w:tr>
    </w:tbl>
    <w:p>
      <w:pPr>
        <w:spacing w:after="0" w:line="2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refer throughout to (i) our Consolidated Financial Statements as our “Financial Statements,” (ii) our Consolidated Statements of Operations as our “Statements of Operations,” (iii) our Consolidated Balance Sheets as our “Balance Sheets” and (iv) our Consolidated Statements of Cash Flows as our “Cash Flows.” In addition, references throughout to numbered “Footnotes” refer to the numbered Notes in these Notes to Condensed Consolidated Financial Statements, unless otherwise noted.</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All significant transactions between us and Marriott International have been included in these Financial Statements. The total net effect of the settlement of these intercompany transactions prior to the Spin-Off is reflected in the Cash Flows as a financing activity. In connection with the Spin-Off, we completed certain transactions with Marriott International related to our separation from Marriott International, which resulted in a net reduction to our equity of approximately $600 million. These transactions primarily consisted of the reversal of our deferred tax assets, which were retained by Marriott International following the Spin-Off, and establishment of deferred tax liabilities.</w:t>
      </w:r>
    </w:p>
    <w:p>
      <w:pPr>
        <w:spacing w:after="0" w:line="1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Through the date of the Spin-Off, our Financial Statements include costs for services provided by Marriott International including, but not limited to, information technology support, systems maintenance, telecommunications, accounts payable, payroll and benefits, human resources, self-insurance and other shared services. Historically, these costs were charged to us based on specific identification or on a basis determined by Marriott International to reflect a reasonable allocation to us of the actual costs incurred to perform these services. Marriott International allocated indirect general and administrative costs to us for certain functions provided by Marriott International. The services provided to us included, but were not limited to, executive office, legal, tax, finance, government and public relations, internal audit, treasury, investor relations, human resources and other administrative support, which were allocated to us primarily on the basis of our proportion of Marriott International’s overall revenue. We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might have been incurred had we been a stand-alone company would depend on a number of factors, including the chosen organizational structure, what functions we might have performed ourselves or outsourced and strategic decisions we might have made in areas such as information technology and infrastructure. Following the Spin-Off, we perform these functions using our own resources or purchased services from either Marriott International or third parties. For an interim period some of these functions continued to be provided by Marriott International under Transition Services Agreements (“TSAs”). As of the end of 2013, we have ceased using most of these services. In addition to the TSAs, we entered into a number of commercial agreements with Marriott International in connection with the Spin-Off, many of which have terms longer than one year. These agreements may not have existed prior to the Spin-Off, or may be on different terms than the terms of agreements between us and Marriott International that existed prior to Spin-Off.</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Prior to the Spin-Off, the majority of our domestic cash was transferred to Marriott International daily and Marriott International funded our operating and investing activities as needed. Accordingly, the cash and cash equivalents held by Marriott International at the corporate level were not allocated to us for any of the periods prior to the Spin-Off presented. Prior to the Spin-Off, cash and cash equivalents in our Balance Sheets primarily represented cash held locally by international entities included in our Financial Statements. We included debt incurred from our limited direct financing and historical vacation ownership notes receivable securitizations on our Balance Sheets, as this debt is specific to our business. Marriott International did not allocate a portion of its external senior debt interest cost to us since none of the external senior debt recorded by Marriott International was directly related to our business. We also did not include any interest expense for cash advances from Marriott International since historically Marriott International did not allocate any interest expense related to intercompany advances to any of the historical Marriott International divisions.</w:t>
      </w:r>
    </w:p>
    <w:p>
      <w:pPr>
        <w:spacing w:after="0" w:line="17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Prior to the Spin-Off, Marriott International allocated a portion of expenses associated with its self-insurance programs to us as part of the historical costs for services Marriott International provided. In connection with the Spin-Off, Marriott International did not allocate any portion of the related reserves as these reserves represent obligations of Marriott International which are not transferable.</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customer loyalty program liabilities, self-insured medical plan reserves, equity-based compensation, income taxes, loss contingencies and exit and disposal activities reserves. Actual amounts may differ from these estimated amounts.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have reclassified certain prior year amounts to conform to our 2013 presentation, including establishing the consumer financing interest expense line on the Statements of Operations. Consumer financing interest expense represents interest expense associated with the debt from our $250 million non-recourse warehouse credit facility (the “Warehouse Credit Facility”) and from the securitization of our vacation ownership notes receivable in the asset-backed securities (“ABS”) market.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 See Footnote No. 15, “Variable Interest Entities” for further discussion of these facilities.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Prior Financial Statements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2013, during the course of an internal review of certain sales documentation processes related to the sale of certain vacation ownership interests in properties associated with our Europe segment, we determined that the documentation we provided for certain sales of vacation ownership products was not strictly compliant. As a result, in accordance with applicable European regulation, the period of time during which purchasers of such interests may rescind their purchases was extended. We record revenues from the sale of vacation ownership products once the rescission period has ended. Originally, we recorded revenues from these sales of vacation ownership products based on the rescission periods in effect assuming compliant documentation had been provided to the purchasers rather than the extended periods. As a result, we recognized revenue in incorrect periods between fiscal years 2010 and 2013 and misstated revenues in our previously filed consolidated financial statements.</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documentation issue described above was limited to sales documentation provided to purchasers of certain interests in properties associated with our Europe segment. We took corrective measures and, as a result, compliant documentation is being provided to purchasers. In addition, we provided compliant documentation to purchasers for whom the extended rescission period had not yet expired. The cumulative impact of these items through December 28, 2012 was a reduction in reported income before income taxes of $12 million. However, as compliant documentation was subsequently provided as part of our corrective measures, the extended rescission period for most of the purchases at issue ended during the second quarter of 2013. As of January 3, 2014, sales having a net pre-tax impact of $1 million had been rescinded. As a result, approximately $11 million of the cumulative impact of these items is reflected as an increase in income before income taxes for the year ended January 3, 2014.</w:t>
      </w:r>
    </w:p>
    <w:p>
      <w:pPr>
        <w:spacing w:after="0" w:line="16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consolidated restated financial statements include certain other corrections related to the timing of recording adjustments to previously reported deferred tax balances. Certain deferred tax assets were determined to not be realizable in future years and thus were eliminated, albeit in the incorrect fiscal year for the years ended December 28, 2012, December 30, 2011 and December 31, 2010. The need for these corrections was identified while we were developing internal processes relating to deferred taxes after we became a stand-alone public company. In addition to the adjustments required as a result of the errors described above, the restated consolidated financial statements include certain previously unrecorded immaterial adjustments to our financial statements for fiscal years 2010 and 2011 relating to cost reimbursements, which previously were recorded on a net basis.</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adjustments necessary to correct all of these errors have no impact on previously reported cash flows from operations and do not have a material impact on our balance sheet as of any date. In accordance with applicable accounting guidance, an adjustment to the financial statements for each individual period presented is required to reflect the correction of the period-specific effects of the errors described above, if material. Based on our evaluation of relevant quantitative and qualitative factors, we determined the identified misstatements are not material to our individual prior period consolidated financial statements; however, the cumulative correction of the prior period errors would be material to our current year consolidated financial statements. Consequently, we have restated the Statements of Operations for the years ended December 28, 2012 and December 30, 2011. We have restated the accompanying Balance Sheet as of December 28, 2012. We have also restated the opening January 1, 2011 balances presented in our Consolidated Statements of Shareholders’ Equity from amounts previously reported, to correct the prior period misstatements of approximately $9 million that have been presented as a reduction to retained earnings.</w:t>
      </w:r>
    </w:p>
    <w:p>
      <w:pPr>
        <w:spacing w:after="0" w:line="19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cumulative impact of these misstatements on our Cash Flows for the years ended December 28, 2012 and December 30, 2011 is inconsequential as the impact on individual line items within operating activities is not material and has no impact on net cash provided by (used in) operating, investing or financing activities. However, we have restated these Cash Flows to reflect changes to individual line items within operating activities.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impact of these adjustments on the financial statements is detailed in the tables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0"/>
              </w:rPr>
              <w:t>As of December 28, 2012</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As</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Previously</w:t>
            </w:r>
          </w:p>
        </w:tc>
        <w:tc>
          <w:tcPr>
            <w:tcW w:w="420" w:type="dxa"/>
            <w:vAlign w:val="bottom"/>
          </w:tcPr>
          <w:p>
            <w:pPr>
              <w:spacing w:after="0"/>
              <w:rPr>
                <w:sz w:val="12"/>
                <w:szCs w:val="12"/>
                <w:color w:val="auto"/>
              </w:rPr>
            </w:pPr>
          </w:p>
        </w:tc>
        <w:tc>
          <w:tcPr>
            <w:tcW w:w="12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Adjustment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Reported</w:t>
            </w:r>
          </w:p>
        </w:tc>
        <w:tc>
          <w:tcPr>
            <w:tcW w:w="420" w:type="dxa"/>
            <w:vAlign w:val="bottom"/>
          </w:tcPr>
          <w:p>
            <w:pPr>
              <w:spacing w:after="0"/>
              <w:rPr>
                <w:sz w:val="14"/>
                <w:szCs w:val="14"/>
                <w:color w:val="auto"/>
              </w:rPr>
            </w:pPr>
          </w:p>
        </w:tc>
        <w:tc>
          <w:tcPr>
            <w:tcW w:w="122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Restated</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SHEETS</w:t>
            </w:r>
          </w:p>
        </w:tc>
        <w:tc>
          <w:tcPr>
            <w:tcW w:w="10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Inventory</w:t>
            </w:r>
          </w:p>
        </w:tc>
        <w:tc>
          <w:tcPr>
            <w:tcW w:w="12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6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2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18"/>
                <w:szCs w:val="18"/>
                <w:color w:val="auto"/>
              </w:rPr>
            </w:pPr>
          </w:p>
        </w:tc>
        <w:tc>
          <w:tcPr>
            <w:tcW w:w="6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Advance deposits</w:t>
            </w:r>
          </w:p>
        </w:tc>
        <w:tc>
          <w:tcPr>
            <w:tcW w:w="12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Deferred taxes</w:t>
            </w:r>
          </w:p>
        </w:tc>
        <w:tc>
          <w:tcPr>
            <w:tcW w:w="12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6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2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Retained earnings (deficit)</w:t>
            </w:r>
          </w:p>
        </w:tc>
        <w:tc>
          <w:tcPr>
            <w:tcW w:w="12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6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12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12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Pr>
          <w:p>
            <w:pPr>
              <w:spacing w:after="0"/>
              <w:rPr>
                <w:sz w:val="20"/>
                <w:szCs w:val="20"/>
                <w:color w:val="auto"/>
              </w:rPr>
            </w:pPr>
          </w:p>
        </w:tc>
        <w:tc>
          <w:tcPr>
            <w:tcW w:w="6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355"/>
        </w:trPr>
        <w:tc>
          <w:tcPr>
            <w:tcW w:w="5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5"/>
              </w:rPr>
              <w:t>For the Year Ended</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91"/>
              </w:rPr>
              <w:t>December 28, 2012</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As</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5"/>
              </w:rPr>
              <w:t>Previously</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Adjustment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 xml:space="preserve">Reported </w:t>
            </w:r>
            <w:r>
              <w:rPr>
                <w:rFonts w:ascii="Arial" w:cs="Arial" w:eastAsia="Arial" w:hAnsi="Arial"/>
                <w:sz w:val="12"/>
                <w:szCs w:val="12"/>
                <w:b w:val="1"/>
                <w:bCs w:val="1"/>
                <w:color w:val="auto"/>
                <w:w w:val="89"/>
              </w:rPr>
              <w:t>(1)</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Restated</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w:t>
            </w:r>
          </w:p>
        </w:tc>
        <w:tc>
          <w:tcPr>
            <w:tcW w:w="10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12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6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(9)</w:t>
            </w:r>
          </w:p>
        </w:tc>
        <w:tc>
          <w:tcPr>
            <w:tcW w:w="200" w:type="dxa"/>
            <w:vAlign w:val="bottom"/>
            <w:gridSpan w:val="2"/>
          </w:tcPr>
          <w:p>
            <w:pPr>
              <w:jc w:val="right"/>
              <w:ind w:right="4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2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1,648</w:t>
            </w:r>
          </w:p>
        </w:tc>
        <w:tc>
          <w:tcPr>
            <w:tcW w:w="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2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6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(2)</w:t>
            </w:r>
          </w:p>
        </w:tc>
        <w:tc>
          <w:tcPr>
            <w:tcW w:w="200" w:type="dxa"/>
            <w:vAlign w:val="bottom"/>
            <w:gridSpan w:val="2"/>
          </w:tcPr>
          <w:p>
            <w:pPr>
              <w:jc w:val="right"/>
              <w:ind w:right="4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2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12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1,606</w:t>
            </w:r>
          </w:p>
        </w:tc>
        <w:tc>
          <w:tcPr>
            <w:tcW w:w="6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4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4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2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c>
          <w:tcPr>
            <w:tcW w:w="6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(0.27)</w:t>
            </w:r>
          </w:p>
        </w:tc>
        <w:tc>
          <w:tcPr>
            <w:tcW w:w="200" w:type="dxa"/>
            <w:vAlign w:val="bottom"/>
            <w:gridSpan w:val="2"/>
          </w:tcPr>
          <w:p>
            <w:pPr>
              <w:jc w:val="right"/>
              <w:ind w:right="4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2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0.44</w:t>
            </w:r>
          </w:p>
        </w:tc>
        <w:tc>
          <w:tcPr>
            <w:tcW w:w="6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(0.26)</w:t>
            </w: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7"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As previously reported amounts include interest expense amounts that have been reclassified as consumer financing interest expense to conform to our 2013 presentation.</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ind w:left="100"/>
              <w:spacing w:after="0"/>
              <w:rPr>
                <w:sz w:val="20"/>
                <w:szCs w:val="20"/>
                <w:color w:val="auto"/>
              </w:rPr>
            </w:pPr>
            <w:r>
              <w:rPr>
                <w:rFonts w:ascii="Arial" w:cs="Arial" w:eastAsia="Arial" w:hAnsi="Arial"/>
                <w:sz w:val="14"/>
                <w:szCs w:val="14"/>
                <w:b w:val="1"/>
                <w:bCs w:val="1"/>
                <w:color w:val="auto"/>
              </w:rPr>
              <w:t>For the Year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9"/>
              </w:rPr>
              <w:t>December 30, 2011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As</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Previously</w:t>
            </w:r>
          </w:p>
        </w:tc>
        <w:tc>
          <w:tcPr>
            <w:tcW w:w="36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2000" w:type="dxa"/>
            <w:vAlign w:val="bottom"/>
          </w:tcPr>
          <w:p>
            <w:pPr>
              <w:spacing w:after="0"/>
              <w:rPr>
                <w:sz w:val="14"/>
                <w:szCs w:val="14"/>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Reported</w:t>
            </w:r>
          </w:p>
        </w:tc>
        <w:tc>
          <w:tcPr>
            <w:tcW w:w="36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w:t>
            </w:r>
          </w:p>
        </w:tc>
        <w:tc>
          <w:tcPr>
            <w:tcW w:w="2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1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reimbursements</w:t>
            </w:r>
          </w:p>
        </w:tc>
        <w:tc>
          <w:tcPr>
            <w:tcW w:w="2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1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1,613</w:t>
            </w:r>
          </w:p>
        </w:tc>
        <w:tc>
          <w:tcPr>
            <w:tcW w:w="8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vacation ownership products</w:t>
            </w:r>
          </w:p>
        </w:tc>
        <w:tc>
          <w:tcPr>
            <w:tcW w:w="2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Marketing and sales</w:t>
            </w:r>
          </w:p>
        </w:tc>
        <w:tc>
          <w:tcPr>
            <w:tcW w:w="21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reimbursements</w:t>
            </w:r>
          </w:p>
        </w:tc>
        <w:tc>
          <w:tcPr>
            <w:tcW w:w="2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21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1,833</w:t>
            </w:r>
          </w:p>
        </w:tc>
        <w:tc>
          <w:tcPr>
            <w:tcW w:w="8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1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Basic (loss) earnings per share</w:t>
            </w:r>
          </w:p>
        </w:tc>
        <w:tc>
          <w:tcPr>
            <w:tcW w:w="21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(5.29)</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0.17</w:t>
            </w:r>
          </w:p>
        </w:tc>
        <w:tc>
          <w:tcPr>
            <w:tcW w:w="3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share</w:t>
            </w:r>
          </w:p>
        </w:tc>
        <w:tc>
          <w:tcPr>
            <w:tcW w:w="2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365"/>
        </w:trPr>
        <w:tc>
          <w:tcPr>
            <w:tcW w:w="4420" w:type="dxa"/>
            <w:vAlign w:val="bottom"/>
          </w:tcPr>
          <w:p>
            <w:pPr>
              <w:spacing w:after="0"/>
              <w:rPr>
                <w:sz w:val="24"/>
                <w:szCs w:val="24"/>
                <w:color w:val="auto"/>
              </w:rPr>
            </w:pPr>
          </w:p>
        </w:tc>
        <w:tc>
          <w:tcPr>
            <w:tcW w:w="2180" w:type="dxa"/>
            <w:vAlign w:val="bottom"/>
            <w:gridSpan w:val="2"/>
          </w:tcPr>
          <w:p>
            <w:pPr>
              <w:jc w:val="right"/>
              <w:ind w:right="1568"/>
              <w:spacing w:after="0"/>
              <w:rPr>
                <w:sz w:val="20"/>
                <w:szCs w:val="20"/>
                <w:color w:val="auto"/>
              </w:rPr>
            </w:pPr>
            <w:r>
              <w:rPr>
                <w:rFonts w:ascii="Arial" w:cs="Arial" w:eastAsia="Arial" w:hAnsi="Arial"/>
                <w:sz w:val="18"/>
                <w:szCs w:val="18"/>
                <w:color w:val="auto"/>
              </w:rPr>
              <w:t>F-13</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Sale of Vacation Ownership Products</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market and sell real estate and in substance real estate in our three reportable segments. Real estate and in substance real estate include deeded vacation ownership products, deeded beneficial interests, rights to use real estate, and other interests in trusts that solely hold real estate and deeded whole ownership units in residential buildings. Within the North America segment, we also market and sell residential units at certain properties on a limited basis.</w:t>
      </w:r>
    </w:p>
    <w:p>
      <w:pPr>
        <w:spacing w:after="0" w:line="14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Vacation ownership products may be sold for cash or we may provide financing. We are not providing financing on sales of whole ownership products. Except for revenue from the sale of residential stand-alone structures, which we recognize upon transfer of title to a third party, we recognize revenue when all of the following exist or are true: the customer has executed a binding sales contract, the statutory rescission period has expired (after which time the purchasers are not entitled to a refund except for non-delivery by us), we have deemed the receivable collectible and the remainder of our obligations are substantially completed. In addition, before we recognize any revenues, the purchaser must have met the initial investment criteria and, as applicable, the continuing investment criteria. A purchaser has met the initial investment criteria when we receive a minimum down payment. In accordance with the guidance for accounting for real estate time-sharing transactions, we must also take into consideration the fair value of certain incentives provided to the purchaser when assessing the adequacy of the purchaser’s initial investment. In those cases where we provide financing to the purchaser, the purchaser must be obligated to remit monthly payments under financing contracts that represent the purchaser’s continuing investment.</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Resort Management and Other Services Revenues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Resort management and other services revenues consist primarily of ancillary revenues and management fees. Ancillary revenues consist of goods and services that are sold or provided by us at restaurants, golf courses and other retail and service outlets located at developed resorts. We recognize ancillary revenue when goods have been provided and/or services have been rendered.</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provide day-to-day-management services, including housekeeping services, operation of a reservation system, maintenance and certain accounting and administrative services for property owners’ associations. We receive compensation for such management services which is generally based on either a percentage of total costs to operate such resorts or a fixed fee arrangement. We recognize revenues when earned in accordance with the terms of the contract and record them as a component of Resort management and other services revenues on our Statements of Operations. Management fee revenues were $70 million, $67 million and $63 million during 2013, 2012 and 2011, respectively.</w:t>
      </w:r>
    </w:p>
    <w:p>
      <w:pPr>
        <w:spacing w:after="0" w:line="17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Resort management and other services revenues include additional fees for services we provide to our property owners’ associations, as well as certain annual and transaction based fees we charge to owners and other third parties for services. We recognize fee revenues when services have been rendered. Fee revenues included in Resort management and other services revenues were $27 million in 2013, $24 million in 2012 and $17 million in 2011, as reflected on our Statements of Operations.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Financing Revenues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offer consumer financing as an option to qualifying customers purchasing vacation ownership products, which is typically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years. Generally, payments commence under the financing contracts 30 to 60 days after closing. We record an estimate of uncollectible amounts at the time of the sale with a charge to the provision for loan losses, which we classify as a reduction of Sale of vacation ownership products on our Statements of Operations. Revisions to estimates of uncollectible amounts also impact the provision for loan losses and can increase or decrease revenue. We earn interest income from the financing arrangements on the principal balance outstanding over the life of the arrangement and record that interest income in Financing revenues on our Statements of Operations.</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Financing revenues include certain annual and transaction based fees we charge to owners and other third parties for services. We recognize fee revenues when services have been rendered. Fee revenues included in Financing revenues were $6 million in 2013, $6 million in 2012 and $7 million in 2011, as reflected on our Statements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Rental 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record rental revenues when occupancy has occurred or, in the case of unused prepaid rentals, upon forfeiture.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Cost Reimbursements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Cost reimbursements include direct and indirect costs that property owners’ associations and joint ventures reimburse to us. In accordance with the accounting guidance for gross versus net presentation, we record these revenues on a gross basis. These costs primarily consist of payroll and payroll-related costs for management of the property owners’ associations and other services we provide where we are the employer. We recognize cost reimbursements when we incur the related reimbursable costs. Cost reimbursements consist of actual expenses with no added margin.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Transactions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From time to time, we enter into transactions involving multiple elements. We analyze contracts with multiple elements under the accounting guidance for revenue recognition in multiple-element arrangements. If we enter into transactions for the sale of multiple products or services, we evaluate whether the delivered elements have value to the customer on a stand-alone basis, and whether there is objective and reliable evidence of fair value for each undelivered element in the transaction. If these criteria are met, then we account for each deliverable in the transaction separately. We generally recognize revenue for undelivered elements on a straight-line basis over the contractual performance period for time-based elements or upon delivery to the customer. If we are unable to determine the fair value of one or more undelivered elements in the transaction, we recognize the revenue on a straight-line basis over the period in which the last deliverable is provided to the customer.</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Multiple-element transactions require judgment to determine the selling price or fair value of the different elements. The judgments impact the amount of revenue and expenses recognized over the term of the contract, as well as the period in which they are recognized.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inventory consists primarily of completed vacation ownership products, vacation ownership products under construction and land held for future vacation ownership product development.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18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account for vacation ownership inventory and cost of vacation ownership products in accordance with the guidance for accounting for real estate time-sharing transactions, which define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cost of vacation ownership products related to anticipated credit losses (accordingly, no adjustment is made when inventory is reacquired upon default of the related receivable). These standards provide for changes in estimates within the relative sales value calculations to be accounted for as real estate inventory true-ups, which we refer to as product cost true-ups, and are recorded in Cost of vacation ownership product expenses on the Statements of Operations to retrospectively adjust the margin previously recorded subject to those estimates. For 2013, 2012 and 2011, product cost true-ups relating to vacation ownership products increased carrying values of inventory by $18 million, $30 million and $2 million, respectively.</w:t>
      </w:r>
    </w:p>
    <w:p>
      <w:pPr>
        <w:spacing w:after="0" w:line="19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residential real estate projects, we allocate costs to individual residences in the projects based on the relative estimated sales value of each residence in accordance with ASC 970, “</w:t>
      </w:r>
      <w:r>
        <w:rPr>
          <w:rFonts w:ascii="Arial" w:cs="Arial" w:eastAsia="Arial" w:hAnsi="Arial"/>
          <w:sz w:val="18"/>
          <w:szCs w:val="18"/>
          <w:i w:val="1"/>
          <w:iCs w:val="1"/>
          <w:color w:val="auto"/>
        </w:rPr>
        <w:t>Real Estate—General</w:t>
      </w:r>
      <w:r>
        <w:rPr>
          <w:rFonts w:ascii="Arial" w:cs="Arial" w:eastAsia="Arial" w:hAnsi="Arial"/>
          <w:sz w:val="18"/>
          <w:szCs w:val="18"/>
          <w:color w:val="auto"/>
        </w:rPr>
        <w:t>,” which defines the accounting for costs of real estate projects. Under this method, we reduce the allocated cost of a unit from inventory and recognize that cost as cost of sales when we recognize the related sale. Changes in estimates within the relative sales value calculations for residential products (similar to condominiums) are accounted for as prospective adjustments to cost of vacation ownership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 of Costs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capitalize interest and certain salaries and related costs incurred in connection with the following: (1) development and construction of sales centers; (2) internally developed software; and (3) development and construction projects for our real estate inventory. We capitalize costs clearly associated with the acquisition, development and construction of a real estate project when it is probable that we will acquire a property. We capitalize salary and related costs only to the extent they directly relate to the project. We capitalize interest expense, taxes and insurance costs when activities that are necessary to get the property ready for its intended use are underway. We cease capitalization of costs during prolonged gaps in development when substantially all activities are suspended or when projects are considered substantially complete. Capitalized salaries and related costs totaled $7 million, $8 million and $11 million for 2013, 2012 and 2011, respectively.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Subsequent to the Spin-Off, we established a defined contribution plan that we administer and maintain for the benefit of all employees meeting certain eligibility requirements who elect to participate in the plan. Contributions are determined based on a specified percentage of salary deferrals by participating employees. Our employees participated in Marriott International’s comparable plan prior to the Spin-Off. We recognized compensation expense (net of cost reimbursements from property owners’ associations) for our participating employees totaling $6 million in 2013, $5 million in 2012 and $6 million in 2011. Of the $6 million compensation expense we recognized in 2011, $5 million was recognized prior to the Spin-Off and was associated with the Marriott International defined contribution plan and $1 million was recognized subsequent to the Spin-Off and was associated with our newly established defined contribution plan.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Prior to the Spin-Off, certain of our senior management had the opportunity to participate in the Marriott International, Inc. Executive Deferred Compensation Plan (the “Marriott International EDC”), which Marriott International maintains and administers. Under the Marriott International EDC, participating employees may defer payment and income taxation of a portion of their salary and bonus. It also gives participants the opportunity for long-term capital appreciation by crediting their accounts with notional earnings (at a fixed annual rate of return of 5.4 percent for both 2013 and 2012). Additional discretionary contributions to the participant’s accounts under the Marriott International EDC may be made based on subjective factors such as individual performance, key contributions and retention needs. No additional discretionary contributions were made for our employees in 2013 and 2012, and discretionary contributions of less than $1 million were made in 2011. Subsequent to the Spin-Off, we remain liable to reimburse Marriott International for distributions for participants that were employees of Marriott Vacations Worldwide at the time of the Spin-Off including earnings thereon.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Property and equipment includes our sales centers, golf courses, information technology and other assets used in the normal course of business, as well as undeveloped and partially developed land parcels that are not part of our approved development plan. We record property and equipment at cost, including interest and real estate taxes incurred during active development. We capitalize the cost of improvements that extend the useful life of property and equipment when incurred. These capitalized costs may include structural costs, equipment, fixtures, floor and decorative items and signage.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Marriott Rewards Customer Loyalty Program</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participate in the Marriott Rewards customer loyalty program and we offer Marriott Rewards Points, or “points,” which we purchase from Marriott International, as incentives to purchase vacation ownership products and/or through exchange and other activities. Marriott International maintains and administers this program. The associated expense is classified on the Statements of Operations based on the source of the expense and related revenue stream. For Marriott Rewards Points issued prior to 2012, we pay Marriott International for Marriott Rewards Points when the points are redeemed by program members. Our liability for Marriott Rewards Points issued prior to 2012 represents the net present value of future cash outlays that we are obligated to pay Marriott International based on actual point redemptions. We base the carrying value of this liability on a statistical model that projects the dollar value and timing of future point redemptions. The most significant estimates involve the future cost of redeemed points, the breakage for points that will never be redeemed, and the pace at which points are redeemed. We base our estimates for these items on our historical experience, current trends and other considerations. Actual results could differ from our projections so the actual discounted future cash outlays associated with our Marriott Rewards customer loyalty program liability could differ from the amounts currently recorded.</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liability for Marriott Rewards Points issued prior to 2012 represents the amount that we are obligated to pay to Marriott International based on future redemptions. These future redemptions consist of actual redemptions incurred through 2015, with a final lump sum payment in 2016. The lump sum payment represents an estimate of the present value of anticipated future redemptions of any remaining Marriott Rewards Points issued in connection with our business prior to 2012. Our liability for these Marriott Rewards Points is included in Liability for Marriott Rewards customer loyalty program on the Balance Sheets. See Footnote No. 12, “Other Liabilities” for more information.</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periods subsequent to 2011, we generally pay Marriott International for Marriott Rewards Points within 30 days of issuance. For Marriott Rewards Points issued for exchanges as an alternative usage option for owners who elect to exchange their inventory in the calendar fourth quarter, payment is due within 120 days of year-end. The rates we pay for the Marriott Rewards Points are based upon historical redemption costs with no future adjustment for actual costs incurred by Marriott International upon fulfillment. Our liability for these Marriott Rewards Points is included in Accrued liabilities on the Balance Sheets.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record a liability for the fair value of a guarantee on the date we issue or modify the guarantee. The offsetting entry depends on the circumstances in which the guarantee was issued. Funding under the guarantee reduces the recorded liability. On a quarterly basis, we evaluate all material estimated liabilities based on the operating results and the terms of the guarantee. If we conclude that it is probable that we will be required to fund a greater amount than previously estimated, we will record a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consider all highly liquid investments with an initial purchase maturity of three months or less at the date of purchase to be cash equivalents.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Restricted cash primarily consists of cash held in a reserve account related to vacation ownership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passed, depending on legal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and Contracts Receivable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and contracts receivable are presented net of allowances of $1 million and $2 million at the end of 2013 and 2012,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Reserves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Vacation Ownership Notes Receivable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17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of the vacation ownership products through the foreclosure or deed-in-lieu process or, in Europe or Asia Pacific, when revocation is complete. For both non-securitized and securitized vacation ownership notes receivable, we estimated average remaining default rates of 7.13 percent and 7.42 percent as of January 3, 2014 and December 28, 2012, respectively. A 0.5 percentage point increase in the estimated default rate would have resulted in an increase in our allowance for loan losses of $5 million and $6 million as of January 3, 2014 and December 28, 2012, respectively.</w:t>
      </w:r>
    </w:p>
    <w:p>
      <w:pPr>
        <w:spacing w:after="0" w:line="17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For additional information on our vacation ownership notes receivable, including information on the related reserves, see Footnote No. 3, “Vacation Ownership Notes Receivable.”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Sell Vacation Ownership Products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charge the majority of marketing and sales costs we incur to sell vacation ownership products to expense when incurred. Deferred marketing and selling expenses, which are direct marketing and selling costs related either to an unclosed contract or a contract for which 100 percent of revenue has not yet been recognized, were $4 million at year-end 2013 and $6 million at year-end 2012 and are included on the accompanying Balance Sheets in the Other caption within Assets.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Property and Equipment</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Property and equipment includes our sales centers, golf courses, information technology and other assets used in the normal course of business, as well as undeveloped and partially developed land parcels that are not part of an approved development plan and do not meet the criteria to be classified as held for sale. We test long-lived asset groups for recoverability when changes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 We also perform a test for recoverability when management has committed to a plan to sell or otherwise dispose of an asset group and we expect the plan will be completed within a year.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on impairment losses that we recorded associated with long-lived assets, see Footnote No. 16, “Impairment Charges.”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consolidate entities that we control. We account for investments in joint ventures which are not consolidated variable interest entities using the equity method of accounting when we exercise significant influence over the venture. If we do not exercise significant influence, we account for the investment using the cost method of accounting. We account for investments in limited partnerships and limited liability companies using the equity method of accounting when we own more than a minimal investment. Our ownership interest in these equity method investments generally varies from 34 percent to 50 percent.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Investments in Ventures</w:t>
      </w:r>
    </w:p>
    <w:p>
      <w:pPr>
        <w:spacing w:after="0" w:line="117" w:lineRule="exact"/>
        <w:rPr>
          <w:sz w:val="20"/>
          <w:szCs w:val="20"/>
          <w:color w:val="auto"/>
        </w:rPr>
      </w:pPr>
    </w:p>
    <w:p>
      <w:pPr>
        <w:jc w:val="both"/>
        <w:ind w:right="620" w:firstLine="456"/>
        <w:spacing w:after="0" w:line="342" w:lineRule="auto"/>
        <w:rPr>
          <w:sz w:val="20"/>
          <w:szCs w:val="20"/>
          <w:color w:val="auto"/>
        </w:rPr>
      </w:pPr>
      <w:r>
        <w:rPr>
          <w:rFonts w:ascii="Arial" w:cs="Arial" w:eastAsia="Arial" w:hAnsi="Arial"/>
          <w:sz w:val="16"/>
          <w:szCs w:val="16"/>
          <w:color w:val="auto"/>
        </w:rPr>
        <w:t>We evaluate an investment in a venture for impairment when circumstances indicate that the carrying value may not be recoverable due to loan defaults, significant under-performance relative to historical or projected performance, significant negative industry or economic trends, or otherwise.</w:t>
      </w:r>
    </w:p>
    <w:p>
      <w:pPr>
        <w:spacing w:after="0" w:line="124"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We impair investments we have accounted for using the equity and cost methods of accounting when we determine that the venture has had an “other than temporary” decline in its estimated fair value as compared to its carrying value. Additionally, a change in business plans or strategies of a venture could cause us to evaluate the recoverability for the individual long-lived assets in the venture and possibly the venture itself.</w:t>
      </w:r>
    </w:p>
    <w:p>
      <w:pPr>
        <w:spacing w:after="0" w:line="166"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calculate the estimated fair value of an investment in a venture using the income approach. We use internally developed discounted cash flow models that include the following assumptions, among others: projections of revenues and expenses and related cash flows based on assumed long-term growth rates and demand trends; expected future investments; and estimated discount rates. We base these assumptions on our historical data and experience, third-party appraisals, industry projections, micro and macro general economic condition projections, and our expectations.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have few financial instruments that we must measure at fair value on a recurring basis. See Footnote No. 4, “Financial Instruments,” for further information. We also apply the provisions of fair value measurement to various non-recurring measurements for our financial and non-financial assets and liabilities.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are unadjusted quoted prices in active markets for identical assets or liabilities that we have the ability to access at the measurement date.</w:t>
      </w:r>
    </w:p>
    <w:p>
      <w:pPr>
        <w:spacing w:after="0" w:line="140" w:lineRule="exact"/>
        <w:rPr>
          <w:sz w:val="20"/>
          <w:szCs w:val="20"/>
          <w:color w:val="auto"/>
        </w:rPr>
      </w:pPr>
    </w:p>
    <w:p>
      <w:pPr>
        <w:ind w:left="460" w:right="100"/>
        <w:spacing w:after="0" w:line="312"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39"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From time to time, we may use derivative instruments to reduce market risk due to changes in interest rates and currency exchange rates, including interest rate derivatives that we may be required to enter into as a condition of the Warehouse Credit Facility. As of January 3, 2014, we were not party to any material derivative instruments or hedges.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designation of a derivative instrument as a hedge and its ability to meet the hedge accounting criteria determines how the change in fair value of the derivative instrument is recorded on our Financial Statements. A derivative qualifies for hedge accounting if, at inception, we expect the derivative to be highly effective in offsetting the underlying hedged cash flows or fair value and we fulfill the hedge documentation standards at the time we enter into the derivative contract. We designate a hedge as a cash flow hedge, fair value hedge, or a net investment in non-U.S. operations hedge based on the exposure we are hedging. The asset or liability value of the derivative will change in tandem with its fair value. For the effective portion of qualifying hedges, we record changes in fair value in other comprehensive income (“OCI”). We release the derivative’s gain or loss from OCI to match the timing of the underlying hedged items’ effect on earnings. As a matter of policy, we only enter into hedging transactions that we believe will be highly effective at offsetting the underlying risk and do not use derivatives for trading or speculative purposes.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7" w:lineRule="exact"/>
        <w:rPr>
          <w:sz w:val="20"/>
          <w:szCs w:val="20"/>
          <w:color w:val="auto"/>
        </w:rPr>
      </w:pPr>
    </w:p>
    <w:p>
      <w:pPr>
        <w:ind w:right="220" w:firstLine="456"/>
        <w:spacing w:after="0" w:line="271" w:lineRule="auto"/>
        <w:rPr>
          <w:sz w:val="20"/>
          <w:szCs w:val="20"/>
          <w:color w:val="auto"/>
        </w:rPr>
      </w:pPr>
      <w:r>
        <w:rPr>
          <w:rFonts w:ascii="Arial" w:cs="Arial" w:eastAsia="Arial" w:hAnsi="Arial"/>
          <w:sz w:val="17"/>
          <w:szCs w:val="17"/>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Statement of Operations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currently in operating costs and expenses.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are subject to various legal proceedings and claims in the normal course of business, the outcomes of which are subject to significant uncertainty. We record an accrual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Costs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conjunction with the Spin-Off, we established the Marriott Vacations Worldwide Corporation Stock and Cash Incentive Plan (“Marriott Vacations Worldwide Stock Plan”) in order to compensate our employees and directors by issuing equity awards such as stock options, stock appreciation rights (“SARs”) and restricted stock units (“RSUs”) to them. Prior to the Spin-Off, certain of our employees received equity awards under the Marriott International, Inc. Stock and Cash Incentive Plan (“Marriott International Stock Plan”). For the fiscal years ended 2013 and 2012 and for the period from November 21, 2011 through December 30, 2011, our Statement of Operations includes expenses related to our employees’ participation in both the Marriott Vacations Worldwide Stock Plan and the Marriott International Stock Plan. For the period from January 1, 2011 through November 20, 2011, our Statements of Operations include expenses related to our employees’ participation in the Marriott International Stock Plan.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follow the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(“ASC 718”), which requires that a company measure the expense of employee services received in exchange for an award of equity instruments based on the grant-date fair value of the award. Generally, share-based awards granted to our employees vest ratably over a four-year period, and we recognize the expense associated with these awards on our Statements of Operations on a straight-line basis over the period during which an employee is required to provide service in exchange for the award. We measure the amount of compensation expense for share-based awards based on the fair value of the awards as of the date that the share-based awards are granted and adjust that expense to the estimated number of awards that we expect will vest. We generally determine the fair value of stock options and SARs using the Black-Scholes option valuation model which incorporates assumptions about expected volatility, risk free interest rate, dividend yield and expected term. The fair value of RSUs represents the number of awards granted multiplied by the average of the high and low market price of our common stock on the date the awards are granted. For awards granted after 2005, we recognize compensation cost for share-based awards ratably over the vesting period. We will issue shares from authorized shares upon the exercise of stock options or SARs held by our employees and directors. See Footnote No. 14, “Share-Based Compensation,” for more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expensed advertising costs as incurred of $2 million, $2 million and $3 million in 2013, 2012 and 2011, respectively. These costs are included in the Marketing and sales expense caption on our Statements of Operations.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Although for periods prior to the Spin-Off we did not file separate tax returns from Marriott International, we have calculated the income tax provision included in these Financial Statements based on a separate return methodology, as if the entities were separate taxpayers in the respective jurisdictions. As a result, our deferred tax balances and effective tax rate as a stand-alone entity will likely differ significantly from those recognized historically. Prior to the Spin-Off, our results of operations were included in the consolidated tax filings of other Marriott International entities within the respective entity’s tax jurisdiction. Commencing with periods subsequent to November 21, 2011, we file our own consolidated U.S. federal and state income tax returns and any required filings for non-U.S. jurisdictions based on the applicable tax year in each jurisdiction.</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18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Prior to the Spin-Off, we did not maintain taxes payable to or from Marriott International and the tax balances outstanding at Spin-Off will be settled in accordance with the Tax Sharing and Indemnification Agreement that we entered into on November 17, 2011 with Marriott International. These deemed settlements are reflected as changes in Shareholder’s Equity.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about income taxes and deferred tax assets and liabilities, see Footnote No. 2, “Income Taxes.”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Basic earnings (loss) per common share is calculated by dividing the earnings available to common shareholders by the weighted average number of common shares outstanding for the period. Diluted earnings (loss) per common share is calculated to give effect to all potentially dilutive common shares that were outstanding during the reporting period. The dilutive effect of outstanding equity-based compensation awards is reflected in diluted earnings (loss) per common share by application of the treasury stock methods. For 2011, basic weighted average shares outstanding were computed using the number of shares of common stock outstanding immediately following the Spin-Off, as if such shares were outstanding for the entire period prior to the Spin-Off, plus the weighted average of such shares outstanding following the Spin-Off date through year-end 2011.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i w:val="1"/>
          <w:iCs w:val="1"/>
          <w:u w:val="single" w:color="auto"/>
          <w:color w:val="auto"/>
        </w:rPr>
        <w:t>Accounting Standards Update No. 2013-02 – “Comprehensive Income (Topic 220): Reporting of Amounts Reclassified Out of Accumulated Other Comprehensive Income” (“ASU No. 2013-02”)</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ASU No. 2013-02, which we adopted in the first quarter of 2013, amends existing guidance by requiring that additional information be disclosed about items reclassified (“reclassification adjustments”) out of accumulated other comprehensive income. The additional information includes a separate statement of the total change for each component of other comprehensive income (for example, unrealized gains or losses on available-for-sale securities or foreign currency items) and separate disclosure of both current-period other comprehensive income and reclassification adjustments. Entities are also required to present, either on the face of the income statement or in the notes to the financial statements, significant amounts reclassified out of accumulated other comprehensive income as separate line items of net income but only if the entire amount reclassified must be reclassified to net income in the same reporting period. For amounts that are not required to be reclassified in their entirety to net income, an entity must cross-reference to other disclosures that provide additional detail about those amounts. The adoption of this update did not have a material impact on our 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Prior to the Spin-Off, our operating results were included in Marriott International’s combined U.S. federal and state income tax returns and in many of Marriott International’s tax filings for non-U.S. jurisdictions. Subsequent to the Spin-Off, we file U.S. consolidated federal and state tax returns, as well as separate tax filings for non-U.S. jurisdictions. For periods prior to the Spin-Off, we determined our (provision for) benefit from income taxes and our contribution to Marriott International’s tax losses and tax credits on a separate return basis and included each in these Financial Statements. Our separate return basis tax loss and tax credit carry backs may not reflect the tax positions taken or to be taken by Marriott International for tax losses occurring prior to the Spin-Off. In many cases tax losses and tax credits generated by us prior to the Spin-Off have been available for use by Marriott International and will largely continue to be available to Marriott International in the future.</w:t>
      </w:r>
    </w:p>
    <w:p>
      <w:pPr>
        <w:spacing w:after="0" w:line="17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entered into a Tax Sharing and Indemnification Agreement with Marriott International effective November 21, 2011 (as subsequently amended, the “Tax Sharing and Indemnification Agreement”), which governs the allocation of responsibility for federal, state, local and foreign income and other taxes related to taxable periods prior to and subsequent to the Spin-Off between Marriott International and Marriott Vacations Worldwide. Under this agreement, if any part of the Spin-Off fails to qualify for the tax treatment stated in the ruling Marriott International received from the U.S. Internal Revenue Service (the “IRS”) in connection with the Spin-Off, taxes imposed will be allocated between Marriott International and Marriott Vacations Worldwide and each will indemnify and hold harmless the other from and against the taxes so allocated. During 2012, Marriott International completed the valuation of the assets distributed to Marriott Vacations Worldwide at the time of the Spin-Off, which resulted in an increase in our Deferred tax liabilities of $12 million and a corresponding reduction of Additional paid-in capital. Based upon the completed valuations, we re-allocated basis within our consolidated subsidiaries and recorded a decrease to our Deferred tax liabilities of $8 million and a corresponding increase to Additional paid-in capital. Further, in 2012 we increased our Deferred tax liabilities by $12 million for adjustments to the Deferred tax liabilities at the time of Spin-Off with a corresponding reduction of Additional paid-in capital.</w:t>
      </w:r>
    </w:p>
    <w:p>
      <w:pPr>
        <w:spacing w:after="0" w:line="193"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In addition, under the Tax Sharing and Indemnification Agreement, Marriott International is allocated the responsibility for payment of taxes for our taxable income prior to Spin-Off and we are allocated the responsibility for payment of taxes for our taxable income subsequent to Spin-Off.</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(loss) before provision (benefit) of income taxes by geographic region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2013</w:t>
            </w: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89"/>
              </w:rPr>
              <w:t>44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Non-U.S. jurisdictions</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r>
      <w:tr>
        <w:trPr>
          <w:trHeight w:val="27"/>
        </w:trPr>
        <w:tc>
          <w:tcPr>
            <w:tcW w:w="6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ind w:left="114"/>
              <w:spacing w:after="0"/>
              <w:rPr>
                <w:sz w:val="20"/>
                <w:szCs w:val="20"/>
                <w:color w:val="auto"/>
              </w:rPr>
            </w:pPr>
            <w:r>
              <w:rPr>
                <w:rFonts w:ascii="Arial" w:cs="Arial" w:eastAsia="Arial" w:hAnsi="Arial"/>
                <w:sz w:val="18"/>
                <w:szCs w:val="18"/>
                <w:color w:val="auto"/>
                <w:w w:val="89"/>
              </w:rPr>
              <w:t>31</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r>
      <w:tr>
        <w:trPr>
          <w:trHeight w:val="20"/>
        </w:trPr>
        <w:tc>
          <w:tcPr>
            <w:tcW w:w="6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current tax provision does not reflect the benefits attributable to us for the exercise or vesting of employee share-based awards of $3 million in 2013, $3 million in 2012 and less than $1 million in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(provision for) benefit from income taxes consists of:</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2012</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Current – U.S. Federal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 U.S. State</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Non-U.S.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68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 U.S. Federal</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 U.S. State</w:t>
            </w: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Non-U.S.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30"/>
        </w:trPr>
        <w:tc>
          <w:tcPr>
            <w:tcW w:w="68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r>
      <w:tr>
        <w:trPr>
          <w:trHeight w:val="216"/>
        </w:trPr>
        <w:tc>
          <w:tcPr>
            <w:tcW w:w="6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deferred tax assets and related valuation allowances in these Financial Statements have been determined on a separate return basis. The assessment of the valuation allowances requires considerable judgment on the part of management, with respect to benefits that could be realized from future taxable income, as well as other positive and negative factors. Valuation allowances are recorded against the deferred tax assets of certain foreign operations for which historical losses, restructuring and impairment charges have been incurred. The change in the valuation allowances established were $2 million in 2013, $2 million in 2012 and $13 million in 2011.</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made no provision for U.S. income taxes or additional non-U.S. taxes on the cumulative unremitted earnings of non-U.S. subsidiaries ($70 million at January 3, 2014) because we consider these earnings to be permanently invested. These earnings could become subject to additional taxes if remitted as dividends, loaned to us or a U.S. affiliate or if we sold our interests in the affiliates. We cannot practically estimate the amount of additional taxes that might be payable on the unremitted earnings.</w:t>
      </w:r>
    </w:p>
    <w:p>
      <w:pPr>
        <w:spacing w:after="0" w:line="18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We conduct business in countries that grant “holidays” from income taxes for five to thirty year periods. These holidays expire through 2034. Without these tax “holidays,” we would have incurred the following aggregate additional income taxes: $2 million in 2013, $3 million in 2012 and $4 million in 2011.</w:t>
      </w:r>
    </w:p>
    <w:p>
      <w:pPr>
        <w:spacing w:after="0" w:line="124"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We have joined in the Marriott International U.S. Federal tax consolidated filing for periods up to the date of the Spin-Off. The IRS has examined Marriott International’s federal income tax returns, and it has settled all issues related to the timeshare business for the tax years through the Spin-Off. Although we do not anticipate that a significant impact to our unrecognized tax benefit balance will occur during the next fiscal year as a result of audits by other tax jurisdictions, the amount of our liability for unrecognized tax benefits could change as a result of these audits. Pursuant to the Tax Sharing and Indemnification Agreement, Marriott International is liable and shall pay the relevant tax authority for all taxes related to our taxable income prior to the Spin-Off. Our tax years subsequent to the Spin-Off are subject to examination by relevant tax authorities.</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total unrecognized tax benefit balance that, if recognized, would impact our effective tax rate was less than $1 million at January 3, 2014, less than $1 million at December 28, 2012 and $2 million at December 30, 2011. Our unrecognized tax benefit reflects an increase of less than $1 million in 2013, a decrease of $2 million in 2012 and an increase of $1 million in 2011, representing U.S. activity in 2013 and primarily non-U.S. audit activity in 2012 and 2011.</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our unrecognized tax benefit balance for each year from the beginning of 2011 to the end of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2012</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 at beginning of year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Change attributable to tax positions taken during a prior period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attributable to settlements with taxing authorities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Unrecognized tax benefit at end of year</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accordance with our accounting policies, we recognize accrued interest and penalties related to our unrecognized tax benefits as a component of tax expense. Related interest expense and accrued interest expense each totaled less than $1 million in each of 2013, 2012 and 2011.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actually pay or recover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deferred tax assets and liabilities at January 3, 2014 and December 28, 2012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80" w:type="dxa"/>
            <w:vAlign w:val="bottom"/>
            <w:gridSpan w:val="3"/>
          </w:tcPr>
          <w:p>
            <w:pPr>
              <w:jc w:val="right"/>
              <w:spacing w:after="0"/>
              <w:rPr>
                <w:sz w:val="20"/>
                <w:szCs w:val="20"/>
                <w:color w:val="auto"/>
              </w:rPr>
            </w:pPr>
            <w:r>
              <w:rPr>
                <w:rFonts w:ascii="Arial" w:cs="Arial" w:eastAsia="Arial" w:hAnsi="Arial"/>
                <w:sz w:val="14"/>
                <w:szCs w:val="14"/>
                <w:b w:val="1"/>
                <w:bCs w:val="1"/>
                <w:color w:val="auto"/>
              </w:rPr>
              <w:t>At Year-End</w:t>
            </w:r>
          </w:p>
        </w:tc>
        <w:tc>
          <w:tcPr>
            <w:tcW w:w="1640" w:type="dxa"/>
            <w:vAlign w:val="bottom"/>
            <w:gridSpan w:val="4"/>
          </w:tcPr>
          <w:p>
            <w:pPr>
              <w:ind w:left="760"/>
              <w:spacing w:after="0"/>
              <w:rPr>
                <w:sz w:val="20"/>
                <w:szCs w:val="20"/>
                <w:color w:val="auto"/>
              </w:rPr>
            </w:pPr>
            <w:r>
              <w:rPr>
                <w:rFonts w:ascii="Arial" w:cs="Arial" w:eastAsia="Arial" w:hAnsi="Arial"/>
                <w:sz w:val="14"/>
                <w:szCs w:val="14"/>
                <w:b w:val="1"/>
                <w:bCs w:val="1"/>
                <w:color w:val="auto"/>
              </w:rPr>
              <w:t>At Year-End</w:t>
            </w:r>
          </w:p>
        </w:tc>
      </w:tr>
      <w:tr>
        <w:trPr>
          <w:trHeight w:val="171"/>
        </w:trPr>
        <w:tc>
          <w:tcPr>
            <w:tcW w:w="2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34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9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80" w:type="dxa"/>
            <w:vAlign w:val="bottom"/>
            <w:gridSpan w:val="2"/>
          </w:tcPr>
          <w:p>
            <w:pPr>
              <w:jc w:val="right"/>
              <w:ind w:right="1865"/>
              <w:spacing w:after="0"/>
              <w:rPr>
                <w:sz w:val="20"/>
                <w:szCs w:val="20"/>
                <w:color w:val="auto"/>
              </w:rPr>
            </w:pPr>
            <w:r>
              <w:rPr>
                <w:rFonts w:ascii="Arial" w:cs="Arial" w:eastAsia="Arial" w:hAnsi="Arial"/>
                <w:sz w:val="18"/>
                <w:szCs w:val="18"/>
                <w:color w:val="auto"/>
              </w:rPr>
              <w:t>F-22</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effect of each type of temporary difference and carry-forward that gives rise to a significant portion of our deferred tax assets and liabilities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 2014 and December 28, 2012 were as follows: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2"/>
              </w:rPr>
              <w:t>At Year-End</w:t>
            </w:r>
          </w:p>
        </w:tc>
        <w:tc>
          <w:tcPr>
            <w:tcW w:w="1660" w:type="dxa"/>
            <w:vAlign w:val="bottom"/>
            <w:gridSpan w:val="4"/>
          </w:tcPr>
          <w:p>
            <w:pPr>
              <w:ind w:left="780"/>
              <w:spacing w:after="0"/>
              <w:rPr>
                <w:sz w:val="20"/>
                <w:szCs w:val="20"/>
                <w:color w:val="auto"/>
              </w:rPr>
            </w:pPr>
            <w:r>
              <w:rPr>
                <w:rFonts w:ascii="Arial" w:cs="Arial" w:eastAsia="Arial" w:hAnsi="Arial"/>
                <w:sz w:val="14"/>
                <w:szCs w:val="14"/>
                <w:b w:val="1"/>
                <w:bCs w:val="1"/>
                <w:color w:val="auto"/>
              </w:rPr>
              <w:t>At Year-End</w:t>
            </w:r>
          </w:p>
        </w:tc>
      </w:tr>
      <w:tr>
        <w:trPr>
          <w:trHeight w:val="171"/>
        </w:trPr>
        <w:tc>
          <w:tcPr>
            <w:tcW w:w="6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Reserves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Marriott Rewards customer loyalty program</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Deferred sales of vacation ownership interests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Long lived intangible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Deferred tax (liability) asset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At January 3, 2014, we had approximately $197 million of foreign net operating losses (excluding valuation allowances) some of which began expiring in 2013. However, a significant portion of these tax net operating losses have an indefinite carry forward period. We have no federal net operating losses and net operating losses of $1 million for state tax purposes.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Federal Statutory Income Tax Rate to Actual Income Tax Rate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expense or benefit related to the U.S. statutory income tax rate to our effective income tax rate: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U.S. statutory income tax rate expense (benefit)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35.00%</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35.00%</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(35.00)%</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U.S. state income taxes, net of U.S. federal tax benefit</w:t>
            </w:r>
          </w:p>
        </w:tc>
        <w:tc>
          <w:tcPr>
            <w:tcW w:w="620" w:type="dxa"/>
            <w:vAlign w:val="bottom"/>
          </w:tcPr>
          <w:p>
            <w:pPr>
              <w:ind w:left="18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4.63</w:t>
            </w:r>
          </w:p>
        </w:tc>
        <w:tc>
          <w:tcPr>
            <w:tcW w:w="3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(2.30)</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r>
              <w:rPr>
                <w:rFonts w:ascii="Arial" w:cs="Arial" w:eastAsia="Arial" w:hAnsi="Arial"/>
                <w:sz w:val="15"/>
                <w:szCs w:val="15"/>
                <w:color w:val="auto"/>
              </w:rPr>
              <w:t>(1)</w:t>
            </w:r>
          </w:p>
        </w:tc>
        <w:tc>
          <w:tcPr>
            <w:tcW w:w="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0.24</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10.73</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0.17</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Non-U.S. income</w:t>
            </w:r>
            <w:r>
              <w:rPr>
                <w:rFonts w:ascii="Arial" w:cs="Arial" w:eastAsia="Arial" w:hAnsi="Arial"/>
                <w:sz w:val="15"/>
                <w:szCs w:val="15"/>
                <w:color w:val="auto"/>
              </w:rPr>
              <w:t>(2)</w:t>
            </w:r>
          </w:p>
        </w:tc>
        <w:tc>
          <w:tcPr>
            <w:tcW w:w="620" w:type="dxa"/>
            <w:vAlign w:val="bottom"/>
          </w:tcPr>
          <w:p>
            <w:pPr>
              <w:ind w:left="180"/>
              <w:spacing w:after="0"/>
              <w:rPr>
                <w:sz w:val="20"/>
                <w:szCs w:val="20"/>
                <w:color w:val="auto"/>
              </w:rPr>
            </w:pPr>
            <w:r>
              <w:rPr>
                <w:rFonts w:ascii="Arial" w:cs="Arial" w:eastAsia="Arial" w:hAnsi="Arial"/>
                <w:sz w:val="18"/>
                <w:szCs w:val="18"/>
                <w:color w:val="auto"/>
              </w:rPr>
              <w:t>0.97</w:t>
            </w:r>
          </w:p>
        </w:tc>
        <w:tc>
          <w:tcPr>
            <w:tcW w:w="38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7.26</w:t>
            </w:r>
          </w:p>
        </w:tc>
        <w:tc>
          <w:tcPr>
            <w:tcW w:w="3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(3.87)</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5.41</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14.44</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Change in valuation allowance</w:t>
            </w:r>
            <w:r>
              <w:rPr>
                <w:rFonts w:ascii="Arial" w:cs="Arial" w:eastAsia="Arial" w:hAnsi="Arial"/>
                <w:sz w:val="15"/>
                <w:szCs w:val="15"/>
                <w:color w:val="auto"/>
              </w:rPr>
              <w:t>(3)</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1.82</w:t>
            </w:r>
          </w:p>
        </w:tc>
        <w:tc>
          <w:tcPr>
            <w:tcW w:w="380" w:type="dxa"/>
            <w:vAlign w:val="bottom"/>
          </w:tcPr>
          <w:p>
            <w:pPr>
              <w:spacing w:after="0"/>
              <w:rPr>
                <w:sz w:val="19"/>
                <w:szCs w:val="19"/>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17.05</w:t>
            </w:r>
          </w:p>
        </w:tc>
        <w:tc>
          <w:tcPr>
            <w:tcW w:w="380" w:type="dxa"/>
            <w:vAlign w:val="bottom"/>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5.97</w:t>
            </w:r>
          </w:p>
        </w:tc>
        <w:tc>
          <w:tcPr>
            <w:tcW w:w="100" w:type="dxa"/>
            <w:vAlign w:val="bottom"/>
          </w:tcPr>
          <w:p>
            <w:pPr>
              <w:spacing w:after="0"/>
              <w:rPr>
                <w:sz w:val="19"/>
                <w:szCs w:val="19"/>
                <w:color w:val="auto"/>
              </w:rPr>
            </w:pP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rate expense (benefit)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39.23%</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80.08%</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(20.59)%</w:t>
            </w:r>
          </w:p>
        </w:tc>
      </w:tr>
      <w:tr>
        <w:trPr>
          <w:trHeight w:val="20"/>
        </w:trPr>
        <w:tc>
          <w:tcPr>
            <w:tcW w:w="6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660" w:hanging="452"/>
        <w:spacing w:after="0" w:line="291"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6"/>
          <w:szCs w:val="16"/>
          <w:color w:val="auto"/>
        </w:rPr>
        <w:t>For 2013, primarily attributed to interest on mandatorily redeemable preferred stock of a consolidated subsidiary for 2013. For 2012, primarily attributed to interest on mandatorily redeemable preferred stock of a consolidated subsidiary and foreign income subject to U.S. tax.</w:t>
      </w:r>
    </w:p>
    <w:p>
      <w:pPr>
        <w:ind w:left="460" w:hanging="452"/>
        <w:spacing w:after="0"/>
        <w:tabs>
          <w:tab w:leader="none" w:pos="460" w:val="left"/>
        </w:tabs>
        <w:numPr>
          <w:ilvl w:val="0"/>
          <w:numId w:val="27"/>
        </w:numPr>
        <w:rPr>
          <w:rFonts w:ascii="Arial" w:cs="Arial" w:eastAsia="Arial" w:hAnsi="Arial"/>
          <w:sz w:val="14"/>
          <w:szCs w:val="14"/>
          <w:color w:val="auto"/>
        </w:rPr>
      </w:pPr>
      <w:r>
        <w:rPr>
          <w:rFonts w:ascii="Arial" w:cs="Arial" w:eastAsia="Arial" w:hAnsi="Arial"/>
          <w:sz w:val="16"/>
          <w:szCs w:val="16"/>
          <w:color w:val="auto"/>
        </w:rPr>
        <w:t>Primarily attributed to the difference between U.S. and foreign income tax rates, partially offset by the benefit of tax holidays in certain jurisdictions.</w:t>
      </w:r>
    </w:p>
    <w:p>
      <w:pPr>
        <w:spacing w:after="0" w:line="32" w:lineRule="exact"/>
        <w:rPr>
          <w:rFonts w:ascii="Arial" w:cs="Arial" w:eastAsia="Arial" w:hAnsi="Arial"/>
          <w:sz w:val="14"/>
          <w:szCs w:val="14"/>
          <w:color w:val="auto"/>
        </w:rPr>
      </w:pPr>
    </w:p>
    <w:p>
      <w:pPr>
        <w:ind w:left="460" w:hanging="452"/>
        <w:spacing w:after="0" w:line="261"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Primarily attributed to establishment of valuation allowances in foreign jurisdictions for losses that cannot be benefited in the U.S. income tax provision as discussed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Taxes Paid</w:t>
      </w:r>
    </w:p>
    <w:p>
      <w:pPr>
        <w:spacing w:after="0" w:line="117"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Cash taxes paid in 2013 and 2012 were $29 million and $68 million, respectively. Cash taxes paid in 2011 were included within changes in Shareholders’ Equity.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4"/>
              </w:rPr>
              <w:t>At Year-End</w:t>
            </w:r>
          </w:p>
        </w:tc>
        <w:tc>
          <w:tcPr>
            <w:tcW w:w="1500" w:type="dxa"/>
            <w:vAlign w:val="bottom"/>
            <w:gridSpan w:val="4"/>
          </w:tcPr>
          <w:p>
            <w:pPr>
              <w:ind w:left="620"/>
              <w:spacing w:after="0"/>
              <w:rPr>
                <w:sz w:val="20"/>
                <w:szCs w:val="20"/>
                <w:color w:val="auto"/>
              </w:rPr>
            </w:pPr>
            <w:r>
              <w:rPr>
                <w:rFonts w:ascii="Arial" w:cs="Arial" w:eastAsia="Arial" w:hAnsi="Arial"/>
                <w:sz w:val="14"/>
                <w:szCs w:val="14"/>
                <w:b w:val="1"/>
                <w:bCs w:val="1"/>
                <w:color w:val="auto"/>
              </w:rPr>
              <w:t>At Year-End</w:t>
            </w:r>
          </w:p>
        </w:tc>
      </w:tr>
      <w:tr>
        <w:trPr>
          <w:trHeight w:val="171"/>
        </w:trPr>
        <w:tc>
          <w:tcPr>
            <w:tcW w:w="64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r>
      <w:tr>
        <w:trPr>
          <w:trHeight w:val="216"/>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8"/>
          <w:szCs w:val="18"/>
          <w:color w:val="auto"/>
        </w:rPr>
        <w:t>Refer to Footnote No. 4, “Financial Instruments,” for discussion of eligibility of our vacation ownership notes receivable.</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securitized and non-securitized vacation ownership notes receivable:</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3"/>
              </w:rPr>
              <w:t>Non-Securitized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3"/>
              </w:rPr>
              <w:t>Securitized</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420" w:type="dxa"/>
            <w:vAlign w:val="bottom"/>
          </w:tcPr>
          <w:p>
            <w:pPr>
              <w:spacing w:after="0"/>
              <w:rPr>
                <w:sz w:val="12"/>
                <w:szCs w:val="12"/>
                <w:color w:val="auto"/>
              </w:rPr>
            </w:pPr>
          </w:p>
        </w:tc>
        <w:tc>
          <w:tcPr>
            <w:tcW w:w="2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80" w:type="dxa"/>
            <w:vAlign w:val="bottom"/>
          </w:tcPr>
          <w:p>
            <w:pPr>
              <w:spacing w:after="0"/>
              <w:rPr>
                <w:sz w:val="12"/>
                <w:szCs w:val="12"/>
                <w:color w:val="auto"/>
              </w:rPr>
            </w:pPr>
          </w:p>
        </w:tc>
        <w:tc>
          <w:tcPr>
            <w:tcW w:w="11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Notes Receivable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Notes Receivable</w:t>
            </w: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167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8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84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Balance at year-end 2013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251</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Weighted average stated interest rate at year-</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end 2013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73"/>
              <w:spacing w:after="0"/>
              <w:rPr>
                <w:sz w:val="20"/>
                <w:szCs w:val="20"/>
                <w:color w:val="auto"/>
              </w:rPr>
            </w:pPr>
            <w:r>
              <w:rPr>
                <w:rFonts w:ascii="Arial" w:cs="Arial" w:eastAsia="Arial" w:hAnsi="Arial"/>
                <w:sz w:val="18"/>
                <w:szCs w:val="18"/>
                <w:color w:val="auto"/>
              </w:rPr>
              <w:t>11.5%</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73"/>
              <w:spacing w:after="0"/>
              <w:rPr>
                <w:sz w:val="20"/>
                <w:szCs w:val="20"/>
                <w:color w:val="auto"/>
              </w:rPr>
            </w:pPr>
            <w:r>
              <w:rPr>
                <w:rFonts w:ascii="Arial" w:cs="Arial" w:eastAsia="Arial" w:hAnsi="Arial"/>
                <w:sz w:val="18"/>
                <w:szCs w:val="18"/>
                <w:color w:val="auto"/>
              </w:rPr>
              <w:t>12.9%</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ind w:left="3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8"/>
              </w:rPr>
              <w:t>Range of stated interest rates at year-end 2013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0.0% to 19.5%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4.9% to 18.7%</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0.0% to 19.5%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Statements of Operations in the Financing revenues caption. The following table summarizes interest income associated with vacation ownership notes receivable: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2013</w:t>
            </w: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associated with vacation ownership notes receivable – securitized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w w:val="96"/>
              </w:rPr>
              <w:t>Interest income associated with vacation ownership notes receivable – non-securitized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4620"/>
              <w:spacing w:after="0"/>
              <w:rPr>
                <w:sz w:val="20"/>
                <w:szCs w:val="20"/>
                <w:color w:val="auto"/>
              </w:rPr>
            </w:pPr>
            <w:r>
              <w:rPr>
                <w:rFonts w:ascii="Arial" w:cs="Arial" w:eastAsia="Arial" w:hAnsi="Arial"/>
                <w:sz w:val="18"/>
                <w:szCs w:val="18"/>
                <w:color w:val="auto"/>
              </w:rPr>
              <w:t>F-24</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our vacation ownership notes receivable reserve for 2013, 2012 and 2011:</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Non-Securitized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Securitized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Vacation Ownership</w:t>
            </w:r>
          </w:p>
        </w:tc>
        <w:tc>
          <w:tcPr>
            <w:tcW w:w="620" w:type="dxa"/>
            <w:vAlign w:val="bottom"/>
          </w:tcPr>
          <w:p>
            <w:pPr>
              <w:spacing w:after="0"/>
              <w:rPr>
                <w:sz w:val="12"/>
                <w:szCs w:val="12"/>
                <w:color w:val="auto"/>
              </w:rPr>
            </w:pPr>
          </w:p>
        </w:tc>
        <w:tc>
          <w:tcPr>
            <w:tcW w:w="15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Reserve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Reserve</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year-end 2010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3"/>
              </w:rPr>
              <w:t>218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left="591"/>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Clean-up calls</w:t>
            </w:r>
            <w:r>
              <w:rPr>
                <w:rFonts w:ascii="Arial" w:cs="Arial" w:eastAsia="Arial" w:hAnsi="Arial"/>
                <w:sz w:val="15"/>
                <w:szCs w:val="15"/>
                <w:color w:val="auto"/>
              </w:rPr>
              <w:t>(1)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51"/>
              <w:spacing w:after="0"/>
              <w:rPr>
                <w:sz w:val="20"/>
                <w:szCs w:val="20"/>
                <w:color w:val="auto"/>
              </w:rPr>
            </w:pPr>
            <w:r>
              <w:rPr>
                <w:rFonts w:ascii="Arial" w:cs="Arial" w:eastAsia="Arial" w:hAnsi="Arial"/>
                <w:sz w:val="18"/>
                <w:szCs w:val="18"/>
                <w:color w:val="auto"/>
                <w:w w:val="93"/>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Defaulted vacation ownership notes receivable</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180"/>
              <w:spacing w:after="0"/>
              <w:rPr>
                <w:sz w:val="20"/>
                <w:szCs w:val="20"/>
                <w:color w:val="auto"/>
              </w:rPr>
            </w:pPr>
            <w:r>
              <w:rPr>
                <w:rFonts w:ascii="Arial" w:cs="Arial" w:eastAsia="Arial" w:hAnsi="Arial"/>
                <w:sz w:val="18"/>
                <w:szCs w:val="18"/>
                <w:color w:val="auto"/>
              </w:rPr>
              <w:t>repurchase activity</w:t>
            </w:r>
            <w:r>
              <w:rPr>
                <w:rFonts w:ascii="Arial" w:cs="Arial" w:eastAsia="Arial" w:hAnsi="Arial"/>
                <w:sz w:val="15"/>
                <w:szCs w:val="15"/>
                <w:color w:val="auto"/>
              </w:rPr>
              <w:t>(2)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Balance at year-end 2011</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3"/>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left="591"/>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Clean-up calls</w:t>
            </w:r>
            <w:r>
              <w:rPr>
                <w:rFonts w:ascii="Arial" w:cs="Arial" w:eastAsia="Arial" w:hAnsi="Arial"/>
                <w:sz w:val="15"/>
                <w:szCs w:val="15"/>
                <w:color w:val="auto"/>
              </w:rPr>
              <w:t>(1)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51"/>
              <w:spacing w:after="0"/>
              <w:rPr>
                <w:sz w:val="20"/>
                <w:szCs w:val="20"/>
                <w:color w:val="auto"/>
              </w:rPr>
            </w:pPr>
            <w:r>
              <w:rPr>
                <w:rFonts w:ascii="Arial" w:cs="Arial" w:eastAsia="Arial" w:hAnsi="Arial"/>
                <w:sz w:val="18"/>
                <w:szCs w:val="18"/>
                <w:color w:val="auto"/>
                <w:w w:val="93"/>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Defaulted vacation ownership notes receivable</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180"/>
              <w:spacing w:after="0"/>
              <w:rPr>
                <w:sz w:val="20"/>
                <w:szCs w:val="20"/>
                <w:color w:val="auto"/>
              </w:rPr>
            </w:pPr>
            <w:r>
              <w:rPr>
                <w:rFonts w:ascii="Arial" w:cs="Arial" w:eastAsia="Arial" w:hAnsi="Arial"/>
                <w:sz w:val="18"/>
                <w:szCs w:val="18"/>
                <w:color w:val="auto"/>
              </w:rPr>
              <w:t>repurchase activity</w:t>
            </w:r>
            <w:r>
              <w:rPr>
                <w:rFonts w:ascii="Arial" w:cs="Arial" w:eastAsia="Arial" w:hAnsi="Arial"/>
                <w:sz w:val="15"/>
                <w:szCs w:val="15"/>
                <w:color w:val="auto"/>
              </w:rPr>
              <w:t>(2)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Balance at year-end 2012</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3"/>
              </w:rPr>
              <w:t>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left="591"/>
              <w:spacing w:after="0"/>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Clean-up calls</w:t>
            </w:r>
            <w:r>
              <w:rPr>
                <w:rFonts w:ascii="Arial" w:cs="Arial" w:eastAsia="Arial" w:hAnsi="Arial"/>
                <w:sz w:val="15"/>
                <w:szCs w:val="15"/>
                <w:color w:val="auto"/>
              </w:rPr>
              <w:t>(1)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51"/>
              <w:spacing w:after="0"/>
              <w:rPr>
                <w:sz w:val="20"/>
                <w:szCs w:val="20"/>
                <w:color w:val="auto"/>
              </w:rPr>
            </w:pPr>
            <w:r>
              <w:rPr>
                <w:rFonts w:ascii="Arial" w:cs="Arial" w:eastAsia="Arial" w:hAnsi="Arial"/>
                <w:sz w:val="18"/>
                <w:szCs w:val="18"/>
                <w:color w:val="auto"/>
                <w:w w:val="93"/>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Defaulted vacation ownership notes receivable</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auto"/>
              </w:rPr>
              <w:t>repurchase activity</w:t>
            </w:r>
            <w:r>
              <w:rPr>
                <w:rFonts w:ascii="Arial" w:cs="Arial" w:eastAsia="Arial" w:hAnsi="Arial"/>
                <w:sz w:val="15"/>
                <w:szCs w:val="15"/>
                <w:color w:val="auto"/>
              </w:rPr>
              <w:t>(2)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Balance at year-end 2013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720" w:hanging="452"/>
        <w:spacing w:after="0" w:line="258"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spacing w:after="0" w:line="1" w:lineRule="exact"/>
        <w:rPr>
          <w:rFonts w:ascii="Arial" w:cs="Arial" w:eastAsia="Arial" w:hAnsi="Arial"/>
          <w:sz w:val="15"/>
          <w:szCs w:val="15"/>
          <w:color w:val="auto"/>
        </w:rPr>
      </w:pPr>
    </w:p>
    <w:p>
      <w:pPr>
        <w:ind w:left="460" w:right="180" w:hanging="452"/>
        <w:spacing w:after="0" w:line="290" w:lineRule="auto"/>
        <w:tabs>
          <w:tab w:leader="none" w:pos="460" w:val="left"/>
        </w:tabs>
        <w:numPr>
          <w:ilvl w:val="0"/>
          <w:numId w:val="29"/>
        </w:numPr>
        <w:rPr>
          <w:rFonts w:ascii="Arial" w:cs="Arial" w:eastAsia="Arial" w:hAnsi="Arial"/>
          <w:sz w:val="14"/>
          <w:szCs w:val="14"/>
          <w:color w:val="auto"/>
        </w:rPr>
      </w:pPr>
      <w:r>
        <w:rPr>
          <w:rFonts w:ascii="Arial" w:cs="Arial" w:eastAsia="Arial" w:hAnsi="Arial"/>
          <w:sz w:val="17"/>
          <w:szCs w:val="17"/>
          <w:color w:val="auto"/>
        </w:rPr>
        <w:t>Decrease in securitized vacation ownership notes receivable reserve and increase in non-securitized vacation ownership notes receivable reserve was attributable to the transfer of the reserve when we voluntarily repurchased the vacation ownership notes receivable.</w:t>
      </w:r>
    </w:p>
    <w:p>
      <w:pPr>
        <w:spacing w:after="0" w:line="1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 As noted in Footnote No. 1, “Summary of Significant Accounting Policies,” we recognize interest income on a cash basis for these vacation ownership notes receivable.</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Non-Securitized</w:t>
            </w:r>
          </w:p>
        </w:tc>
        <w:tc>
          <w:tcPr>
            <w:tcW w:w="100" w:type="dxa"/>
            <w:vAlign w:val="bottom"/>
          </w:tcPr>
          <w:p>
            <w:pPr>
              <w:spacing w:after="0"/>
              <w:rPr>
                <w:sz w:val="14"/>
                <w:szCs w:val="14"/>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Securitized</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8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Notes Receivable</w:t>
            </w:r>
          </w:p>
        </w:tc>
        <w:tc>
          <w:tcPr>
            <w:tcW w:w="100" w:type="dxa"/>
            <w:vAlign w:val="bottom"/>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Notes Receivable</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Investment in notes receivable on non-accrual</w:t>
            </w: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status at year-end 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60" w:type="dxa"/>
            <w:vAlign w:val="bottom"/>
          </w:tcPr>
          <w:p>
            <w:pPr>
              <w:spacing w:after="0" w:line="201" w:lineRule="exact"/>
              <w:rPr>
                <w:sz w:val="20"/>
                <w:szCs w:val="20"/>
                <w:color w:val="auto"/>
              </w:rPr>
            </w:pPr>
            <w:r>
              <w:rPr>
                <w:rFonts w:ascii="Arial" w:cs="Arial" w:eastAsia="Arial" w:hAnsi="Arial"/>
                <w:sz w:val="18"/>
                <w:szCs w:val="18"/>
                <w:color w:val="auto"/>
              </w:rPr>
              <w:t>Investment in notes receivable on non-accrual</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80"/>
              <w:spacing w:after="0"/>
              <w:rPr>
                <w:sz w:val="20"/>
                <w:szCs w:val="20"/>
                <w:color w:val="auto"/>
              </w:rPr>
            </w:pPr>
            <w:r>
              <w:rPr>
                <w:rFonts w:ascii="Arial" w:cs="Arial" w:eastAsia="Arial" w:hAnsi="Arial"/>
                <w:sz w:val="18"/>
                <w:szCs w:val="18"/>
                <w:color w:val="auto"/>
              </w:rPr>
              <w:t>status at year-end 2012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January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3"/>
              </w:rPr>
              <w:t>Non-Securitized</w:t>
            </w:r>
          </w:p>
        </w:tc>
        <w:tc>
          <w:tcPr>
            <w:tcW w:w="100" w:type="dxa"/>
            <w:vAlign w:val="bottom"/>
          </w:tcPr>
          <w:p>
            <w:pPr>
              <w:spacing w:after="0"/>
              <w:rPr>
                <w:sz w:val="14"/>
                <w:szCs w:val="14"/>
                <w:color w:val="auto"/>
              </w:rPr>
            </w:pPr>
          </w:p>
        </w:tc>
        <w:tc>
          <w:tcPr>
            <w:tcW w:w="18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Securitized</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320" w:type="dxa"/>
            <w:vAlign w:val="bottom"/>
          </w:tcPr>
          <w:p>
            <w:pPr>
              <w:spacing w:after="0"/>
              <w:rPr>
                <w:sz w:val="12"/>
                <w:szCs w:val="12"/>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9"/>
              </w:rPr>
              <w:t>Notes Receivable</w:t>
            </w:r>
          </w:p>
        </w:tc>
        <w:tc>
          <w:tcPr>
            <w:tcW w:w="100" w:type="dxa"/>
            <w:vAlign w:val="bottom"/>
          </w:tcPr>
          <w:p>
            <w:pPr>
              <w:spacing w:after="0"/>
              <w:rPr>
                <w:sz w:val="14"/>
                <w:szCs w:val="14"/>
                <w:color w:val="auto"/>
              </w:rPr>
            </w:pPr>
          </w:p>
        </w:tc>
        <w:tc>
          <w:tcPr>
            <w:tcW w:w="18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Notes Receivable</w:t>
            </w: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31</w:t>
            </w:r>
          </w:p>
        </w:tc>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90 days past due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91</w:t>
            </w:r>
          </w:p>
        </w:tc>
        <w:tc>
          <w:tcPr>
            <w:tcW w:w="4000" w:type="dxa"/>
            <w:vAlign w:val="bottom"/>
          </w:tcPr>
          <w:p>
            <w:pPr>
              <w:ind w:left="40"/>
              <w:spacing w:after="0"/>
              <w:rPr>
                <w:sz w:val="20"/>
                <w:szCs w:val="20"/>
                <w:color w:val="auto"/>
              </w:rPr>
            </w:pPr>
            <w:r>
              <w:rPr>
                <w:rFonts w:ascii="Arial" w:cs="Arial" w:eastAsia="Arial" w:hAnsi="Arial"/>
                <w:sz w:val="18"/>
                <w:szCs w:val="18"/>
                <w:color w:val="auto"/>
              </w:rPr>
              <w:t>– 150 days past due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past due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741</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vacation ownership notes receivable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6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360"/>
          </w:cols>
          <w:pgMar w:left="240" w:top="459" w:right="29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aging of the recorded investment in principal, before reserves, in vacation ownership notes receivable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2012:</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1"/>
              </w:rPr>
              <w:t>Non-Securitized</w:t>
            </w:r>
          </w:p>
        </w:tc>
        <w:tc>
          <w:tcPr>
            <w:tcW w:w="100" w:type="dxa"/>
            <w:vAlign w:val="bottom"/>
          </w:tcPr>
          <w:p>
            <w:pPr>
              <w:spacing w:after="0"/>
              <w:rPr>
                <w:sz w:val="14"/>
                <w:szCs w:val="14"/>
                <w:color w:val="auto"/>
              </w:rPr>
            </w:pPr>
          </w:p>
        </w:tc>
        <w:tc>
          <w:tcPr>
            <w:tcW w:w="19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3"/>
              </w:rPr>
              <w:t>Securitized</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2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320" w:type="dxa"/>
            <w:vAlign w:val="bottom"/>
          </w:tcPr>
          <w:p>
            <w:pPr>
              <w:spacing w:after="0"/>
              <w:rPr>
                <w:sz w:val="12"/>
                <w:szCs w:val="12"/>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1"/>
              </w:rPr>
              <w:t>Notes Receivable</w:t>
            </w:r>
          </w:p>
        </w:tc>
        <w:tc>
          <w:tcPr>
            <w:tcW w:w="100" w:type="dxa"/>
            <w:vAlign w:val="bottom"/>
          </w:tcPr>
          <w:p>
            <w:pPr>
              <w:spacing w:after="0"/>
              <w:rPr>
                <w:sz w:val="14"/>
                <w:szCs w:val="14"/>
                <w:color w:val="auto"/>
              </w:rPr>
            </w:pPr>
          </w:p>
        </w:tc>
        <w:tc>
          <w:tcPr>
            <w:tcW w:w="19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Notes Receivable</w:t>
            </w: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31</w:t>
            </w:r>
          </w:p>
        </w:tc>
        <w:tc>
          <w:tcPr>
            <w:tcW w:w="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6"/>
              </w:rPr>
              <w:t>– 90 days</w:t>
            </w:r>
          </w:p>
        </w:tc>
        <w:tc>
          <w:tcPr>
            <w:tcW w:w="30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past due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91</w:t>
            </w:r>
          </w:p>
        </w:tc>
        <w:tc>
          <w:tcPr>
            <w:tcW w:w="3720" w:type="dxa"/>
            <w:vAlign w:val="bottom"/>
            <w:gridSpan w:val="2"/>
          </w:tcPr>
          <w:p>
            <w:pPr>
              <w:ind w:left="40"/>
              <w:spacing w:after="0"/>
              <w:rPr>
                <w:sz w:val="20"/>
                <w:szCs w:val="20"/>
                <w:color w:val="auto"/>
              </w:rPr>
            </w:pPr>
            <w:r>
              <w:rPr>
                <w:rFonts w:ascii="Arial" w:cs="Arial" w:eastAsia="Arial" w:hAnsi="Arial"/>
                <w:sz w:val="18"/>
                <w:szCs w:val="18"/>
                <w:color w:val="auto"/>
              </w:rPr>
              <w:t>– 150 days past due</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gridSpan w:val="3"/>
          </w:tcPr>
          <w:p>
            <w:pPr>
              <w:spacing w:after="0"/>
              <w:rPr>
                <w:sz w:val="20"/>
                <w:szCs w:val="20"/>
                <w:color w:val="auto"/>
              </w:rPr>
            </w:pPr>
            <w:r>
              <w:rPr>
                <w:rFonts w:ascii="Arial" w:cs="Arial" w:eastAsia="Arial" w:hAnsi="Arial"/>
                <w:sz w:val="18"/>
                <w:szCs w:val="18"/>
                <w:color w:val="auto"/>
              </w:rPr>
              <w:t>Total past due</w:t>
            </w: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751</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23"/>
        </w:trPr>
        <w:tc>
          <w:tcPr>
            <w:tcW w:w="3920" w:type="dxa"/>
            <w:vAlign w:val="bottom"/>
            <w:gridSpan w:val="3"/>
          </w:tcPr>
          <w:p>
            <w:pPr>
              <w:spacing w:after="0"/>
              <w:rPr>
                <w:sz w:val="20"/>
                <w:szCs w:val="20"/>
                <w:color w:val="auto"/>
              </w:rPr>
            </w:pPr>
            <w:r>
              <w:rPr>
                <w:rFonts w:ascii="Arial" w:cs="Arial" w:eastAsia="Arial" w:hAnsi="Arial"/>
                <w:sz w:val="18"/>
                <w:szCs w:val="18"/>
                <w:color w:val="auto"/>
              </w:rPr>
              <w:t>Total vacation ownership notes receivable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8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the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and Accrued liabilities, which had fair values approximating their carrying amounts due to the short maturities and liquidity of these instruments.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6"/>
          </w:tcPr>
          <w:p>
            <w:pPr>
              <w:ind w:left="280"/>
              <w:spacing w:after="0"/>
              <w:rPr>
                <w:sz w:val="20"/>
                <w:szCs w:val="20"/>
                <w:color w:val="auto"/>
              </w:rPr>
            </w:pPr>
            <w:r>
              <w:rPr>
                <w:rFonts w:ascii="Arial" w:cs="Arial" w:eastAsia="Arial" w:hAnsi="Arial"/>
                <w:sz w:val="14"/>
                <w:szCs w:val="14"/>
                <w:b w:val="1"/>
                <w:bCs w:val="1"/>
                <w:color w:val="auto"/>
              </w:rPr>
              <w:t>At Year-End</w:t>
            </w:r>
          </w:p>
        </w:tc>
        <w:tc>
          <w:tcPr>
            <w:tcW w:w="100" w:type="dxa"/>
            <w:vAlign w:val="bottom"/>
          </w:tcPr>
          <w:p>
            <w:pPr>
              <w:spacing w:after="0"/>
              <w:rPr>
                <w:sz w:val="14"/>
                <w:szCs w:val="14"/>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7"/>
              </w:rPr>
              <w:t>At Year-End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2013</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68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Carrying</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34"/>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(1)</w:t>
            </w:r>
          </w:p>
        </w:tc>
        <w:tc>
          <w:tcPr>
            <w:tcW w:w="100" w:type="dxa"/>
            <w:vAlign w:val="bottom"/>
          </w:tcPr>
          <w:p>
            <w:pPr>
              <w:spacing w:after="0"/>
              <w:rPr>
                <w:sz w:val="14"/>
                <w:szCs w:val="14"/>
                <w:color w:val="auto"/>
              </w:rPr>
            </w:pPr>
          </w:p>
        </w:tc>
        <w:tc>
          <w:tcPr>
            <w:tcW w:w="62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w w:val="96"/>
              </w:rPr>
              <w:t>Non-recourse debt associated with vacation ownership notes receivable securitizations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(674)</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debt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Fair value of financial instruments has been determined using Level 3 inputs.</w:t>
      </w:r>
    </w:p>
    <w:p>
      <w:pPr>
        <w:spacing w:after="0" w:line="225"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See the “Fair Value Measurements” caption of Footnote No. 1, “Summary of Significant Accounting Policies” for additional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18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 The following table shows the bifurcation of our non-securitized vacation ownership notes receivable into those eligible and not eligible for securitization based upon the aforementioned eligibility criteria: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At Year-End</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At Year-End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3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460" w:type="dxa"/>
            <w:vAlign w:val="bottom"/>
          </w:tcPr>
          <w:p>
            <w:pPr>
              <w:spacing w:after="0"/>
              <w:rPr>
                <w:sz w:val="10"/>
                <w:szCs w:val="10"/>
                <w:color w:val="auto"/>
              </w:rPr>
            </w:pPr>
          </w:p>
        </w:tc>
        <w:tc>
          <w:tcPr>
            <w:tcW w:w="9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6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8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 eligible for securitization</w:t>
            </w:r>
          </w:p>
        </w:tc>
        <w:tc>
          <w:tcPr>
            <w:tcW w:w="1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127</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Vacation ownership notes receivable — not eligible for securitization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178</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202</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 — non-securitized</w:t>
            </w:r>
          </w:p>
        </w:tc>
        <w:tc>
          <w:tcPr>
            <w:tcW w:w="12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267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329</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Customer Loyalty Program</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determine the carrying value of the future redemption obligation of our liability for the Marriott Rewards customer loyalty program based on statistical formulas that project the timing of future redemption of Marriott Rewards Points based on historical levels, including estimates of the number of Marriott Rewards Points that will eventually be redeemed and the “breakage” for points that will never be redeemed, as discussed in Footnote No. 12, “Other Liabilities.” We estimate the fair value of the future redemption obligation by adjusting the contractual discount rate to an estimate of that of a market participant with similar nonperformance risk.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estimate the fair value of our other liabilities that are financial instruments using expected future payments discounted at risk-adjusted rates. These liabilities represent guarantee costs and reserves and other structured payments. The carrying values of our financial instruments within Other liabilities approximate their fair values.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Acquisitions and Dispositions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2013, we acquired a parcel of land adjacent to one of our existing resorts in Phuket, Thailand for $2 million. In 2013, we completed the sale of a multi-family parcel in St. Thomas, U.S. Virgin Islands. Net cash proceeds from the sale totaled $2 million and we recorded a net gain of less than $1 million. We accounted for the sale under the full accrual method in accordance with the guidance on accounting for sales of real estate.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Acquisitions and Dispositions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2012, we paid into escrow the remaining $7 million of the $18 million purchase price for certain vacation ownership units and we completed the acquisition during 2013. We previously paid into escrow $11 million in conjunction with this transaction.</w:t>
      </w:r>
    </w:p>
    <w:p>
      <w:pPr>
        <w:spacing w:after="0" w:line="17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2012, we completed the sale of the golf course, clubhouse and spa formerly known as The Ritz-Carlton Golf Club and Spa, Jupiter, which was classified within our North America segment, for $34 million, including $5 million of cash and the assumption by the purchaser of liabilities with a book value of $29 million. We accounted for the sale under the full accrual method and recorded a net gain of $8 million in Gains and other income on our Statements of Operations.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Acquisitions and Dispositions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2011, we completed a bulk sale of land and developed inventory, classified as inventory within our North America segment. Net cash proceeds from the sale totaled $17 million and we recorded a net gain of $2 million. We accounted for the sale under the full accrual method in accordance with the guidance on accounting for sales of real estate. We made no significant acquisitions in 2011.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21" w:lineRule="exact"/>
        <w:rPr>
          <w:sz w:val="20"/>
          <w:szCs w:val="20"/>
          <w:color w:val="auto"/>
        </w:rPr>
      </w:pPr>
    </w:p>
    <w:p>
      <w:pPr>
        <w:ind w:right="480" w:firstLine="456"/>
        <w:spacing w:after="0" w:line="276" w:lineRule="auto"/>
        <w:rPr>
          <w:sz w:val="20"/>
          <w:szCs w:val="20"/>
          <w:color w:val="auto"/>
        </w:rPr>
      </w:pPr>
      <w:r>
        <w:rPr>
          <w:rFonts w:ascii="Arial" w:cs="Arial" w:eastAsia="Arial" w:hAnsi="Arial"/>
          <w:sz w:val="17"/>
          <w:szCs w:val="17"/>
          <w:color w:val="auto"/>
        </w:rPr>
        <w:t>Basic earnings (loss) per common share is calculated by dividing net income (loss) attributable to common shareholders by the weighted average number of shares of common stock outstanding during the reporting period. Treasury stock is excluded from the weighted average number of shares of common stock outstanding. Diluted earnings (loss) per common share is calculated to give effect to all potentially dilutive common shares that were outstanding during the reporting period. The dilutive effect of outstanding equity-based compensation awards is reflected in diluted earnings (loss) per common share by application of the treasury stock method using average market prices during the period.</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November 21, 2011, we ceased to be a subsidiary of Marriott International and became an independent publicly traded company. On November 21, 2011, Marriott International distributed 33.7 million shares of $.01 par value Marriott Vacations Worldwide common stock to Marriott International’s shareholders of record as of the close of business Eastern time on the record date of November 10, 2011.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2011, in determining the weighted average number of common shares outstanding for basic income (loss) per common share, we assumed</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33.7 million shares were outstanding for the period from January 1, 2011 through November 20, 2011. Diluted income (loss) per common share subsequent to the distribution date of November 21, 2011 reflects the potential dilution of outstanding equity-based compensation awards by application of the treasury stock method.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illustrates the reconciliation of the earnings (loss) and number of shares used in our calculation of basic and diluted earnings (loss)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January 3,</w:t>
            </w:r>
          </w:p>
        </w:tc>
        <w:tc>
          <w:tcPr>
            <w:tcW w:w="38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28,</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30,</w:t>
            </w:r>
          </w:p>
        </w:tc>
      </w:tr>
      <w:tr>
        <w:trPr>
          <w:trHeight w:val="171"/>
        </w:trPr>
        <w:tc>
          <w:tcPr>
            <w:tcW w:w="6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2012</w:t>
            </w:r>
            <w:r>
              <w:rPr>
                <w:rFonts w:ascii="Arial" w:cs="Arial" w:eastAsia="Arial" w:hAnsi="Arial"/>
                <w:sz w:val="12"/>
                <w:szCs w:val="12"/>
                <w:b w:val="1"/>
                <w:bCs w:val="1"/>
                <w:color w:val="auto"/>
              </w:rPr>
              <w:t>(2)</w:t>
            </w: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Computation of Basic Earnings (Loss) Per Share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r>
      <w:tr>
        <w:trPr>
          <w:trHeight w:val="223"/>
        </w:trPr>
        <w:tc>
          <w:tcPr>
            <w:tcW w:w="6060" w:type="dxa"/>
            <w:vAlign w:val="bottom"/>
          </w:tcPr>
          <w:p>
            <w:pPr>
              <w:ind w:left="360"/>
              <w:spacing w:after="0"/>
              <w:rPr>
                <w:sz w:val="20"/>
                <w:szCs w:val="20"/>
                <w:color w:val="auto"/>
              </w:rPr>
            </w:pPr>
            <w:r>
              <w:rPr>
                <w:rFonts w:ascii="Arial" w:cs="Arial" w:eastAsia="Arial" w:hAnsi="Arial"/>
                <w:sz w:val="18"/>
                <w:szCs w:val="18"/>
                <w:color w:val="auto"/>
              </w:rPr>
              <w:t>Basic earnings (loss) per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Computation of Diluted Earnings (Loss)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0"/>
        </w:trPr>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options and SARs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0.80</w:t>
            </w:r>
          </w:p>
        </w:tc>
        <w:tc>
          <w:tcPr>
            <w:tcW w:w="2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Shares for diluted earnings (loss)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r>
      <w:tr>
        <w:trPr>
          <w:trHeight w:val="223"/>
        </w:trPr>
        <w:tc>
          <w:tcPr>
            <w:tcW w:w="6060" w:type="dxa"/>
            <w:vAlign w:val="bottom"/>
          </w:tcPr>
          <w:p>
            <w:pPr>
              <w:ind w:left="360"/>
              <w:spacing w:after="0"/>
              <w:rPr>
                <w:sz w:val="20"/>
                <w:szCs w:val="20"/>
                <w:color w:val="auto"/>
              </w:rPr>
            </w:pPr>
            <w:r>
              <w:rPr>
                <w:rFonts w:ascii="Arial" w:cs="Arial" w:eastAsia="Arial" w:hAnsi="Arial"/>
                <w:sz w:val="18"/>
                <w:szCs w:val="18"/>
                <w:color w:val="auto"/>
              </w:rPr>
              <w:t>Diluted earnings (loss) per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60" w:hanging="452"/>
        <w:spacing w:after="0" w:line="256"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The computations of diluted earnings per share exclude approximately 229,000 shares of common stock, the maximum number of shares issuable as of January 3, 2014 upon the vesting of certain performance-based awards, because the performance conditions required for such shares to vest were not achieved by the end of the reporting period.</w:t>
      </w:r>
    </w:p>
    <w:p>
      <w:pPr>
        <w:ind w:left="460" w:right="60" w:hanging="452"/>
        <w:spacing w:after="0" w:line="255"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8"/>
          <w:szCs w:val="18"/>
          <w:color w:val="auto"/>
        </w:rPr>
        <w:t>The computations of diluted earnings per share exclude approximately 157,000 shares of common stock, the maximum number of shares issuable as of December 28, 2012 upon the vesting of certain performance-based awards, because the performance conditions required for such shares to vest were not achieved by the end of the reporting period.</w:t>
      </w:r>
    </w:p>
    <w:p>
      <w:pPr>
        <w:spacing w:after="0" w:line="19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the applicable accounting guidance for calculating earnings per share, for the year ended January 3, 2014, we have not excluded any shares underlying stock options or SARs that may be settled in shares of common stock from our calculation of diluted earnings per share as no exercise prices were greater than the average market prices for the applicable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For the year ended December 28, 2012, we excluded 2,127 shares underlying stock options and SARs that may be settled in shares of common stock, with exercise prices ranging from $32.74 to $40.97, in our calculation of diluted earnings per share because these exercise prices were greater than the average market prices for the applicable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4"/>
              </w:rPr>
              <w:t>At Year-End</w:t>
            </w:r>
          </w:p>
        </w:tc>
        <w:tc>
          <w:tcPr>
            <w:tcW w:w="1580" w:type="dxa"/>
            <w:vAlign w:val="bottom"/>
            <w:gridSpan w:val="4"/>
          </w:tcPr>
          <w:p>
            <w:pPr>
              <w:ind w:left="700"/>
              <w:spacing w:after="0"/>
              <w:rPr>
                <w:sz w:val="20"/>
                <w:szCs w:val="20"/>
                <w:color w:val="auto"/>
              </w:rPr>
            </w:pPr>
            <w:r>
              <w:rPr>
                <w:rFonts w:ascii="Arial" w:cs="Arial" w:eastAsia="Arial" w:hAnsi="Arial"/>
                <w:sz w:val="14"/>
                <w:szCs w:val="14"/>
                <w:b w:val="1"/>
                <w:bCs w:val="1"/>
                <w:color w:val="auto"/>
              </w:rPr>
              <w:t>At Year-End</w:t>
            </w:r>
          </w:p>
        </w:tc>
      </w:tr>
      <w:tr>
        <w:trPr>
          <w:trHeight w:val="171"/>
        </w:trPr>
        <w:tc>
          <w:tcPr>
            <w:tcW w:w="6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Work-in-progress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Land and infrastructure</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Real estate inventory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864</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retail inventory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340" w:hanging="452"/>
        <w:spacing w:after="0" w:line="258"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Represents completed inventory that is either registered for sale as vacation ownership interests, or unregistered and available for sale in its current form.</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Includes sales centers to be converted for future sale as vacation ownership products.</w:t>
      </w:r>
    </w:p>
    <w:p>
      <w:pPr>
        <w:spacing w:after="0" w:line="10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 Interest capitalized as a cost of inventory totaled $4 million, $3 million and $7 million in 2013, 2012 and 2011,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composition of our property and equipment balances: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4"/>
              </w:rPr>
              <w:t>At Year-End</w:t>
            </w:r>
          </w:p>
        </w:tc>
        <w:tc>
          <w:tcPr>
            <w:tcW w:w="1640" w:type="dxa"/>
            <w:vAlign w:val="bottom"/>
            <w:gridSpan w:val="4"/>
          </w:tcPr>
          <w:p>
            <w:pPr>
              <w:ind w:left="760"/>
              <w:spacing w:after="0"/>
              <w:rPr>
                <w:sz w:val="20"/>
                <w:szCs w:val="20"/>
                <w:color w:val="auto"/>
              </w:rPr>
            </w:pPr>
            <w:r>
              <w:rPr>
                <w:rFonts w:ascii="Arial" w:cs="Arial" w:eastAsia="Arial" w:hAnsi="Arial"/>
                <w:sz w:val="14"/>
                <w:szCs w:val="14"/>
                <w:b w:val="1"/>
                <w:bCs w:val="1"/>
                <w:color w:val="auto"/>
              </w:rPr>
              <w:t>At Year-End</w:t>
            </w:r>
          </w:p>
        </w:tc>
      </w:tr>
      <w:tr>
        <w:trPr>
          <w:trHeight w:val="171"/>
        </w:trPr>
        <w:tc>
          <w:tcPr>
            <w:tcW w:w="6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Information technology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596</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r>
      <w:tr>
        <w:trPr>
          <w:trHeight w:val="223"/>
        </w:trPr>
        <w:tc>
          <w:tcPr>
            <w:tcW w:w="6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Interest capitalized as a cost of property and equipment totaled less than $1 million in each of 2013, 2012 and 2011. Depreciation expense totaled $23 million in 2013, $30 million in 2012 and $33 million in 2011.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historically issued guarantees to certain lenders in connection with the provision of third-party financing for our sale of vacation ownership products for the North America and Asia Pacific segments. The terms of guarantees to lenders generally require us to fund if the purchaser fails to pay under the term of its note payable. Prior to the Spin-Off, Marriott International guaranteed our performance under these arrangements, and following the Spin-Off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North America segment. We are entitled to recover any funding to third-party lenders related to these guarantees through reacquisition and resale of the vacation ownership product. Our commitments under these guarantees expire as notes mature or are repaid. The terms of the underlying notes extend to 2022.</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 shows the maximum potential amount of future fundings for financing guarantees where we are the primary obligor and the carrying amount of the liability for expected future fundings.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ind w:right="157"/>
              <w:spacing w:after="0"/>
              <w:rPr>
                <w:sz w:val="20"/>
                <w:szCs w:val="20"/>
                <w:color w:val="auto"/>
              </w:rPr>
            </w:pPr>
            <w:r>
              <w:rPr>
                <w:rFonts w:ascii="Arial" w:cs="Arial" w:eastAsia="Arial" w:hAnsi="Arial"/>
                <w:sz w:val="14"/>
                <w:szCs w:val="14"/>
                <w:b w:val="1"/>
                <w:bCs w:val="1"/>
                <w:color w:val="auto"/>
              </w:rPr>
              <w:t>Maximum Potential</w:t>
            </w:r>
          </w:p>
        </w:tc>
        <w:tc>
          <w:tcPr>
            <w:tcW w:w="2240" w:type="dxa"/>
            <w:vAlign w:val="bottom"/>
            <w:gridSpan w:val="4"/>
          </w:tcPr>
          <w:p>
            <w:pPr>
              <w:jc w:val="center"/>
              <w:ind w:left="599"/>
              <w:spacing w:after="0"/>
              <w:rPr>
                <w:sz w:val="20"/>
                <w:szCs w:val="20"/>
                <w:color w:val="auto"/>
              </w:rPr>
            </w:pPr>
            <w:r>
              <w:rPr>
                <w:rFonts w:ascii="Arial" w:cs="Arial" w:eastAsia="Arial" w:hAnsi="Arial"/>
                <w:sz w:val="14"/>
                <w:szCs w:val="14"/>
                <w:b w:val="1"/>
                <w:bCs w:val="1"/>
                <w:color w:val="auto"/>
                <w:w w:val="96"/>
              </w:rPr>
              <w:t>Liability for Expected</w:t>
            </w:r>
          </w:p>
        </w:tc>
      </w:tr>
      <w:tr>
        <w:trPr>
          <w:trHeight w:val="149"/>
        </w:trPr>
        <w:tc>
          <w:tcPr>
            <w:tcW w:w="4720" w:type="dxa"/>
            <w:vAlign w:val="bottom"/>
          </w:tcPr>
          <w:p>
            <w:pPr>
              <w:spacing w:after="0"/>
              <w:rPr>
                <w:sz w:val="12"/>
                <w:szCs w:val="12"/>
                <w:color w:val="auto"/>
              </w:rPr>
            </w:pP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Amount of Future Fundings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Future Fundings</w:t>
            </w:r>
          </w:p>
        </w:tc>
      </w:tr>
      <w:tr>
        <w:trPr>
          <w:trHeight w:val="171"/>
        </w:trPr>
        <w:tc>
          <w:tcPr>
            <w:tcW w:w="47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ind w:right="257"/>
              <w:spacing w:after="0"/>
              <w:rPr>
                <w:sz w:val="20"/>
                <w:szCs w:val="20"/>
                <w:color w:val="auto"/>
              </w:rPr>
            </w:pPr>
            <w:r>
              <w:rPr>
                <w:rFonts w:ascii="Arial" w:cs="Arial" w:eastAsia="Arial" w:hAnsi="Arial"/>
                <w:sz w:val="14"/>
                <w:szCs w:val="14"/>
                <w:b w:val="1"/>
                <w:bCs w:val="1"/>
                <w:color w:val="auto"/>
              </w:rPr>
              <w:t>at Year-End 2013</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at Year-End 2013</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Asia Pacific</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guarantees where we are the primary obligor</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included our liability of less than $1 million for expected future fundings for guarantees in our Balance Sheets at January 3, 2014 in the Other caption within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the guarantees we note in the preceding paragraphs, as of January 3, 2014, we had the following commitments outstanding:</w:t>
      </w:r>
    </w:p>
    <w:p>
      <w:pPr>
        <w:spacing w:after="0" w:line="142" w:lineRule="exact"/>
        <w:rPr>
          <w:sz w:val="20"/>
          <w:szCs w:val="20"/>
          <w:color w:val="auto"/>
        </w:rPr>
      </w:pPr>
    </w:p>
    <w:p>
      <w:pPr>
        <w:ind w:left="900" w:right="36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commitments under these contracts were $36 million, of which we expect $11 million, $12 million, $6 million, $5 million, $1 million and $1 million will be paid in 2014, 2015, 2016, 2017, 2018 and 2019 respectively.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Commitments to subsidize vacation ownership associations were $8 million, which we expect will be paid in 2014.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purchase commitments of $1 million (approximately €1 million) that we expect to fund during 2014.</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Surety bonds issued as of January 3, 2014 totaled $84 million, the majority of which were requested by federal, state or local governments related to our operations.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Spin-Off, Marriott International also guaranteed our performance using letters of credit under certain agreements necessary to operate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Europe segment. Following the Spin-Off, Marriott International continues to hold less than $1 million of standby letters of credit related to these guarantees.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If Marriott International is required to fund any draws under these letters of credit it would seek recourse from us.</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Additionally, as of January 3, 2014, we had $1 million of letters of credit outstanding under our $200 million revolving credit facility (the “Revolving Corporate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color w:val="auto"/>
        </w:rPr>
        <w:t>In 2012, we agreed to settle two lawsuits in which certain of our subsidiaries were defendants. The plaintiffs in the lawsuits, residential unit owners at The Ritz-Carlton Club and Residences, San Francisco (the “RCC San Francisco”), a project within our North America segment, questioned the adequacy of disclosures made prior to 2008, when our business was part of Marriott International, regarding bonds issued for that project under California’s Mello-Roos Community Facilities Act of 1982 (the “Mello-Roos Act”) and their payment obligations with respect to such bonds. In 2013, we agreed to settle a third lawsuit in which another residential unit owner at the RCC San Francisco had asserted similar claims. As a result of these matters, in 2013 we reversed $1 million of the $41 million previously recognized expense recorded in 2012. An additional lawsuit was filed against us in June 2013 primarily related to disclosure provided to a purchaser of a residential unit at the RCC San Francisco. We dispute the material allegations in the complaint and intend to defend against this action vigorously. Given the early stages of the action and the inherent uncertainties of litigation, we cannot estimate a range of the potential liability, if any, at this time.</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 December 21, 2012, Jon Benner, an owner of fractional interests in the RCC San Francisco, filed suit in Superior Court for the State of California, County of San Francisco against us and certain of our subsidiaries on behalf of a putative class consisting of all owners of fractional interests at the RCC San Francisco who allegedly did not receive proper notice of their payment obligations under the Mello-Roos Act. The plaintiff alleges that the disclosures made about bonds issued for the project under this Act and the payment obligations of fractional interest purchasers with respect to such bonds were inadequate, and this and other alleged statutory violations constitute intentional and negligent misrepresentation, fraud and fraudulent concealment. The relief sought includes damages in an unspecified amount, rescission of the purchases, restitution and disgorgement of profits. Thomas Wanless and Matthew Jenner, owners of another fractional interest, filed a complaint in San Francisco Superior Court on October 15, 2013, that contains similar allegations and seeks similar relief. The Wanless complaint has been consolidated with the Benner action and with a similar action previously filed by fractional interest owner Elisabeth Gani. These three lawsuits are distinct from the other lawsuits described above relating to the RCC San Francisco because the disclosure process for the sale of fractional interests differs from that applicable to the sale of whole-ownership units. We dispute the material allegations in these complaints and intend to defend against these actions vigorously. Given the early stages of these actions and the inherent uncertainties of litigation, we cannot estimate a range of the potential liability, if any, at this time.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 December 11, 2012, Steven B. Hoyt and Bradley A. Hoyt, purchasers of fractional interests in two of The Ritz-Carlton Destination Club projects, filed suit in the United States District Court for the District of Minnesota against us, certain of our subsidiaries and Ritz-Carlton Hotel Company on behalf of a putative class consisting of all purchasers of fractional interests at The Ritz-Carlton Destination Club projects. The plaintiffs allege that program changes beginning in 2009 caused an actionable decrease in the value of the fractional interests purchased. The relief sought includes declaratory and injunctive relief, damages in an unspecified amount, rescission of the purchases, restitution, disgorgement of profits, interest and attorneys’ fees. In response to our motion to dismiss the original complaint, plaintiffs filed an amended complaint. In response, we filed a renewed motion to dismiss. On February 7, 2014, the court issued an order granting that motion in part and denying it in part. We continue to dispute the material allegations remaining in the amended complaint and intend to continue to defend against this action vigorously. Given the early stages of the action and the inherent uncertainties of litigation, we cannot estimate a range of the potential liability, if any, at this time.</w:t>
      </w:r>
    </w:p>
    <w:p>
      <w:pPr>
        <w:spacing w:after="0" w:line="18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On January 30, 2013, Krishna and Sherrie Narayan and other owners of 12 residential units at the resort formerly known as The Ritz-Carlton Residences, Kapalua Bay (“Kapalua Bay”) were granted leave by the Court to file, and subsequently did file,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this action vigorously. On August 23, 2013, the Hawaii Intermediate Court of Appeals reversed the Maui Circuit Court’s denial of our motion to compel arbitration on the claims asserted by plaintiffs. The Circuit Court subsequently granted our renewed motion and referred the matter to arbitration. The Hawaii Supreme Court thereafter agreed to review the decision of the Intermediate Court of Appeals, but has thus far taken no action to affirm or reverse that decision. Given the inherent uncertainties of litigation, we cannot estimate a range of the potential liability, if any, at this time.</w:t>
      </w:r>
    </w:p>
    <w:p>
      <w:pPr>
        <w:spacing w:after="0" w:line="183"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On September 26, 2012, we filed an arbitration demand against the Kapalua Bay Association for reimbursement of amounts advanced on behalf of the Kapalua Bay Association pursuant to the terms of the management agreement under which one of our subsidiaries provided services to the Kapalua Bay Association. Effective December 31, 2012, the management agreement was terminated as discussed in Footnote No. 15, “Variable Interest Entities.” On April 15, 2013, the Kapalua Bay Association filed a counterclaim against certain of our subsidiaries in the arbitration proceeding. In the counterclaim, the Kapalua Bay Association alleges claims against us based on breach of contract, misrepresentation, breach of fiduciary duty, unfair and deceptive trade practices and unjust enrichment. The relief sought consisted of unspecified damages.</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the fourth quarter of 2013, we reached an agreement with several parties involved in the Kapalua Bay project, including the foreclosure purchasers of the unsold interests in the project, other entities that have equity investments in the Joint Venture, the Kapalua Bay Association, and the Kapalua Bay Vacation Owners Association (the fractional owners’ association), to mutually settle pending and threatened claims relating to the project (the “Kapalua Bay Settlement”). As part of the Kapalua Bay Settlement, we agreed to dismiss our claim pending in the arbitration proceeding described above against the Kapalua Bay Association, and the Kapalua Bay Association agreed to dismiss its counterclaim against us; as a result, the arbitration has been dismissed in its entirety. In connection with the Kapalua Bay Settlement, owners of 132 of the 177 developer-sold fractional interests (including owners of two fractional interests who were plaintiffs in the Charles action described below) provided full releases to us and other parties associated with the project (“the Fractional Releases”). In addition, one residential owner provided a full release to us and other parties associated with the project (the “Residential Release”). As a result of the Kapalua Bay Settlement, the Fractional Releases and the Residential Release, we recorded a charge of $8 million in 2013. This charge was partially offset by $7 million of income recorded for partial repayment of our previously fully reserved receivables due from the Joint Venture. Both are included in Impairment (charges) reversals on equity investment on the Statements of Operations.</w:t>
      </w:r>
    </w:p>
    <w:p>
      <w:pPr>
        <w:spacing w:after="0" w:line="1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June 19, 2013, Earl C. and Patricia A. Charles, owners of a fractional interest at Kapalua Bay, together with owners of 38 other fractional interests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amended complaint supersedes a prior complaint that was not served on any defendant.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and the parties have agreed to attempt to settle the litigation through mediation. We dispute the material allegations in the amended complaint and intend to defend against this action vigorously if the mediation does not result in a settlement. Given the early stages of the action and the inherent uncertainties of litigation, we cannot estimate a range of the potential liability, if any, at this time. Additionally, owners of two fractional interests have since agreed to release their claims in this action in connection with the Kapalua Bay Settlement described above.</w:t>
      </w:r>
    </w:p>
    <w:p>
      <w:pPr>
        <w:spacing w:after="0" w:line="18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On June 28, 2013, owners of 35 residences and lots at The Abaco Club on Winding Bay filed a complaint in Orange County, Florida Circuit Court against us, one of our subsidiaries, certain subsidiaries of Marriott International and the resort’s owners’ association, alleging that the defendants failed to maintain the golf course, golf clubhouse, roads, water supply system, and other facilities and equipment in a manner commensurate with a five-star luxury resort, and deficiencies in the quality of services provided at the resort. Plaintiffs also allege that the defendants failed to honor an obligation to extend a right of first offer to club owners in connection with plans to sell the club property. Plaintiffs allege statutory and common law claims for breach of contract, breach of fiduciary duty, and fraud and seek compensatory and punitive damages. We have filed a motion to dismiss the complaint. We dispute the material allegations in this complaint and intend to defend against this action vigorously. Given the early stages of the action and the inherent uncertainties of litigation, we cannot estimate a range of the potential liability, if any, at this time.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estimate the cash outflow associated with completing the phases of our existing portfolio of vacation ownership projects currently under development will be approximately $63 million, of which $23 million is included within liabilities on our Balance Sheet. This estimate is based on our current development plans, which remain subject to change, and we expect the phases currently under development will be completed by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various land, real estate and equipment operating leases. The land leases primarily consist of two long-term golf course land leases with terms of 20 and 50 years. The corporate facilities leases are for our corporate headquarters and have lease terms of approximately 8 years. The other operating leases are primarily for office and retail space as well as equipment supporting our operations and have lease terms of between 3 and 10 years. We have summarized our future obligations under operating leases at January 3, 2014 below:</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Land</w:t>
            </w:r>
          </w:p>
        </w:tc>
        <w:tc>
          <w:tcPr>
            <w:tcW w:w="3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6"/>
              </w:rPr>
              <w:t>Facilities</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Leases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Leases</w:t>
            </w:r>
          </w:p>
        </w:tc>
        <w:tc>
          <w:tcPr>
            <w:tcW w:w="10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4"/>
              </w:rPr>
              <w:t>Leases</w:t>
            </w: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w:t>
            </w: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$ 11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Certain of these leases provide for minimum rentals and additional rentals based on our operations of the leased property. The total minimum lease payments above exclude approximately $2 million in future lease payments which have been accrued on the Balance Sheets as part of historical restructuring charges. The future lease payments accrued as restructuring charges are expected to be paid in 2014.</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details the composition of rent expense associated with operating leases, net of sublease income, for the last three years: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9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020" w:type="dxa"/>
            <w:vAlign w:val="bottom"/>
            <w:gridSpan w:val="3"/>
          </w:tcPr>
          <w:p>
            <w:pPr>
              <w:ind w:left="4740"/>
              <w:spacing w:after="0"/>
              <w:rPr>
                <w:sz w:val="20"/>
                <w:szCs w:val="20"/>
                <w:color w:val="auto"/>
              </w:rPr>
            </w:pPr>
            <w:r>
              <w:rPr>
                <w:rFonts w:ascii="Arial" w:cs="Arial" w:eastAsia="Arial" w:hAnsi="Arial"/>
                <w:sz w:val="14"/>
                <w:szCs w:val="14"/>
                <w:b w:val="1"/>
                <w:bCs w:val="1"/>
                <w:color w:val="auto"/>
                <w:w w:val="83"/>
              </w:rPr>
              <w:t>2013</w:t>
            </w:r>
          </w:p>
        </w:tc>
        <w:tc>
          <w:tcPr>
            <w:tcW w:w="4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Minimum rentals</w:t>
            </w:r>
          </w:p>
        </w:tc>
        <w:tc>
          <w:tcPr>
            <w:tcW w:w="4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Additional rentals</w:t>
            </w: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r>
      <w:tr>
        <w:trPr>
          <w:trHeight w:val="27"/>
        </w:trPr>
        <w:tc>
          <w:tcPr>
            <w:tcW w:w="29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96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47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79"/>
              </w:rPr>
              <w:t>14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$ 15</w:t>
            </w: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960" w:type="dxa"/>
            <w:vAlign w:val="bottom"/>
          </w:tcPr>
          <w:p>
            <w:pPr>
              <w:spacing w:after="0"/>
              <w:rPr>
                <w:sz w:val="24"/>
                <w:szCs w:val="24"/>
                <w:color w:val="auto"/>
              </w:rPr>
            </w:pPr>
          </w:p>
        </w:tc>
        <w:tc>
          <w:tcPr>
            <w:tcW w:w="4840" w:type="dxa"/>
            <w:vAlign w:val="bottom"/>
            <w:gridSpan w:val="2"/>
          </w:tcPr>
          <w:p>
            <w:pPr>
              <w:ind w:left="1660"/>
              <w:spacing w:after="0"/>
              <w:rPr>
                <w:sz w:val="20"/>
                <w:szCs w:val="20"/>
                <w:color w:val="auto"/>
              </w:rPr>
            </w:pPr>
            <w:r>
              <w:rPr>
                <w:rFonts w:ascii="Arial" w:cs="Arial" w:eastAsia="Arial" w:hAnsi="Arial"/>
                <w:sz w:val="18"/>
                <w:szCs w:val="18"/>
                <w:color w:val="auto"/>
              </w:rPr>
              <w:t>F-32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 on our debt balances: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At Year-End</w:t>
            </w:r>
          </w:p>
        </w:tc>
        <w:tc>
          <w:tcPr>
            <w:tcW w:w="3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At Year-End</w:t>
            </w:r>
          </w:p>
        </w:tc>
      </w:tr>
      <w:tr>
        <w:trPr>
          <w:trHeight w:val="171"/>
        </w:trPr>
        <w:tc>
          <w:tcPr>
            <w:tcW w:w="6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82"/>
        </w:trPr>
        <w:tc>
          <w:tcPr>
            <w:tcW w:w="6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Vacation ownership notes receivable securitizations, interest rates ranging from 2.2% to</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7.2% (weighted average interest rate of 3.5%) </w:t>
            </w:r>
            <w:r>
              <w:rPr>
                <w:rFonts w:ascii="Arial" w:cs="Arial" w:eastAsia="Arial" w:hAnsi="Arial"/>
                <w:sz w:val="15"/>
                <w:szCs w:val="15"/>
                <w:color w:val="auto"/>
              </w:rPr>
              <w:t>(1)</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674</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7"/>
        </w:trPr>
        <w:tc>
          <w:tcPr>
            <w:tcW w:w="6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r>
      <w:tr>
        <w:trPr>
          <w:trHeight w:val="20"/>
        </w:trPr>
        <w:tc>
          <w:tcPr>
            <w:tcW w:w="6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Interest rates are as of January 3, 2014.</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See Footnote No. 15, “Variable Interest Entities,” for a discussion of the collateral for the non-recourse debt associated with the securitized vacation ownership notes receivable and the Warehouse Credit Facility. All of our other debt was, and to the extent currently outstanding is, recourse to us but unsecured. The Warehouse Credit Facility currently terminates on September 5, 2015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We generally expect to securitize our vacation ownership notes receivable, including any vacation ownership notes receivable held in the Warehouse Credit Facility, in the ABS market once a year.</w:t>
      </w:r>
    </w:p>
    <w:p>
      <w:pPr>
        <w:spacing w:after="0" w:line="16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During 2013, we completed the securitization of a pool of $263 million of vacation ownership notes receivable, including $116 million of vacation ownership notes receivable that were previously securitized in the Warehouse Credit Facility. In connection with the securitization, investors purchased $250 million in vacation ownership loan backed notes from the MVW Owner Trust 2013-1 (the “2013-1 Trust”) in a private placement. Two classes of vacation ownership loan backed notes were issued by the 2013-1 Trust: $224 million of Class A Notes and $26 million of Class B Notes. The Class A Notes have an interest rate of 2.15 percent and the Class B Notes have an interest rate of 2.74 percent, for an overall weighted average interest rate of 2.21 percent.</w:t>
      </w:r>
    </w:p>
    <w:p>
      <w:pPr>
        <w:spacing w:after="0" w:line="158"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Although no cash borrowings were outstanding as of January 3, 2014 under our Revolving Corporate Credit Facility, any amounts that are borrowed under that facility, as well as obligations with respect to letters of credit issued pursuant to that facility, are secured by a perfected first priority security interest in substantially all of our assets and the assets of the guarantors of that facility, in each case including inventory, subject to certain exceptions.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2"/>
              </w:rPr>
              <w:t>Vacation</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Ownership</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Notes Receivable</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360" w:type="dxa"/>
            <w:vAlign w:val="bottom"/>
          </w:tcPr>
          <w:p>
            <w:pPr>
              <w:spacing w:after="0"/>
              <w:rPr>
                <w:sz w:val="12"/>
                <w:szCs w:val="12"/>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rPr>
              <w:t>Securitizations</w:t>
            </w:r>
            <w:r>
              <w:rPr>
                <w:rFonts w:ascii="Arial" w:cs="Arial" w:eastAsia="Arial" w:hAnsi="Arial"/>
                <w:sz w:val="12"/>
                <w:szCs w:val="12"/>
                <w:b w:val="1"/>
                <w:bCs w:val="1"/>
                <w:color w:val="auto"/>
              </w:rPr>
              <w:t>(1)</w:t>
            </w:r>
          </w:p>
        </w:tc>
        <w:tc>
          <w:tcPr>
            <w:tcW w:w="10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Principal Payments Year</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2014</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7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3"/>
        </w:trPr>
        <w:tc>
          <w:tcPr>
            <w:tcW w:w="5920" w:type="dxa"/>
            <w:vAlign w:val="bottom"/>
          </w:tcPr>
          <w:p>
            <w:pPr>
              <w:ind w:left="360"/>
              <w:spacing w:after="0"/>
              <w:rPr>
                <w:sz w:val="20"/>
                <w:szCs w:val="20"/>
                <w:color w:val="auto"/>
              </w:rPr>
            </w:pPr>
            <w:r>
              <w:rPr>
                <w:rFonts w:ascii="Arial" w:cs="Arial" w:eastAsia="Arial" w:hAnsi="Arial"/>
                <w:sz w:val="18"/>
                <w:szCs w:val="18"/>
                <w:color w:val="auto"/>
              </w:rPr>
              <w:t>Balance at January 3, 2014</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5"/>
                <w:szCs w:val="15"/>
                <w:color w:val="auto"/>
                <w:w w:val="71"/>
              </w:rPr>
              <w:t>4</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8"/>
          <w:szCs w:val="18"/>
          <w:color w:val="auto"/>
        </w:rPr>
        <w:t>The debt associated with our vacation ownership notes receivable securitizations is non-recourse to us.</w:t>
      </w:r>
    </w:p>
    <w:p>
      <w:pPr>
        <w:spacing w:after="0" w:line="225"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paid cash for interest, net of amounts capitalized, of $37 million in 2013, $48 million in 2012 and $45 million in 2011.</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(related to the interests we retained) to accelerate the principal payments to investors based on the subordination of the different tranches until the performance trigger is cured. During 2013, and as of January 3, 2014, no pools failed to perform within the established parameters. For 2012, approximately $1 million of cash flows were redirected as a result of failing to perform within the established parameters during that year. As of January 3, 2014, we had 7 securitized vacation ownership notes receivable pools outstanding.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Renewal of Warehouse Credit Facility</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2013, we entered into an amendment (the “Amendment”) to certain of the agreements associated with the Warehouse Credit Facility. As a result of the Amendment, the revolving period was extended to September 5, 2015, and borrowings under the Warehouse Credit Facility bear interest at a rate based on a blend of the one-month LIBOR and bank conduit commercial paper rates plus 1.2 percent per annum and are generally limited at any point to the sum of the products of the applicable advance rates and the eligible vacation ownership notes receivable at such time. The Amendment also expands the eligibility for certain collateral by permitting some vacation ownership notes receivable from domestic borrowers with low or no credit scores to be securitized through the Warehouse Credit Facility. Other terms of the Warehouse Credit Facility are substantially similar to those in effect prior to the Amendment. In addition to the amendments described above, the Amendment also includes certain modifications intended to comply with provisions of the Dodd-Frank Wall Street Reform and Consumer Protection Act (the “Dodd-Frank Act”) and A Global Regulatory Framework for More Resilient Banks and Banking Systems developed by the Basel Committee on Banking Supervision, initially published in December 2010 and generally referred to as “Basel III.”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2013, we entered into a First Amendment (the “Credit Agreement Amendment”) to the Revolving Corporate Credit Facility. Pursuant to the Revolving Corporate Credit Facility, the maximum ratio of consolidated total debt to consolidated adjusted EBITDA (as defined in the Revolving Corporate Credit Facility) that we are required to maintain was 6 to 1 through the end of the first quarter of 2013, then decreasing to 5.75 to 1 through the end of the first quarter of 2014, and to 5.25 to 1 thereafter. Prior to the Credit Agreement Amendment, the ratio we were required to maintain was 6 to 1 through the end of the first quarter of 2013, then 5.25 to 1 through the end of the 2014 fiscal year, and 4.75 to 1 thereafter. In addition, the Credit Agreement Amendment provides for certain amendments to the definitions of “Consolidated Adjusted EBITDA” and “Consolidated Total Debt” that will provide us with additional flexibility.</w:t>
      </w:r>
    </w:p>
    <w:p>
      <w:pPr>
        <w:spacing w:after="0" w:line="18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addition to the changes described above, the Credit Agreement Amendment also includes modifications intended to comply with certain provisions of the Dodd-Frank Act regarding the guarantee of foreign exchange and interest rate swap transactions by certain of our subsidiaries that guarantee our obligations under the Revolving Corporate Credit Facility. On June 12, 2013, we also entered into a First Amendment to our November 2012 amended and restated guarantee and collateral agreement (the “Guarantee and Collateral Agreement”), which modified the Guarantee and Collateral Agreement to comply with the provisions of the Dodd-Frank Act described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MANDATORILY REDEEMABLE PREFERRED STOCK OF CONSOLIDATED SUBSIDIARY</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October 2011, our subsidiary, MVW US Holdings, Inc. (“MVW US Holdings”) issued $40 million of its mandatorily redeemable Series A (non-voting) preferred stock to Marriott International as part of Marriott International’s internal reorganization prior to the Spin-Off. Subsequently Marriott International sold all of this preferred stock to third-party investors. For the first five years after issuance, the Series A preferred stock will pay an annual cash dividend equal to the five-year U.S. Treasury Rate as of October 19, 2011, plus a spread of 10.958 percent, for a total annual cash dividend rate of 12 percent. On the fifth anniversary of issuance, if we do not elect to redeem the preferred stock,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(i.e., beginning in October 2016). The Series A preferred stock has an aggregate liquidation preference of $40 million plus any accrued and unpaid dividends and an additional premium if liquidation occurs during the first five years after the issuance of the preferred stock. As of January 3, 2014,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Customer Loyalty Program</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participate in the Marriott Rewards customer loyalty program. Program members earn Marriott Rewards Points based on their purchases of vacation ownership products and/or through exchange and other activities related to our vacation ownership products, as well as through hotel stays and other activities that are not related to our business. Points are tracked on members’ behalf and can be redeemed for stays at most of Marriott International’s lodging properties, airline tickets, airline frequent flyer program miles, rental cars and a variety of other awards; however, points cannot be redeemed for cash.</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Marriott Rewards Points issued prior to 2012, we pay Marriott International upon redemption of Marriott Rewards Points by program members. Historically, we determined the carrying value of the future redemption obligation based on statistical formulas that project timing of future point redemption based on historical levels, including estimates of the points that will eventually be redeemed and the “breakage” for points that will never be redeemed. These judgment factors determine the required liability for outstanding points. The liability is relieved upon redemption of points by program members. Our Marriott Rewards customer loyalty program’s liability for those Marriott Rewards Points issued prior to 2012 totaled $114 million at January 3, 2014 and $159 million at December 28, 2012. We recorded changes in estimate for our Marriott Rewards customer loyalty program liability of $5 million, $9 million and $0 in 2013, 2012 and 2011, respectively.</w:t>
      </w:r>
    </w:p>
    <w:p>
      <w:pPr>
        <w:spacing w:after="0" w:line="18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completed a stress test on the carrying value of our Marriott Rewards customer loyalty program liability for Marriott Rewards Points issued prior to 2012 to measure the change in obligation associated with independent changes in key estimates as described in Footnote No. 1, “Summary of Significant Accounting Policies.” We applied this methodology to unfavorable changes that would be statistically significant and we concluded that each change to a variable shown in the table below would have the following impact on the valuation of our customer loyalty liability at January 3, 2014:</w:t>
      </w:r>
    </w:p>
    <w:p>
      <w:pPr>
        <w:spacing w:after="0" w:line="194"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52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5 percent change in the cost per point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10 percent change in the cost per point</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 change in the breakage rate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200 basis point change in the breakage rate</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17</w:t>
            </w:r>
          </w:p>
        </w:tc>
      </w:tr>
    </w:tbl>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Although we did not specifically perform stress tests on the redemption curve because it is difficult to isolate a single quantitative measure against which to perform such a test, changes in the redemption curve could also have an impact on the valuation of our Marriott Rewards customer loyalty program liability for Marriott Rewards Points issued prior to 2012.</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For periods subsequent to 2011, we generally pay Marriott International for Marriott Rewards Points upon issuance. The liability for Marriott Rewards Points issued after 2011 totaled $52 million at January 3, 2014 and $47 million at December 28, 2012, and is included within Accrued liabilities on the Balance Sheets and are generally payable within 120 days of year-end.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SHAREHOLDERS’ EQUITY</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Marriott Vacations Worldwide has 100,000,000 authorized shares of common stock, par value of $.01 per share. At January 3, 2014, there were 35,637,765 shares of Marriott Vacations Worldwide common stock issued, of which 35,132,742 were outstanding and 505,023 shares were held as treasury stock. At December 28, 2012, there were 35,026,533 shares of Marriott Vacations Worldwide common stock issued and outstanding, of which none were held as treasury stock. Marriott Vacations Worldwide has 2,000,000 authorized shares of preferred stock, par value of $.01 per share, none of which were issued or outstanding as of January 3, 2014 or December 28, 2012.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On October 8, 2013, our Board of Directors authorized a share repurchase program under which we may purchase up to 3,500,000 shares of our common stock prior to March 28, 2015.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plans pursuant to the provisions of Rule 10b5-1 under the Securities Exchange Act of 1934, as amended.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repurchase activity under our current stock repurchase program:</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Cost of Shares</w:t>
            </w:r>
          </w:p>
        </w:tc>
        <w:tc>
          <w:tcPr>
            <w:tcW w:w="660" w:type="dxa"/>
            <w:vAlign w:val="bottom"/>
          </w:tcPr>
          <w:p>
            <w:pPr>
              <w:spacing w:after="0"/>
              <w:rPr>
                <w:sz w:val="14"/>
                <w:szCs w:val="14"/>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4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Repurchased</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Repurchased</w:t>
            </w:r>
          </w:p>
        </w:tc>
        <w:tc>
          <w:tcPr>
            <w:tcW w:w="6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Paid per Share</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28, 2012</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For the year ended January 3, 2014</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505,023</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As of January 3, 2014</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505,023</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year-end 2013, 3 million shares remained available for repurchase under the authorization approved by our Board of Directors.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Marriott Vacations Worldwide Share-Based Compensation Plans</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maintain the Marriott Vacations Worldwide Stock Plan for the benefit of our officers, directors and employees. Under the Marriott Vacations Worldwide Stock Plan, we award to certain of our employees: (1) stock options to purchase Marriott Vacations Worldwide common stock (“Stock Option Program”); (2) SARs for Marriott Vacations Worldwide common stock (“SAR Program”); and (3) RSUs of Marriott Vacations Worldwide common stock. In addition, pursuant to the Separation and Distribution Agreement, we agreed to issue awards under the Marriott Vacations Worldwide Stock Plan to certain current and former directors, officers, and employees of Marriott International who held awards under the Marriott International Stock Plan relating to Marriott International common stock at November 10, 2011, the record date for the Spin-Off. A total of 6 million shares are authorized for issuance under the Marriott Vacations Worldwide Stock Plan. As of January 3, 2014, approximately 2 million shares were available for grants under the Marriott Vacations Worldwide Stock Plan.</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Effective as of the completion of the Spin-Off, all holders of Marriott International RSUs on the November 10, 2011 record date for the Spin-Off received Marriott Vacations Worldwide RSUs in an amount consistent with the Distribution Ratio, with terms and conditions substantially similar to the terms and conditions applicable to the Marriott International RSUs. Also, effective as of the completion of the Spin-Off, the holders of Marriott International stock options and SARs on the record date received Marriott Vacations Worldwide stock options and SARs, in an amount consistent with the Distribution Ratio, with terms and conditions substantially similar to the terms and conditions applicable to the Marriott International stock options and SARs.</w:t>
      </w:r>
    </w:p>
    <w:p>
      <w:pPr>
        <w:spacing w:after="0" w:line="15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exercise prices of the outstanding Marriott International stock options and SARs were adjusted, and the exercise prices of the Marriott Vacations Worldwide stock options and SARs were set, in a manner intended to preserve the aggregate intrinsic value of the stock options and SARs prior to the Spin-Off. The exercise prices of the Marriott International awards were adjusted based on the proportion of the Marriott International ex-distribution closing stock price to the sum of the total of the Marriott International ex-distribution and Marriott Vacations Worldwide “when issued” closing stock prices on the distribution date.</w:t>
      </w:r>
    </w:p>
    <w:p>
      <w:pPr>
        <w:spacing w:after="0" w:line="18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The exercise prices of the Marriott Vacations Worldwide awards were set based on the proportion of the Marriott Vacations Worldwide “when issued” closing stock price on the distribution date to the sum of the total of the Marriott International ex-distribution and Marriott Vacations Worldwide “when issued” closing stock prices on the distribution date. These adjustments were designed to equalize the fair value of each award before and after the Spin-Off.</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Deferred compensation costs as of the date of the Spin-Off reflected the unamortized balance of the original grant date fair value of the equity awards held by Marriott Vacations Worldwide employees (regardless of whether those awards are linked to Marriott International stock or Marriott Vacations Worldwide stock).</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For share-based awards with service-only vesting conditions, we measure compensation expense related to share-based payment transactions with our employees and non-employee directors at fair value on the grant date. With respect to our employees, we recognize this expense on the Statement of Operations over the vesting period during which the employees provide service in exchange for the award; with respect to non-employee directors, we recognize this expense on the grant date. For share-based arrangements with performance vesting conditions, we recognize compensation expense once it is probable that the corresponding performance condition will be achieved. Following the Spin-Off, we recognize share-based compensation expense related to our employees and Marriott International recognizes compensation expense related to Marriott International employees, regardless of whether the underlying awards represent Marriott International or Marriott Vacations Worldwide awards.</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$12 million in 2013, $12 million in 2012 and $11 million in 2011. Our deferred compensation liability related to unvested awards held by our employees totaled $13 million at January 3, 2014 and $14 million at December 28, 2012. As of January 3, 2014, we expect that deferred compensation expense for our employees will be recognized over a weighted average period of two years.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Marriott International Stock Plan awards granted after 2005, we recognized share-based compensation expense over the period from the grant date to the date on which the award is no longer contingent on the employee providing additional service (the “substantive vesting period”). We continued to follow the stated vesting period for the unvested portion of Marriott International Stock Plan awards granted to our employees before 2006 and the adoption of the current guidance for share-based compensation and follow the substantive vesting period for Marriott International Stock Plan and Marriott Vacations Worldwide Stock Plan awards granted to our employees after 2005.</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the guidance for share-based compensation, we presented the tax benefits and costs resulting from the exercise or vesting of Marriott International Stock Plan share-based awards related to our employees as financing cash flows. The exercise of share-based awards for our employees resulted in tax benefits of $3 million in 2013, $3 million in 2012 and less than $1 million in 2011.</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Marriott International received $2 million in 2013, $3 million in 2012 and $2 million in 2011 in cash from our employees for the exercise of stock options granted under the Marriott International Stock Plan. We received less than $1 million in cash from our employees for the exercise of Marriott Vacations Worldwide stock options in both 2013 and 2012. Approximately $1 million of Marriott Vacations Worldwide stock options were exercised prior to December 30, 2011; however cash proceeds had not yet been paid to us by our stock plan service provider as of December 30, 2011.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RSUs issued to our employees under the Marriott International Stock Plan and the Marriott Vacations Worldwide Stock Plan generally vest over four years in annual installments commencing one year after the date of grant. RSUs issued to our non-employee directors under the Marriott Vacations Worldwide Stock Plan vest on the date of grant. We recognize compensation expense for the RSUs over the service period equal to the fair market value of the stock units on the date of issuance. At year-end 2013 and 2012, we had approximately $12 million and $13 million, respectively, in deferred compensation costs related to RSUs for our employees granted under the Marriott International Stock Plan and Marriott Vacations Worldwide Stock Plan. The weighted average remaining term for RSU grants outstanding at year-end 2013 for our employees was two years.</w:t>
      </w:r>
    </w:p>
    <w:p>
      <w:pPr>
        <w:spacing w:after="0" w:line="17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granted 272,033 RSUs to our employees and non-employee directors during 2013. RSUs granted in 2013 had a weighted average grant-date fair value of $40.</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2013 and 2012, we granted RSUs with performance vesting conditions to members of management. The number of RSUs earned, if any, will be determined following the end of a three-year performance period based upon our cumulative achievement over that period of specific quantitative operating financial measures. The maximum amount of RSUs that may vest under the performance-based RSUs is approximately 72,000 and 157,000 for 2013 and 2012,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additional information on outstanding RSUs issued to our employees for the last three fiscal years: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 (in millions)</w:t>
            </w:r>
            <w:r>
              <w:rPr>
                <w:rFonts w:ascii="Arial" w:cs="Arial" w:eastAsia="Arial" w:hAnsi="Arial"/>
                <w:sz w:val="15"/>
                <w:szCs w:val="15"/>
                <w:color w:val="auto"/>
              </w:rPr>
              <w:t>(1)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Weighted average grant-date fair value prior to Spin-Off (per share)</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grant-date fair value subsequent to Spin-Off (per share)</w:t>
            </w:r>
            <w:r>
              <w:rPr>
                <w:rFonts w:ascii="Arial" w:cs="Arial" w:eastAsia="Arial" w:hAnsi="Arial"/>
                <w:sz w:val="15"/>
                <w:szCs w:val="15"/>
                <w:color w:val="auto"/>
              </w:rPr>
              <w:t>(1)</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Aggregate intrinsic value of converted and distributed (in millions)</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r>
      <w:tr>
        <w:trPr>
          <w:trHeight w:val="121"/>
        </w:trPr>
        <w:tc>
          <w:tcPr>
            <w:tcW w:w="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spacing w:after="0"/>
              <w:rPr>
                <w:sz w:val="10"/>
                <w:szCs w:val="10"/>
                <w:color w:val="auto"/>
              </w:rPr>
            </w:pPr>
          </w:p>
        </w:tc>
        <w:tc>
          <w:tcPr>
            <w:tcW w:w="6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0"/>
        </w:trPr>
        <w:tc>
          <w:tcPr>
            <w:tcW w:w="320" w:type="dxa"/>
            <w:vAlign w:val="bottom"/>
          </w:tcPr>
          <w:p>
            <w:pPr>
              <w:jc w:val="right"/>
              <w:ind w:right="63"/>
              <w:spacing w:after="0"/>
              <w:rPr>
                <w:sz w:val="20"/>
                <w:szCs w:val="20"/>
                <w:color w:val="auto"/>
              </w:rPr>
            </w:pPr>
            <w:r>
              <w:rPr>
                <w:rFonts w:ascii="Arial" w:cs="Arial" w:eastAsia="Arial" w:hAnsi="Arial"/>
                <w:sz w:val="15"/>
                <w:szCs w:val="15"/>
                <w:color w:val="auto"/>
                <w:w w:val="87"/>
              </w:rPr>
              <w:t>(1)</w:t>
            </w:r>
          </w:p>
        </w:tc>
        <w:tc>
          <w:tcPr>
            <w:tcW w:w="7800" w:type="dxa"/>
            <w:vAlign w:val="bottom"/>
            <w:gridSpan w:val="3"/>
          </w:tcPr>
          <w:p>
            <w:pPr>
              <w:ind w:left="140"/>
              <w:spacing w:after="0"/>
              <w:rPr>
                <w:sz w:val="20"/>
                <w:szCs w:val="20"/>
                <w:color w:val="auto"/>
              </w:rPr>
            </w:pPr>
            <w:r>
              <w:rPr>
                <w:rFonts w:ascii="Arial" w:cs="Arial" w:eastAsia="Arial" w:hAnsi="Arial"/>
                <w:sz w:val="18"/>
                <w:szCs w:val="18"/>
                <w:color w:val="auto"/>
              </w:rPr>
              <w:t>Includes RSUs with performance based vesting criteria.</w:t>
            </w: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shows the 2013 changes in Marriott Vacations Worldwide RSUs issued to Marriott International and Marriott Vacations Worldwide employees: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8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820" w:type="dxa"/>
            <w:vAlign w:val="bottom"/>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year-end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1,138,323</w:t>
            </w:r>
          </w:p>
        </w:tc>
        <w:tc>
          <w:tcPr>
            <w:tcW w:w="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Granted during 2013</w:t>
            </w:r>
            <w:r>
              <w:rPr>
                <w:rFonts w:ascii="Arial" w:cs="Arial" w:eastAsia="Arial" w:hAnsi="Arial"/>
                <w:sz w:val="15"/>
                <w:szCs w:val="15"/>
                <w:color w:val="auto"/>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272,033</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Distributed during 2013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(365,127)</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during 2013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7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 2013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1,025,264</w:t>
            </w:r>
          </w:p>
        </w:tc>
        <w:tc>
          <w:tcPr>
            <w:tcW w:w="9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5"/>
          <w:szCs w:val="15"/>
          <w:color w:val="auto"/>
        </w:rPr>
      </w:pPr>
      <w:r>
        <w:rPr>
          <w:rFonts w:ascii="Arial" w:cs="Arial" w:eastAsia="Arial" w:hAnsi="Arial"/>
          <w:sz w:val="18"/>
          <w:szCs w:val="18"/>
          <w:color w:val="auto"/>
        </w:rPr>
        <w:t>Includes RSUs with performance based vesting criteria.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11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We may grant employee non-qualified stock options to officers and employees of our business at exercise prices or strike prices equal to the market price of our common stock on the date of grant. Non-qualified stock options generally expire ten years after the date of grant. Most stock options are exercisable in cumulative installments of one quarter at the end of each of the first four years following the date of grant.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following table shows the 2013 changes in outstanding Marriott Vacations Worldwide stock options for Marriott International and Marriott Vacations Worldwide employees: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940" w:type="dxa"/>
            <w:vAlign w:val="bottom"/>
          </w:tcPr>
          <w:p>
            <w:pPr>
              <w:jc w:val="right"/>
              <w:ind w:right="56"/>
              <w:spacing w:after="0" w:line="119" w:lineRule="exact"/>
              <w:rPr>
                <w:sz w:val="20"/>
                <w:szCs w:val="20"/>
                <w:color w:val="auto"/>
              </w:rPr>
            </w:pPr>
            <w:r>
              <w:rPr>
                <w:rFonts w:ascii="Arial" w:cs="Arial" w:eastAsia="Arial" w:hAnsi="Arial"/>
                <w:sz w:val="13"/>
                <w:szCs w:val="13"/>
                <w:b w:val="1"/>
                <w:bCs w:val="1"/>
                <w:color w:val="auto"/>
              </w:rPr>
              <w:t>Number of</w:t>
            </w:r>
          </w:p>
        </w:tc>
        <w:tc>
          <w:tcPr>
            <w:tcW w:w="18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Weighted Average</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940" w:type="dxa"/>
            <w:vAlign w:val="bottom"/>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year-end 2012</w:t>
            </w:r>
          </w:p>
        </w:tc>
        <w:tc>
          <w:tcPr>
            <w:tcW w:w="940" w:type="dxa"/>
            <w:vAlign w:val="bottom"/>
            <w:tcBorders>
              <w:top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2"/>
              </w:rPr>
              <w:t>648,905</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Granted during 2013</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2013</w:t>
            </w:r>
          </w:p>
        </w:tc>
        <w:tc>
          <w:tcPr>
            <w:tcW w:w="94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0"/>
              </w:rPr>
              <w:t>(364,282)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Forfeited during 2013</w:t>
            </w: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 2013</w:t>
            </w:r>
          </w:p>
        </w:tc>
        <w:tc>
          <w:tcPr>
            <w:tcW w:w="94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2"/>
              </w:rPr>
              <w:t>284,623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Stock options awarded under the Marriott International Stock Plan were granted at exercise prices or strike prices equal to the market price of Marriott International common stock on the date of grant.</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recognized no stock option compensation expense for our employees in each of 2013, 2012 and 2011. There was no deferred compensation expense related to stock options held by our employees at both year-end 2013 and 2012.</w:t>
      </w:r>
    </w:p>
    <w:p>
      <w:pPr>
        <w:spacing w:after="0" w:line="170"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following table shows the Marriott Vacations Worldwide stock options issued to Marriott International and Marriott Vacations Worldwide employees that were outstanding and exercisable at year-end 2013: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Outstanding</w:t>
            </w:r>
          </w:p>
        </w:tc>
        <w:tc>
          <w:tcPr>
            <w:tcW w:w="11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Exercisable</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Range of</w:t>
            </w:r>
          </w:p>
        </w:tc>
        <w:tc>
          <w:tcPr>
            <w:tcW w:w="1520" w:type="dxa"/>
            <w:vAlign w:val="bottom"/>
          </w:tcPr>
          <w:p>
            <w:pPr>
              <w:spacing w:after="0"/>
              <w:rPr>
                <w:sz w:val="10"/>
                <w:szCs w:val="10"/>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0"/>
                <w:szCs w:val="10"/>
                <w:color w:val="auto"/>
              </w:rPr>
            </w:pPr>
          </w:p>
        </w:tc>
        <w:tc>
          <w:tcPr>
            <w:tcW w:w="16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0"/>
              </w:rPr>
              <w:t>Weighted Average</w:t>
            </w:r>
          </w:p>
        </w:tc>
        <w:tc>
          <w:tcPr>
            <w:tcW w:w="11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540" w:type="dxa"/>
            <w:vAlign w:val="bottom"/>
          </w:tcPr>
          <w:p>
            <w:pPr>
              <w:spacing w:after="0"/>
              <w:rPr>
                <w:sz w:val="10"/>
                <w:szCs w:val="10"/>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0"/>
                <w:szCs w:val="10"/>
                <w:color w:val="auto"/>
              </w:rPr>
            </w:pPr>
          </w:p>
        </w:tc>
        <w:tc>
          <w:tcPr>
            <w:tcW w:w="16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0"/>
              </w:rPr>
              <w:t>Weighted Average</w:t>
            </w:r>
          </w:p>
        </w:tc>
        <w:tc>
          <w:tcPr>
            <w:tcW w:w="11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660" w:type="dxa"/>
            <w:vAlign w:val="bottom"/>
            <w:gridSpan w:val="2"/>
          </w:tcPr>
          <w:p>
            <w:pPr>
              <w:jc w:val="right"/>
              <w:ind w:right="620"/>
              <w:spacing w:after="0" w:line="145" w:lineRule="exact"/>
              <w:rPr>
                <w:sz w:val="20"/>
                <w:szCs w:val="20"/>
                <w:color w:val="auto"/>
              </w:rPr>
            </w:pPr>
            <w:r>
              <w:rPr>
                <w:rFonts w:ascii="Arial" w:cs="Arial" w:eastAsia="Arial" w:hAnsi="Arial"/>
                <w:sz w:val="14"/>
                <w:szCs w:val="14"/>
                <w:b w:val="1"/>
                <w:bCs w:val="1"/>
                <w:color w:val="auto"/>
              </w:rPr>
              <w:t>Remaining Life</w:t>
            </w: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220" w:type="dxa"/>
            <w:vAlign w:val="bottom"/>
            <w:gridSpan w:val="2"/>
          </w:tcPr>
          <w:p>
            <w:pPr>
              <w:jc w:val="right"/>
              <w:ind w:right="180"/>
              <w:spacing w:after="0" w:line="145" w:lineRule="exact"/>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49"/>
        </w:trPr>
        <w:tc>
          <w:tcPr>
            <w:tcW w:w="9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8"/>
              </w:rPr>
              <w:t>Exercise Prices</w:t>
            </w:r>
          </w:p>
        </w:tc>
        <w:tc>
          <w:tcPr>
            <w:tcW w:w="1520" w:type="dxa"/>
            <w:vAlign w:val="bottom"/>
          </w:tcPr>
          <w:p>
            <w:pPr>
              <w:spacing w:after="0"/>
              <w:rPr>
                <w:sz w:val="12"/>
                <w:szCs w:val="12"/>
                <w:color w:val="auto"/>
              </w:rPr>
            </w:pPr>
          </w:p>
        </w:tc>
        <w:tc>
          <w:tcPr>
            <w:tcW w:w="11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Stock Options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Exercise Price</w:t>
            </w:r>
          </w:p>
        </w:tc>
        <w:tc>
          <w:tcPr>
            <w:tcW w:w="1660" w:type="dxa"/>
            <w:vAlign w:val="bottom"/>
            <w:gridSpan w:val="2"/>
          </w:tcPr>
          <w:p>
            <w:pPr>
              <w:jc w:val="right"/>
              <w:ind w:right="800"/>
              <w:spacing w:after="0" w:line="129" w:lineRule="exact"/>
              <w:rPr>
                <w:sz w:val="20"/>
                <w:szCs w:val="20"/>
                <w:color w:val="auto"/>
              </w:rPr>
            </w:pPr>
            <w:r>
              <w:rPr>
                <w:rFonts w:ascii="Arial" w:cs="Arial" w:eastAsia="Arial" w:hAnsi="Arial"/>
                <w:sz w:val="14"/>
                <w:szCs w:val="14"/>
                <w:b w:val="1"/>
                <w:bCs w:val="1"/>
                <w:color w:val="auto"/>
              </w:rPr>
              <w:t>(in years)</w:t>
            </w:r>
          </w:p>
        </w:tc>
        <w:tc>
          <w:tcPr>
            <w:tcW w:w="11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Stock Options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Exercise Price</w:t>
            </w:r>
          </w:p>
        </w:tc>
        <w:tc>
          <w:tcPr>
            <w:tcW w:w="12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0"/>
        </w:trPr>
        <w:tc>
          <w:tcPr>
            <w:tcW w:w="9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$ 8 to $12</w:t>
            </w:r>
          </w:p>
        </w:tc>
        <w:tc>
          <w:tcPr>
            <w:tcW w:w="15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204,687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204,687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$ 13 to $17</w:t>
            </w:r>
          </w:p>
        </w:tc>
        <w:tc>
          <w:tcPr>
            <w:tcW w:w="2660" w:type="dxa"/>
            <w:vAlign w:val="bottom"/>
            <w:gridSpan w:val="3"/>
          </w:tcPr>
          <w:p>
            <w:pPr>
              <w:jc w:val="right"/>
              <w:ind w:right="260"/>
              <w:spacing w:after="0"/>
              <w:rPr>
                <w:sz w:val="20"/>
                <w:szCs w:val="20"/>
                <w:color w:val="auto"/>
              </w:rPr>
            </w:pPr>
            <w:r>
              <w:rPr>
                <w:rFonts w:ascii="Arial" w:cs="Arial" w:eastAsia="Arial" w:hAnsi="Arial"/>
                <w:sz w:val="18"/>
                <w:szCs w:val="18"/>
                <w:color w:val="auto"/>
              </w:rPr>
              <w:t>15,622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14,286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$ 18 to $22</w:t>
            </w:r>
          </w:p>
        </w:tc>
        <w:tc>
          <w:tcPr>
            <w:tcW w:w="2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60,498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$ 23 to $28</w:t>
            </w:r>
          </w:p>
        </w:tc>
        <w:tc>
          <w:tcPr>
            <w:tcW w:w="2660" w:type="dxa"/>
            <w:vAlign w:val="bottom"/>
            <w:gridSpan w:val="3"/>
          </w:tcPr>
          <w:p>
            <w:pPr>
              <w:jc w:val="right"/>
              <w:ind w:right="260"/>
              <w:spacing w:after="0"/>
              <w:rPr>
                <w:sz w:val="20"/>
                <w:szCs w:val="20"/>
                <w:color w:val="auto"/>
              </w:rPr>
            </w:pPr>
            <w:r>
              <w:rPr>
                <w:rFonts w:ascii="Arial" w:cs="Arial" w:eastAsia="Arial" w:hAnsi="Arial"/>
                <w:sz w:val="18"/>
                <w:szCs w:val="18"/>
                <w:color w:val="auto"/>
              </w:rPr>
              <w:t>3,816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26</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$ 8 to $28</w:t>
            </w:r>
          </w:p>
        </w:tc>
        <w:tc>
          <w:tcPr>
            <w:tcW w:w="2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284,623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282,326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No Marriott Vacations Worldwide stock options, other than those granted as part of the Spin-Off, were granted to Marriott International or to our employees in 2013, 2012 or 2011.</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the intrinsic value of outstanding Marriott International stock options and exercisable stock options held by our employees at year-end 2013 and 2012:</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4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2013</w:t>
            </w: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Exercisable stock options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intrinsic value of both the outstanding Marriott Vacations Worldwide stock options and the exercisable stock options held by our employees at year-end 2013 was less than $1 million.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approximate total intrinsic value of stock options for Marriott International stock exercised by our employees was $3 million in 2013, $5 million in 2012 and $2 million in 2011. The approximate total intrinsic value of stock options for Marriott Vacations Worldwide stock exercised by our employees was less than $1 million in 2013, $1 million in 2012 and less than $1 million in 2011.</w:t>
      </w:r>
    </w:p>
    <w:p>
      <w:pPr>
        <w:spacing w:after="0" w:line="181"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SARs awarded under the Marriott International Stock Plan were granted at exercise prices or strike prices equal to the market price of Marriott International common stock on the date of grant. SARs awarded under the Marriott Vacations Worldwide Stock Plan are granted at exercise prices or strike prices equal to the market price of Marriott Vacations Worldwide common stock on the date of grant (this price is referred to as the “base value”). SARs generally expire ten years after the date of grant and both vest and may be exercised in cumulative installments of one quarter at the end of each of the first four years following the date of grant. Upon exercise of SARs, our employees and directors receive the number of shares of Marriott International common stock or Marriott Vacations Worldwide common stock, as applicable, equal to the number of SARs being exercised, multiplied by the quotient of (a) the market price of the common stock on the date of exercise (this price is referred to as the “final value”) minus the base value, divided by (b) the final value.</w:t>
      </w:r>
    </w:p>
    <w:p>
      <w:pPr>
        <w:spacing w:after="0" w:line="16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recognized compensation expense associated with SARs held by our employees and directors of $1 million in 2013, $2 million in 2012 and less than $1 million in 2011. At both year-end 2013 and year-end 2012, we had $1 million in deferred compensation costs related to SARs held by our employees and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shows the 2013 changes in outstanding Marriott Vacations Worldwide SARs issued to both Marriott International and Marriott Vacations Worldwide employees and directors: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86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Number of</w:t>
            </w:r>
          </w:p>
        </w:tc>
        <w:tc>
          <w:tcPr>
            <w:tcW w:w="18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Weighted Average</w:t>
            </w:r>
          </w:p>
        </w:tc>
      </w:tr>
      <w:tr>
        <w:trPr>
          <w:trHeight w:val="171"/>
        </w:trPr>
        <w:tc>
          <w:tcPr>
            <w:tcW w:w="20" w:type="dxa"/>
            <w:vAlign w:val="bottom"/>
          </w:tcPr>
          <w:p>
            <w:pPr>
              <w:spacing w:after="0"/>
              <w:rPr>
                <w:sz w:val="14"/>
                <w:szCs w:val="14"/>
                <w:color w:val="auto"/>
              </w:rPr>
            </w:pPr>
          </w:p>
        </w:tc>
        <w:tc>
          <w:tcPr>
            <w:tcW w:w="59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7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710,169</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Granted during 2013</w:t>
            </w:r>
          </w:p>
        </w:tc>
        <w:tc>
          <w:tcPr>
            <w:tcW w:w="860" w:type="dxa"/>
            <w:vAlign w:val="bottom"/>
          </w:tcPr>
          <w:p>
            <w:pPr>
              <w:jc w:val="right"/>
              <w:spacing w:after="0"/>
              <w:rPr>
                <w:sz w:val="20"/>
                <w:szCs w:val="20"/>
                <w:color w:val="auto"/>
              </w:rPr>
            </w:pPr>
            <w:r>
              <w:rPr>
                <w:rFonts w:ascii="Arial" w:cs="Arial" w:eastAsia="Arial" w:hAnsi="Arial"/>
                <w:sz w:val="18"/>
                <w:szCs w:val="18"/>
                <w:color w:val="auto"/>
              </w:rPr>
              <w:t>66,422</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(32,342)</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w:t>
            </w: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Forfeited during 2013</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 2013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744,249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20</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use the Black-Scholes model to estimate the fair value of the stock options or SARs granted. For SARs granted under the Marriott Vacations Worldwide Stock Plan subsequent to the Spin-Off, the expected stock price volatility was calculated based on the historical volatility from the stock prices of a group of identified peer companies. The average expected life was calculated based on the simplified method. The risk-free interest rate was calculated using U.S. Treasury zero-coupon issues with a remaining term equal to the expected life assumed at the date of grant. The expected annual dividend per share was $0 based on our expected dividend rate.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assumptions used to estimate the fair value of grants for the fiscal year ended 2013 and 2012:</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2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57.55%</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54.3%</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Dividend yield</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0.00%</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1.03%</w:t>
            </w: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20" w:type="dxa"/>
            <w:vAlign w:val="bottom"/>
          </w:tcPr>
          <w:p>
            <w:pPr>
              <w:jc w:val="right"/>
              <w:ind w:right="154"/>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20"/>
                <w:szCs w:val="20"/>
                <w:color w:val="auto"/>
              </w:rPr>
            </w:pP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Marriott International used a binomial method to estimate the fair value of the stock options or SARs granted, under which Marriott International calculated the weighted average expected stock option or SAR as the product of a lattice-based binomial valuation model that uses suboptimal exercise factors. Marriott International used historical data to estimate exercise behaviors for separate groups of retirement eligible and non-retirement eligible employees of our business.</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shows the assumptions used to estimate the fair value of stock options and SARs our employees were awarded under the Marriott International Stock Plan for 2011 (prior to the Spin-Off):</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1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2011</w:t>
            </w: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Dividend yield</w:t>
            </w:r>
          </w:p>
        </w:tc>
        <w:tc>
          <w:tcPr>
            <w:tcW w:w="580" w:type="dxa"/>
            <w:vAlign w:val="bottom"/>
          </w:tcPr>
          <w:p>
            <w:pPr>
              <w:jc w:val="right"/>
              <w:spacing w:after="0"/>
              <w:rPr>
                <w:sz w:val="20"/>
                <w:szCs w:val="20"/>
                <w:color w:val="auto"/>
              </w:rPr>
            </w:pPr>
            <w:r>
              <w:rPr>
                <w:rFonts w:ascii="Arial" w:cs="Arial" w:eastAsia="Arial" w:hAnsi="Arial"/>
                <w:sz w:val="18"/>
                <w:szCs w:val="18"/>
                <w:color w:val="auto"/>
                <w:w w:val="97"/>
              </w:rPr>
              <w:t>0.73%</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8</w:t>
            </w:r>
          </w:p>
        </w:tc>
      </w:tr>
    </w:tbl>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making these assumptions, Marriott International based risk-free interest rates on the corresponding U.S. Treasury spot rates for the expected duration at the date of grant, which Marriott International converted to a continuously compounded rate. Marriott International based the expected volatility on the weighted-average historical volatility of the Marriott International Common Stock, with periods with atypical stock movement given a lower weight to reflect stabilized long-term mean volatility.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differences in the assumptions used by Marriott International and by us to estimate fair value are a result of the Spin-Off and Marriott Vacations Worldwide operating as an independent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VARIABLE INTEREST ENTITIES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issued by the special purpose entities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in our Balance Sheet at January 3, 2014.</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Vacation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0"/>
              </w:rPr>
              <w:t>Warehouse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Ownership Notes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Receivable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8"/>
              </w:rPr>
              <w:t>Credit</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40" w:type="dxa"/>
            <w:vAlign w:val="bottom"/>
          </w:tcPr>
          <w:p>
            <w:pPr>
              <w:spacing w:after="0"/>
              <w:rPr>
                <w:sz w:val="14"/>
                <w:szCs w:val="14"/>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Securitizations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5"/>
              <w:spacing w:after="0"/>
              <w:rPr>
                <w:sz w:val="20"/>
                <w:szCs w:val="20"/>
                <w:color w:val="auto"/>
              </w:rPr>
            </w:pPr>
            <w:r>
              <w:rPr>
                <w:rFonts w:ascii="Arial" w:cs="Arial" w:eastAsia="Arial" w:hAnsi="Arial"/>
                <w:sz w:val="14"/>
                <w:szCs w:val="14"/>
                <w:b w:val="1"/>
                <w:bCs w:val="1"/>
                <w:color w:val="auto"/>
                <w:w w:val="95"/>
              </w:rPr>
              <w:t>Facility</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Vacation ownership notes receivable, net of reserves</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719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Restricted cash</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b w:val="1"/>
                <w:bCs w:val="1"/>
                <w:color w:val="auto"/>
              </w:rPr>
              <w:t>Consolidated Liabilities:</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Debt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interest income and expense recognized as a result of our involvement with these variable interest entities during 2013:</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Vacation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2"/>
              </w:rPr>
              <w:t>Warehouse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Ownership Notes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Receivable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Credit</w:t>
            </w:r>
          </w:p>
        </w:tc>
        <w:tc>
          <w:tcPr>
            <w:tcW w:w="280" w:type="dxa"/>
            <w:vAlign w:val="bottom"/>
          </w:tcPr>
          <w:p>
            <w:pPr>
              <w:spacing w:after="0"/>
              <w:rPr>
                <w:sz w:val="12"/>
                <w:szCs w:val="12"/>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Securitizations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Facility</w:t>
            </w: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Net proceeds from vacation ownership notes receivable securitization</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246</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Interest receipts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rPr>
              <w:t>Cash outflows: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Voluntary retirement clean-up call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Interest to investors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rPr>
              <w:t>Net Cash Flows</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5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420"/>
          </w:cols>
          <w:pgMar w:left="240" w:top="459" w:right="23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cash flows between us and the Warehouse Credit Facility variable interest entity:</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proceeds from vacation ownership notes receivable securitization</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Interest receipts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Reserve release</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Principal to investors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6"/>
              </w:rPr>
              <w:t>Voluntary repurchases of defaulted vacation ownership notes receivable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Repayment of Warehouse Credit Facility</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to investors</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580" w:type="dxa"/>
            <w:vAlign w:val="bottom"/>
          </w:tcPr>
          <w:p>
            <w:pPr>
              <w:ind w:left="34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We made voluntary repurchases of defaulted vacation ownership notes receivable of $27 million during 2013, $39 million during 2012 and $52 million during 2011. We also made voluntary repurchases of $69 million, $86 million and $24 million of other non-defaulted vacation ownership notes receivable during 2013, 2012 and 2011, respectively, to retire previous vacation ownership notes receivable securitizations. Our maximum exposure to loss relating to the entities that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an equity investment in, and notes receivable due from a variable interest entity that previously developed and marketed vacation ownership and residential products in Hawaii pursuant to a joint venture arrangement. We concluded that the entity is a variable interest entity because the equity investment at risk is not sufficient to permit the entity to finance its activities without additional support from other venture parties. We determined that we are not the primary beneficiary of this entity, as power to direct the activities that most significantly impact the entity’s economic performance is shared among the variable interest holders and, therefore, we do not consolidate the entity. We provided a completion guarantee in favor of the project lenders for which the joint venture has delivered a completed operational project. We received a release of the guarantee and do not have any further exposure for funding under the guarantee. In 2009, we fully impaired our equity investment in the entity and in certain notes receivable due from the entity. In 2010, the continued application of equity losses to our investment in the remaining outstanding notes receivable balance reduced its carrying value to zero. In addition, the venture was unable to pay promissory notes that matured on December 31, 2010 and August 1, 2011. Subsequently, the lenders issued a notice of default to the venture. The lenders initiated foreclosure proceedings with respect to unsold interests in the project. A foreclosure auction was held and, on January 31, 2013, a bid was accepted and confirmed. The sale was completed, and on June 13, 2013, we received $7 million of cash as a partial repayment of our previously fully reserved receivables due from the entity.</w:t>
      </w:r>
    </w:p>
    <w:p>
      <w:pPr>
        <w:spacing w:after="0" w:line="1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gave notice of breach or termination of various agreements, including management agreements with the owners’ associations at the project, marketing and sales agreements with the venture, and other agreements pursuant to which we provided services to the venture and, as we were unable to reach agreement with the owners’ associations with respect to our continued provision of services, termination of these agreements was effective on December 31, 2012. During the year ended January 3, 2014, we recorded $8 million of expense to increase our accrual for remaining costs expected to be incurred relating to our interests in this joint venture exclusive of any costs that may be incurred pursuant to outstanding litigation matters, including those discussed in Footnote No. 9, “Contingencies and Commitments.” Including reserves for outstanding receivables, at January 3, 2014, we have an accrual of $14 million for potential future funding, representing our remaining expected exposure to loss related to our involvement with this entity exclusive of any costs that may be incurred pursuant to outstanding litigation matters, including those discussed in Footnote No. 9, “Contingencies and Commitments.”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IMPAIRMENT CHARGES</w:t>
      </w:r>
    </w:p>
    <w:p>
      <w:pPr>
        <w:spacing w:after="0" w:line="12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In accordance with ASC 978, “</w:t>
      </w:r>
      <w:r>
        <w:rPr>
          <w:rFonts w:ascii="Arial" w:cs="Arial" w:eastAsia="Arial" w:hAnsi="Arial"/>
          <w:sz w:val="16"/>
          <w:szCs w:val="16"/>
          <w:i w:val="1"/>
          <w:iCs w:val="1"/>
          <w:color w:val="auto"/>
        </w:rPr>
        <w:t>Real Estate—Time-sharing Activities</w:t>
      </w:r>
      <w:r>
        <w:rPr>
          <w:rFonts w:ascii="Arial" w:cs="Arial" w:eastAsia="Arial" w:hAnsi="Arial"/>
          <w:sz w:val="16"/>
          <w:szCs w:val="16"/>
          <w:color w:val="auto"/>
        </w:rPr>
        <w:t>,” and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we recorded impairment adjustments to inventory and property and equipment to adjust the carrying value of underlying assets to our estimate of its fair value when required.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4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2013</w:t>
            </w:r>
            <w:r>
              <w:rPr>
                <w:rFonts w:ascii="Arial" w:cs="Arial" w:eastAsia="Arial" w:hAnsi="Arial"/>
                <w:sz w:val="12"/>
                <w:szCs w:val="12"/>
                <w:b w:val="1"/>
                <w:bCs w:val="1"/>
                <w:color w:val="auto"/>
                <w:w w:val="91"/>
              </w:rPr>
              <w:t>(1)</w:t>
            </w:r>
          </w:p>
        </w:tc>
        <w:tc>
          <w:tcPr>
            <w:tcW w:w="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Impairment Charge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Inventory impairment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impairment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r>
      <w:tr>
        <w:trPr>
          <w:trHeight w:val="223"/>
        </w:trPr>
        <w:tc>
          <w:tcPr>
            <w:tcW w:w="7400" w:type="dxa"/>
            <w:vAlign w:val="bottom"/>
          </w:tcPr>
          <w:p>
            <w:pPr>
              <w:ind w:left="720"/>
              <w:spacing w:after="0"/>
              <w:rPr>
                <w:sz w:val="20"/>
                <w:szCs w:val="20"/>
                <w:color w:val="auto"/>
              </w:rPr>
            </w:pPr>
            <w:r>
              <w:rPr>
                <w:rFonts w:ascii="Arial" w:cs="Arial" w:eastAsia="Arial" w:hAnsi="Arial"/>
                <w:sz w:val="18"/>
                <w:szCs w:val="18"/>
                <w:color w:val="auto"/>
              </w:rPr>
              <w:t>Total impairment charge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w:t>
            </w: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324</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8"/>
          <w:szCs w:val="18"/>
          <w:color w:val="auto"/>
        </w:rPr>
        <w:t>The 2013 impairment charge related to a leased golf course in our Europe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Impairment Charges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incurred total impairment charges during 2011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North</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Europe</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America</w:t>
            </w:r>
          </w:p>
        </w:tc>
        <w:tc>
          <w:tcPr>
            <w:tcW w:w="108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Segment</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Impairment Charge</w:t>
            </w: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Inventory impairment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5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impairment</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720"/>
              <w:spacing w:after="0"/>
              <w:rPr>
                <w:sz w:val="20"/>
                <w:szCs w:val="20"/>
                <w:color w:val="auto"/>
              </w:rPr>
            </w:pPr>
            <w:r>
              <w:rPr>
                <w:rFonts w:ascii="Arial" w:cs="Arial" w:eastAsia="Arial" w:hAnsi="Arial"/>
                <w:sz w:val="18"/>
                <w:szCs w:val="18"/>
                <w:color w:val="auto"/>
              </w:rPr>
              <w:t>Total impairment charge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preparation for the Spin-Off, management assessed the intended use of certain undeveloped and partially developed land and excess built inventory and the current market conditions for those assets. We typically purchase undeveloped land in order to develop it as a resort, in which we then sell vacation ownership interests. At the time we purchase undeveloped land, we record it as an asset in the reportable segment for which we intend to develop it. We do not purchase undeveloped land on a speculative basis; however, we may dispose of undeveloped land if we no longer intend to develop it.</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During 2011, management approved a plan to accelerate cash flow through the monetization of certain undeveloped and partially developed land in the United States, Mexico, and the Bahamas and to accelerate sales of excess built luxury fractional and residential inventory. When we chose to pursue this disposition strategy for certain undeveloped and partially developed land, we reclassified this land from the reportable segments to the corporate and other category because it no longer related to the ongoing operations of a particular segment. As a result, in accordance with the guidance for accounting for the impairment or disposal of long-lived assets, because the nominal cash flows from the planned land sales and the estimated fair values of the land and excess built luxury inventory were less than their respective carrying values, we recorded a pre-tax non-cash impairment charge of $324 million ($234 million after-tax) under the “Impairment” caption.</w:t>
      </w:r>
    </w:p>
    <w:p>
      <w:pPr>
        <w:spacing w:after="0" w:line="17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estimated the fair value of the land by using recent comparable sales data for the land parcels, which we determined were Level 3 inputs. We estimated the fair value of the excess built luxury fractional and residential inventory using cash flow projections discounted at risk premiums commensurate with the market conditions of the related projects. We used Level 3 inputs for these discounted cash flow analyses and our assumptions included: growth rate and sales pace projections, additional sales incentives such as pricing discounts, and marketing and sales cost estimates.</w:t>
      </w:r>
    </w:p>
    <w:p>
      <w:pPr>
        <w:spacing w:after="0" w:line="15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Grouped by product type and/or geographic location, these impairment charges consisted of $117 million associated with nine luxury fractional and mixed use properties, $2 million related to one project in our European vacation ownership business, and $205 million associated with Corporate and Other, including $199 million related to undeveloped and partially developed land parcels associated with five vacation ownership properties that were previously classified in the North America segment and $6 million of software previously under development that will not be completed and used under our new strategy. Upon approval of the disposition plan, these undeveloped and partially developed land parcels were reclassified to Corporate and Other because the parcels no longer related to the ongoing operations of the North America segment. If the assets had not been reclassified from the North America segment to Corporate and Other, the $199 million impairment charge relating to these assets would have been recorded in the North America segment.</w:t>
      </w:r>
    </w:p>
    <w:p>
      <w:pPr>
        <w:spacing w:after="0" w:line="16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Additionally, we reclassified $52 million of these land parcels previously in our development plans from inventory to property and equipment. We also reviewed the remainder of our inventory assets and determined that there were no other adjustments needed to our vacation ownership inventory, which is recorded at the lower of cost or fair value less cost to sell.</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60"/>
          </w:cols>
          <w:pgMar w:left="240" w:top="459" w:right="2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upon the completion of the Spin-Off, Marriott Vacations Worldwide ceased to be a related party of Marriott International.</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Through November 21, 2011 (the effective date of the Spin-Off), our expenses included allocations from Marriott International of costs associated with services provided by Marriott International to us including, but not limited to, information technology support, systems maintenance, telecommunications, accounts payable, payroll and benefits, human resources, self-insurance and other shared services. Historically, these costs were charged to us based on specific identification or on a basis determined by Marriott International to reflect a reasonable allocation to us of the actual costs incurred to perform these services. These allocated costs were $23 million for the period from January 1, 2011 through date of the Spin-Off.</w:t>
      </w:r>
    </w:p>
    <w:p>
      <w:pPr>
        <w:spacing w:after="0" w:line="173"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Marriott International allocated indirect general and administrative costs to us for certain functions and services provided to us by Marriott International, including, but not limited to, executive office, legal, tax, finance, government and public relations, internal audit, treasury, investor relations, human resources and other administrative support primarily on the basis of our proportion of Marriott International’s overall revenue. Accordingly, we were allocated $12 million for the period from January 1, 2011 through date of the Spin-Off of Marriott International’s indirect general and corporate overhead expenses and have included these expenses in General and administrative expenses on our Statements of Operations.</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Marriott International ceased allocating expenses to us after the Spin-Off on November 21, 2011. We determined that our relative revenue was a reasonable reflection of Marriott International time dedicated to the oversight of our historical business. The allocations may not, however, reflect the expense we would have incurred as an independent, publicly traded company for the periods presented.</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All significant intercompany transactions between us and Marriott International were included in our historical financial statements and are considered to be effectively settled as of the time of the Spin-Off. The total net effect of the settlement of these intercompany transactions is reflected in the Statements of Cash Flows as a financing activity.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ORGANIZATIONAL AND SEPARATION RELATED CHARGES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Subsequent to the Spin-Off, Marriott International continued to provide us with certain information technology, payroll, human resources and other administrative services pursuant to transition services agreements, most of which we have ceased using as of the end of 2013. In connection with our continued organizational and separation related activities, we have incurred certain expenses to complete our separation from Marriott International. These costs primarily relate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We expect these efforts to continue through 2014. Organizational and separation related charges as reflected in our Statements of Operations, were $12 million for 2013 and $16 million for 2012. In addition, $7 million and $2 million of additional separation related charges were capitalized to Property and equipment on our Balance Sheets during 2013 and 2012,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BUSINESS SEGMENTS</w:t>
      </w:r>
    </w:p>
    <w:p>
      <w:pPr>
        <w:spacing w:after="0" w:line="12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29" w:lineRule="exact"/>
        <w:rPr>
          <w:sz w:val="20"/>
          <w:szCs w:val="20"/>
          <w:color w:val="auto"/>
        </w:rPr>
      </w:pPr>
    </w:p>
    <w:p>
      <w:pPr>
        <w:ind w:left="1920" w:hanging="440"/>
        <w:spacing w:after="0" w:line="259" w:lineRule="auto"/>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our North America segment, we develop, market, sell and manage vacation ownership and related products under the Marriott Vacation Club and Grand Residences by Marriott brands. We also develop, market and sell vacation ownership and related products under The Ritz-Carlton Destination Club brand, as well as whole ownership residential products under The Ritz-Carlton Residences brand.</w:t>
      </w:r>
    </w:p>
    <w:p>
      <w:pPr>
        <w:spacing w:after="0" w:line="92" w:lineRule="exact"/>
        <w:rPr>
          <w:rFonts w:ascii="Arial" w:cs="Arial" w:eastAsia="Arial" w:hAnsi="Arial"/>
          <w:sz w:val="18"/>
          <w:szCs w:val="18"/>
          <w:color w:val="auto"/>
        </w:rPr>
      </w:pPr>
    </w:p>
    <w:p>
      <w:pPr>
        <w:jc w:val="both"/>
        <w:ind w:left="1920" w:right="160" w:hanging="440"/>
        <w:spacing w:after="0" w:line="264" w:lineRule="auto"/>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our Europe segment, we develop, market, sell and manage vacation ownership products in several locations in Europe. We are focusing on selling our existing projects and managing existing resorts. We do not have any current plans for new development in this segment.</w:t>
      </w:r>
    </w:p>
    <w:p>
      <w:pPr>
        <w:spacing w:after="0" w:line="86" w:lineRule="exact"/>
        <w:rPr>
          <w:rFonts w:ascii="Arial" w:cs="Arial" w:eastAsia="Arial" w:hAnsi="Arial"/>
          <w:sz w:val="18"/>
          <w:szCs w:val="18"/>
          <w:color w:val="auto"/>
        </w:rPr>
      </w:pPr>
    </w:p>
    <w:p>
      <w:pPr>
        <w:ind w:left="1920" w:right="80" w:hanging="440"/>
        <w:spacing w:after="0" w:line="264" w:lineRule="auto"/>
        <w:tabs>
          <w:tab w:leader="none" w:pos="1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our Asia Pacific segment, we develop, market, sell and manage the Marriott Vacation Club, Asia Pacific, a right-to-use points program that we specifically designed to appeal to the vacation preferences of the Asian market, as well as a weeks-based right-to-use product.</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Effective December 29, 2012, we combined the reporting of the financial results of the former Luxury segment with the North America segment based upon our decision to scale back separate development activity for the luxury market and to aggregate future marketing and sales efforts for upscale and luxury inventory. Existing service standards and on-site management remain unaffected by our reporting changes. Prior year amounts have been recast for consistency with the current year’s presentation.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evaluate the performance of our segments based primarily on the results of the segment without allocating corporate expenses or income taxes. We do not allocate corporate interest expense, consumer financing interest expense or other financing expenses to our segments. During 2013, we reviewed the allocation of general and administrative expenses to our reportable segments as a result of the realignment of our management structure. Based on this review, we determined to no longer allocate certain general and administrative expenses to our reportable segments. This change, which was effective December 29, 2012, had no impact on our Financial Statements for any prior period. Prior period reportable segment information has been adjusted to reflect the change in reportable segment reporting.</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equity in earnings or losses, and other gains or losses that are not allocable to our segments.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4"/>
                <w:szCs w:val="14"/>
                <w:color w:val="auto"/>
              </w:rPr>
            </w:pPr>
          </w:p>
        </w:tc>
        <w:tc>
          <w:tcPr>
            <w:tcW w:w="780" w:type="dxa"/>
            <w:vAlign w:val="bottom"/>
            <w:gridSpan w:val="6"/>
          </w:tcPr>
          <w:p>
            <w:pPr>
              <w:jc w:val="right"/>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6"/>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4"/>
              </w:rPr>
              <w:t>1,545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1,403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6"/>
          </w:tcPr>
          <w:p>
            <w:pPr>
              <w:jc w:val="right"/>
              <w:ind w:right="140"/>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83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Total segment revenues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5"/>
          </w:tcPr>
          <w:p>
            <w:pPr>
              <w:jc w:val="right"/>
              <w:spacing w:after="0"/>
              <w:rPr>
                <w:sz w:val="20"/>
                <w:szCs w:val="20"/>
                <w:color w:val="auto"/>
              </w:rPr>
            </w:pPr>
            <w:r>
              <w:rPr>
                <w:rFonts w:ascii="Arial" w:cs="Arial" w:eastAsia="Arial" w:hAnsi="Arial"/>
                <w:sz w:val="18"/>
                <w:szCs w:val="18"/>
                <w:color w:val="auto"/>
                <w:w w:val="84"/>
              </w:rPr>
              <w:t>1,750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5"/>
          </w:tcPr>
          <w:p>
            <w:pPr>
              <w:jc w:val="right"/>
              <w:spacing w:after="0"/>
              <w:rPr>
                <w:sz w:val="20"/>
                <w:szCs w:val="20"/>
                <w:color w:val="auto"/>
              </w:rPr>
            </w:pPr>
            <w:r>
              <w:rPr>
                <w:rFonts w:ascii="Arial" w:cs="Arial" w:eastAsia="Arial" w:hAnsi="Arial"/>
                <w:sz w:val="18"/>
                <w:szCs w:val="18"/>
                <w:color w:val="auto"/>
              </w:rPr>
              <w:t>1,639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1,624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84"/>
              </w:rPr>
              <w:t>1,750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1,639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1,624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Net Income (Loss)</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4"/>
                <w:szCs w:val="24"/>
                <w:color w:val="auto"/>
              </w:rPr>
            </w:pPr>
          </w:p>
        </w:tc>
        <w:tc>
          <w:tcPr>
            <w:tcW w:w="5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8"/>
          </w:tcPr>
          <w:p>
            <w:pPr>
              <w:ind w:left="44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6"/>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Total segment financial results</w:t>
            </w:r>
          </w:p>
        </w:tc>
        <w:tc>
          <w:tcPr>
            <w:tcW w:w="1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Equity in Earnings of Equity Method Investees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4"/>
                <w:szCs w:val="24"/>
                <w:color w:val="auto"/>
              </w:rPr>
            </w:pPr>
          </w:p>
        </w:tc>
        <w:tc>
          <w:tcPr>
            <w:tcW w:w="780" w:type="dxa"/>
            <w:vAlign w:val="bottom"/>
            <w:gridSpan w:val="6"/>
          </w:tcPr>
          <w:p>
            <w:pPr>
              <w:jc w:val="right"/>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6"/>
          </w:tcPr>
          <w:p>
            <w:pPr>
              <w:ind w:left="52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79"/>
              </w:rPr>
              <w:t>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Depreciation</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gridSpan w:val="6"/>
          </w:tcPr>
          <w:p>
            <w:pPr>
              <w:jc w:val="right"/>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6"/>
          </w:tcPr>
          <w:p>
            <w:pPr>
              <w:ind w:left="320"/>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76"/>
              </w:rPr>
              <w:t>2011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6"/>
              </w:rPr>
              <w:t>$ 10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8"/>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Total segment depreciation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$ 23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30</w:t>
            </w:r>
          </w:p>
        </w:tc>
        <w:tc>
          <w:tcPr>
            <w:tcW w:w="520" w:type="dxa"/>
            <w:vAlign w:val="bottom"/>
            <w:gridSpan w:val="3"/>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Assets</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10"/>
          </w:tcPr>
          <w:p>
            <w:pPr>
              <w:spacing w:after="0"/>
              <w:rPr>
                <w:sz w:val="20"/>
                <w:szCs w:val="20"/>
                <w:color w:val="auto"/>
              </w:rPr>
            </w:pPr>
            <w:r>
              <w:rPr>
                <w:rFonts w:ascii="Arial" w:cs="Arial" w:eastAsia="Arial" w:hAnsi="Arial"/>
                <w:sz w:val="14"/>
                <w:szCs w:val="14"/>
                <w:b w:val="1"/>
                <w:bCs w:val="1"/>
                <w:color w:val="auto"/>
              </w:rPr>
              <w:t>At Year-End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8"/>
          </w:tcPr>
          <w:p>
            <w:pPr>
              <w:ind w:left="100"/>
              <w:spacing w:after="0"/>
              <w:rPr>
                <w:sz w:val="20"/>
                <w:szCs w:val="20"/>
                <w:color w:val="auto"/>
              </w:rPr>
            </w:pPr>
            <w:r>
              <w:rPr>
                <w:rFonts w:ascii="Arial" w:cs="Arial" w:eastAsia="Arial" w:hAnsi="Arial"/>
                <w:sz w:val="14"/>
                <w:szCs w:val="14"/>
                <w:b w:val="1"/>
                <w:bCs w:val="1"/>
                <w:color w:val="auto"/>
                <w:w w:val="94"/>
              </w:rPr>
              <w:t>At Year-End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14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7"/>
          </w:tcPr>
          <w:p>
            <w:pPr>
              <w:ind w:left="340"/>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7"/>
              </w:rPr>
              <w:t>2,125</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5"/>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Total segment 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5"/>
          </w:tcPr>
          <w:p>
            <w:pPr>
              <w:jc w:val="right"/>
              <w:spacing w:after="0"/>
              <w:rPr>
                <w:sz w:val="20"/>
                <w:szCs w:val="20"/>
                <w:color w:val="auto"/>
              </w:rPr>
            </w:pPr>
            <w:r>
              <w:rPr>
                <w:rFonts w:ascii="Arial" w:cs="Arial" w:eastAsia="Arial" w:hAnsi="Arial"/>
                <w:sz w:val="18"/>
                <w:szCs w:val="18"/>
                <w:color w:val="auto"/>
                <w:w w:val="97"/>
              </w:rPr>
              <w:t>2,312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7"/>
              </w:rPr>
              <w:t>2,632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400"/>
          </w:cols>
          <w:pgMar w:left="240" w:top="459" w:right="25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rPr>
              <w:t>At Year-End</w:t>
            </w:r>
          </w:p>
        </w:tc>
        <w:tc>
          <w:tcPr>
            <w:tcW w:w="420" w:type="dxa"/>
            <w:vAlign w:val="bottom"/>
          </w:tcPr>
          <w:p>
            <w:pPr>
              <w:spacing w:after="0"/>
              <w:rPr>
                <w:sz w:val="14"/>
                <w:szCs w:val="14"/>
                <w:color w:val="auto"/>
              </w:rPr>
            </w:pPr>
          </w:p>
        </w:tc>
        <w:tc>
          <w:tcPr>
            <w:tcW w:w="144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w w:val="94"/>
              </w:rPr>
              <w:t>At Year-End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38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Capital Expenditures (including inventory)</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3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i w:val="1"/>
                <w:iCs w:val="1"/>
                <w:color w:val="auto"/>
              </w:rPr>
              <w:t>($ in millions)</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380" w:type="dxa"/>
            <w:vAlign w:val="bottom"/>
            <w:gridSpan w:val="2"/>
          </w:tcPr>
          <w:p>
            <w:pPr>
              <w:ind w:left="360"/>
              <w:spacing w:after="0"/>
              <w:rPr>
                <w:sz w:val="20"/>
                <w:szCs w:val="20"/>
                <w:color w:val="auto"/>
              </w:rPr>
            </w:pPr>
            <w:r>
              <w:rPr>
                <w:rFonts w:ascii="Arial" w:cs="Arial" w:eastAsia="Arial" w:hAnsi="Arial"/>
                <w:sz w:val="18"/>
                <w:szCs w:val="18"/>
                <w:color w:val="auto"/>
              </w:rPr>
              <w:t>Total segment capital expenditures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Financial Statements include the following items related to operations located outside the United States (which are predominately related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Europe and Asia Pacific segments):</w:t>
      </w:r>
    </w:p>
    <w:p>
      <w:pPr>
        <w:spacing w:after="0" w:line="116" w:lineRule="exact"/>
        <w:rPr>
          <w:sz w:val="20"/>
          <w:szCs w:val="20"/>
          <w:color w:val="auto"/>
        </w:rPr>
      </w:pPr>
    </w:p>
    <w:p>
      <w:pPr>
        <w:ind w:left="1460" w:hanging="547"/>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Revenues, excluding reimbursed costs, of $207 million in 2013, $236 million in 2012 and $281 million in 2011; and</w:t>
      </w:r>
    </w:p>
    <w:p>
      <w:pPr>
        <w:spacing w:after="0" w:line="130" w:lineRule="exact"/>
        <w:rPr>
          <w:rFonts w:ascii="Arial" w:cs="Arial" w:eastAsia="Arial" w:hAnsi="Arial"/>
          <w:sz w:val="18"/>
          <w:szCs w:val="18"/>
          <w:color w:val="auto"/>
        </w:rPr>
      </w:pPr>
    </w:p>
    <w:p>
      <w:pPr>
        <w:ind w:left="1460" w:right="340" w:hanging="547"/>
        <w:spacing w:after="0" w:line="277" w:lineRule="auto"/>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Fixed assets of $100 million in 2013 and $101 million in 2012. For year-end 2013 and year-end 2012, fixed assets located outside the United States are included within the “Property and equipment” caption in our Balance Sheets.</w:t>
      </w:r>
    </w:p>
    <w:p>
      <w:pPr>
        <w:spacing w:after="0" w:line="274" w:lineRule="exact"/>
        <w:rPr>
          <w:rFonts w:ascii="Arial" w:cs="Arial" w:eastAsia="Arial" w:hAnsi="Arial"/>
          <w:sz w:val="18"/>
          <w:szCs w:val="18"/>
          <w:color w:val="auto"/>
        </w:rPr>
      </w:pPr>
    </w:p>
    <w:p>
      <w:pPr>
        <w:ind w:left="280" w:hanging="272"/>
        <w:spacing w:after="0"/>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13"/>
          </w:tcPr>
          <w:p>
            <w:pPr>
              <w:ind w:left="40"/>
              <w:spacing w:after="0"/>
              <w:rPr>
                <w:sz w:val="20"/>
                <w:szCs w:val="20"/>
                <w:color w:val="auto"/>
              </w:rPr>
            </w:pPr>
            <w:r>
              <w:rPr>
                <w:rFonts w:ascii="Arial" w:cs="Arial" w:eastAsia="Arial" w:hAnsi="Arial"/>
                <w:sz w:val="14"/>
                <w:szCs w:val="14"/>
                <w:b w:val="1"/>
                <w:bCs w:val="1"/>
                <w:color w:val="auto"/>
              </w:rPr>
              <w:t>Fiscal Year 2013</w:t>
            </w:r>
            <w:r>
              <w:rPr>
                <w:rFonts w:ascii="Arial" w:cs="Arial" w:eastAsia="Arial" w:hAnsi="Arial"/>
                <w:sz w:val="12"/>
                <w:szCs w:val="12"/>
                <w:b w:val="1"/>
                <w:bCs w:val="1"/>
                <w:color w:val="auto"/>
              </w:rPr>
              <w:t>(1)(2)(3)</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First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Second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Third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Fourth</w:t>
            </w:r>
          </w:p>
        </w:tc>
        <w:tc>
          <w:tcPr>
            <w:tcW w:w="160" w:type="dxa"/>
            <w:vAlign w:val="bottom"/>
          </w:tcPr>
          <w:p>
            <w:pPr>
              <w:spacing w:after="0"/>
              <w:rPr>
                <w:sz w:val="10"/>
                <w:szCs w:val="10"/>
                <w:color w:val="auto"/>
              </w:rPr>
            </w:pPr>
          </w:p>
        </w:tc>
        <w:tc>
          <w:tcPr>
            <w:tcW w:w="640" w:type="dxa"/>
            <w:vAlign w:val="bottom"/>
          </w:tcPr>
          <w:p>
            <w:pPr>
              <w:jc w:val="center"/>
              <w:ind w:right="76"/>
              <w:spacing w:after="0" w:line="119" w:lineRule="exact"/>
              <w:rPr>
                <w:sz w:val="20"/>
                <w:szCs w:val="20"/>
                <w:color w:val="auto"/>
              </w:rPr>
            </w:pPr>
            <w:r>
              <w:rPr>
                <w:rFonts w:ascii="Arial" w:cs="Arial" w:eastAsia="Arial" w:hAnsi="Arial"/>
                <w:sz w:val="13"/>
                <w:szCs w:val="13"/>
                <w:b w:val="1"/>
                <w:bCs w:val="1"/>
                <w:color w:val="auto"/>
                <w:w w:val="97"/>
              </w:rPr>
              <w:t>Fiscal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20"/>
                <w:szCs w:val="20"/>
                <w:color w:val="auto"/>
              </w:rPr>
            </w:pPr>
            <w:r>
              <w:rPr>
                <w:rFonts w:ascii="Arial" w:cs="Arial" w:eastAsia="Arial" w:hAnsi="Arial"/>
                <w:sz w:val="14"/>
                <w:szCs w:val="14"/>
                <w:i w:val="1"/>
                <w:iCs w:val="1"/>
                <w:color w:val="auto"/>
              </w:rPr>
              <w:t>($ in millions, except per share data)</w:t>
            </w:r>
          </w:p>
        </w:tc>
        <w:tc>
          <w:tcPr>
            <w:tcW w:w="40" w:type="dxa"/>
            <w:vAlign w:val="bottom"/>
          </w:tcPr>
          <w:p>
            <w:pPr>
              <w:spacing w:after="0"/>
              <w:rPr>
                <w:sz w:val="14"/>
                <w:szCs w:val="14"/>
                <w:color w:val="auto"/>
              </w:rPr>
            </w:pPr>
          </w:p>
        </w:tc>
        <w:tc>
          <w:tcPr>
            <w:tcW w:w="9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60" w:type="dxa"/>
            <w:vAlign w:val="bottom"/>
          </w:tcPr>
          <w:p>
            <w:pPr>
              <w:spacing w:after="0"/>
              <w:rPr>
                <w:sz w:val="14"/>
                <w:szCs w:val="14"/>
                <w:color w:val="auto"/>
              </w:rPr>
            </w:pP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(505)</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0.67</w:t>
            </w:r>
          </w:p>
        </w:tc>
        <w:tc>
          <w:tcPr>
            <w:tcW w:w="1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5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2"/>
              </w:rPr>
              <w:t>Fiscal Year 2012</w:t>
            </w:r>
            <w:r>
              <w:rPr>
                <w:rFonts w:ascii="Arial" w:cs="Arial" w:eastAsia="Arial" w:hAnsi="Arial"/>
                <w:sz w:val="12"/>
                <w:szCs w:val="12"/>
                <w:b w:val="1"/>
                <w:bCs w:val="1"/>
                <w:color w:val="auto"/>
                <w:w w:val="92"/>
              </w:rPr>
              <w:t>(1)(2)(3)</w:t>
            </w: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First</w:t>
            </w:r>
          </w:p>
        </w:tc>
        <w:tc>
          <w:tcPr>
            <w:tcW w:w="60" w:type="dxa"/>
            <w:vAlign w:val="bottom"/>
          </w:tcPr>
          <w:p>
            <w:pPr>
              <w:spacing w:after="0"/>
              <w:rPr>
                <w:sz w:val="10"/>
                <w:szCs w:val="10"/>
                <w:color w:val="auto"/>
              </w:rPr>
            </w:pPr>
          </w:p>
        </w:tc>
        <w:tc>
          <w:tcPr>
            <w:tcW w:w="92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Second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Third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Fourth</w:t>
            </w:r>
          </w:p>
        </w:tc>
        <w:tc>
          <w:tcPr>
            <w:tcW w:w="160" w:type="dxa"/>
            <w:vAlign w:val="bottom"/>
          </w:tcPr>
          <w:p>
            <w:pPr>
              <w:spacing w:after="0"/>
              <w:rPr>
                <w:sz w:val="10"/>
                <w:szCs w:val="10"/>
                <w:color w:val="auto"/>
              </w:rPr>
            </w:pPr>
          </w:p>
        </w:tc>
        <w:tc>
          <w:tcPr>
            <w:tcW w:w="640" w:type="dxa"/>
            <w:vAlign w:val="bottom"/>
          </w:tcPr>
          <w:p>
            <w:pPr>
              <w:jc w:val="center"/>
              <w:ind w:right="76"/>
              <w:spacing w:after="0" w:line="119" w:lineRule="exact"/>
              <w:rPr>
                <w:sz w:val="20"/>
                <w:szCs w:val="20"/>
                <w:color w:val="auto"/>
              </w:rPr>
            </w:pPr>
            <w:r>
              <w:rPr>
                <w:rFonts w:ascii="Arial" w:cs="Arial" w:eastAsia="Arial" w:hAnsi="Arial"/>
                <w:sz w:val="13"/>
                <w:szCs w:val="13"/>
                <w:b w:val="1"/>
                <w:bCs w:val="1"/>
                <w:color w:val="auto"/>
                <w:w w:val="97"/>
              </w:rPr>
              <w:t>Fiscal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80" w:type="dxa"/>
            <w:vAlign w:val="bottom"/>
          </w:tcPr>
          <w:p>
            <w:pPr>
              <w:spacing w:after="0"/>
              <w:rPr>
                <w:sz w:val="20"/>
                <w:szCs w:val="20"/>
                <w:color w:val="auto"/>
              </w:rPr>
            </w:pPr>
            <w:r>
              <w:rPr>
                <w:rFonts w:ascii="Arial" w:cs="Arial" w:eastAsia="Arial" w:hAnsi="Arial"/>
                <w:sz w:val="14"/>
                <w:szCs w:val="14"/>
                <w:i w:val="1"/>
                <w:iCs w:val="1"/>
                <w:color w:val="auto"/>
              </w:rPr>
              <w:t>($ in millions, except per share data)</w:t>
            </w:r>
          </w:p>
        </w:tc>
        <w:tc>
          <w:tcPr>
            <w:tcW w:w="40" w:type="dxa"/>
            <w:vAlign w:val="bottom"/>
          </w:tcPr>
          <w:p>
            <w:pPr>
              <w:spacing w:after="0"/>
              <w:rPr>
                <w:sz w:val="14"/>
                <w:szCs w:val="14"/>
                <w:color w:val="auto"/>
              </w:rPr>
            </w:pPr>
          </w:p>
        </w:tc>
        <w:tc>
          <w:tcPr>
            <w:tcW w:w="9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6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1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Basic earnings (loss) per share</w:t>
            </w: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00" w:hanging="452"/>
        <w:spacing w:after="0" w:line="258"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 quarters consisted of 12 weeks, except for the fourth quarter of 2013, which consisted of 17 weeks and the fourth quarter of 2012, which consisted of 16 weeks.</w:t>
      </w:r>
    </w:p>
    <w:p>
      <w:pPr>
        <w:spacing w:after="0" w:line="1" w:lineRule="exact"/>
        <w:rPr>
          <w:rFonts w:ascii="Arial" w:cs="Arial" w:eastAsia="Arial" w:hAnsi="Arial"/>
          <w:sz w:val="15"/>
          <w:szCs w:val="15"/>
          <w:color w:val="auto"/>
        </w:rPr>
      </w:pPr>
    </w:p>
    <w:p>
      <w:pPr>
        <w:ind w:left="460" w:right="280" w:hanging="452"/>
        <w:spacing w:after="0" w:line="250"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 sum of the earnings per share for the four quarters differs from annual earnings per share due to the required method of computing the weighted average shares in interim periods.</w:t>
      </w:r>
    </w:p>
    <w:p>
      <w:pPr>
        <w:ind w:left="460" w:right="440" w:hanging="452"/>
        <w:spacing w:after="0" w:line="261"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 quarterly results have been restated to correct certain prior period errors as discussed in Footnote No. 1, “Summary of Significant Accounting Policies.”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Subsequent to year end, we disposed of a golf course and adjacent undeveloped land for $24 million of cash proceeds. As a condition of the sale, we will continue to operate the golf course until mid-2015 at our own risk. We will utilize the performance of services method to record a gain of approximately $2 million over the period in which we will operate the golf course.</w:t>
      </w:r>
    </w:p>
    <w:p>
      <w:pPr>
        <w:sectPr>
          <w:pgSz w:w="11900" w:h="16838" w:orient="portrait"/>
          <w:cols w:equalWidth="0" w:num="1">
            <w:col w:w="11420"/>
          </w:cols>
          <w:pgMar w:left="240" w:top="459"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420"/>
          </w:cols>
          <w:pgMar w:left="240" w:top="459" w:right="23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Marriott Vacations Worldwide Corporation</w:t>
      </w:r>
    </w:p>
    <w:p>
      <w:pPr>
        <w:spacing w:after="0" w:line="24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Stock and Cash Incentive Plan</w:t>
      </w:r>
    </w:p>
    <w:p>
      <w:pPr>
        <w:sectPr>
          <w:pgSz w:w="11900" w:h="16838" w:orient="portrait"/>
          <w:cols w:equalWidth="0" w:num="1">
            <w:col w:w="10220"/>
          </w:cols>
          <w:pgMar w:left="1440" w:top="121"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Article 1. Establishment, Objectives, and Duration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2. 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3. Administration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4. Shares Subject to the Plan and Maximum Awards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5. Eligibility and Participation</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6. SARs and Stock Options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7. Restricted Stock</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8. Restricted Stock Units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9. Other Awards</w:t>
            </w:r>
          </w:p>
        </w:tc>
        <w:tc>
          <w:tcPr>
            <w:tcW w:w="2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10. Performance Measures for Awards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11. Directors’ Share Awards, Fee Deferral Elections, and Director SARs and Options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12. Distribution Awards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13. Beneficiary Designation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14. Change in Control</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15. Rights of Participants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16. Amendment, Modification, and 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17. Withholding</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18. 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19. Code Section 409A</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20. Successors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920" w:type="dxa"/>
            <w:vAlign w:val="bottom"/>
          </w:tcPr>
          <w:p>
            <w:pPr>
              <w:spacing w:after="0"/>
              <w:rPr>
                <w:sz w:val="20"/>
                <w:szCs w:val="20"/>
                <w:color w:val="auto"/>
              </w:rPr>
            </w:pPr>
            <w:r>
              <w:rPr>
                <w:rFonts w:ascii="Arial" w:cs="Arial" w:eastAsia="Arial" w:hAnsi="Arial"/>
                <w:sz w:val="18"/>
                <w:szCs w:val="18"/>
                <w:color w:val="auto"/>
              </w:rPr>
              <w:t>Article 21. Legal Construction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65"/>
        </w:trPr>
        <w:tc>
          <w:tcPr>
            <w:tcW w:w="8920" w:type="dxa"/>
            <w:vAlign w:val="bottom"/>
          </w:tcPr>
          <w:p>
            <w:pPr>
              <w:ind w:left="5680"/>
              <w:spacing w:after="0"/>
              <w:rPr>
                <w:sz w:val="20"/>
                <w:szCs w:val="20"/>
                <w:color w:val="auto"/>
              </w:rPr>
            </w:pPr>
            <w:r>
              <w:rPr>
                <w:rFonts w:ascii="Arial" w:cs="Arial" w:eastAsia="Arial" w:hAnsi="Arial"/>
                <w:sz w:val="18"/>
                <w:szCs w:val="18"/>
                <w:color w:val="auto"/>
              </w:rPr>
              <w:t>i</w:t>
            </w:r>
          </w:p>
        </w:tc>
        <w:tc>
          <w:tcPr>
            <w:tcW w:w="2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3" w:name="page124"/>
    <w:bookmarkEnd w:id="123"/>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PREAMBLE</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Marriott Vacations Worldwide Corporation has established the Marriott Vacations Worldwide Corporation Stock and Cash Incentive Plan, which first became effective on the Effective Date and remains in effect for the period set forth in Article 1.3 hereof. The Plan is hereby amended and restated, effective as of December 6, 2013, as follows.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270" w:right="37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MARRIOTT VACATIONS WORLDWIDE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AND CASH INCENTIVE PLAN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Establishment, Objectives, and Duration</w:t>
      </w:r>
    </w:p>
    <w:p>
      <w:pPr>
        <w:spacing w:after="0" w:line="117"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b w:val="1"/>
          <w:bCs w:val="1"/>
          <w:color w:val="auto"/>
        </w:rPr>
        <w:t xml:space="preserve">1.1 Establishment of the Plan. </w:t>
      </w:r>
      <w:r>
        <w:rPr>
          <w:rFonts w:ascii="Arial" w:cs="Arial" w:eastAsia="Arial" w:hAnsi="Arial"/>
          <w:sz w:val="17"/>
          <w:szCs w:val="17"/>
          <w:color w:val="auto"/>
        </w:rPr>
        <w:t>Marriott Vacations Worldwide Corporation, a Delaware corporation, hereby establishes an incentive compensation plan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be </w:t>
      </w:r>
      <w:r>
        <w:rPr>
          <w:rFonts w:ascii="Arial" w:cs="Arial" w:eastAsia="Arial" w:hAnsi="Arial"/>
          <w:sz w:val="17"/>
          <w:szCs w:val="17"/>
          <w:b w:val="1"/>
          <w:bCs w:val="1"/>
          <w:color w:val="auto"/>
        </w:rPr>
        <w:t>known</w:t>
      </w:r>
      <w:r>
        <w:rPr>
          <w:rFonts w:ascii="Arial" w:cs="Arial" w:eastAsia="Arial" w:hAnsi="Arial"/>
          <w:sz w:val="17"/>
          <w:szCs w:val="17"/>
          <w:color w:val="auto"/>
        </w:rPr>
        <w:t xml:space="preserve"> as the Marriott Vacations Worldwide Corporation Stock and Cash Incentive Plan, as set forth in this document.</w:t>
      </w:r>
    </w:p>
    <w:p>
      <w:pPr>
        <w:spacing w:after="0" w:line="138" w:lineRule="exact"/>
        <w:rPr>
          <w:sz w:val="20"/>
          <w:szCs w:val="20"/>
          <w:color w:val="auto"/>
        </w:rPr>
      </w:pPr>
    </w:p>
    <w:p>
      <w:pPr>
        <w:jc w:val="both"/>
        <w:ind w:right="180" w:firstLine="456"/>
        <w:spacing w:after="0" w:line="261" w:lineRule="auto"/>
        <w:rPr>
          <w:sz w:val="20"/>
          <w:szCs w:val="20"/>
          <w:color w:val="auto"/>
        </w:rPr>
      </w:pPr>
      <w:r>
        <w:rPr>
          <w:rFonts w:ascii="Arial" w:cs="Arial" w:eastAsia="Arial" w:hAnsi="Arial"/>
          <w:sz w:val="18"/>
          <w:szCs w:val="18"/>
          <w:b w:val="1"/>
          <w:bCs w:val="1"/>
          <w:color w:val="auto"/>
        </w:rPr>
        <w:t xml:space="preserve">1.2 Purpose of the Plan. </w:t>
      </w:r>
      <w:r>
        <w:rPr>
          <w:rFonts w:ascii="Arial" w:cs="Arial" w:eastAsia="Arial" w:hAnsi="Arial"/>
          <w:sz w:val="18"/>
          <w:szCs w:val="18"/>
          <w:color w:val="auto"/>
        </w:rPr>
        <w:t>The purpose of the Plan is to promote and enhance the long -term growth of the Company by aligning the personal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of Employees and Non-Employee Directors to those of Company shareholders and allowing such Employees and Non-Employee Directors to participate in the growth, development and financial success of the Company. The Plan is further intended to provide flexibility to the Company in its ability to motivate, attract, and retain the services of key individuals.</w:t>
      </w:r>
    </w:p>
    <w:p>
      <w:pPr>
        <w:spacing w:after="0" w:line="180" w:lineRule="exact"/>
        <w:rPr>
          <w:sz w:val="20"/>
          <w:szCs w:val="20"/>
          <w:color w:val="auto"/>
        </w:rPr>
      </w:pPr>
    </w:p>
    <w:p>
      <w:pPr>
        <w:ind w:right="240" w:firstLine="456"/>
        <w:spacing w:after="0" w:line="314" w:lineRule="auto"/>
        <w:rPr>
          <w:sz w:val="20"/>
          <w:szCs w:val="20"/>
          <w:color w:val="auto"/>
        </w:rPr>
      </w:pPr>
      <w:r>
        <w:rPr>
          <w:rFonts w:ascii="Arial" w:cs="Arial" w:eastAsia="Arial" w:hAnsi="Arial"/>
          <w:sz w:val="16"/>
          <w:szCs w:val="16"/>
          <w:b w:val="1"/>
          <w:bCs w:val="1"/>
          <w:color w:val="auto"/>
        </w:rPr>
        <w:t xml:space="preserve">1.3 Duration of the Plan. </w:t>
      </w:r>
      <w:r>
        <w:rPr>
          <w:rFonts w:ascii="Arial" w:cs="Arial" w:eastAsia="Arial" w:hAnsi="Arial"/>
          <w:sz w:val="16"/>
          <w:szCs w:val="16"/>
          <w:color w:val="auto"/>
        </w:rPr>
        <w:t>The Plan shall commence on the Effective Date and shall remain in effect, subject to the right of the Board of Directors to</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the Plan at any time pursuant to Article 16 hereof, until all Shares subject to it shall have been purchased or acquired according to the Plan’s provisions; provided, however, that paragraph (c) of Article 4.1 hereof shall cease to operate on the 10th anniversary of the Effective Date.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Whenever used in the Plan, the following terms shall have the meanings set forth below, and when the meaning is intended, the initial letter of the word shall be capitalized:</w:t>
      </w:r>
    </w:p>
    <w:p>
      <w:pPr>
        <w:spacing w:after="0" w:line="166"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 xml:space="preserve">2.1 “Allocation Agreement” </w:t>
      </w:r>
      <w:r>
        <w:rPr>
          <w:rFonts w:ascii="Arial" w:cs="Arial" w:eastAsia="Arial" w:hAnsi="Arial"/>
          <w:sz w:val="18"/>
          <w:szCs w:val="18"/>
          <w:color w:val="auto"/>
        </w:rPr>
        <w:t>means the Employee Benefits and Other Employment Matters Allocation Agreement entered into by and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Marriott International, Inc. and the Company in connection with the Distribution.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 “Annual Meeting” </w:t>
      </w:r>
      <w:r>
        <w:rPr>
          <w:rFonts w:ascii="Arial" w:cs="Arial" w:eastAsia="Arial" w:hAnsi="Arial"/>
          <w:sz w:val="18"/>
          <w:szCs w:val="18"/>
          <w:color w:val="auto"/>
        </w:rPr>
        <w:t>means the annual meeting of the stockholders of the Company at which Directors are elected.</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2.3 “Approved Retiree” </w:t>
      </w:r>
      <w:r>
        <w:rPr>
          <w:rFonts w:ascii="Arial" w:cs="Arial" w:eastAsia="Arial" w:hAnsi="Arial"/>
          <w:sz w:val="16"/>
          <w:szCs w:val="16"/>
          <w:color w:val="auto"/>
        </w:rPr>
        <w:t>means any awardee of an Award who (i) terminates employment by reason of a Disability, or (ii) (A) retires from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with the specific approval of the Committee on or after such date on which the awardee has attained age fifty-five (55) and completed ten</w:t>
      </w:r>
    </w:p>
    <w:p>
      <w:pPr>
        <w:spacing w:after="0" w:line="1" w:lineRule="exact"/>
        <w:rPr>
          <w:sz w:val="20"/>
          <w:szCs w:val="20"/>
          <w:color w:val="auto"/>
        </w:rPr>
      </w:pPr>
    </w:p>
    <w:p>
      <w:pPr>
        <w:ind w:right="40" w:firstLine="8"/>
        <w:spacing w:after="0" w:line="261" w:lineRule="auto"/>
        <w:tabs>
          <w:tab w:leader="none" w:pos="3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Years of Service, and (B) has entered into and has not breached an agreement to refrain from Engaging in Competition in form and substance satisfactory to the Committee.</w:t>
      </w:r>
    </w:p>
    <w:p>
      <w:pPr>
        <w:spacing w:after="0" w:line="180"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 xml:space="preserve">2.4 “Award” </w:t>
      </w:r>
      <w:r>
        <w:rPr>
          <w:rFonts w:ascii="Arial" w:cs="Arial" w:eastAsia="Arial" w:hAnsi="Arial"/>
          <w:sz w:val="18"/>
          <w:szCs w:val="18"/>
          <w:color w:val="auto"/>
        </w:rPr>
        <w:t>means, individually or collectively, a grant under this Plan of SARs, Nonqualified Stock Options, Incentive Stock Options,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RSUs, Other Share-Based Awards, Other Cash Performance-Based Awards, Non-Employee Director Share Awards, Stock Units, Director SARs and Director Options, and Distribution Awards.</w:t>
      </w:r>
    </w:p>
    <w:p>
      <w:pPr>
        <w:spacing w:after="0" w:line="17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2.5 “Award Agreement</w:t>
      </w:r>
      <w:r>
        <w:rPr>
          <w:rFonts w:ascii="Arial" w:cs="Arial" w:eastAsia="Arial" w:hAnsi="Arial"/>
          <w:sz w:val="18"/>
          <w:szCs w:val="18"/>
          <w:color w:val="auto"/>
        </w:rPr>
        <w:t>” means an agreement entered into by the Company and each Participant setting forth the terms and provisions applicable to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granted under this Plan.</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2.6 “Beneficial Owner” </w:t>
      </w:r>
      <w:r>
        <w:rPr>
          <w:rFonts w:ascii="Arial" w:cs="Arial" w:eastAsia="Arial" w:hAnsi="Arial"/>
          <w:sz w:val="18"/>
          <w:szCs w:val="18"/>
          <w:color w:val="auto"/>
        </w:rPr>
        <w:t>or “Beneficial Ownership” shall have the meaning ascribed to such term in Rule 13d-3 of the General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Exchange Act.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2.7 “Beneficiary” </w:t>
      </w:r>
      <w:r>
        <w:rPr>
          <w:rFonts w:ascii="Arial" w:cs="Arial" w:eastAsia="Arial" w:hAnsi="Arial"/>
          <w:sz w:val="18"/>
          <w:szCs w:val="18"/>
          <w:color w:val="auto"/>
        </w:rPr>
        <w:t>means the person or persons designated pursuant to Article 13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2.8 “Board” or “Board of Directors”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2.9 “Code” </w:t>
      </w:r>
      <w:r>
        <w:rPr>
          <w:rFonts w:ascii="Arial" w:cs="Arial" w:eastAsia="Arial" w:hAnsi="Arial"/>
          <w:sz w:val="18"/>
          <w:szCs w:val="18"/>
          <w:color w:val="auto"/>
        </w:rPr>
        <w:t>means the Internal Revenue Code of 1986, as amended from time to time.</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25" w:name="page126"/>
    <w:bookmarkEnd w:id="125"/>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2.10 “Committee” </w:t>
      </w:r>
      <w:r>
        <w:rPr>
          <w:rFonts w:ascii="Arial" w:cs="Arial" w:eastAsia="Arial" w:hAnsi="Arial"/>
          <w:sz w:val="18"/>
          <w:szCs w:val="18"/>
          <w:color w:val="auto"/>
        </w:rPr>
        <w:t>means the Compensation Policy Committee of the Board, as specified in Article 3 hereof, or such other committee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to administer the Plan with respect to grants of Awards.</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2.11 “Company” </w:t>
      </w:r>
      <w:r>
        <w:rPr>
          <w:rFonts w:ascii="Arial" w:cs="Arial" w:eastAsia="Arial" w:hAnsi="Arial"/>
          <w:sz w:val="18"/>
          <w:szCs w:val="18"/>
          <w:color w:val="auto"/>
        </w:rPr>
        <w:t>means Marriott Vacations Worldwide Corporation, together with any and all Subsidiaries, and any successor thereto as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20 hereof.</w:t>
      </w:r>
    </w:p>
    <w:p>
      <w:pPr>
        <w:spacing w:after="0" w:line="162"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2.12 “Covered Employee” </w:t>
      </w:r>
      <w:r>
        <w:rPr>
          <w:rFonts w:ascii="Arial" w:cs="Arial" w:eastAsia="Arial" w:hAnsi="Arial"/>
          <w:sz w:val="18"/>
          <w:szCs w:val="18"/>
          <w:color w:val="auto"/>
        </w:rPr>
        <w:t>means a Participant who, as of the date of grant, vesting and/or payout of an Award, as applicable, is one of the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employees,” as defined in the regulations promulgated under Code Section 162(m), or any successor statute.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2.13 “Director” </w:t>
      </w:r>
      <w:r>
        <w:rPr>
          <w:rFonts w:ascii="Arial" w:cs="Arial" w:eastAsia="Arial" w:hAnsi="Arial"/>
          <w:sz w:val="18"/>
          <w:szCs w:val="18"/>
          <w:color w:val="auto"/>
        </w:rPr>
        <w:t>means any member of the Board.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2.14 “Director SAR” and “Director Option” </w:t>
      </w:r>
      <w:r>
        <w:rPr>
          <w:rFonts w:ascii="Arial" w:cs="Arial" w:eastAsia="Arial" w:hAnsi="Arial"/>
          <w:sz w:val="17"/>
          <w:szCs w:val="17"/>
          <w:color w:val="auto"/>
        </w:rPr>
        <w:t>mean, respectively, a SAR and a Nonqualified Stock Option as described in Article 11 hereof.</w:t>
      </w:r>
    </w:p>
    <w:p>
      <w:pPr>
        <w:spacing w:after="0" w:line="237"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2.15 “Disability” </w:t>
      </w:r>
      <w:r>
        <w:rPr>
          <w:rFonts w:ascii="Arial" w:cs="Arial" w:eastAsia="Arial" w:hAnsi="Arial"/>
          <w:sz w:val="18"/>
          <w:szCs w:val="18"/>
          <w:color w:val="auto"/>
        </w:rPr>
        <w:t>means a permanent and total disability, within the meaning of Code Section 22(e)(3), as determined by the Committee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upon receipt of sufficient competent medical advice from one or more individuals, selected by or satisfactory to the Committee, who are qualified to give professional medical advice.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2.16 “Distribution” </w:t>
      </w:r>
      <w:r>
        <w:rPr>
          <w:rFonts w:ascii="Arial" w:cs="Arial" w:eastAsia="Arial" w:hAnsi="Arial"/>
          <w:sz w:val="16"/>
          <w:szCs w:val="16"/>
          <w:color w:val="auto"/>
        </w:rPr>
        <w:t>means the distribution of all the outstanding shares of capital stock of the Company as provided in the Distribution Agreement.</w:t>
      </w:r>
    </w:p>
    <w:p>
      <w:pPr>
        <w:spacing w:after="0" w:line="248"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2.17 “Distribution Agreement” </w:t>
      </w:r>
      <w:r>
        <w:rPr>
          <w:rFonts w:ascii="Arial" w:cs="Arial" w:eastAsia="Arial" w:hAnsi="Arial"/>
          <w:sz w:val="18"/>
          <w:szCs w:val="18"/>
          <w:color w:val="auto"/>
        </w:rPr>
        <w:t>means the Separation and Distribution Agreement entered into by and between Marriott International, Inc.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setting forth the rights and obligations of the parties in connection with the Distribution.</w:t>
      </w:r>
    </w:p>
    <w:p>
      <w:pPr>
        <w:spacing w:after="0" w:line="162"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2.18 “Distribution Award” </w:t>
      </w:r>
      <w:r>
        <w:rPr>
          <w:rFonts w:ascii="Arial" w:cs="Arial" w:eastAsia="Arial" w:hAnsi="Arial"/>
          <w:sz w:val="18"/>
          <w:szCs w:val="18"/>
          <w:color w:val="auto"/>
        </w:rPr>
        <w:t>means an Award made pursuant to Article 12 to reflect the effect of the Distribution on outstanding awards which were</w:t>
      </w:r>
      <w:r>
        <w:rPr>
          <w:rFonts w:ascii="Arial" w:cs="Arial" w:eastAsia="Arial" w:hAnsi="Arial"/>
          <w:sz w:val="18"/>
          <w:szCs w:val="18"/>
          <w:b w:val="1"/>
          <w:bCs w:val="1"/>
          <w:color w:val="auto"/>
        </w:rPr>
        <w:t xml:space="preserve"> </w:t>
      </w:r>
      <w:r>
        <w:rPr>
          <w:rFonts w:ascii="Arial" w:cs="Arial" w:eastAsia="Arial" w:hAnsi="Arial"/>
          <w:sz w:val="18"/>
          <w:szCs w:val="18"/>
          <w:color w:val="auto"/>
        </w:rPr>
        <w:t>made under the MII Plan and which were held by the grantee immediately before the Distribution.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2.19 “Distribution Date” </w:t>
      </w:r>
      <w:r>
        <w:rPr>
          <w:rFonts w:ascii="Arial" w:cs="Arial" w:eastAsia="Arial" w:hAnsi="Arial"/>
          <w:sz w:val="18"/>
          <w:szCs w:val="18"/>
          <w:color w:val="auto"/>
        </w:rPr>
        <w:t>means the date on which the Distribution shall be effected pursuant to the Distribution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2.20 “Effective Date” </w:t>
      </w:r>
      <w:r>
        <w:rPr>
          <w:rFonts w:ascii="Arial" w:cs="Arial" w:eastAsia="Arial" w:hAnsi="Arial"/>
          <w:sz w:val="18"/>
          <w:szCs w:val="18"/>
          <w:color w:val="auto"/>
        </w:rPr>
        <w:t>means the date the Plan was approved by the Company’s sole shareholder on that date, MII.</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2.21 “Employee” </w:t>
      </w:r>
      <w:r>
        <w:rPr>
          <w:rFonts w:ascii="Arial" w:cs="Arial" w:eastAsia="Arial" w:hAnsi="Arial"/>
          <w:sz w:val="18"/>
          <w:szCs w:val="18"/>
          <w:color w:val="auto"/>
        </w:rPr>
        <w:t>means any individual who is, or will become, an active, non-union employee of the Company. Any Employee who, at the request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on the written assignment of the Company specifically referencing this provision of the Plan, becomes an employee of another employer shall continue to be treated as an Employee for all purposes hereunder during the period of such assignment. Non-Employee Directors shall not be considered Employees under this Plan.</w:t>
      </w:r>
    </w:p>
    <w:p>
      <w:pPr>
        <w:spacing w:after="0" w:line="18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2.22 “Engaging in Competition” </w:t>
      </w:r>
      <w:r>
        <w:rPr>
          <w:rFonts w:ascii="Arial" w:cs="Arial" w:eastAsia="Arial" w:hAnsi="Arial"/>
          <w:sz w:val="18"/>
          <w:szCs w:val="18"/>
          <w:color w:val="auto"/>
        </w:rPr>
        <w:t>means (i) engaging, individually or as an employee, consultant, owner (more than five percent (5%)) or agent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entity, in or on behalf of any business engaged in significant competition (or that transacts or cooperates with another business in activities of significant competition) with any business operated by the Company or with interests adverse to those of the Company; (ii) soliciting and hiring a key employee of the Company in another business, whether or not in significant competition with any business operated by the Company; or (iii) using or disclosing confidential or proprietary information, in each case, without the approval of the Company.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2.23 “Exchange Act” </w:t>
      </w:r>
      <w:r>
        <w:rPr>
          <w:rFonts w:ascii="Arial" w:cs="Arial" w:eastAsia="Arial" w:hAnsi="Arial"/>
          <w:sz w:val="18"/>
          <w:szCs w:val="18"/>
          <w:color w:val="auto"/>
        </w:rPr>
        <w:t>means the Securities Exchange Act of 1934, as amended from time to time, or any successor act thereto.</w:t>
      </w:r>
    </w:p>
    <w:p>
      <w:pPr>
        <w:spacing w:after="0" w:line="225"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b w:val="1"/>
          <w:bCs w:val="1"/>
          <w:color w:val="auto"/>
        </w:rPr>
        <w:t xml:space="preserve">2.24 “Exercise Price” </w:t>
      </w:r>
      <w:r>
        <w:rPr>
          <w:rFonts w:ascii="Arial" w:cs="Arial" w:eastAsia="Arial" w:hAnsi="Arial"/>
          <w:sz w:val="18"/>
          <w:szCs w:val="18"/>
          <w:color w:val="auto"/>
        </w:rPr>
        <w:t>means the price at which a Share may be purchased by a Participant pursuant to an Option or the base price from which</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in Shares is measured under a SAR.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126" w:name="page127"/>
    <w:bookmarkEnd w:id="126"/>
    <w:p>
      <w:pPr>
        <w:jc w:val="both"/>
        <w:ind w:right="18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2.25 “Fair Market Value” </w:t>
      </w:r>
      <w:r>
        <w:rPr>
          <w:rFonts w:ascii="Arial" w:cs="Arial" w:eastAsia="Arial" w:hAnsi="Arial"/>
          <w:sz w:val="18"/>
          <w:szCs w:val="18"/>
          <w:color w:val="auto"/>
        </w:rPr>
        <w:t>means the average of the highest and lowest quoted selling prices for the Shares on the relevant date, or (if there were no</w:t>
      </w:r>
      <w:r>
        <w:rPr>
          <w:rFonts w:ascii="Arial" w:cs="Arial" w:eastAsia="Arial" w:hAnsi="Arial"/>
          <w:sz w:val="18"/>
          <w:szCs w:val="18"/>
          <w:b w:val="1"/>
          <w:bCs w:val="1"/>
          <w:color w:val="auto"/>
        </w:rPr>
        <w:t xml:space="preserve"> </w:t>
      </w:r>
      <w:r>
        <w:rPr>
          <w:rFonts w:ascii="Arial" w:cs="Arial" w:eastAsia="Arial" w:hAnsi="Arial"/>
          <w:sz w:val="18"/>
          <w:szCs w:val="18"/>
          <w:color w:val="auto"/>
        </w:rPr>
        <w:t>sales on such date) the average so computed on the nearest day before or the nearest day after the relevant date, as reported in The Wall Street Journal or a similar publication selected by the Committee.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2.26 “Fee Deferral Election” </w:t>
      </w:r>
      <w:r>
        <w:rPr>
          <w:rFonts w:ascii="Arial" w:cs="Arial" w:eastAsia="Arial" w:hAnsi="Arial"/>
          <w:sz w:val="16"/>
          <w:szCs w:val="16"/>
          <w:color w:val="auto"/>
        </w:rPr>
        <w:t>means an election made by a Non-Employee Director to defer the receipt of Fees, as described in Article 11.3 hereof.</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2.27 “Fees” </w:t>
      </w:r>
      <w:r>
        <w:rPr>
          <w:rFonts w:ascii="Arial" w:cs="Arial" w:eastAsia="Arial" w:hAnsi="Arial"/>
          <w:sz w:val="18"/>
          <w:szCs w:val="18"/>
          <w:color w:val="auto"/>
        </w:rPr>
        <w:t>means all or part of any retainer and/or fees payable to a Non-Employee Director in his or her capacity as such.</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2.28 “Incentive Stock Option” or “ISO” </w:t>
      </w:r>
      <w:r>
        <w:rPr>
          <w:rFonts w:ascii="Arial" w:cs="Arial" w:eastAsia="Arial" w:hAnsi="Arial"/>
          <w:sz w:val="18"/>
          <w:szCs w:val="18"/>
          <w:color w:val="auto"/>
        </w:rPr>
        <w:t>means an option to purchase Shares granted under Article 6 hereof, which is designated as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and which is intended to meet the requirements of Code Section 422.</w:t>
      </w:r>
    </w:p>
    <w:p>
      <w:pPr>
        <w:spacing w:after="0" w:line="162" w:lineRule="exact"/>
        <w:rPr>
          <w:sz w:val="20"/>
          <w:szCs w:val="20"/>
          <w:color w:val="auto"/>
        </w:rPr>
      </w:pPr>
    </w:p>
    <w:p>
      <w:pPr>
        <w:ind w:right="180" w:firstLine="456"/>
        <w:spacing w:after="0" w:line="347" w:lineRule="auto"/>
        <w:rPr>
          <w:sz w:val="20"/>
          <w:szCs w:val="20"/>
          <w:color w:val="auto"/>
        </w:rPr>
      </w:pPr>
      <w:r>
        <w:rPr>
          <w:rFonts w:ascii="Arial" w:cs="Arial" w:eastAsia="Arial" w:hAnsi="Arial"/>
          <w:sz w:val="16"/>
          <w:szCs w:val="16"/>
          <w:b w:val="1"/>
          <w:bCs w:val="1"/>
          <w:color w:val="auto"/>
        </w:rPr>
        <w:t xml:space="preserve">2.29 “Insider” </w:t>
      </w:r>
      <w:r>
        <w:rPr>
          <w:rFonts w:ascii="Arial" w:cs="Arial" w:eastAsia="Arial" w:hAnsi="Arial"/>
          <w:sz w:val="16"/>
          <w:szCs w:val="16"/>
          <w:color w:val="auto"/>
        </w:rPr>
        <w:t>means an individual who is, on the relevant date, an officer, Director or more than ten percent (10%) beneficial owner of any class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equity securities that is registered pursuant to Section 12 of the Exchange Act, all as defined under Section 16 of the Exchange Act.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2.30 “MII” </w:t>
      </w:r>
      <w:r>
        <w:rPr>
          <w:rFonts w:ascii="Arial" w:cs="Arial" w:eastAsia="Arial" w:hAnsi="Arial"/>
          <w:sz w:val="18"/>
          <w:szCs w:val="18"/>
          <w:color w:val="auto"/>
        </w:rPr>
        <w:t>means Marriott International, Inc., together with any and all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2.31 “MII Plan” </w:t>
      </w:r>
      <w:r>
        <w:rPr>
          <w:rFonts w:ascii="Arial" w:cs="Arial" w:eastAsia="Arial" w:hAnsi="Arial"/>
          <w:sz w:val="18"/>
          <w:szCs w:val="18"/>
          <w:color w:val="auto"/>
        </w:rPr>
        <w:t>means the Marriott International, Inc. Stock and Cash Incentive Plan,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2.32 “Non-Employee Director” </w:t>
      </w:r>
      <w:r>
        <w:rPr>
          <w:rFonts w:ascii="Arial" w:cs="Arial" w:eastAsia="Arial" w:hAnsi="Arial"/>
          <w:sz w:val="18"/>
          <w:szCs w:val="18"/>
          <w:color w:val="auto"/>
        </w:rPr>
        <w:t>means a Director who is not an Employee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2.33 “Non-Employee Director Share Award” </w:t>
      </w:r>
      <w:r>
        <w:rPr>
          <w:rFonts w:ascii="Arial" w:cs="Arial" w:eastAsia="Arial" w:hAnsi="Arial"/>
          <w:sz w:val="17"/>
          <w:szCs w:val="17"/>
          <w:color w:val="auto"/>
        </w:rPr>
        <w:t>shall mean an award of Shares to a Non-Employee Director, as described in Article 11.2 hereof.</w:t>
      </w:r>
    </w:p>
    <w:p>
      <w:pPr>
        <w:spacing w:after="0" w:line="237"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2.34 “Nonqualified Stock Option” or “NQSO” </w:t>
      </w:r>
      <w:r>
        <w:rPr>
          <w:rFonts w:ascii="Arial" w:cs="Arial" w:eastAsia="Arial" w:hAnsi="Arial"/>
          <w:sz w:val="18"/>
          <w:szCs w:val="18"/>
          <w:color w:val="auto"/>
        </w:rPr>
        <w:t>means an option to purchase Shares granted under Article 6 hereof and which is not intended to meet</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of Code Section 422.</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2.35 “Option” </w:t>
      </w:r>
      <w:r>
        <w:rPr>
          <w:rFonts w:ascii="Arial" w:cs="Arial" w:eastAsia="Arial" w:hAnsi="Arial"/>
          <w:sz w:val="18"/>
          <w:szCs w:val="18"/>
          <w:color w:val="auto"/>
        </w:rPr>
        <w:t>means an Incentive Stock Option or a Nonqualified Stock Option, as described in Article 6 hereof, or a Director Option as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11 hereof.</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2.36 “Other Cash Performance-Based Awards” </w:t>
      </w:r>
      <w:r>
        <w:rPr>
          <w:rFonts w:ascii="Arial" w:cs="Arial" w:eastAsia="Arial" w:hAnsi="Arial"/>
          <w:sz w:val="18"/>
          <w:szCs w:val="18"/>
          <w:color w:val="auto"/>
        </w:rPr>
        <w:t>means an Other Cash Performance-Based Award, as described in Article 9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2.37 “Other Share-Based Award” </w:t>
      </w:r>
      <w:r>
        <w:rPr>
          <w:rFonts w:ascii="Arial" w:cs="Arial" w:eastAsia="Arial" w:hAnsi="Arial"/>
          <w:sz w:val="18"/>
          <w:szCs w:val="18"/>
          <w:color w:val="auto"/>
        </w:rPr>
        <w:t>means an Other Share-Based Award, as described in Article 9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2.38 “Participant” </w:t>
      </w:r>
      <w:r>
        <w:rPr>
          <w:rFonts w:ascii="Arial" w:cs="Arial" w:eastAsia="Arial" w:hAnsi="Arial"/>
          <w:sz w:val="18"/>
          <w:szCs w:val="18"/>
          <w:color w:val="auto"/>
        </w:rPr>
        <w:t>means an individual who has an outstanding Award granted under the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2.39 “Performance-Based Exception” </w:t>
      </w:r>
      <w:r>
        <w:rPr>
          <w:rFonts w:ascii="Arial" w:cs="Arial" w:eastAsia="Arial" w:hAnsi="Arial"/>
          <w:sz w:val="17"/>
          <w:szCs w:val="17"/>
          <w:color w:val="auto"/>
        </w:rPr>
        <w:t>means the performance-based exception from the tax deductibility limitations of Code Section 162(m).</w:t>
      </w:r>
    </w:p>
    <w:p>
      <w:pPr>
        <w:spacing w:after="0" w:line="23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2.40 “Period of Restriction” </w:t>
      </w:r>
      <w:r>
        <w:rPr>
          <w:rFonts w:ascii="Arial" w:cs="Arial" w:eastAsia="Arial" w:hAnsi="Arial"/>
          <w:sz w:val="18"/>
          <w:szCs w:val="18"/>
          <w:color w:val="auto"/>
        </w:rPr>
        <w:t>means the period during which the transfer of Shares of Restricted Stock is limited in some way (based on the passage of</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achievement of performance objectives, or upon the occurrence of other events as determined by the Committee, in its discretion), and the Shares are subject to a substantial risk of forfeiture, as provided in Article 7 hereof.</w:t>
      </w:r>
    </w:p>
    <w:p>
      <w:pPr>
        <w:spacing w:after="0" w:line="176" w:lineRule="exact"/>
        <w:rPr>
          <w:sz w:val="20"/>
          <w:szCs w:val="20"/>
          <w:color w:val="auto"/>
        </w:rPr>
      </w:pPr>
    </w:p>
    <w:p>
      <w:pPr>
        <w:ind w:right="420" w:firstLine="456"/>
        <w:spacing w:after="0" w:line="282" w:lineRule="auto"/>
        <w:rPr>
          <w:sz w:val="20"/>
          <w:szCs w:val="20"/>
          <w:color w:val="auto"/>
        </w:rPr>
      </w:pPr>
      <w:r>
        <w:rPr>
          <w:rFonts w:ascii="Arial" w:cs="Arial" w:eastAsia="Arial" w:hAnsi="Arial"/>
          <w:sz w:val="18"/>
          <w:szCs w:val="18"/>
          <w:b w:val="1"/>
          <w:bCs w:val="1"/>
          <w:color w:val="auto"/>
        </w:rPr>
        <w:t xml:space="preserve">2.41 “Person” </w:t>
      </w:r>
      <w:r>
        <w:rPr>
          <w:rFonts w:ascii="Arial" w:cs="Arial" w:eastAsia="Arial" w:hAnsi="Arial"/>
          <w:sz w:val="18"/>
          <w:szCs w:val="18"/>
          <w:color w:val="auto"/>
        </w:rPr>
        <w:t>shall have the meaning ascribed to such term in Section 3(a)(9) of the Exchange Act and used in Sections 13(d) and 14(d)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“group” as defined in Section 13(d) thereof.</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2.42 “Plan” </w:t>
      </w:r>
      <w:r>
        <w:rPr>
          <w:rFonts w:ascii="Arial" w:cs="Arial" w:eastAsia="Arial" w:hAnsi="Arial"/>
          <w:sz w:val="18"/>
          <w:szCs w:val="18"/>
          <w:color w:val="auto"/>
        </w:rPr>
        <w:t>means the Marriott Vacations Worldwide Corporation Stock and Cash Incentive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2.43 “Restricted Stock” </w:t>
      </w:r>
      <w:r>
        <w:rPr>
          <w:rFonts w:ascii="Arial" w:cs="Arial" w:eastAsia="Arial" w:hAnsi="Arial"/>
          <w:sz w:val="18"/>
          <w:szCs w:val="18"/>
          <w:color w:val="auto"/>
        </w:rPr>
        <w:t>means an Award granted to a Participant pursuant to Article 7 hereof.</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0" w:right="299" w:bottom="144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2.44 “RSU” </w:t>
      </w:r>
      <w:r>
        <w:rPr>
          <w:rFonts w:ascii="Arial" w:cs="Arial" w:eastAsia="Arial" w:hAnsi="Arial"/>
          <w:sz w:val="18"/>
          <w:szCs w:val="18"/>
          <w:color w:val="auto"/>
        </w:rPr>
        <w:t>means a restricted stock unit Award granted to a Participant pursuant to Article 8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2.45 “Shares” </w:t>
      </w:r>
      <w:r>
        <w:rPr>
          <w:rFonts w:ascii="Arial" w:cs="Arial" w:eastAsia="Arial" w:hAnsi="Arial"/>
          <w:sz w:val="18"/>
          <w:szCs w:val="18"/>
          <w:color w:val="auto"/>
        </w:rPr>
        <w:t>means shares of Common Stock of the Company or of any successor company adopting this Plan.</w:t>
      </w:r>
    </w:p>
    <w:p>
      <w:pPr>
        <w:spacing w:after="0" w:line="22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2.46 “SAR” </w:t>
      </w:r>
      <w:r>
        <w:rPr>
          <w:rFonts w:ascii="Arial" w:cs="Arial" w:eastAsia="Arial" w:hAnsi="Arial"/>
          <w:sz w:val="18"/>
          <w:szCs w:val="18"/>
          <w:color w:val="auto"/>
        </w:rPr>
        <w:t>means a stock appreciation right as described in Article 6 hereof, or a Director SAR as described in Article 11 hereof, which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settled in Shares or cash as provided in the pertinent Award Agreement.</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2.47 “Stock Units” </w:t>
      </w:r>
      <w:r>
        <w:rPr>
          <w:rFonts w:ascii="Arial" w:cs="Arial" w:eastAsia="Arial" w:hAnsi="Arial"/>
          <w:sz w:val="18"/>
          <w:szCs w:val="18"/>
          <w:color w:val="auto"/>
        </w:rPr>
        <w:t>means the credits to a Non-Employee Director’s Stock Unit Account, each of which represents the right to receive one Share upon</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of the Stock Unit Account.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2.48 “Stock Unit Account” </w:t>
      </w:r>
      <w:r>
        <w:rPr>
          <w:rFonts w:ascii="Arial" w:cs="Arial" w:eastAsia="Arial" w:hAnsi="Arial"/>
          <w:sz w:val="18"/>
          <w:szCs w:val="18"/>
          <w:color w:val="auto"/>
        </w:rPr>
        <w:t>means the bookkeeping account established by the Company pursuant to Article 11.3.</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2.49 “Subsidiary” </w:t>
      </w:r>
      <w:r>
        <w:rPr>
          <w:rFonts w:ascii="Arial" w:cs="Arial" w:eastAsia="Arial" w:hAnsi="Arial"/>
          <w:sz w:val="18"/>
          <w:szCs w:val="18"/>
          <w:color w:val="auto"/>
        </w:rPr>
        <w:t>means any corporation, partnership, joint venture, trust or other entity in which the Company has a controlling interest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Treasury Regulation Section 1.414(c)-2(b)(2), except that the threshold interest shall be “more than fifty percent (50%)” instead of “at least eighty percent (80%).”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2.50 “Termination of Service” </w:t>
      </w:r>
      <w:r>
        <w:rPr>
          <w:rFonts w:ascii="Arial" w:cs="Arial" w:eastAsia="Arial" w:hAnsi="Arial"/>
          <w:sz w:val="18"/>
          <w:szCs w:val="18"/>
          <w:color w:val="auto"/>
        </w:rPr>
        <w:t>means termination of service as a Non-Employee Director in any of the following circumstances:</w:t>
      </w:r>
    </w:p>
    <w:p>
      <w:pPr>
        <w:spacing w:after="0" w:line="121" w:lineRule="exact"/>
        <w:rPr>
          <w:sz w:val="20"/>
          <w:szCs w:val="20"/>
          <w:color w:val="auto"/>
        </w:rPr>
      </w:pPr>
    </w:p>
    <w:p>
      <w:pPr>
        <w:ind w:left="700" w:hanging="23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Where the Non-Employee Director voluntarily resigns or retires;</w:t>
      </w:r>
    </w:p>
    <w:p>
      <w:pPr>
        <w:spacing w:after="0" w:line="117" w:lineRule="exact"/>
        <w:rPr>
          <w:rFonts w:ascii="Arial" w:cs="Arial" w:eastAsia="Arial" w:hAnsi="Arial"/>
          <w:sz w:val="18"/>
          <w:szCs w:val="18"/>
          <w:color w:val="auto"/>
        </w:rPr>
      </w:pPr>
    </w:p>
    <w:p>
      <w:pPr>
        <w:ind w:right="900" w:firstLine="464"/>
        <w:spacing w:after="0" w:line="277" w:lineRule="auto"/>
        <w:tabs>
          <w:tab w:leader="none" w:pos="7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Where the Non-Employee Director is not re-elected (or elected in the case of an appointed Non-Employee Director) to the Board by the shareholders;</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Where the Non-Employee Director ceases to perform services on account of a Disability as defined in Article 2.15 hereof; or</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Where the Non-Employee Director dies.</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With respect to any Awards that are or become subject to Section 409A of the Code, Termination of Service shall not include any event that is not within the meaning of “separation from service” as set forth in Treasury Regulation Section 1.409A-1(h).</w:t>
      </w:r>
    </w:p>
    <w:p>
      <w:pPr>
        <w:spacing w:after="0" w:line="166"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 xml:space="preserve">2.51 “Year of Service” </w:t>
      </w:r>
      <w:r>
        <w:rPr>
          <w:rFonts w:ascii="Arial" w:cs="Arial" w:eastAsia="Arial" w:hAnsi="Arial"/>
          <w:sz w:val="18"/>
          <w:szCs w:val="18"/>
          <w:color w:val="auto"/>
        </w:rPr>
        <w:t>means a period of twelve (12) consecutive calendar months during which an Employee is employed by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Marriott International, Inc.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Administration</w:t>
      </w:r>
    </w:p>
    <w:p>
      <w:pPr>
        <w:spacing w:after="0" w:line="11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3.1 The Committee. </w:t>
      </w:r>
      <w:r>
        <w:rPr>
          <w:rFonts w:ascii="Arial" w:cs="Arial" w:eastAsia="Arial" w:hAnsi="Arial"/>
          <w:sz w:val="18"/>
          <w:szCs w:val="18"/>
          <w:color w:val="auto"/>
        </w:rPr>
        <w:t>The Plan shall be administered by the Committee or by any other committee appointed by the Board. The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be appointed from time to time by, and shall serve at the discretion of, the Board of Directors. Any power of the Committee may also be exercised by the Board, except to the extent that the grant or exercise of such authority would cause any Award or transaction to become subject to (or lose an exemption under) the short-swing profit recovery provisions of Section 16 of the Exchange Act. To the extent that any permitted action taken by the Board conflicts with action taken by the Committee, the Board action shall control.</w:t>
      </w:r>
    </w:p>
    <w:p>
      <w:pPr>
        <w:spacing w:after="0" w:line="184"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 xml:space="preserve">3.2 Authority of the Committee. </w:t>
      </w:r>
      <w:r>
        <w:rPr>
          <w:rFonts w:ascii="Arial" w:cs="Arial" w:eastAsia="Arial" w:hAnsi="Arial"/>
          <w:sz w:val="16"/>
          <w:szCs w:val="16"/>
          <w:color w:val="auto"/>
        </w:rPr>
        <w:t>Except as limited by law or by the Articles of Incorporation or Bylaws of the Company, and subject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the Committee shall have full power to select Employees and Non-Employee Directors who shall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subject to the provisions of Article 16 hereof, amend the terms and conditions of any outstanding Award to the extent such terms and conditions are within the discretion of the Committee as provided in the Plan; and approve corrections in the documentation or administration of any Award. Further, the Committee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128" w:name="page129"/>
    <w:bookmarkEnd w:id="128"/>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make all other determinations that may be necessary or advisable for the administration of the Plan. The Committee’s determinations under the Plan (including without limitation, determinations of the persons to receive Awards, the form, amount and timing of such Awards, the terms and provisions of such Awards and the Award Agreements evidencing such Awards) need not be uniform and may be made by the Committee selectively among persons who receive, or are eligible to receive, Awards under the Plan, whether or not such persons are similarly situated. As permitted by law, the Committee may delegate its authority under the Plan to a Director or Employee.</w:t>
      </w:r>
    </w:p>
    <w:p>
      <w:pPr>
        <w:spacing w:after="0" w:line="184"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 xml:space="preserve">3.3 Delegation. </w:t>
      </w:r>
      <w:r>
        <w:rPr>
          <w:rFonts w:ascii="Arial" w:cs="Arial" w:eastAsia="Arial" w:hAnsi="Arial"/>
          <w:sz w:val="17"/>
          <w:szCs w:val="17"/>
          <w:color w:val="auto"/>
        </w:rPr>
        <w:t>The Committee may delegate to one or more separate committees (any such committee a “Subcommittee”) composed of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(who may but need not be members of the Committee) the ability to grant Awards and take the other actions described in Article 3.2 hereof with respect to Participants who are not executive officers, and such actions shall be treated for all purposes as if taken by the Committee. The Committee may delegate to a Subcommittee of one or more officers of the Company the ability to grant Awards and take the other actions described in Article 3.2 hereof with respect to Participants (other than any such officers themselves) who are not Directors or executive officers, provided, however, that the resolution so authorizing such officer(s) shall specify the total number of rights or options such Subcommittee may so award, and such actions shall be treated for all purposes as if taken by the Committee. Any action by any such Subcommittee within the scope of such delegation shall be deemed for all purposes to have been taken by the Committee, and references in this Plan to the Committee shall include any such Subcommittee. The Committee may delegate the day to day administration of the Plan to an officer or officers of the Company, or one or more agents, and such administrator(s) may have the authority to execute and distribute agreements or other documents evidencing or relating to Awards granted by the Committee under the Plan, to maintain records relating to the grant, vesting, exercise, forfeiture or expiration of Awards, to process or oversee the issuance of Shares upon the exercise, vesting and/or settlement of an Award, to interpret the terms of Awards and to take such other actions as the Committee may specify. Any action by any such administrator within the scope of its delegation shall be deemed for all purposes to have been taken by the Committee and references in the Plan to the Committee shall include any such administrator, provided that the actions and interpretations of any such administrator shall be subject to review and approval, disapproval or modification by the Committee.</w:t>
      </w:r>
    </w:p>
    <w:p>
      <w:pPr>
        <w:spacing w:after="0" w:line="183"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3.4 Decisions Binding</w:t>
      </w:r>
      <w:r>
        <w:rPr>
          <w:rFonts w:ascii="Arial" w:cs="Arial" w:eastAsia="Arial" w:hAnsi="Arial"/>
          <w:sz w:val="18"/>
          <w:szCs w:val="18"/>
          <w:color w:val="auto"/>
        </w:rPr>
        <w:t>. All determinations and decisions made by the Committee or its designee pursuant to the provisions of the Plan and all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orders and resolutions of the Board shall be final, conclusive and binding on all parties.</w:t>
      </w:r>
    </w:p>
    <w:p>
      <w:pPr>
        <w:spacing w:after="0" w:line="162"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color w:val="auto"/>
        </w:rPr>
        <w:t xml:space="preserve">3.5 Unanimous Consent in Lieu of Meeting. </w:t>
      </w:r>
      <w:r>
        <w:rPr>
          <w:rFonts w:ascii="Arial" w:cs="Arial" w:eastAsia="Arial" w:hAnsi="Arial"/>
          <w:sz w:val="18"/>
          <w:szCs w:val="18"/>
          <w:color w:val="auto"/>
        </w:rPr>
        <w:t>A memorandum signed by all members of the Committee shall constitute the act of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necessity in such event to hold a meeting.</w:t>
      </w:r>
    </w:p>
    <w:p>
      <w:pPr>
        <w:spacing w:after="0" w:line="162"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3.6 Serious Misconduct. </w:t>
      </w:r>
      <w:r>
        <w:rPr>
          <w:rFonts w:ascii="Arial" w:cs="Arial" w:eastAsia="Arial" w:hAnsi="Arial"/>
          <w:sz w:val="18"/>
          <w:szCs w:val="18"/>
          <w:color w:val="auto"/>
        </w:rPr>
        <w:t>Notwithstanding anything to the contrary in the Plan or any Award Agreement, if a Participant terminates employment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serious misconduct, including but not limited to engaging in a terminable offense set forth in the applicable associate handbook, the Committee may, in its sole discretion, refuse or revoke Approved Retiree status or other retirement approval for such Participant, or otherwise determine that such Participant may not receive, vest in or exercise any Awards or otherwise receive Shares thereunder to the extent the Awards are not granted, vested or fully exercised, or Shares are not received, as of such determination.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Shares Subject to the Plan and Maximum Awards</w:t>
      </w:r>
    </w:p>
    <w:p>
      <w:pPr>
        <w:spacing w:after="0" w:line="117" w:lineRule="exact"/>
        <w:rPr>
          <w:sz w:val="20"/>
          <w:szCs w:val="20"/>
          <w:color w:val="auto"/>
        </w:rPr>
      </w:pPr>
    </w:p>
    <w:p>
      <w:pPr>
        <w:ind w:right="320" w:firstLine="456"/>
        <w:spacing w:after="0" w:line="303" w:lineRule="auto"/>
        <w:rPr>
          <w:sz w:val="20"/>
          <w:szCs w:val="20"/>
          <w:color w:val="auto"/>
        </w:rPr>
      </w:pPr>
      <w:r>
        <w:rPr>
          <w:rFonts w:ascii="Arial" w:cs="Arial" w:eastAsia="Arial" w:hAnsi="Arial"/>
          <w:sz w:val="16"/>
          <w:szCs w:val="16"/>
          <w:b w:val="1"/>
          <w:bCs w:val="1"/>
          <w:color w:val="auto"/>
        </w:rPr>
        <w:t xml:space="preserve">4.1 Number of Shares. </w:t>
      </w:r>
      <w:r>
        <w:rPr>
          <w:rFonts w:ascii="Arial" w:cs="Arial" w:eastAsia="Arial" w:hAnsi="Arial"/>
          <w:sz w:val="16"/>
          <w:szCs w:val="16"/>
          <w:color w:val="auto"/>
        </w:rPr>
        <w:t>Subject to Articles 4.2 and 4.3 hereof, (a) no more than 6,000,000 shares of Common Stock of the Company may be issued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Awards granted under the Plan, (b) the maximum aggregate number of Shares that may be subject to any Awards (other than the Distribution Awards) granted in any one fiscal year to any single Employee shall be 1,500,000 and (c) the maximum aggregate number of Shares that may subject to Options and SARs (other than the Distribution Awards) granted in any one fiscal year to any single Employee shall be 1,500,000.</w:t>
      </w:r>
    </w:p>
    <w:p>
      <w:pPr>
        <w:spacing w:after="0" w:line="155" w:lineRule="exact"/>
        <w:rPr>
          <w:sz w:val="20"/>
          <w:szCs w:val="20"/>
          <w:color w:val="auto"/>
        </w:rPr>
      </w:pPr>
    </w:p>
    <w:p>
      <w:pPr>
        <w:ind w:right="20" w:firstLine="464"/>
        <w:spacing w:after="0" w:line="277" w:lineRule="auto"/>
        <w:tabs>
          <w:tab w:leader="none" w:pos="7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Award granted under the Plan is canceled, terminates, expires, or lapses for any reason, or is settled in cash, any Shares subject to such Award shall again be available for the grant of an Award under the Plan.</w:t>
      </w:r>
    </w:p>
    <w:p>
      <w:pPr>
        <w:spacing w:after="0" w:line="170"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 respect to Shares withheld to satisfy the exercise price or tax withholding for an Award, the Shares shall again be available for the grant of an Award under the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29" w:name="page130"/>
    <w:bookmarkEnd w:id="129"/>
    <w:p>
      <w:pPr>
        <w:ind w:right="640" w:firstLine="464"/>
        <w:spacing w:after="0" w:line="277" w:lineRule="auto"/>
        <w:tabs>
          <w:tab w:leader="none" w:pos="701"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previously acquired Shares tendered to satisfy the exercise price or tax withholdings for an Award, the Shares shall again be available for the grant of an Award under the Plan.</w:t>
      </w:r>
    </w:p>
    <w:p>
      <w:pPr>
        <w:spacing w:after="0" w:line="16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4.2 Adjustments in Authorized Shares and Awards. </w:t>
      </w:r>
      <w:r>
        <w:rPr>
          <w:rFonts w:ascii="Arial" w:cs="Arial" w:eastAsia="Arial" w:hAnsi="Arial"/>
          <w:sz w:val="16"/>
          <w:szCs w:val="16"/>
          <w:color w:val="auto"/>
        </w:rPr>
        <w:t>In the event of any change in corporate capitalization, such as a stock split, reverse stock split,</w:t>
      </w:r>
      <w:r>
        <w:rPr>
          <w:rFonts w:ascii="Arial" w:cs="Arial" w:eastAsia="Arial" w:hAnsi="Arial"/>
          <w:sz w:val="16"/>
          <w:szCs w:val="16"/>
          <w:b w:val="1"/>
          <w:bCs w:val="1"/>
          <w:color w:val="auto"/>
        </w:rPr>
        <w:t xml:space="preserve"> </w:t>
      </w:r>
      <w:r>
        <w:rPr>
          <w:rFonts w:ascii="Arial" w:cs="Arial" w:eastAsia="Arial" w:hAnsi="Arial"/>
          <w:sz w:val="16"/>
          <w:szCs w:val="16"/>
          <w:color w:val="auto"/>
        </w:rPr>
        <w:t>stock dividend, share combination, recapitalization, or similar event affecting the equity capital structure of the Company, or in the event the Shares shall be changed into or exchanged for a different number or class of shares of stock or securities of the Company or of another corporation and/or for cash as a result of a corporate transaction, such as any merger, consolidation, separation, acquisition of property or shares, stock rights offering, spin-off, or other distribution of stock or property of the Company, any reorganization (whether or not such reorganization comes within the definition of such term in Code Section 368) or any partial or complete liquidation of the Company, or similar event affecting the Company, such adjustment shall be made in (a) the number and class of Shares which thereafter may be delivered under Article 4.1, (b) the Award limits set forth in Article 4.1, (c) the number and class of Shares subject to outstanding Awards, (d) the Exercise Price relating to any Award, and (e) the performance goals which may be applicable to any outstanding Awards, and such other equitable substitutions or adjustments may be made, as may be determined to be appropriate and equitable by the Committee, in its sole discretion, to prevent dilution or enlargement of rights. Without limiting the preceding sentence, in the case of any such transaction described in the preceding sentence, the adjustments made by the Committee or the board of directors, compensation committee or similar body of any other legal entity assuming the obligations of the Company hereunder, may consist of either (i) making appropriate provision for the protection of outstanding Awards by the substitution on an equitable basis of appropriate equity interests or awards similar to the Awards (or, in the event no such similar equity interests may be identified, a nonqualified deferred compensation account allocation of equivalent value), provided that the substitution neither enlarges nor diminishes the value and rights under the Awards; or (ii) upon written notice to the Participants, providing that Awards will be exercised, distributed, cashed out or exchange for value pursuant to such terms and conditions (including the waiver of any existing terms or conditions including but not limited to vesting restrictions or exercise waiting periods) as shall be specified in the notice, provided that any Awards that are subject to Code Section 409A must not be exercised, distributed, cashed out or exchanged for value unless the transaction qualifies as a “change in control event” as described under Code Section 409A(2)(A)(v) and the regulations thereunder. Any adjustment of an ISO under clause (i) of the preceding sentence in this paragraph shall be made in such a manner so as not to constitute a “modification” within the meaning of Section 424(h)(3) of the Code.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117"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 xml:space="preserve">5.1 Eligibility. </w:t>
      </w:r>
      <w:r>
        <w:rPr>
          <w:rFonts w:ascii="Arial" w:cs="Arial" w:eastAsia="Arial" w:hAnsi="Arial"/>
          <w:sz w:val="18"/>
          <w:szCs w:val="18"/>
          <w:color w:val="auto"/>
        </w:rPr>
        <w:t>Employees shall be eligible to participate in this Plan with respect to Awards specified in Articles 6 through 9. Non-Employee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eligible to participate in the Plan with respect to Awards specified in Article 11. Persons eligible to receive Distribution Awards under the Allocation Agreement shall be eligible to participate in the Plan with respect to Awards specified in Article 12.</w:t>
      </w:r>
    </w:p>
    <w:p>
      <w:pPr>
        <w:spacing w:after="0" w:line="176"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b w:val="1"/>
          <w:bCs w:val="1"/>
          <w:color w:val="auto"/>
        </w:rPr>
        <w:t xml:space="preserve">5.2 Actual Participation by Employees. </w:t>
      </w:r>
      <w:r>
        <w:rPr>
          <w:rFonts w:ascii="Arial" w:cs="Arial" w:eastAsia="Arial" w:hAnsi="Arial"/>
          <w:sz w:val="18"/>
          <w:szCs w:val="18"/>
          <w:color w:val="auto"/>
        </w:rPr>
        <w:t>Subject to the provisions of the Plan, the Committee may, from time to time, select from all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those to whom Awards shall be granted and shall determine the nature and amount of each Award.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SARs and Stock Options</w:t>
      </w:r>
    </w:p>
    <w:p>
      <w:pPr>
        <w:spacing w:after="0" w:line="117"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6.1 Grant of SARs and Options. </w:t>
      </w:r>
      <w:r>
        <w:rPr>
          <w:rFonts w:ascii="Arial" w:cs="Arial" w:eastAsia="Arial" w:hAnsi="Arial"/>
          <w:sz w:val="18"/>
          <w:szCs w:val="18"/>
          <w:color w:val="auto"/>
        </w:rPr>
        <w:t>Subject to the terms and provisions of the Plan, SARs and/or Options may be granted to Employees in such number,</w:t>
      </w:r>
      <w:r>
        <w:rPr>
          <w:rFonts w:ascii="Arial" w:cs="Arial" w:eastAsia="Arial" w:hAnsi="Arial"/>
          <w:sz w:val="18"/>
          <w:szCs w:val="18"/>
          <w:b w:val="1"/>
          <w:bCs w:val="1"/>
          <w:color w:val="auto"/>
        </w:rPr>
        <w:t xml:space="preserve"> </w:t>
      </w:r>
      <w:r>
        <w:rPr>
          <w:rFonts w:ascii="Arial" w:cs="Arial" w:eastAsia="Arial" w:hAnsi="Arial"/>
          <w:sz w:val="18"/>
          <w:szCs w:val="18"/>
          <w:color w:val="auto"/>
        </w:rPr>
        <w:t>and upon such terms, and at any time and from time to time as shall be determined by the Committee.</w:t>
      </w:r>
    </w:p>
    <w:p>
      <w:pPr>
        <w:spacing w:after="0" w:line="162"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 xml:space="preserve">6.2 Award Agreement. </w:t>
      </w:r>
      <w:r>
        <w:rPr>
          <w:rFonts w:ascii="Arial" w:cs="Arial" w:eastAsia="Arial" w:hAnsi="Arial"/>
          <w:sz w:val="18"/>
          <w:szCs w:val="18"/>
          <w:color w:val="auto"/>
        </w:rPr>
        <w:t>Each SAR and Option grant shall be evidenced by an Award Agreement that shall specify the Exercise Price, the duration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the number of Shares to which the Award pertains, and such other provisions as the Committee shall determine. The Award Agreement, if pertaining to an Option, also shall specify whether the Option is intended to be an ISO within the meaning of Code Section 422, or an NQSO whose grant is intended not to fall under the provisions of Code Section 422.</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6.3 Exercise Price. </w:t>
      </w:r>
      <w:r>
        <w:rPr>
          <w:rFonts w:ascii="Arial" w:cs="Arial" w:eastAsia="Arial" w:hAnsi="Arial"/>
          <w:sz w:val="17"/>
          <w:szCs w:val="17"/>
          <w:color w:val="auto"/>
        </w:rPr>
        <w:t>The Exercise Price for each grant of a SAR or an Option under this Article 6 shall be at least equal to one hundred percent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(100%) of the Fair Market Value of a Share on the date the SAR or Option is granted.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30" w:name="page131"/>
    <w:bookmarkEnd w:id="130"/>
    <w:p>
      <w:pPr>
        <w:ind w:right="180" w:firstLine="456"/>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6.4 Duration of SARs and Options. </w:t>
      </w:r>
      <w:r>
        <w:rPr>
          <w:rFonts w:ascii="Arial" w:cs="Arial" w:eastAsia="Arial" w:hAnsi="Arial"/>
          <w:sz w:val="17"/>
          <w:szCs w:val="17"/>
          <w:color w:val="auto"/>
        </w:rPr>
        <w:t>Each SAR and Option granted under this Article 6 shall expire at such time as the Committee shall determine at</w:t>
      </w:r>
      <w:r>
        <w:rPr>
          <w:rFonts w:ascii="Arial" w:cs="Arial" w:eastAsia="Arial" w:hAnsi="Arial"/>
          <w:sz w:val="17"/>
          <w:szCs w:val="17"/>
          <w:b w:val="1"/>
          <w:bCs w:val="1"/>
          <w:color w:val="auto"/>
        </w:rPr>
        <w:t xml:space="preserve"> </w:t>
      </w:r>
      <w:r>
        <w:rPr>
          <w:rFonts w:ascii="Arial" w:cs="Arial" w:eastAsia="Arial" w:hAnsi="Arial"/>
          <w:sz w:val="17"/>
          <w:szCs w:val="17"/>
          <w:color w:val="auto"/>
        </w:rPr>
        <w:t>the time of grant; provided, however, that no SAR or Option shall be exercisable later than the tenth (10</w:t>
      </w:r>
      <w:r>
        <w:rPr>
          <w:rFonts w:ascii="Arial" w:cs="Arial" w:eastAsia="Arial" w:hAnsi="Arial"/>
          <w:sz w:val="14"/>
          <w:szCs w:val="14"/>
          <w:color w:val="auto"/>
        </w:rPr>
        <w:t>th</w:t>
      </w:r>
      <w:r>
        <w:rPr>
          <w:rFonts w:ascii="Arial" w:cs="Arial" w:eastAsia="Arial" w:hAnsi="Arial"/>
          <w:sz w:val="17"/>
          <w:szCs w:val="17"/>
          <w:color w:val="auto"/>
        </w:rPr>
        <w:t>) anniversary date of its grant.</w:t>
      </w:r>
    </w:p>
    <w:p>
      <w:pPr>
        <w:spacing w:after="0" w:line="138" w:lineRule="exact"/>
        <w:rPr>
          <w:sz w:val="20"/>
          <w:szCs w:val="20"/>
          <w:color w:val="auto"/>
        </w:rPr>
      </w:pPr>
    </w:p>
    <w:p>
      <w:pPr>
        <w:ind w:firstLine="456"/>
        <w:spacing w:after="0" w:line="313" w:lineRule="auto"/>
        <w:rPr>
          <w:sz w:val="20"/>
          <w:szCs w:val="20"/>
          <w:color w:val="auto"/>
        </w:rPr>
      </w:pPr>
      <w:r>
        <w:rPr>
          <w:rFonts w:ascii="Arial" w:cs="Arial" w:eastAsia="Arial" w:hAnsi="Arial"/>
          <w:sz w:val="17"/>
          <w:szCs w:val="17"/>
          <w:b w:val="1"/>
          <w:bCs w:val="1"/>
          <w:color w:val="auto"/>
        </w:rPr>
        <w:t xml:space="preserve">6.5 Exercise of SARs and Options. </w:t>
      </w:r>
      <w:r>
        <w:rPr>
          <w:rFonts w:ascii="Arial" w:cs="Arial" w:eastAsia="Arial" w:hAnsi="Arial"/>
          <w:sz w:val="17"/>
          <w:szCs w:val="17"/>
          <w:color w:val="auto"/>
        </w:rPr>
        <w:t>SARs and Options granted under this Article 6 shall be exercisable at such times and be subject to such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conditions as the Committee shall in each instance approve, which need not be the same for each grant or for each Participant.</w:t>
      </w:r>
    </w:p>
    <w:p>
      <w:pPr>
        <w:spacing w:after="0" w:line="142"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The ability of a Participant to exercise a SAR or an Option is conditioned upon the Participant not committing any criminal offense or malicious tort relating to or against the Company, or, as determined by the Committee in its sole discretion, engaging in willful acts or omissions or acts or omissions of gross negligence that are or potentially are injurious to the Company’s operations, financial condition or business reputation.</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6.6 Notice and Payment</w:t>
      </w:r>
      <w:r>
        <w:rPr>
          <w:rFonts w:ascii="Arial" w:cs="Arial" w:eastAsia="Arial" w:hAnsi="Arial"/>
          <w:sz w:val="18"/>
          <w:szCs w:val="18"/>
          <w:color w:val="auto"/>
        </w:rPr>
        <w:t>. SARs and Options granted under this Article 6 shall be exercised by the delivery of notice of exercise to the Company by</w:t>
      </w:r>
      <w:r>
        <w:rPr>
          <w:rFonts w:ascii="Arial" w:cs="Arial" w:eastAsia="Arial" w:hAnsi="Arial"/>
          <w:sz w:val="18"/>
          <w:szCs w:val="18"/>
          <w:b w:val="1"/>
          <w:bCs w:val="1"/>
          <w:color w:val="auto"/>
        </w:rPr>
        <w:t xml:space="preserve"> </w:t>
      </w:r>
      <w:r>
        <w:rPr>
          <w:rFonts w:ascii="Arial" w:cs="Arial" w:eastAsia="Arial" w:hAnsi="Arial"/>
          <w:sz w:val="18"/>
          <w:szCs w:val="18"/>
          <w:color w:val="auto"/>
        </w:rPr>
        <w:t>such means as the Committee shall approve from time to time, setting forth the number of Shares with respect to which the SAR or Option is to be exercised, accompanied, in the case of Options, by full payment for the Shares.</w:t>
      </w:r>
    </w:p>
    <w:p>
      <w:pPr>
        <w:spacing w:after="0" w:line="180"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The Exercise Price upon exercise of any Option shall be payable to the Company in full either: (a) in cash or its equivalent, (b) if permitted in the governing Award Agreement, by withholding of Shares deliverable upon exercise or tendering (either actually or by attestation) previously acquired Shares, in each case having an aggregate Fair Market Value at the time of exercise equal to the total Exercise Price, (c) withholding Shares subject to the Option, or</w:t>
      </w:r>
    </w:p>
    <w:p>
      <w:pPr>
        <w:spacing w:after="0"/>
        <w:rPr>
          <w:sz w:val="20"/>
          <w:szCs w:val="20"/>
          <w:color w:val="auto"/>
        </w:rPr>
      </w:pPr>
      <w:r>
        <w:rPr>
          <w:rFonts w:ascii="Arial" w:cs="Arial" w:eastAsia="Arial" w:hAnsi="Arial"/>
          <w:sz w:val="18"/>
          <w:szCs w:val="18"/>
          <w:color w:val="auto"/>
        </w:rPr>
        <w:t>(d) any combination of (a), (b) and (c).</w:t>
      </w:r>
    </w:p>
    <w:p>
      <w:pPr>
        <w:spacing w:after="0" w:line="211"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spacing w:after="0" w:line="143" w:lineRule="exact"/>
        <w:rPr>
          <w:sz w:val="20"/>
          <w:szCs w:val="20"/>
          <w:color w:val="auto"/>
        </w:rPr>
      </w:pPr>
    </w:p>
    <w:p>
      <w:pPr>
        <w:jc w:val="both"/>
        <w:ind w:right="80" w:firstLine="456"/>
        <w:spacing w:after="0" w:line="261" w:lineRule="auto"/>
        <w:rPr>
          <w:sz w:val="20"/>
          <w:szCs w:val="20"/>
          <w:color w:val="auto"/>
        </w:rPr>
      </w:pPr>
      <w:r>
        <w:rPr>
          <w:rFonts w:ascii="Arial" w:cs="Arial" w:eastAsia="Arial" w:hAnsi="Arial"/>
          <w:sz w:val="18"/>
          <w:szCs w:val="18"/>
          <w:b w:val="1"/>
          <w:bCs w:val="1"/>
          <w:color w:val="auto"/>
        </w:rPr>
        <w:t xml:space="preserve">6.7 Restrictions on Share Transferability. </w:t>
      </w:r>
      <w:r>
        <w:rPr>
          <w:rFonts w:ascii="Arial" w:cs="Arial" w:eastAsia="Arial" w:hAnsi="Arial"/>
          <w:sz w:val="18"/>
          <w:szCs w:val="18"/>
          <w:color w:val="auto"/>
        </w:rPr>
        <w:t>The Committee may impose such restrictions on any Shares acquired pursuant to the exercise of a SAR or</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granted under this Article 6 as it may deem advisable, including, without limitation, restrictions under applicable Federal securities laws, under the requirements of any stock exchange or market upon which such Shares are then listed or traded, and under any blue sky or state securities laws applicable to such Shares.</w:t>
      </w:r>
    </w:p>
    <w:p>
      <w:pPr>
        <w:spacing w:after="0" w:line="180"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color w:val="auto"/>
        </w:rPr>
        <w:t xml:space="preserve">6.8 Termination of Employment or Leave of Absence. </w:t>
      </w:r>
      <w:r>
        <w:rPr>
          <w:rFonts w:ascii="Arial" w:cs="Arial" w:eastAsia="Arial" w:hAnsi="Arial"/>
          <w:sz w:val="16"/>
          <w:szCs w:val="16"/>
          <w:color w:val="auto"/>
        </w:rPr>
        <w:t>Except as otherwise approved by the Committee and set forth in the pertinent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in the event that a Participant who is an Employee, during his or her lifetime has been on leave of absence for a period of greater than twelve</w:t>
      </w:r>
    </w:p>
    <w:p>
      <w:pPr>
        <w:spacing w:after="0" w:line="1" w:lineRule="exact"/>
        <w:rPr>
          <w:sz w:val="20"/>
          <w:szCs w:val="20"/>
          <w:color w:val="auto"/>
        </w:rPr>
      </w:pPr>
    </w:p>
    <w:p>
      <w:pPr>
        <w:ind w:right="80" w:firstLine="8"/>
        <w:spacing w:after="0" w:line="281" w:lineRule="auto"/>
        <w:tabs>
          <w:tab w:leader="none" w:pos="345" w:val="left"/>
        </w:tabs>
        <w:numPr>
          <w:ilvl w:val="0"/>
          <w:numId w:val="45"/>
        </w:numPr>
        <w:rPr>
          <w:rFonts w:ascii="Arial" w:cs="Arial" w:eastAsia="Arial" w:hAnsi="Arial"/>
          <w:sz w:val="16"/>
          <w:szCs w:val="16"/>
          <w:color w:val="auto"/>
        </w:rPr>
      </w:pPr>
      <w:r>
        <w:rPr>
          <w:rFonts w:ascii="Arial" w:cs="Arial" w:eastAsia="Arial" w:hAnsi="Arial"/>
          <w:sz w:val="16"/>
          <w:szCs w:val="16"/>
          <w:color w:val="auto"/>
        </w:rPr>
        <w:t>months (except a leave of absence approved by the Board or the Committee, as the case may be), or ceases to be an Employee of the Company or of any Subsidiary for any reason, including retirement, the portion of any SAR or Option which is not exercisable on the date on which the Participant ceased to be an Employee or has been on leave for over twelve (12) months (except a leave of absence approved by the Board or the Committee, as the case may be) shall expire on such date and any unexercised portion thereof which was otherwise exercisable on such date shall expire unless exercised within a period of three</w:t>
      </w:r>
    </w:p>
    <w:p>
      <w:pPr>
        <w:spacing w:after="0" w:line="2" w:lineRule="exact"/>
        <w:rPr>
          <w:rFonts w:ascii="Arial" w:cs="Arial" w:eastAsia="Arial" w:hAnsi="Arial"/>
          <w:sz w:val="16"/>
          <w:szCs w:val="16"/>
          <w:color w:val="auto"/>
        </w:rPr>
      </w:pPr>
    </w:p>
    <w:p>
      <w:pPr>
        <w:ind w:firstLine="8"/>
        <w:spacing w:after="0" w:line="269" w:lineRule="auto"/>
        <w:tabs>
          <w:tab w:leader="none" w:pos="2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months from such date, but in no event after the expiration of the term for which the SAR or Option was granted; provided, however, that in the case of an awardee of a SAR or a NQSO who is an “Approved Retiree” (as hereinafter defined), the SAR or NQSO shall continue to vest for up to five years from the date of retirement and said awardee may exercise such SAR or NQSO, as applicable, until the soonest to occur of (i) the expiration of such SAR or NQSO in accordance with its original term; (ii) the expiration of five (5) years from the date of retirement; or (iii) with respect to SARs or Options granted less than one year before the date the Approved Retiree retires, expiration of the SAR or Option on such retirement date, except not with respect to that portion of the SARs or Options equal to such number of shares multiplied by the ratio of (I) the number of days between the grant date and the retirement date inclusive, over (II) the number of days in the twelve (12) month period following the grant date.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the preceding paragraph, if the Committee subsequently determines, in its sole discretion, that an Approved Retiree has violated the provisions of the agreement to refrain from Engaging in Competition, or has engaged in willful acts or omissions or acts or omissions of gross negligence that are or potentially are injurious to the Company’s operations, financial condition or business reputation, all SARs and Options shall be cancelled without consideration immediately.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31" w:name="page132"/>
    <w:bookmarkEnd w:id="131"/>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of the death of an awardee during the three (3) month period described above for exercise of a SAR or an Option by a terminated awardee or one on leave for over twelve (12) months (except a leave of absence approved by the Board or the Committee, as the case may be), the Option shall be exercisable by the awardee’s personal representatives, heirs or legatees to the same extent and during the same period that the awardee could have exercised the SAR or Option if the awardee had not died.</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Notwithstanding anything in Article 6.5 to the contrary, in the event of the death of an awardee while an Employee or Approved Retiree of the Company or any Subsidiary, an outstanding SAR or Option held by such awardee upon death shall become fully vested upon death and shall be exercisable by the awardee’s personal representatives, heirs or legatees at any time prior to the expiration of one (1) year from the date of death of the awardee, but in no event after the expiration of the term for which the SAR or Option was granted.</w:t>
      </w:r>
    </w:p>
    <w:p>
      <w:pPr>
        <w:spacing w:after="0" w:line="183" w:lineRule="exact"/>
        <w:rPr>
          <w:sz w:val="20"/>
          <w:szCs w:val="20"/>
          <w:color w:val="auto"/>
        </w:rPr>
      </w:pPr>
    </w:p>
    <w:p>
      <w:pPr>
        <w:jc w:val="both"/>
        <w:ind w:right="680" w:firstLine="456"/>
        <w:spacing w:after="0" w:line="289" w:lineRule="auto"/>
        <w:rPr>
          <w:sz w:val="20"/>
          <w:szCs w:val="20"/>
          <w:color w:val="auto"/>
        </w:rPr>
      </w:pPr>
      <w:r>
        <w:rPr>
          <w:rFonts w:ascii="Arial" w:cs="Arial" w:eastAsia="Arial" w:hAnsi="Arial"/>
          <w:sz w:val="17"/>
          <w:szCs w:val="17"/>
          <w:b w:val="1"/>
          <w:bCs w:val="1"/>
          <w:color w:val="auto"/>
        </w:rPr>
        <w:t xml:space="preserve">6.9 Nontransferability of SARs and Options. </w:t>
      </w:r>
      <w:r>
        <w:rPr>
          <w:rFonts w:ascii="Arial" w:cs="Arial" w:eastAsia="Arial" w:hAnsi="Arial"/>
          <w:sz w:val="17"/>
          <w:szCs w:val="17"/>
          <w:color w:val="auto"/>
        </w:rPr>
        <w:t>No SAR, NQSO or ISO granted under the Plan may be sold, transferred, pledged, assigned,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alienated or hypothecated, other than by will or by the laws of descent and distribution. Further, all SARS, NQSOs and ISOs granted to a Participant under the Plan shall be exercisable during his or her lifetime only by such Participant.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Restricted Stock</w:t>
      </w:r>
    </w:p>
    <w:p>
      <w:pPr>
        <w:spacing w:after="0" w:line="11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7.1 Grant of Restricted Stock. </w:t>
      </w:r>
      <w:r>
        <w:rPr>
          <w:rFonts w:ascii="Arial" w:cs="Arial" w:eastAsia="Arial" w:hAnsi="Arial"/>
          <w:sz w:val="18"/>
          <w:szCs w:val="18"/>
          <w:color w:val="auto"/>
        </w:rPr>
        <w:t>Subject to the terms and provisions of the Plan, the Committee, at any time and from time to time, may grant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to Employees in such amounts as the Committee shall determine.</w:t>
      </w:r>
    </w:p>
    <w:p>
      <w:pPr>
        <w:spacing w:after="0" w:line="162" w:lineRule="exact"/>
        <w:rPr>
          <w:sz w:val="20"/>
          <w:szCs w:val="20"/>
          <w:color w:val="auto"/>
        </w:rPr>
      </w:pPr>
    </w:p>
    <w:p>
      <w:pPr>
        <w:ind w:right="540" w:firstLine="456"/>
        <w:spacing w:after="0" w:line="347" w:lineRule="auto"/>
        <w:rPr>
          <w:sz w:val="20"/>
          <w:szCs w:val="20"/>
          <w:color w:val="auto"/>
        </w:rPr>
      </w:pPr>
      <w:r>
        <w:rPr>
          <w:rFonts w:ascii="Arial" w:cs="Arial" w:eastAsia="Arial" w:hAnsi="Arial"/>
          <w:sz w:val="16"/>
          <w:szCs w:val="16"/>
          <w:b w:val="1"/>
          <w:bCs w:val="1"/>
          <w:color w:val="auto"/>
        </w:rPr>
        <w:t xml:space="preserve">7.2 Restricted Stock Agreement. </w:t>
      </w:r>
      <w:r>
        <w:rPr>
          <w:rFonts w:ascii="Arial" w:cs="Arial" w:eastAsia="Arial" w:hAnsi="Arial"/>
          <w:sz w:val="16"/>
          <w:szCs w:val="16"/>
          <w:color w:val="auto"/>
        </w:rPr>
        <w:t>Each Restricted Stock grant shall be evidenced by a Restricted Stock Award Agreement that shall specify the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of Restriction, the number of Shares of Restricted Stock granted, and such other provisions as the Committee shall determine.</w:t>
      </w:r>
    </w:p>
    <w:p>
      <w:pPr>
        <w:spacing w:after="0" w:line="11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7.3 Transferability. </w:t>
      </w:r>
      <w:r>
        <w:rPr>
          <w:rFonts w:ascii="Arial" w:cs="Arial" w:eastAsia="Arial" w:hAnsi="Arial"/>
          <w:sz w:val="18"/>
          <w:szCs w:val="18"/>
          <w:color w:val="auto"/>
        </w:rPr>
        <w:t>Except as provided in this Article 7, the Shares of Restricted Stock granted hereof may not be sold, transferred, pledged,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alienated or hypothecated until the end of the applicable Period of Restriction established by the Committee and specified in the Restricted Stock Award Agreement, or upon earlier satisfaction of any other conditions, as specified by the Committee in its sole discretion and set forth in the Restricted Stock Award Agreement. All rights with respect to the Restricted Stock granted to a Participant under the Plan shall be available during his or her lifetime only to such Participant.</w:t>
      </w:r>
    </w:p>
    <w:p>
      <w:pPr>
        <w:spacing w:after="0" w:line="184"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 xml:space="preserve">7.4 Other Restrictions. </w:t>
      </w:r>
      <w:r>
        <w:rPr>
          <w:rFonts w:ascii="Arial" w:cs="Arial" w:eastAsia="Arial" w:hAnsi="Arial"/>
          <w:sz w:val="16"/>
          <w:szCs w:val="16"/>
          <w:color w:val="auto"/>
        </w:rPr>
        <w:t>The Committee shall impose such conditions and/or restrictions on any Shares of Restricted Stock granted pursuant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as it may deem advisable including, without limitation, a requirement that Participants pay a stipulated purchase price for each Share of Restricted Stock, restrictions based upon the achievement of specific performance objectives (Company-wide, business unit, and/or individual), time-based restrictions on vesting following the attainment of the performance objectives, and/or restrictions under applicable Federal or state securities laws.</w:t>
      </w:r>
    </w:p>
    <w:p>
      <w:pPr>
        <w:spacing w:after="0" w:line="15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 shall retain the certificates representing Shares of Restricted Stock in the Company’s possession until such time as all conditions and/or restrictions applicable to such Shares have been satisfied.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Except as otherwise provided in this Article 7, Shares of Restricted Stock covered by each Restricted Stock grant made under the Plan shall become freely transferable by the Participant after the last day of the applicable Period of Restriction.</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Distribution of Shares of Restricted Stock is conditioned upon the Participant not committing any criminal offense or malicious tort relating to or against the Company or, as determined by the Committee in its sole discretion, engaging in willful acts or omissions or acts or omissions of gross negligence that are or potentially are injurious to the company’s operations, financial condition or business reputation.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32" w:name="page133"/>
    <w:bookmarkEnd w:id="132"/>
    <w:p>
      <w:pPr>
        <w:ind w:right="1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7.5 Voting Rights. </w:t>
      </w:r>
      <w:r>
        <w:rPr>
          <w:rFonts w:ascii="Arial" w:cs="Arial" w:eastAsia="Arial" w:hAnsi="Arial"/>
          <w:sz w:val="18"/>
          <w:szCs w:val="18"/>
          <w:color w:val="auto"/>
        </w:rPr>
        <w:t>During the Period of Restriction, Participants holding Shares of Restricted Stock granted hereunder may exercise full voting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those Shares.</w:t>
      </w:r>
    </w:p>
    <w:p>
      <w:pPr>
        <w:spacing w:after="0" w:line="162"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7.6 Dividends and Other Distributions. </w:t>
      </w:r>
      <w:r>
        <w:rPr>
          <w:rFonts w:ascii="Arial" w:cs="Arial" w:eastAsia="Arial" w:hAnsi="Arial"/>
          <w:sz w:val="18"/>
          <w:szCs w:val="18"/>
          <w:color w:val="auto"/>
        </w:rPr>
        <w:t>During the Period of Restriction, Participants holding Shares of Restricted Stock granted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credited with regular dividends paid with respect to the underlying Shares while they are so held. Such dividends may be paid currently or converted into additional shares of Restricted Stock, upon such terms as the Committee establishes.</w:t>
      </w:r>
    </w:p>
    <w:p>
      <w:pPr>
        <w:spacing w:after="0" w:line="18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Committee may apply any restrictions to the dividends that the Committee deems appropriate. Without limiting the generality of the preceding sentence, if the grant or vesting of Restricted Stock granted to a Covered Employee is designed to comply with the requirements of the Performance-Based Exception, the Committee may apply any restrictions it deems appropriate to the payment of dividends declared with respect to such Restricted Stock, such that the dividends and/or the Restricted Stock maintain eligibility for the Performance-Based Exception.</w:t>
      </w:r>
    </w:p>
    <w:p>
      <w:pPr>
        <w:spacing w:after="0" w:line="16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7.7 Termination of Employment. </w:t>
      </w:r>
      <w:r>
        <w:rPr>
          <w:rFonts w:ascii="Arial" w:cs="Arial" w:eastAsia="Arial" w:hAnsi="Arial"/>
          <w:sz w:val="17"/>
          <w:szCs w:val="17"/>
          <w:color w:val="auto"/>
        </w:rPr>
        <w:t>Except as otherwise approved by the Committee and set forth in the pertinent Award Agreement(s), (a) in the event</w:t>
      </w:r>
      <w:r>
        <w:rPr>
          <w:rFonts w:ascii="Arial" w:cs="Arial" w:eastAsia="Arial" w:hAnsi="Arial"/>
          <w:sz w:val="17"/>
          <w:szCs w:val="17"/>
          <w:b w:val="1"/>
          <w:bCs w:val="1"/>
          <w:color w:val="auto"/>
        </w:rPr>
        <w:t xml:space="preserve"> </w:t>
      </w:r>
      <w:r>
        <w:rPr>
          <w:rFonts w:ascii="Arial" w:cs="Arial" w:eastAsia="Arial" w:hAnsi="Arial"/>
          <w:sz w:val="17"/>
          <w:szCs w:val="17"/>
          <w:color w:val="auto"/>
        </w:rPr>
        <w:t>that a Participant’s employment with the Company is terminated during the Period of Restriction because the Participant is an Approved Retiree, the Committee shall have complete discretion in determining the percentage, if any, of a Participant’s outstanding Restricted Shares as to which the Period of Restriction shall end; (b) in the event a Participant’s employment with the Company is terminated because of the Participant’s Disability or death during the Period of Restriction, the Period of Restriction shall end and the Participant’s rights thereunder shall inure to the benefit of his or her Beneficiary; and (c) in the event that a Participant’s employment with the Company is terminated for any other reason during the Period of Restriction, such Participant’s outstanding Restricted Shares shall be forfeited to the Company without payment.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Restricted Stock Units</w:t>
      </w:r>
    </w:p>
    <w:p>
      <w:pPr>
        <w:spacing w:after="0" w:line="117"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 xml:space="preserve">8.1 RSUs. </w:t>
      </w:r>
      <w:r>
        <w:rPr>
          <w:rFonts w:ascii="Arial" w:cs="Arial" w:eastAsia="Arial" w:hAnsi="Arial"/>
          <w:sz w:val="18"/>
          <w:szCs w:val="18"/>
          <w:color w:val="auto"/>
        </w:rPr>
        <w:t>Subject to the terms and conditions of the Plan, the Committee, at any time and from time to time, may grant Awards of RSUs to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in such amounts as the Committee shall determine.</w:t>
      </w:r>
    </w:p>
    <w:p>
      <w:pPr>
        <w:spacing w:after="0" w:line="16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8.2 RSU and Common Share Rights. </w:t>
      </w:r>
      <w:r>
        <w:rPr>
          <w:rFonts w:ascii="Arial" w:cs="Arial" w:eastAsia="Arial" w:hAnsi="Arial"/>
          <w:sz w:val="16"/>
          <w:szCs w:val="16"/>
          <w:color w:val="auto"/>
        </w:rPr>
        <w:t>RSUs shall represent an Employee’s unsecured right to receive from the Company the transfer of title to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vesting schedule referenced in Article 8.3 below, provided that the Employee has satisfied the conditions of transfer set forth in Article 8.4 below. On each such vesting date, if it occurs, the Company shall transfer a corresponding number of Shares to an individual brokerage account established and maintained in the Employee’s name. The Employee shall have all the rights of a stockholder with respect to such Shares transferred to the brokerage account, including but not limited to the right to vote the Shares, to sell, transfer, liquidate or otherwise dispose of the Shares, and to receive all dividends or other distributions paid or made with respect to the Shares from the time they are deposited in the account. The Employee shall have no voting, transfer, liquidation, or other rights of a Share stockholder with respect to RSUs prior to such time that the corresponding Shares are transferred, if at all, to the Employee’s brokerage account. Notwithstanding the foregoing, RSU’s may be granted with dividend equivalent rights at the discretion of the Committee.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8.3 Vesting in RSUs. </w:t>
      </w:r>
      <w:r>
        <w:rPr>
          <w:rFonts w:ascii="Arial" w:cs="Arial" w:eastAsia="Arial" w:hAnsi="Arial"/>
          <w:sz w:val="17"/>
          <w:szCs w:val="17"/>
          <w:color w:val="auto"/>
        </w:rPr>
        <w:t>RSU Awards shall become vested in accordance with the vesting provisions set forth in the pertinent Award Agreements.</w:t>
      </w:r>
    </w:p>
    <w:p>
      <w:pPr>
        <w:spacing w:after="0" w:line="23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8.4 Conditions of Transfer. </w:t>
      </w:r>
      <w:r>
        <w:rPr>
          <w:rFonts w:ascii="Arial" w:cs="Arial" w:eastAsia="Arial" w:hAnsi="Arial"/>
          <w:sz w:val="18"/>
          <w:szCs w:val="18"/>
          <w:color w:val="auto"/>
        </w:rPr>
        <w:t>A transfer of Shares in accordance with paragraph 8.2 above shall be conditioned upon the Employee meeting both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 during the entire period from the grant date through the vesting date(s) relating to such RSUs:</w:t>
      </w:r>
    </w:p>
    <w:p>
      <w:pPr>
        <w:spacing w:after="0" w:line="58" w:lineRule="exact"/>
        <w:rPr>
          <w:sz w:val="20"/>
          <w:szCs w:val="20"/>
          <w:color w:val="auto"/>
        </w:rPr>
      </w:pPr>
    </w:p>
    <w:p>
      <w:pPr>
        <w:ind w:left="700" w:hanging="23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Employee must continue to be an active employee of the Company or one of its Subsidiaries; and</w:t>
      </w:r>
    </w:p>
    <w:p>
      <w:pPr>
        <w:spacing w:after="0" w:line="117" w:lineRule="exact"/>
        <w:rPr>
          <w:rFonts w:ascii="Arial" w:cs="Arial" w:eastAsia="Arial" w:hAnsi="Arial"/>
          <w:sz w:val="18"/>
          <w:szCs w:val="18"/>
          <w:color w:val="auto"/>
        </w:rPr>
      </w:pPr>
    </w:p>
    <w:p>
      <w:pPr>
        <w:ind w:right="380" w:firstLine="464"/>
        <w:spacing w:after="0" w:line="264" w:lineRule="auto"/>
        <w:tabs>
          <w:tab w:leader="none" w:pos="7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Employee must refrain from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33" w:name="page134"/>
    <w:bookmarkEnd w:id="133"/>
    <w:p>
      <w:pPr>
        <w:ind w:right="38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Employee fails to meet the requirements of Article 8.4(a) and (b), then the Employee shall forfeit the right to vest in any RSUs that have not already vested as of the time such failure is determined, and the Employee shall accordingly forfeit the right to receive the transfer of title to any corresponding Shares. The forfeiture of rights with respect to unvested RSUs (and corresponding Shares) shall not affect the rights of the Employee with respect to any RSUs that already have vested nor with respect to any Shares the title of which has already been transferred to the Employee’s brokerage account.</w:t>
      </w:r>
    </w:p>
    <w:p>
      <w:pPr>
        <w:spacing w:after="0" w:line="184"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8.5 Effect of Termination of Employment. </w:t>
      </w:r>
      <w:r>
        <w:rPr>
          <w:rFonts w:ascii="Arial" w:cs="Arial" w:eastAsia="Arial" w:hAnsi="Arial"/>
          <w:sz w:val="18"/>
          <w:szCs w:val="18"/>
          <w:color w:val="auto"/>
        </w:rPr>
        <w:t>Notwithstanding contrary provisions of this Article 8, except as otherwise approved by the Committee and</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pertinent Award Agreement(s):</w:t>
      </w:r>
    </w:p>
    <w:p>
      <w:pPr>
        <w:spacing w:after="0" w:line="58" w:lineRule="exact"/>
        <w:rPr>
          <w:sz w:val="20"/>
          <w:szCs w:val="20"/>
          <w:color w:val="auto"/>
        </w:rPr>
      </w:pPr>
    </w:p>
    <w:p>
      <w:pPr>
        <w:ind w:firstLine="464"/>
        <w:spacing w:after="0" w:line="259"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event the Employee’s employment is terminated prior to the relevant vesting date on account of death, and if the Employee had otherwise met the requirements of Article 8.4(a) and (b) from the grant date through the date of such death, then the Employee’s unvested RSUs shall immediately vest in full upon death and the Employee’s rights hereunder with respect to any such RSUs shall inure to the benefit of the Employee’s executors, administrators, personal representatives and assigns.</w:t>
      </w:r>
    </w:p>
    <w:p>
      <w:pPr>
        <w:spacing w:after="0" w:line="78" w:lineRule="exact"/>
        <w:rPr>
          <w:rFonts w:ascii="Arial" w:cs="Arial" w:eastAsia="Arial" w:hAnsi="Arial"/>
          <w:sz w:val="18"/>
          <w:szCs w:val="18"/>
          <w:color w:val="auto"/>
        </w:rPr>
      </w:pPr>
    </w:p>
    <w:p>
      <w:pPr>
        <w:ind w:right="20" w:firstLine="464"/>
        <w:spacing w:after="0" w:line="291" w:lineRule="auto"/>
        <w:tabs>
          <w:tab w:leader="none" w:pos="711"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event Employee’s employment is terminated prior to the relevant vesting date on account of the Employee having a Disability or being an Approved Retiree, and if the Employee had otherwise met the requirements of Article 8.4(a) and (b) from the grant date through the date of the termination of employment date, and provided that the Employee continues to meet the requirements of Article 8.4(b), then the Employee’s rights hereunder with respect to any outstanding, unvested RSUs shall continue in the same manner as if the Employee continued to meet the continuous employment requirement of Article 8.4(a) through the vesting dates related to the Award, except not for that portion of RSUs granted less than one (1) year prior to the Employee’s termination equal to such number of shares multiplied by the ratio of (A) the number of days after the termination date and before the first (1</w:t>
      </w:r>
      <w:r>
        <w:rPr>
          <w:rFonts w:ascii="Arial" w:cs="Arial" w:eastAsia="Arial" w:hAnsi="Arial"/>
          <w:sz w:val="13"/>
          <w:szCs w:val="13"/>
          <w:color w:val="auto"/>
        </w:rPr>
        <w:t>st</w:t>
      </w:r>
      <w:r>
        <w:rPr>
          <w:rFonts w:ascii="Arial" w:cs="Arial" w:eastAsia="Arial" w:hAnsi="Arial"/>
          <w:sz w:val="16"/>
          <w:szCs w:val="16"/>
          <w:color w:val="auto"/>
        </w:rPr>
        <w:t>) anniversary of the grant date, over (B) the number of days on and after the grant date and before the first (1</w:t>
      </w:r>
      <w:r>
        <w:rPr>
          <w:rFonts w:ascii="Arial" w:cs="Arial" w:eastAsia="Arial" w:hAnsi="Arial"/>
          <w:sz w:val="13"/>
          <w:szCs w:val="13"/>
          <w:color w:val="auto"/>
        </w:rPr>
        <w:t>st</w:t>
      </w:r>
      <w:r>
        <w:rPr>
          <w:rFonts w:ascii="Arial" w:cs="Arial" w:eastAsia="Arial" w:hAnsi="Arial"/>
          <w:sz w:val="16"/>
          <w:szCs w:val="16"/>
          <w:color w:val="auto"/>
        </w:rPr>
        <w:t>) anniversary of the grant date.</w:t>
      </w:r>
    </w:p>
    <w:p>
      <w:pPr>
        <w:spacing w:after="0" w:line="59" w:lineRule="exact"/>
        <w:rPr>
          <w:rFonts w:ascii="Arial" w:cs="Arial" w:eastAsia="Arial" w:hAnsi="Arial"/>
          <w:sz w:val="16"/>
          <w:szCs w:val="16"/>
          <w:color w:val="auto"/>
        </w:rPr>
      </w:pPr>
    </w:p>
    <w:p>
      <w:pPr>
        <w:ind w:right="380" w:firstLine="464"/>
        <w:spacing w:after="0" w:line="308" w:lineRule="auto"/>
        <w:tabs>
          <w:tab w:leader="none" w:pos="701"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the event Employee’s employment is terminated prior to the relevant vesting date for any reason other than those circumstances described in paragraphs (a) and (b) of this Article 8.5, such Employee’s outstanding RSUs shall be forfeited to the Company without payment.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Other Awards</w:t>
      </w:r>
    </w:p>
    <w:p>
      <w:pPr>
        <w:spacing w:after="0" w:line="11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9.1 Grant of Other Share-Based Awards. </w:t>
      </w:r>
      <w:r>
        <w:rPr>
          <w:rFonts w:ascii="Arial" w:cs="Arial" w:eastAsia="Arial" w:hAnsi="Arial"/>
          <w:sz w:val="18"/>
          <w:szCs w:val="18"/>
          <w:color w:val="auto"/>
        </w:rPr>
        <w:t>The Committee may grant Other Share-Based Awards to Participants in such number, and upon such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at any time and from time to time, as shall be determined by the Committee.</w:t>
      </w:r>
    </w:p>
    <w:p>
      <w:pPr>
        <w:spacing w:after="0" w:line="162" w:lineRule="exact"/>
        <w:rPr>
          <w:sz w:val="20"/>
          <w:szCs w:val="20"/>
          <w:color w:val="auto"/>
        </w:rPr>
      </w:pPr>
    </w:p>
    <w:p>
      <w:pPr>
        <w:jc w:val="both"/>
        <w:ind w:right="300" w:firstLine="456"/>
        <w:spacing w:after="0" w:line="261" w:lineRule="auto"/>
        <w:rPr>
          <w:sz w:val="20"/>
          <w:szCs w:val="20"/>
          <w:color w:val="auto"/>
        </w:rPr>
      </w:pPr>
      <w:r>
        <w:rPr>
          <w:rFonts w:ascii="Arial" w:cs="Arial" w:eastAsia="Arial" w:hAnsi="Arial"/>
          <w:sz w:val="18"/>
          <w:szCs w:val="18"/>
          <w:b w:val="1"/>
          <w:bCs w:val="1"/>
          <w:color w:val="auto"/>
        </w:rPr>
        <w:t xml:space="preserve">9.2 Terms of Other Share-Based Awards. </w:t>
      </w:r>
      <w:r>
        <w:rPr>
          <w:rFonts w:ascii="Arial" w:cs="Arial" w:eastAsia="Arial" w:hAnsi="Arial"/>
          <w:sz w:val="18"/>
          <w:szCs w:val="18"/>
          <w:color w:val="auto"/>
        </w:rPr>
        <w:t>Other Share-Based Awards shall contain such terms and conditions as the Committee may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specify and may be denominated in cash, in Shares, in Share-equivalent units, in Share appreciation units, in securities or debentures convertible into Shares or in a combination of the foregoing and may be paid in cash or in Shares, all as determined by the Committee. Other Share-Based Awards may be issued alone or in tandem with other Awards granted to Employees.</w:t>
      </w:r>
    </w:p>
    <w:p>
      <w:pPr>
        <w:spacing w:after="0" w:line="180"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9.3 Other Share-Based Award Agreement. </w:t>
      </w:r>
      <w:r>
        <w:rPr>
          <w:rFonts w:ascii="Arial" w:cs="Arial" w:eastAsia="Arial" w:hAnsi="Arial"/>
          <w:sz w:val="18"/>
          <w:szCs w:val="18"/>
          <w:color w:val="auto"/>
        </w:rPr>
        <w:t>Each Other Share-Based Award shall be evidenced by an Award Agreement that shall specify such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as the Committee shall determine.</w:t>
      </w:r>
    </w:p>
    <w:p>
      <w:pPr>
        <w:spacing w:after="0" w:line="162"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b w:val="1"/>
          <w:bCs w:val="1"/>
          <w:color w:val="auto"/>
        </w:rPr>
        <w:t xml:space="preserve">9.4 Other Cash Performance-Based Awards. </w:t>
      </w:r>
      <w:r>
        <w:rPr>
          <w:rFonts w:ascii="Arial" w:cs="Arial" w:eastAsia="Arial" w:hAnsi="Arial"/>
          <w:sz w:val="16"/>
          <w:szCs w:val="16"/>
          <w:color w:val="auto"/>
        </w:rPr>
        <w:t>The Committee may grant Other Cash Performance-Based Awards based on performance measures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in Article10 not based on Shares upon such terms and at any time and from time to time as shall be determined by the Committee. Each such Other Cash Performance-Based Award shall be evidenced by an award agreement that shall specify such terms and conditions as the Committee shall determine. An Other Cash Performance-Based Award not based upon Shares shall not decrease the number of Shares under Article 4 that may be issued pursuant to other Awards. No individual shall be eligible to receive a payment with respect to cash performance-based awards in excess of $4 million in any one-year performance period (the “Annual Maximum”) or, in the case of a performance period greater than one year, the Annual Maximum multiplied by the number of full years in the performance period. Other Cash Performance-Based Awards may relate to annual bonus or long-term performance awards.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10. Performance Measures for Awards</w:t>
      </w:r>
    </w:p>
    <w:p>
      <w:pPr>
        <w:spacing w:after="0" w:line="117" w:lineRule="exact"/>
        <w:rPr>
          <w:sz w:val="20"/>
          <w:szCs w:val="20"/>
          <w:color w:val="auto"/>
        </w:rPr>
      </w:pPr>
    </w:p>
    <w:p>
      <w:pPr>
        <w:ind w:right="40" w:firstLine="456"/>
        <w:spacing w:after="0" w:line="303" w:lineRule="auto"/>
        <w:rPr>
          <w:sz w:val="20"/>
          <w:szCs w:val="20"/>
          <w:color w:val="auto"/>
        </w:rPr>
      </w:pPr>
      <w:r>
        <w:rPr>
          <w:rFonts w:ascii="Arial" w:cs="Arial" w:eastAsia="Arial" w:hAnsi="Arial"/>
          <w:sz w:val="16"/>
          <w:szCs w:val="16"/>
          <w:b w:val="1"/>
          <w:bCs w:val="1"/>
          <w:color w:val="auto"/>
        </w:rPr>
        <w:t xml:space="preserve">10.1 Performance Measures. </w:t>
      </w:r>
      <w:r>
        <w:rPr>
          <w:rFonts w:ascii="Arial" w:cs="Arial" w:eastAsia="Arial" w:hAnsi="Arial"/>
          <w:sz w:val="16"/>
          <w:szCs w:val="16"/>
          <w:color w:val="auto"/>
        </w:rPr>
        <w:t>Unless and until the Committee proposes for shareholder vote and shareholders approve a change in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measures set forth in this Article 10, the attainment of which may determine the degree of payout and/or vesting with respect to Awards granted to Covered Employees which are designed to qualify for the Performance-Based Exception, the performance measure(s) to be used for purposes of such Awards shall be chosen from among any one or more of the following performance criteria, or derivations of such performance criteria:</w:t>
      </w:r>
    </w:p>
    <w:p>
      <w:pPr>
        <w:spacing w:after="0" w:line="6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Sales Revenue,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Organic sales growth,</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flows,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flow efficiency,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Financial reported earnings,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Economic earnings,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Appreciation in the Fair Market Value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Total Shareholder Return,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margins,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(“EBITDA”) (consolidated or business unit),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Earnings before or after taxes,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Volume per guest,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Associate engagement,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Owner/franchisee satisfaction,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Timeshare sales volume,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Timeshare cost,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Marketing and sales corporate overhead.</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above performance measures may be used either individually, alternatively or in any combination and established at a subsidiary or business unit level or at a consolidated Company level, in each case as specified by the Committee. Achievement of any of the performance measures above may be measured either annually or cumulatively over a period of years, on an absolute basis or relative to a pre-established target, to previous years’ results or to the performance of a designated group of companies, in each case as specified by the Committee.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0" w:right="299" w:bottom="1440" w:gutter="0" w:footer="0" w:header="0"/>
        </w:sectPr>
      </w:pPr>
    </w:p>
    <w:bookmarkStart w:id="135" w:name="page136"/>
    <w:bookmarkEnd w:id="135"/>
    <w:p>
      <w:pPr>
        <w:ind w:right="80" w:firstLine="456"/>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10.2 Adjustments. </w:t>
      </w:r>
      <w:r>
        <w:rPr>
          <w:rFonts w:ascii="Arial" w:cs="Arial" w:eastAsia="Arial" w:hAnsi="Arial"/>
          <w:sz w:val="17"/>
          <w:szCs w:val="17"/>
          <w:color w:val="auto"/>
        </w:rPr>
        <w:t>The Committee shall have the discretion to adjust the determinations of the degree of attainment of the preestablished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objectives; provided, however, that Awards that are designed to qualify for the Performance-Based Exception and that are held by Covered Employees may not be adjusted upward (the Committee shall retain the discretion to adjust such Awards downward).</w:t>
      </w:r>
    </w:p>
    <w:p>
      <w:pPr>
        <w:spacing w:after="0" w:line="158" w:lineRule="exact"/>
        <w:rPr>
          <w:sz w:val="20"/>
          <w:szCs w:val="20"/>
          <w:color w:val="auto"/>
        </w:rPr>
      </w:pPr>
    </w:p>
    <w:p>
      <w:pPr>
        <w:ind w:right="460" w:firstLine="456"/>
        <w:spacing w:after="0" w:line="303" w:lineRule="auto"/>
        <w:rPr>
          <w:sz w:val="20"/>
          <w:szCs w:val="20"/>
          <w:color w:val="auto"/>
        </w:rPr>
      </w:pPr>
      <w:r>
        <w:rPr>
          <w:rFonts w:ascii="Arial" w:cs="Arial" w:eastAsia="Arial" w:hAnsi="Arial"/>
          <w:sz w:val="16"/>
          <w:szCs w:val="16"/>
          <w:b w:val="1"/>
          <w:bCs w:val="1"/>
          <w:color w:val="auto"/>
        </w:rPr>
        <w:t xml:space="preserve">10.3 Committee Discretion. </w:t>
      </w:r>
      <w:r>
        <w:rPr>
          <w:rFonts w:ascii="Arial" w:cs="Arial" w:eastAsia="Arial" w:hAnsi="Arial"/>
          <w:sz w:val="16"/>
          <w:szCs w:val="16"/>
          <w:color w:val="auto"/>
        </w:rPr>
        <w:t>In the event that applicable tax and/or securities laws change to permit Committee discretion to alter the governing</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measures without obtaining shareholder approval of such changes, the Committee shall have sole discretion to make such changes without obtaining shareholder approval. In addition, in the event that the Committee determines that it is advisable to grant Awards that do not qualify for the Performance-Based Exception; the Committee may make such grants without satisfying the requirements of Code Section 162(m).</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Directors’ Share Awards, Fee Deferral Elections, and Director SARs and Options</w:t>
      </w:r>
    </w:p>
    <w:p>
      <w:pPr>
        <w:spacing w:after="0" w:line="11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11.1 Eligibility. </w:t>
      </w:r>
      <w:r>
        <w:rPr>
          <w:rFonts w:ascii="Arial" w:cs="Arial" w:eastAsia="Arial" w:hAnsi="Arial"/>
          <w:sz w:val="18"/>
          <w:szCs w:val="18"/>
          <w:color w:val="auto"/>
        </w:rPr>
        <w:t>Only Non-Employee Directors shall be eligible to receive Non-Employee Director Share Awards and Director SARs and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Fee Deferral Elections. All such awards are subject to prior approval by the Committee.</w:t>
      </w:r>
    </w:p>
    <w:p>
      <w:pPr>
        <w:spacing w:after="0" w:line="162" w:lineRule="exact"/>
        <w:rPr>
          <w:sz w:val="20"/>
          <w:szCs w:val="20"/>
          <w:color w:val="auto"/>
        </w:rPr>
      </w:pPr>
    </w:p>
    <w:p>
      <w:pPr>
        <w:jc w:val="both"/>
        <w:ind w:right="280" w:firstLine="456"/>
        <w:spacing w:after="0" w:line="289" w:lineRule="auto"/>
        <w:rPr>
          <w:sz w:val="20"/>
          <w:szCs w:val="20"/>
          <w:color w:val="auto"/>
        </w:rPr>
      </w:pPr>
      <w:r>
        <w:rPr>
          <w:rFonts w:ascii="Arial" w:cs="Arial" w:eastAsia="Arial" w:hAnsi="Arial"/>
          <w:sz w:val="17"/>
          <w:szCs w:val="17"/>
          <w:b w:val="1"/>
          <w:bCs w:val="1"/>
          <w:color w:val="auto"/>
        </w:rPr>
        <w:t xml:space="preserve">11.2 Non-Employee Director Share Awards. </w:t>
      </w:r>
      <w:r>
        <w:rPr>
          <w:rFonts w:ascii="Arial" w:cs="Arial" w:eastAsia="Arial" w:hAnsi="Arial"/>
          <w:sz w:val="17"/>
          <w:szCs w:val="17"/>
          <w:color w:val="auto"/>
        </w:rPr>
        <w:t>On the first (1</w:t>
      </w:r>
      <w:r>
        <w:rPr>
          <w:rFonts w:ascii="Arial" w:cs="Arial" w:eastAsia="Arial" w:hAnsi="Arial"/>
          <w:sz w:val="14"/>
          <w:szCs w:val="14"/>
          <w:color w:val="auto"/>
        </w:rPr>
        <w:t>st</w:t>
      </w:r>
      <w:r>
        <w:rPr>
          <w:rFonts w:ascii="Arial" w:cs="Arial" w:eastAsia="Arial" w:hAnsi="Arial"/>
          <w:sz w:val="17"/>
          <w:szCs w:val="17"/>
          <w:color w:val="auto"/>
        </w:rPr>
        <w:t>) full trading day immediately following each Annual Meeting, each Non-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designated by the Board may receive a Non-Employee Director Share Award of a number of Shares determined by the Board before such Annual Meeting. Each Non-Employee Director Share Award shall be fully vested and nonforfeitable when granted.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11.3 Fee Deferral Elections.</w:t>
      </w:r>
    </w:p>
    <w:p>
      <w:pPr>
        <w:spacing w:after="0" w:line="121" w:lineRule="exact"/>
        <w:rPr>
          <w:sz w:val="20"/>
          <w:szCs w:val="20"/>
          <w:color w:val="auto"/>
        </w:rPr>
      </w:pPr>
    </w:p>
    <w:p>
      <w:pPr>
        <w:ind w:firstLine="464"/>
        <w:spacing w:after="0" w:line="291" w:lineRule="auto"/>
        <w:tabs>
          <w:tab w:leader="none" w:pos="701"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Elections to Defer Payment of Fees. </w:t>
      </w:r>
      <w:r>
        <w:rPr>
          <w:rFonts w:ascii="Arial" w:cs="Arial" w:eastAsia="Arial" w:hAnsi="Arial"/>
          <w:sz w:val="16"/>
          <w:szCs w:val="16"/>
          <w:color w:val="auto"/>
        </w:rPr>
        <w:t>Payment of all or any part of any Fees payable to a Non-Employee Director may be deferred by election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Non-Employee Director. Each such election must be made in writing on a form prescribed by the Committee and irrevocably delivered to the Company in the year preceding the year which commences with the next Annual Meeting (the “Election Year”), and must be irrevocable for such Election Year. Deferral elections for Election Year 2014-2015 and later Election Years may include a separate election regarding whether to receive dividend equivalent units under Article 11.3(d) that relate solely to Fees deferred in such years in the form of additional Stock Units or an immediate cash payment; provided that, to the extent no such election is provided or made, the Non-Employee Director will be deemed to have elected to receive dividend equivalent units in the form of additional Stock Units. No election may be made under this Article 11.3(a) with respect to Fees for which an election is made under Article 11.5.</w:t>
      </w:r>
    </w:p>
    <w:p>
      <w:pPr>
        <w:spacing w:after="0" w:line="167" w:lineRule="exact"/>
        <w:rPr>
          <w:rFonts w:ascii="Arial" w:cs="Arial" w:eastAsia="Arial" w:hAnsi="Arial"/>
          <w:sz w:val="16"/>
          <w:szCs w:val="16"/>
          <w:color w:val="auto"/>
        </w:rPr>
      </w:pPr>
    </w:p>
    <w:p>
      <w:pPr>
        <w:ind w:right="140" w:firstLine="464"/>
        <w:spacing w:after="0" w:line="302" w:lineRule="auto"/>
        <w:tabs>
          <w:tab w:leader="none" w:pos="711"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Crediting Stock Units to Accounts</w:t>
      </w:r>
      <w:r>
        <w:rPr>
          <w:rFonts w:ascii="Arial" w:cs="Arial" w:eastAsia="Arial" w:hAnsi="Arial"/>
          <w:sz w:val="16"/>
          <w:szCs w:val="16"/>
          <w:color w:val="auto"/>
        </w:rPr>
        <w:t>. Amounts deferred pursuant to a Fee Deferral Election shall be credited as of the date of the deferral to a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 Account in Stock Units. The number of Stock Units credited to a Stock Unit Account with respect to any Non-Employee Director shall equal (i) the amount deferred pursuant to the Fee Deferral Election divided by (ii) the Fair Market Value of a Share on the date on which the Fees subject to the Fee Deferral Election would have been paid but for the Fee Deferral Election, with fractional units calculated to at least three (3) decimal places.</w:t>
      </w:r>
    </w:p>
    <w:p>
      <w:pPr>
        <w:spacing w:after="0" w:line="154" w:lineRule="exact"/>
        <w:rPr>
          <w:rFonts w:ascii="Arial" w:cs="Arial" w:eastAsia="Arial" w:hAnsi="Arial"/>
          <w:sz w:val="16"/>
          <w:szCs w:val="16"/>
          <w:color w:val="auto"/>
        </w:rPr>
      </w:pPr>
    </w:p>
    <w:p>
      <w:pPr>
        <w:ind w:right="300" w:firstLine="464"/>
        <w:spacing w:after="0" w:line="277" w:lineRule="auto"/>
        <w:tabs>
          <w:tab w:leader="none" w:pos="701"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Fully Vested Stock Units. </w:t>
      </w:r>
      <w:r>
        <w:rPr>
          <w:rFonts w:ascii="Arial" w:cs="Arial" w:eastAsia="Arial" w:hAnsi="Arial"/>
          <w:sz w:val="18"/>
          <w:szCs w:val="18"/>
          <w:color w:val="auto"/>
        </w:rPr>
        <w:t>All Stock Units credited to a Non-Employee Director’s Stock Unit Account pursuant to this Article 11.3 shall be at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times fully vested and nonforfeitable.</w:t>
      </w:r>
    </w:p>
    <w:p>
      <w:pPr>
        <w:spacing w:after="0" w:line="170" w:lineRule="exact"/>
        <w:rPr>
          <w:rFonts w:ascii="Arial" w:cs="Arial" w:eastAsia="Arial" w:hAnsi="Arial"/>
          <w:sz w:val="18"/>
          <w:szCs w:val="18"/>
          <w:color w:val="auto"/>
        </w:rPr>
      </w:pPr>
    </w:p>
    <w:p>
      <w:pPr>
        <w:ind w:firstLine="464"/>
        <w:spacing w:after="0" w:line="288" w:lineRule="auto"/>
        <w:tabs>
          <w:tab w:leader="none" w:pos="711"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Credit of Dividend Equivalents. </w:t>
      </w:r>
      <w:r>
        <w:rPr>
          <w:rFonts w:ascii="Arial" w:cs="Arial" w:eastAsia="Arial" w:hAnsi="Arial"/>
          <w:sz w:val="16"/>
          <w:szCs w:val="16"/>
          <w:color w:val="auto"/>
        </w:rPr>
        <w:t>Each Stock Unit credited to a Director’s Stock Unit Account includes one dividend equivalent unit. As of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 payment date with respect to Shares, each Non-Employee Director shall have credited to his or her Stock Unit Account an additional number of Stock Units equal to the product of (i) the per-share cash dividend payable with respect to a Share on such dividend payment date multiplied by the number of dividend equivalent units credited to his or her Stock Unit Account as of the close of business on the record date for such dividend, divided by (ii) the Fair Market Value of a Share on such dividend payment date. Notwithstanding the foregoing, if a Non-Employee Director made a cash election with respect to dividend equivalent units pursuant to Article 11.3(a) (the “Cash-Settled Units”), then within 30 days after the dividend payment date, in lieu of the foregoing, the Non-Employee Director shall receive a cash payment equal to the product of (A) the per-share cash dividend payable with respect to a Share on such dividend payment date multiplied by (B) the number of Cash-Settled Units outstanding as of the close of business on the record date for such dividend. If dividends are paid on Shares in a form other than cash, then such dividends shall (I) if to be credited to the Stock Unit Account. either be notionally converted to cash or credited “in kind”, or (II) if to be paid in cash, notionally converted to cash if their value is readily determinable.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136" w:name="page137"/>
    <w:bookmarkEnd w:id="136"/>
    <w:p>
      <w:pPr>
        <w:ind w:right="100" w:firstLine="464"/>
        <w:spacing w:after="0" w:line="259" w:lineRule="auto"/>
        <w:tabs>
          <w:tab w:leader="none" w:pos="701"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Payment of Stock Units. </w:t>
      </w:r>
      <w:r>
        <w:rPr>
          <w:rFonts w:ascii="Arial" w:cs="Arial" w:eastAsia="Arial" w:hAnsi="Arial"/>
          <w:sz w:val="18"/>
          <w:szCs w:val="18"/>
          <w:color w:val="auto"/>
        </w:rPr>
        <w:t>Upon Termination of Service, the Stock Units credited to a Non-Employee Director’s Stock Unit Account shall be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Non-Employee Director in an equal number of shares of Stock in a single lump sum or in substantially equal annual installments over a period not to exceed ten (10) years, as irrevocably elected in writing by the Non-Employee Director at the time of the Non-Employee Director’s election to defer Fees under Article 11.3(a), pursuant to rules established from time to time by the Committee.</w:t>
      </w:r>
    </w:p>
    <w:p>
      <w:pPr>
        <w:spacing w:after="0" w:line="18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11.4 Unfunded Status. </w:t>
      </w:r>
      <w:r>
        <w:rPr>
          <w:rFonts w:ascii="Arial" w:cs="Arial" w:eastAsia="Arial" w:hAnsi="Arial"/>
          <w:sz w:val="18"/>
          <w:szCs w:val="18"/>
          <w:color w:val="auto"/>
        </w:rPr>
        <w:t>The interest of each Non-Employee Director in any Fees deferred under this Article 11 (and any Stock Units or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relating thereto) or in any Director Stock Award shall be that of a general creditor of the Company. Stock Unit Accounts and Stock Units (and, if any, “in kind” dividends) credited thereto shall at all times be maintained by the Company as bookkeeping entries evidencing unfunded and unsecured general obligations of the Company.</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11.5 Director SARs and Options.</w:t>
      </w:r>
    </w:p>
    <w:p>
      <w:pPr>
        <w:spacing w:after="0" w:line="121" w:lineRule="exact"/>
        <w:rPr>
          <w:sz w:val="20"/>
          <w:szCs w:val="20"/>
          <w:color w:val="auto"/>
        </w:rPr>
      </w:pPr>
    </w:p>
    <w:p>
      <w:pPr>
        <w:ind w:right="60" w:firstLine="464"/>
        <w:spacing w:after="0" w:line="276" w:lineRule="auto"/>
        <w:tabs>
          <w:tab w:leader="none" w:pos="701" w:val="left"/>
        </w:tabs>
        <w:numPr>
          <w:ilvl w:val="1"/>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Elections to Receive Payment of Fees in the Form of SARs or Options. </w:t>
      </w:r>
      <w:r>
        <w:rPr>
          <w:rFonts w:ascii="Arial" w:cs="Arial" w:eastAsia="Arial" w:hAnsi="Arial"/>
          <w:sz w:val="17"/>
          <w:szCs w:val="17"/>
          <w:color w:val="auto"/>
        </w:rPr>
        <w:t>A Non-Employee Director may elect to receive payment of all or any part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his or her cash retainer in the form of Director SARs or Options, as determined by the Committee, in lieu of cash. Each such election must be made in writing on a form prescribed by the Committee and delivered to the Company in the calendar year preceding the calendar year in which occurs the Annual Meeting that marks the commencement of the annual period of service during which such Fees are earned. Each election is irrevocable for that annual period. Elections under this Article 11.5 may not be made with respect to Fees deferred under Article 11.3.</w:t>
      </w:r>
    </w:p>
    <w:p>
      <w:pPr>
        <w:spacing w:after="0" w:line="172" w:lineRule="exact"/>
        <w:rPr>
          <w:rFonts w:ascii="Arial" w:cs="Arial" w:eastAsia="Arial" w:hAnsi="Arial"/>
          <w:sz w:val="17"/>
          <w:szCs w:val="17"/>
          <w:color w:val="auto"/>
        </w:rPr>
      </w:pPr>
    </w:p>
    <w:p>
      <w:pPr>
        <w:ind w:firstLine="464"/>
        <w:spacing w:after="0" w:line="255" w:lineRule="auto"/>
        <w:tabs>
          <w:tab w:leader="none" w:pos="711" w:val="left"/>
        </w:tabs>
        <w:numPr>
          <w:ilvl w:val="1"/>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Grant of Director SARs and Options. </w:t>
      </w:r>
      <w:r>
        <w:rPr>
          <w:rFonts w:ascii="Arial" w:cs="Arial" w:eastAsia="Arial" w:hAnsi="Arial"/>
          <w:sz w:val="18"/>
          <w:szCs w:val="18"/>
          <w:color w:val="auto"/>
        </w:rPr>
        <w:t>On the first (1</w:t>
      </w:r>
      <w:r>
        <w:rPr>
          <w:rFonts w:ascii="Arial" w:cs="Arial" w:eastAsia="Arial" w:hAnsi="Arial"/>
          <w:sz w:val="15"/>
          <w:szCs w:val="15"/>
          <w:color w:val="auto"/>
        </w:rPr>
        <w:t>st</w:t>
      </w:r>
      <w:r>
        <w:rPr>
          <w:rFonts w:ascii="Arial" w:cs="Arial" w:eastAsia="Arial" w:hAnsi="Arial"/>
          <w:sz w:val="18"/>
          <w:szCs w:val="18"/>
          <w:color w:val="auto"/>
        </w:rPr>
        <w:t>) full trading day immediately following each Annual Meeting, each Non- Employee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has filed an election under Article 11.5(a) for the annual period of service that commences with such Annual Meeting shall be granted Director SARs or Options that have a value on the date of grant substantially equal to the amount of Fees otherwise payable to the Non-Employee Director in cash but for the election to receive Director SARs or Options. The value of Director SARs or Options shall be determined by the Committee in its sole discretion, at a meeting held prior to the Annual Meeting, based on a Black-Scholes option pricing model or other valuation model that the Committee determines to be appropriate in its sole discretion.</w:t>
      </w:r>
    </w:p>
    <w:p>
      <w:pPr>
        <w:spacing w:after="0" w:line="193" w:lineRule="exact"/>
        <w:rPr>
          <w:rFonts w:ascii="Arial" w:cs="Arial" w:eastAsia="Arial" w:hAnsi="Arial"/>
          <w:sz w:val="18"/>
          <w:szCs w:val="18"/>
          <w:color w:val="auto"/>
        </w:rPr>
      </w:pPr>
    </w:p>
    <w:p>
      <w:pPr>
        <w:jc w:val="both"/>
        <w:ind w:right="280" w:firstLine="464"/>
        <w:spacing w:after="0" w:line="288" w:lineRule="auto"/>
        <w:tabs>
          <w:tab w:leader="none" w:pos="701" w:val="left"/>
        </w:tabs>
        <w:numPr>
          <w:ilvl w:val="1"/>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Terms of Director SARs and Options. </w:t>
      </w:r>
      <w:r>
        <w:rPr>
          <w:rFonts w:ascii="Arial" w:cs="Arial" w:eastAsia="Arial" w:hAnsi="Arial"/>
          <w:sz w:val="16"/>
          <w:szCs w:val="16"/>
          <w:color w:val="auto"/>
        </w:rPr>
        <w:t>Each Director SAR and Option shall be evidenced by an Award Agreement that shall specify the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 the duration of the SAR or Option, and the number of Shares to which the SAR or Option pertains. Each Director SAR and Option shall (i) have an Exercise Price equal to or greater than the Fair Market Value of a Share on the date the Award is granted; (ii) be immediately vested and exercisable;</w:t>
      </w: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expire on the tenth (10</w:t>
      </w:r>
      <w:r>
        <w:rPr>
          <w:rFonts w:ascii="Arial" w:cs="Arial" w:eastAsia="Arial" w:hAnsi="Arial"/>
          <w:sz w:val="15"/>
          <w:szCs w:val="15"/>
          <w:color w:val="auto"/>
        </w:rPr>
        <w:t>th</w:t>
      </w:r>
      <w:r>
        <w:rPr>
          <w:rFonts w:ascii="Arial" w:cs="Arial" w:eastAsia="Arial" w:hAnsi="Arial"/>
          <w:sz w:val="18"/>
          <w:szCs w:val="18"/>
          <w:color w:val="auto"/>
        </w:rPr>
        <w:t>) anniversary of the date of its grant; and (iv) be nontransferable unless otherwise specified by the Committee.</w:t>
      </w:r>
    </w:p>
    <w:p>
      <w:pPr>
        <w:spacing w:after="0" w:line="210" w:lineRule="exact"/>
        <w:rPr>
          <w:rFonts w:ascii="Arial" w:cs="Arial" w:eastAsia="Arial" w:hAnsi="Arial"/>
          <w:sz w:val="18"/>
          <w:szCs w:val="18"/>
          <w:color w:val="auto"/>
        </w:rPr>
      </w:pPr>
    </w:p>
    <w:p>
      <w:pPr>
        <w:ind w:right="40" w:firstLine="464"/>
        <w:spacing w:after="0" w:line="272" w:lineRule="auto"/>
        <w:tabs>
          <w:tab w:leader="none" w:pos="711" w:val="left"/>
        </w:tabs>
        <w:numPr>
          <w:ilvl w:val="1"/>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Payment. </w:t>
      </w:r>
      <w:r>
        <w:rPr>
          <w:rFonts w:ascii="Arial" w:cs="Arial" w:eastAsia="Arial" w:hAnsi="Arial"/>
          <w:sz w:val="17"/>
          <w:szCs w:val="17"/>
          <w:color w:val="auto"/>
        </w:rPr>
        <w:t>Director SARs and Options granted under this Article 11 shall be exercised by the delivery of notice of exercise to the Company in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manner as the Committee shall determine, setting forth the number of Shares with respect to which the SAR or Option is to be exercised, accompanied by full payment for the Shares. The Exercise Price upon exercise of any Director SAR or Option shall be payable to the Company in full either: (i) in cash or its equivalent, (ii) by withholding of Shares deliverable upon exercise or tendering (either actually or by attestation) previously acquired Shares, in each case having an aggregate Fair Market Value at the time of exercise equal to the total Exercise Price, or (iii) by a combination of (i) and (ii). 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Distribution Awards</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All Distribution Awards shall be issued under the Plan as provided in the Allocation Agreement. The Committee shall administer all such Distribution Awards under this Plan, giving service credit to the grantee of each such Distribution Award to the extent required under the Allocation Agreement. All Distribution Awards shall be subject to substantially similar terms and conditions as provided in the holder’s corresponding awards under the MII Plan.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13. Beneficiary Designation</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Each Participant under the Plan may, from time to time, name any beneficiary or beneficiaries (who may be named contingently or successively) to whom any benefit under the Plan is to be paid in case of the Participant’s death before the Participant has received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Change in Control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14.1 Treatment of Awards. </w:t>
      </w:r>
      <w:r>
        <w:rPr>
          <w:rFonts w:ascii="Arial" w:cs="Arial" w:eastAsia="Arial" w:hAnsi="Arial"/>
          <w:sz w:val="16"/>
          <w:szCs w:val="16"/>
          <w:color w:val="auto"/>
        </w:rPr>
        <w:t>If a Participant who is actively employed by the Company incurs a Covered Termination of Employment (as defined in</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Article 14.2 below) on or within twelve (12) months following a Change in Control (as defined in Article 14.3 below), then the following shall occur:</w:t>
      </w:r>
    </w:p>
    <w:p>
      <w:pPr>
        <w:spacing w:after="0" w:line="222" w:lineRule="exact"/>
        <w:rPr>
          <w:sz w:val="20"/>
          <w:szCs w:val="20"/>
          <w:color w:val="auto"/>
        </w:rPr>
      </w:pPr>
    </w:p>
    <w:p>
      <w:pPr>
        <w:ind w:right="20" w:firstLine="464"/>
        <w:spacing w:after="0" w:line="268" w:lineRule="auto"/>
        <w:tabs>
          <w:tab w:leader="none" w:pos="701" w:val="left"/>
        </w:tabs>
        <w:numPr>
          <w:ilvl w:val="1"/>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Restricted Stock and RSUs. </w:t>
      </w:r>
      <w:r>
        <w:rPr>
          <w:rFonts w:ascii="Arial" w:cs="Arial" w:eastAsia="Arial" w:hAnsi="Arial"/>
          <w:sz w:val="17"/>
          <w:szCs w:val="17"/>
          <w:color w:val="auto"/>
        </w:rPr>
        <w:t>With respect to any Restricted Stock, RSUs or any Other Share-Based Awards taking a form substantially the same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Stock or RSUs, the restrictions, forfeiture conditions, deferral of settlement and conditions on distribution other than those imposed by law applicable to such Awards shall lapse, and all such Awards shall be deemed fully vested, as of the date of the Participant’s Covered Termination of Employment, and the subject Shares, or equity interests that are substituted for the subject Shares as a result of the Change in Control, shall be distributed to the Participant immediately following such Covered Termination of Employment. Notwithstanding the preceding sentence, in the event no Awards, Shares or substitute equity interests are available in connection with the Change in Control, the restrictions, forfeiture conditions, deferral of settlement and conditions on distribution other than those imposed by law applicable to such Restricted Stock, RSU and Other Share-Based Awards shall lapse, and all such Awards shall be deemed fully vested, as of the date of the Change in Control, and the Awards shall be distributed to the Participant immediately following the Change in Control. In the Committee’s discretion, the distribution of Awards as described in this Article 14.1(a) may be made in the form of a cash payment equal to the product of (i) the per Share value, which shall be (I) in the case of a payment made immediately following a Covered Termination of Employment, the Fair Market Value per Share as of the date of the Covered Termination of Employment, or (II) in the case of a payment made immediately after the Change in Control, the price paid per Share to general stockholders of the Company, through a tender offer or otherwise, pursuant to the transaction resulting in the Change in Control, and (ii) the number of subject Shares or substitute equity awards that otherwise would be distributed to the Participant if available and the Committee had not determined to pay cash.</w:t>
      </w:r>
    </w:p>
    <w:p>
      <w:pPr>
        <w:spacing w:after="0" w:line="185" w:lineRule="exact"/>
        <w:rPr>
          <w:rFonts w:ascii="Arial" w:cs="Arial" w:eastAsia="Arial" w:hAnsi="Arial"/>
          <w:sz w:val="17"/>
          <w:szCs w:val="17"/>
          <w:color w:val="auto"/>
        </w:rPr>
      </w:pPr>
    </w:p>
    <w:p>
      <w:pPr>
        <w:ind w:firstLine="464"/>
        <w:spacing w:after="0" w:line="286" w:lineRule="auto"/>
        <w:tabs>
          <w:tab w:leader="none" w:pos="711"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Options and SARs. </w:t>
      </w:r>
      <w:r>
        <w:rPr>
          <w:rFonts w:ascii="Arial" w:cs="Arial" w:eastAsia="Arial" w:hAnsi="Arial"/>
          <w:sz w:val="16"/>
          <w:szCs w:val="16"/>
          <w:color w:val="auto"/>
        </w:rPr>
        <w:t>As of the date of the Participant’s Covered Termination of Employment, all of the unvested or unexercisable Options, SARs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Share-Based Awards taking a form substantially the same as Options or SARs held by the Participant shall be deemed to be fully vested and exercisable with respect to the subject Shares, or other equity interests that are substituted for the Shares as a result of the Change in Control, and any other conditions on such Awards shall lapse, other than those imposed by law. Such Awards shall remain exercisable until the earlier of (i) the end of their original term, or</w:t>
      </w:r>
    </w:p>
    <w:p>
      <w:pPr>
        <w:spacing w:after="0" w:line="1" w:lineRule="exact"/>
        <w:rPr>
          <w:rFonts w:ascii="Arial" w:cs="Arial" w:eastAsia="Arial" w:hAnsi="Arial"/>
          <w:sz w:val="16"/>
          <w:szCs w:val="16"/>
          <w:color w:val="auto"/>
        </w:rPr>
      </w:pPr>
    </w:p>
    <w:p>
      <w:pPr>
        <w:ind w:right="20" w:firstLine="8"/>
        <w:spacing w:after="0" w:line="267" w:lineRule="auto"/>
        <w:tabs>
          <w:tab w:leader="none" w:pos="26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twelve (12) months (or in the case of an Approved Retiree, five (5) years) following the Participant’s Covered Termination of Employment. Notwithstanding the preceding sentence, in the event no Awards, Shares or substitute equity interests are available in connection with the Change in Control, the restrictions, forfeiture conditions, deferral of settlement and conditions on distribution other than those imposed by law applicable to such Options, SARs and Other Share-Based Awards shall lapse, and all such Awards shall be deemed fully vested, as of the date of the Change in Control. In the Committee’s discretion, a cash payment may be made to the Participant immediately following the Participant’s Covered Termination of Employment or the date of the Change in Control, whichever is the date upon which the Participant is deemed to be fully vested as determined under this Article 14.1(b), in an amount equal to (i) the per Share value, which shall be (I) in the case of a payment made immediately following a Covered Termination of Employment, the Fair Market Value per Share as of the date of the Covered Termination of Employment, or (II) in the case of a payment made immediately after the Change in Control, the price paid per Share to general stockholders of the Company, through a tender offer or otherwise, pursuant to the transaction resulting in the Change in Control, (ii) less the Exercise Price, and (iii) multiplied by the number of subject Shares or substitute equity awards that otherwise would be distributed to the Participant if available and the Committee had not determined to pay cash.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138" w:name="page139"/>
    <w:bookmarkEnd w:id="138"/>
    <w:p>
      <w:pPr>
        <w:ind w:right="20" w:firstLine="464"/>
        <w:spacing w:after="0" w:line="270" w:lineRule="auto"/>
        <w:tabs>
          <w:tab w:leader="none" w:pos="701"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Cash Performance-Based Awards and Certain Other Share-Based Awards. </w:t>
      </w:r>
      <w:r>
        <w:rPr>
          <w:rFonts w:ascii="Arial" w:cs="Arial" w:eastAsia="Arial" w:hAnsi="Arial"/>
          <w:sz w:val="17"/>
          <w:szCs w:val="17"/>
          <w:color w:val="auto"/>
        </w:rPr>
        <w:t>All of the Participant’s Other Cash Performance-Based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Other Share-Based Awards subject to performance-based vesting shall be deemed to be fully vested as of the Participant’s Covered Termination of Employment and be paid out immediately thereafter, where such payment shall be based on a target level of performance, pro rated for the days of such performance period through the date of the Covered Termination of Employment. Notwithstanding the preceding sentence, in the event no Awards, Shares or substitute equity interests are available in connection with the Change in Control, the restrictions, forfeiture conditions, deferral of settlement and conditions on distribution other than those imposed by law applicable to such Other Cash Performance-Based Awards or Other Share-Based Awards shall lapse, and all such Awards shall be deemed to be fully vested, as of the date of the Change in Control, in which case payment shall be based on a target level of performance pro rated for the days of such performance period through the date of the Change in Control. Any Other Share-Based Awards other than those described in Articles 14.1(a) and (b), and other than as described above in this Article 14.1(c), shall be treated in a manner similar to that described in Articles 14.1(a) and (b).</w:t>
      </w:r>
    </w:p>
    <w:p>
      <w:pPr>
        <w:spacing w:after="0" w:line="174"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 xml:space="preserve">14.2 Covered Termination of Employment. </w:t>
      </w:r>
      <w:r>
        <w:rPr>
          <w:rFonts w:ascii="Arial" w:cs="Arial" w:eastAsia="Arial" w:hAnsi="Arial"/>
          <w:sz w:val="18"/>
          <w:szCs w:val="18"/>
          <w:color w:val="auto"/>
        </w:rPr>
        <w:t>For purposes of this Article 14, “Covered Termination of Employment” shall mean any involuntary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employment of a Participant, provided that such termination does not result from the Participant’s serious misconduct within the meaning of Article 3.6.</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14.3 Change in Control Definition. </w:t>
      </w:r>
      <w:r>
        <w:rPr>
          <w:rFonts w:ascii="Arial" w:cs="Arial" w:eastAsia="Arial" w:hAnsi="Arial"/>
          <w:sz w:val="18"/>
          <w:szCs w:val="18"/>
          <w:color w:val="auto"/>
        </w:rPr>
        <w:t>A Change in Control shall occur if:</w:t>
      </w:r>
    </w:p>
    <w:p>
      <w:pPr>
        <w:spacing w:after="0" w:line="121" w:lineRule="exact"/>
        <w:rPr>
          <w:sz w:val="20"/>
          <w:szCs w:val="20"/>
          <w:color w:val="auto"/>
        </w:rPr>
      </w:pPr>
    </w:p>
    <w:p>
      <w:pPr>
        <w:ind w:right="180" w:firstLine="464"/>
        <w:spacing w:after="0" w:line="255" w:lineRule="auto"/>
        <w:tabs>
          <w:tab w:leader="none" w:pos="701"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Acquisition of Voting Securities. </w:t>
      </w:r>
      <w:r>
        <w:rPr>
          <w:rFonts w:ascii="Arial" w:cs="Arial" w:eastAsia="Arial" w:hAnsi="Arial"/>
          <w:sz w:val="18"/>
          <w:szCs w:val="18"/>
          <w:color w:val="auto"/>
        </w:rPr>
        <w:t>Any Person directly or indirectly becomes the Beneficial Owner of more than thirty percent (30%)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then outstanding voting securities (measured on the basis of voting power), provided that the Person (i) has not acquired such voting securities directly from the Company, (ii) is not the Company or any of its Subsidiaries, (iii) is not a trustee or other fiduciary holding voting securities under an employee benefit plan of the Company or any of its Subsidiaries, (iv) is not an underwriter temporarily holding the voting securities in connection with an offering thereof, and (v) is not a corporation owned, directly or indirectly, by the stockholders of the Company in substantially the same proportions as their ownership of Company stock; or</w:t>
      </w:r>
    </w:p>
    <w:p>
      <w:pPr>
        <w:spacing w:after="0" w:line="193" w:lineRule="exact"/>
        <w:rPr>
          <w:rFonts w:ascii="Arial" w:cs="Arial" w:eastAsia="Arial" w:hAnsi="Arial"/>
          <w:sz w:val="18"/>
          <w:szCs w:val="18"/>
          <w:color w:val="auto"/>
        </w:rPr>
      </w:pPr>
    </w:p>
    <w:p>
      <w:pPr>
        <w:jc w:val="both"/>
        <w:ind w:right="40" w:firstLine="464"/>
        <w:spacing w:after="0" w:line="259"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Merger or Consolidation. </w:t>
      </w:r>
      <w:r>
        <w:rPr>
          <w:rFonts w:ascii="Arial" w:cs="Arial" w:eastAsia="Arial" w:hAnsi="Arial"/>
          <w:sz w:val="18"/>
          <w:szCs w:val="18"/>
          <w:color w:val="auto"/>
        </w:rPr>
        <w:t>The Company merges or consolidates with any other corporation, other than a merger or consolidation resulting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spacing w:after="0" w:line="186" w:lineRule="exact"/>
        <w:rPr>
          <w:rFonts w:ascii="Arial" w:cs="Arial" w:eastAsia="Arial" w:hAnsi="Arial"/>
          <w:sz w:val="18"/>
          <w:szCs w:val="18"/>
          <w:color w:val="auto"/>
        </w:rPr>
      </w:pPr>
    </w:p>
    <w:p>
      <w:pPr>
        <w:ind w:firstLine="464"/>
        <w:spacing w:after="0" w:line="264" w:lineRule="auto"/>
        <w:tabs>
          <w:tab w:leader="none" w:pos="701"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 in Majority of Board. </w:t>
      </w:r>
      <w:r>
        <w:rPr>
          <w:rFonts w:ascii="Arial" w:cs="Arial" w:eastAsia="Arial" w:hAnsi="Arial"/>
          <w:sz w:val="18"/>
          <w:szCs w:val="18"/>
          <w:color w:val="auto"/>
        </w:rPr>
        <w:t>Continuing Directors cease to represent a majority of the Board, where “Continuing Directors” shall mean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the Board immediately after the Distribution, and any other director whose appointment, election or nomination for election by the stockholders is approved by at least a majority of the Continuing Directors at such time; or</w:t>
      </w:r>
    </w:p>
    <w:p>
      <w:pPr>
        <w:spacing w:after="0" w:line="181"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 Liquidation or Other Disposition. </w:t>
      </w:r>
      <w:r>
        <w:rPr>
          <w:rFonts w:ascii="Arial" w:cs="Arial" w:eastAsia="Arial" w:hAnsi="Arial"/>
          <w:sz w:val="18"/>
          <w:szCs w:val="18"/>
          <w:color w:val="auto"/>
        </w:rPr>
        <w:t>The stockholders of the Company approve a plan of complete liquidation of the Company or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sells or disposes of all or substantially all of its assets.</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Notwithstanding the foregoing provisions of Article 14.3, with respect to any Award that is subject to Code Section 409A, in order to be treated as a Change in Control, any event described in this Article 14.3 also must qualify as a “change in control event” within the meaning of Code Section 409A(a)(2) (A)(v) and the regulations thereunder.</w:t>
      </w:r>
    </w:p>
    <w:p>
      <w:pPr>
        <w:spacing w:after="0" w:line="17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b w:val="1"/>
          <w:bCs w:val="1"/>
          <w:color w:val="auto"/>
        </w:rPr>
        <w:t xml:space="preserve">14.4 Section 280G Cut-back in Benefits. </w:t>
      </w:r>
      <w:r>
        <w:rPr>
          <w:rFonts w:ascii="Arial" w:cs="Arial" w:eastAsia="Arial" w:hAnsi="Arial"/>
          <w:sz w:val="17"/>
          <w:szCs w:val="17"/>
          <w:color w:val="auto"/>
        </w:rPr>
        <w:t>Notwithstanding the other provisions of this Plan, in the event that the amount of payments or other benefits</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to any Participant under this Plan, together with any payments or benefits payable under any other plan, program, arrangement or agreement maintained by the Company or one of its affiliates, would constitute an “excess parachute payment” (within the meaning of Section 280G or the Code), the payments under this Plan shall be reduced in a manner determined by the Company (by the minimum possible amounts) until no amount payable to the Participant under the Plan constitutes an “excess parachute payment” (within the meaning of Section 280G of the Code). All determinations required to be made under this Article 14.4, including whether a payment would result in an “excess parachute payment” and the assumptions utilized in arriving at such determination, shall be made by a registered public accounting firm selected by the Company.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15. Rights of Participants</w:t>
      </w:r>
    </w:p>
    <w:p>
      <w:pPr>
        <w:spacing w:after="0" w:line="117"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 xml:space="preserve">15.1 Employment or Service. </w:t>
      </w:r>
      <w:r>
        <w:rPr>
          <w:rFonts w:ascii="Arial" w:cs="Arial" w:eastAsia="Arial" w:hAnsi="Arial"/>
          <w:sz w:val="17"/>
          <w:szCs w:val="17"/>
          <w:color w:val="auto"/>
        </w:rPr>
        <w:t>Nothing in the Plan shall interfere with or limit in any way the right of the Company to terminate any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or service at any time, nor confer upon any Participant any right to continue in the employ or service of the Company.</w:t>
      </w:r>
    </w:p>
    <w:p>
      <w:pPr>
        <w:spacing w:after="0" w:line="138"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15.2 Participation. </w:t>
      </w:r>
      <w:r>
        <w:rPr>
          <w:rFonts w:ascii="Arial" w:cs="Arial" w:eastAsia="Arial" w:hAnsi="Arial"/>
          <w:sz w:val="18"/>
          <w:szCs w:val="18"/>
          <w:color w:val="auto"/>
        </w:rPr>
        <w:t>No Employee shall have the right to be selected to receive an Award under this Plan, or, having been so selected, to be selected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 future Award.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Amendment, Modification, and Termination</w:t>
      </w:r>
    </w:p>
    <w:p>
      <w:pPr>
        <w:spacing w:after="0" w:line="11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16.1 Amendment, Modification, and Termination. </w:t>
      </w:r>
      <w:r>
        <w:rPr>
          <w:rFonts w:ascii="Arial" w:cs="Arial" w:eastAsia="Arial" w:hAnsi="Arial"/>
          <w:sz w:val="18"/>
          <w:szCs w:val="18"/>
          <w:color w:val="auto"/>
        </w:rPr>
        <w:t>The Board may at any time and from time to time, alter, amend (subject to Article 1.3), suspend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the Plan in whole or in part; provided, however, that the Board may, in its sole discretion, condition the adoption of any amendment of the Plan on the approval thereof by the requisite vote of the shareholders of the Company entitled to vote thereon.</w:t>
      </w:r>
    </w:p>
    <w:p>
      <w:pPr>
        <w:spacing w:after="0" w:line="176" w:lineRule="exact"/>
        <w:rPr>
          <w:sz w:val="20"/>
          <w:szCs w:val="20"/>
          <w:color w:val="auto"/>
        </w:rPr>
      </w:pPr>
    </w:p>
    <w:p>
      <w:pPr>
        <w:ind w:right="140" w:firstLine="456"/>
        <w:spacing w:after="0" w:line="274" w:lineRule="auto"/>
        <w:rPr>
          <w:sz w:val="20"/>
          <w:szCs w:val="20"/>
          <w:color w:val="auto"/>
        </w:rPr>
      </w:pPr>
      <w:r>
        <w:rPr>
          <w:rFonts w:ascii="Arial" w:cs="Arial" w:eastAsia="Arial" w:hAnsi="Arial"/>
          <w:sz w:val="17"/>
          <w:szCs w:val="17"/>
          <w:b w:val="1"/>
          <w:bCs w:val="1"/>
          <w:color w:val="auto"/>
        </w:rPr>
        <w:t xml:space="preserve">16.2 Adjustment of Awards upon the Occurrence of Certain Unusual or Nonrecurring Events. </w:t>
      </w:r>
      <w:r>
        <w:rPr>
          <w:rFonts w:ascii="Arial" w:cs="Arial" w:eastAsia="Arial" w:hAnsi="Arial"/>
          <w:sz w:val="17"/>
          <w:szCs w:val="17"/>
          <w:color w:val="auto"/>
        </w:rPr>
        <w:t>Subject to the restriction set forth in Article 10</w:t>
      </w:r>
      <w:r>
        <w:rPr>
          <w:rFonts w:ascii="Arial" w:cs="Arial" w:eastAsia="Arial" w:hAnsi="Arial"/>
          <w:sz w:val="17"/>
          <w:szCs w:val="17"/>
          <w:b w:val="1"/>
          <w:bCs w:val="1"/>
          <w:color w:val="auto"/>
        </w:rPr>
        <w:t xml:space="preserve"> </w:t>
      </w:r>
      <w:r>
        <w:rPr>
          <w:rFonts w:ascii="Arial" w:cs="Arial" w:eastAsia="Arial" w:hAnsi="Arial"/>
          <w:sz w:val="17"/>
          <w:szCs w:val="17"/>
          <w:color w:val="auto"/>
        </w:rPr>
        <w:t>hereof on the exercise of upward discretion with respect to Awards which have been designed to comply with the Performance-Based Exception, the Committee may make adjustments in the terms and conditions of, and the criteria included in, Awards in recognition of unusual or nonrecurring events (including, without limitation, the events described in Article 4.2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74"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16.3 Awards Previously Granted. N</w:t>
      </w:r>
      <w:r>
        <w:rPr>
          <w:rFonts w:ascii="Arial" w:cs="Arial" w:eastAsia="Arial" w:hAnsi="Arial"/>
          <w:sz w:val="18"/>
          <w:szCs w:val="18"/>
          <w:color w:val="auto"/>
        </w:rPr>
        <w:t>o termination, amendment, or modification of the Plan or any Award shall adversely affect in any material way</w:t>
      </w:r>
      <w:r>
        <w:rPr>
          <w:rFonts w:ascii="Arial" w:cs="Arial" w:eastAsia="Arial" w:hAnsi="Arial"/>
          <w:sz w:val="18"/>
          <w:szCs w:val="18"/>
          <w:b w:val="1"/>
          <w:bCs w:val="1"/>
          <w:color w:val="auto"/>
        </w:rPr>
        <w:t xml:space="preserve"> </w:t>
      </w:r>
      <w:r>
        <w:rPr>
          <w:rFonts w:ascii="Arial" w:cs="Arial" w:eastAsia="Arial" w:hAnsi="Arial"/>
          <w:sz w:val="18"/>
          <w:szCs w:val="18"/>
          <w:color w:val="auto"/>
        </w:rPr>
        <w:t>any Award previously granted under the Plan, without the written consent of the Participant holding such Award.</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Except as provided under Article 16.2, an outstanding SAR or Option may not be amended to change its Exercise Price, cancelled and re-granted with a new Exercise Price, nor cancelled and replaced with other Awards or cash, unless approved by shareholders.</w:t>
      </w:r>
    </w:p>
    <w:p>
      <w:pPr>
        <w:spacing w:after="0" w:line="166"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16.4 Compliance with Code Section 162(m). </w:t>
      </w:r>
      <w:r>
        <w:rPr>
          <w:rFonts w:ascii="Arial" w:cs="Arial" w:eastAsia="Arial" w:hAnsi="Arial"/>
          <w:sz w:val="18"/>
          <w:szCs w:val="18"/>
          <w:color w:val="auto"/>
        </w:rPr>
        <w:t>At all times when Code Section 162(m) is applicable, all Awards granted under this Plan shall comply</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requirements of Code Section 162(m); provided, however, that in the event the Committee determines that such compliance is not desired with respect to any Award or Awards available for grant under the Plan, then compliance with Code Section 162(m) will not be required. In addition, in the event that changes are made to Code Section 162(m) to permit greater flexibility with respect to any Award or Awards available under the Plan, the Committee may, subject to this Article 16, make any adjustments it deems appropriate.</w:t>
      </w:r>
    </w:p>
    <w:p>
      <w:pPr>
        <w:spacing w:after="0" w:line="18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color w:val="auto"/>
        </w:rPr>
        <w:t xml:space="preserve">16.5 Substitution of Awards in Mergers and Acquisitions. </w:t>
      </w:r>
      <w:r>
        <w:rPr>
          <w:rFonts w:ascii="Arial" w:cs="Arial" w:eastAsia="Arial" w:hAnsi="Arial"/>
          <w:sz w:val="16"/>
          <w:szCs w:val="16"/>
          <w:color w:val="auto"/>
        </w:rPr>
        <w:t>Awards may be granted under the Plan from time to time in substitution for awards held</w:t>
      </w:r>
      <w:r>
        <w:rPr>
          <w:rFonts w:ascii="Arial" w:cs="Arial" w:eastAsia="Arial" w:hAnsi="Arial"/>
          <w:sz w:val="16"/>
          <w:szCs w:val="16"/>
          <w:b w:val="1"/>
          <w:bCs w:val="1"/>
          <w:color w:val="auto"/>
        </w:rPr>
        <w:t xml:space="preserve"> </w:t>
      </w:r>
      <w:r>
        <w:rPr>
          <w:rFonts w:ascii="Arial" w:cs="Arial" w:eastAsia="Arial" w:hAnsi="Arial"/>
          <w:sz w:val="16"/>
          <w:szCs w:val="16"/>
          <w:color w:val="auto"/>
        </w:rPr>
        <w:t>by employees or directors of entities who become or are about to become employees or directors of the Company or a Subsidiary as the result of a merger, consolidation or other acquisition of the employing entity or the acquisition by the Company or a Subsidiary of the assets or stock of the employing entity. The terms and conditions of any substitute awards so granted may vary from the terms and conditions set forth hereof to the extent that the Committee deems appropriate at the time of grant to conform the substitute awards to the provisions of the awards for which they are substituted.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17. Withholding</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b w:val="1"/>
          <w:bCs w:val="1"/>
          <w:color w:val="auto"/>
        </w:rPr>
        <w:t xml:space="preserve">17.1 Tax Withholding. </w:t>
      </w:r>
      <w:r>
        <w:rPr>
          <w:rFonts w:ascii="Arial" w:cs="Arial" w:eastAsia="Arial" w:hAnsi="Arial"/>
          <w:sz w:val="17"/>
          <w:szCs w:val="17"/>
          <w:color w:val="auto"/>
        </w:rPr>
        <w:t>The Company shall have the power and the right to deduct from any amount otherwise due to the Participant, or withhold, or</w:t>
      </w:r>
      <w:r>
        <w:rPr>
          <w:rFonts w:ascii="Arial" w:cs="Arial" w:eastAsia="Arial" w:hAnsi="Arial"/>
          <w:sz w:val="17"/>
          <w:szCs w:val="17"/>
          <w:b w:val="1"/>
          <w:bCs w:val="1"/>
          <w:color w:val="auto"/>
        </w:rPr>
        <w:t xml:space="preserve"> </w:t>
      </w:r>
      <w:r>
        <w:rPr>
          <w:rFonts w:ascii="Arial" w:cs="Arial" w:eastAsia="Arial" w:hAnsi="Arial"/>
          <w:sz w:val="17"/>
          <w:szCs w:val="17"/>
          <w:color w:val="auto"/>
        </w:rPr>
        <w:t>require a Participant to remit to the Company, an amount sufficient to satisfy Federal, state, and local income, employment or other related taxes, domestic or foreign, required by law or regulation to be withheld with respect to any taxable event arising as a result of this Plan.</w:t>
      </w:r>
    </w:p>
    <w:p>
      <w:pPr>
        <w:spacing w:after="0" w:line="158"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 xml:space="preserve">17.2 Share Withholding. </w:t>
      </w:r>
      <w:r>
        <w:rPr>
          <w:rFonts w:ascii="Arial" w:cs="Arial" w:eastAsia="Arial" w:hAnsi="Arial"/>
          <w:sz w:val="17"/>
          <w:szCs w:val="17"/>
          <w:color w:val="auto"/>
        </w:rPr>
        <w:t>With respect to withholding required in connection with any Award, the Company may require, or the Committee may permit</w:t>
      </w:r>
      <w:r>
        <w:rPr>
          <w:rFonts w:ascii="Arial" w:cs="Arial" w:eastAsia="Arial" w:hAnsi="Arial"/>
          <w:sz w:val="17"/>
          <w:szCs w:val="17"/>
          <w:b w:val="1"/>
          <w:bCs w:val="1"/>
          <w:color w:val="auto"/>
        </w:rPr>
        <w:t xml:space="preserve"> </w:t>
      </w:r>
      <w:r>
        <w:rPr>
          <w:rFonts w:ascii="Arial" w:cs="Arial" w:eastAsia="Arial" w:hAnsi="Arial"/>
          <w:sz w:val="17"/>
          <w:szCs w:val="17"/>
          <w:color w:val="auto"/>
        </w:rPr>
        <w:t>a Participant to elect, that the withholding requirement be satisfied, in whole or in part, by having the Company withhold Shares having a Fair Market Value on the date the tax is to be determined equal to the minimum statutory total tax which could be withheld on the transaction. Any election by a Participant shall be irrevocable and shall be subject to any restrictions or limitations that the Committee, in its sole discretion, deems appropriate.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18. Indemnification</w:t>
      </w:r>
    </w:p>
    <w:p>
      <w:pPr>
        <w:spacing w:after="0" w:line="121"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Except as prohibited by law, 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other than by willful misconduct,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Code Section 409A</w:t>
      </w:r>
    </w:p>
    <w:p>
      <w:pPr>
        <w:spacing w:after="0" w:line="117"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b w:val="1"/>
          <w:bCs w:val="1"/>
          <w:color w:val="auto"/>
        </w:rPr>
        <w:t xml:space="preserve">19.1 General. </w:t>
      </w:r>
      <w:r>
        <w:rPr>
          <w:rFonts w:ascii="Arial" w:cs="Arial" w:eastAsia="Arial" w:hAnsi="Arial"/>
          <w:sz w:val="16"/>
          <w:szCs w:val="16"/>
          <w:color w:val="auto"/>
        </w:rPr>
        <w:t>To the extent that Code Section 409A may apply to any Awards under the Plan, it is intended that the terms of the Plan and such Awards</w:t>
      </w:r>
      <w:r>
        <w:rPr>
          <w:rFonts w:ascii="Arial" w:cs="Arial" w:eastAsia="Arial" w:hAnsi="Arial"/>
          <w:sz w:val="16"/>
          <w:szCs w:val="16"/>
          <w:b w:val="1"/>
          <w:bCs w:val="1"/>
          <w:color w:val="auto"/>
        </w:rPr>
        <w:t xml:space="preserve"> </w:t>
      </w:r>
      <w:r>
        <w:rPr>
          <w:rFonts w:ascii="Arial" w:cs="Arial" w:eastAsia="Arial" w:hAnsi="Arial"/>
          <w:sz w:val="16"/>
          <w:szCs w:val="16"/>
          <w:color w:val="auto"/>
        </w:rPr>
        <w:t>meet the applicable requirements of Code Section 409A so that a Participant is not taxed under Code Section 409A with respect to such Awards until such time as Shares or other amounts are distributed to the Participant in accordance with the Plan’s and the Awards’ terms. For this purpose, the Plan and the Awards will be administered and interpreted to comply with Code Section 409A and any applicable Treasury or IRS guidance.</w:t>
      </w:r>
    </w:p>
    <w:p>
      <w:pPr>
        <w:spacing w:after="0" w:line="151"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b w:val="1"/>
          <w:bCs w:val="1"/>
          <w:color w:val="auto"/>
        </w:rPr>
        <w:t xml:space="preserve">19.2 Delay for Specified Employees. </w:t>
      </w:r>
      <w:r>
        <w:rPr>
          <w:rFonts w:ascii="Arial" w:cs="Arial" w:eastAsia="Arial" w:hAnsi="Arial"/>
          <w:sz w:val="17"/>
          <w:szCs w:val="17"/>
          <w:color w:val="auto"/>
        </w:rPr>
        <w:t>To the extent that any Awards under the Plan may be subject to Code Section 409A(a)(2)(B)(i), distributions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or other amounts pursuant to such Awards on account of a termination of employment of a Participant who is a Specified Employee (as defined as follows) shall be made or commence not before the date which is six (6) months following the termination of employment, except in the event of the Participant’s death. Any distribution that is delayed under this Article 19.2 shall be distributed on the first day of the seventh month following the Specified Employee’s termination of employment (without affecting the timing of any subsequent installment that is not within the six-month period following termination of employment). For this purpose, a Specified Employee is a person described under Treasury Regulation section 1.409A-1(i), applying the default rules thereunder, except that the definition of compensation for purposes of identifying Specified Employees is the safe harbor definition of compensation set forth under Treasury Regulation section 1.415(c)-2(d)(4).</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Successors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All obligations of the Company under the Plan with respect to Awards granted hereunder shall be binding on any successor to the Company, whether the existence of such successor is the result of a direct or indirect purchase, of all or substantially all of the business and/or assets of the Company, or a merger, consolidation or otherwise.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Legal Construction</w:t>
      </w:r>
    </w:p>
    <w:p>
      <w:pPr>
        <w:spacing w:after="0" w:line="117"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 xml:space="preserve">21.1 Gender and Number. </w:t>
      </w:r>
      <w:r>
        <w:rPr>
          <w:rFonts w:ascii="Arial" w:cs="Arial" w:eastAsia="Arial" w:hAnsi="Arial"/>
          <w:sz w:val="18"/>
          <w:szCs w:val="18"/>
          <w:color w:val="auto"/>
        </w:rPr>
        <w:t>Except where otherwise indicated by the context, any masculine term used hereof also shall include the feminine,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singular and the singular shall include the plural.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141" w:name="page142"/>
    <w:bookmarkEnd w:id="141"/>
    <w:p>
      <w:pPr>
        <w:ind w:right="240" w:firstLine="456"/>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21.2 Severability. </w:t>
      </w:r>
      <w:r>
        <w:rPr>
          <w:rFonts w:ascii="Arial" w:cs="Arial" w:eastAsia="Arial" w:hAnsi="Arial"/>
          <w:sz w:val="17"/>
          <w:szCs w:val="17"/>
          <w:color w:val="auto"/>
        </w:rPr>
        <w:t>In the event any provision of the Plan shall be held illegal or invalid for any reason, the illegality or invalidity shall not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remaining provisions of the Plan, and the Plan shall be construed and enforced as if the illegal or invalid provision had not been included.</w:t>
      </w:r>
    </w:p>
    <w:p>
      <w:pPr>
        <w:spacing w:after="0" w:line="138"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 xml:space="preserve">21.3 Requirements of Law. </w:t>
      </w:r>
      <w:r>
        <w:rPr>
          <w:rFonts w:ascii="Arial" w:cs="Arial" w:eastAsia="Arial" w:hAnsi="Arial"/>
          <w:sz w:val="18"/>
          <w:szCs w:val="18"/>
          <w:color w:val="auto"/>
        </w:rPr>
        <w:t>The granting of Awards and the issuance of Shares under the Plan shall be subject to all applicable laws,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to such approvals by any governmental agencies or national securities exchanges as may be required.</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21.4 Securities Law Compliance. </w:t>
      </w:r>
      <w:r>
        <w:rPr>
          <w:rFonts w:ascii="Arial" w:cs="Arial" w:eastAsia="Arial" w:hAnsi="Arial"/>
          <w:sz w:val="18"/>
          <w:szCs w:val="18"/>
          <w:color w:val="auto"/>
        </w:rPr>
        <w:t>With respect to Insiders, transactions under this Plan are intended to comply with all applicable conditions of Rule</w:t>
      </w:r>
      <w:r>
        <w:rPr>
          <w:rFonts w:ascii="Arial" w:cs="Arial" w:eastAsia="Arial" w:hAnsi="Arial"/>
          <w:sz w:val="18"/>
          <w:szCs w:val="18"/>
          <w:b w:val="1"/>
          <w:bCs w:val="1"/>
          <w:color w:val="auto"/>
        </w:rPr>
        <w:t xml:space="preserve"> </w:t>
      </w:r>
      <w:r>
        <w:rPr>
          <w:rFonts w:ascii="Arial" w:cs="Arial" w:eastAsia="Arial" w:hAnsi="Arial"/>
          <w:sz w:val="18"/>
          <w:szCs w:val="18"/>
          <w:color w:val="auto"/>
        </w:rPr>
        <w:t>16b-3 or its successors under the Exchange Act. To the extent any provision of the plan or action by the Committee fails to so comply, it shall be deemed null and void, to the extent permitted by law and deemed advisable by the Committee.</w:t>
      </w:r>
    </w:p>
    <w:p>
      <w:pPr>
        <w:spacing w:after="0" w:line="17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21.5 Governing Law. </w:t>
      </w:r>
      <w:r>
        <w:rPr>
          <w:rFonts w:ascii="Arial" w:cs="Arial" w:eastAsia="Arial" w:hAnsi="Arial"/>
          <w:sz w:val="18"/>
          <w:szCs w:val="18"/>
          <w:color w:val="auto"/>
        </w:rPr>
        <w:t>To the extent not preempted by Federal law, the Plan, and all agreements hereunder, shall be construed in accordance with and</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Florida.</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270" w:right="3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894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rPr>
              <w:t>MARRIOTT VACATIONS WORLDWIDE CORPORATION</w:t>
            </w:r>
          </w:p>
        </w:tc>
        <w:tc>
          <w:tcPr>
            <w:tcW w:w="1860" w:type="dxa"/>
            <w:vAlign w:val="bottom"/>
          </w:tcPr>
          <w:p>
            <w:pPr>
              <w:spacing w:after="0"/>
              <w:rPr>
                <w:sz w:val="18"/>
                <w:szCs w:val="18"/>
                <w:color w:val="auto"/>
              </w:rPr>
            </w:pPr>
          </w:p>
        </w:tc>
      </w:tr>
      <w:tr>
        <w:trPr>
          <w:trHeight w:val="220"/>
        </w:trPr>
        <w:tc>
          <w:tcPr>
            <w:tcW w:w="620" w:type="dxa"/>
            <w:vAlign w:val="bottom"/>
          </w:tcPr>
          <w:p>
            <w:pPr>
              <w:spacing w:after="0"/>
              <w:rPr>
                <w:sz w:val="19"/>
                <w:szCs w:val="19"/>
                <w:color w:val="auto"/>
              </w:rPr>
            </w:pPr>
          </w:p>
        </w:tc>
        <w:tc>
          <w:tcPr>
            <w:tcW w:w="894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8"/>
              </w:rPr>
              <w:t>SUBSIDIARIES</w:t>
            </w:r>
          </w:p>
        </w:tc>
        <w:tc>
          <w:tcPr>
            <w:tcW w:w="1860" w:type="dxa"/>
            <w:vAlign w:val="bottom"/>
          </w:tcPr>
          <w:p>
            <w:pPr>
              <w:spacing w:after="0"/>
              <w:rPr>
                <w:sz w:val="19"/>
                <w:szCs w:val="19"/>
                <w:color w:val="auto"/>
              </w:rPr>
            </w:pPr>
          </w:p>
        </w:tc>
      </w:tr>
      <w:tr>
        <w:trPr>
          <w:trHeight w:val="230"/>
        </w:trPr>
        <w:tc>
          <w:tcPr>
            <w:tcW w:w="620" w:type="dxa"/>
            <w:vAlign w:val="bottom"/>
          </w:tcPr>
          <w:p>
            <w:pPr>
              <w:spacing w:after="0"/>
              <w:rPr>
                <w:sz w:val="20"/>
                <w:szCs w:val="20"/>
                <w:color w:val="auto"/>
              </w:rPr>
            </w:pPr>
          </w:p>
        </w:tc>
        <w:tc>
          <w:tcPr>
            <w:tcW w:w="8940" w:type="dxa"/>
            <w:vAlign w:val="bottom"/>
            <w:gridSpan w:val="2"/>
          </w:tcPr>
          <w:p>
            <w:pPr>
              <w:jc w:val="center"/>
              <w:ind w:left="1170"/>
              <w:spacing w:after="0"/>
              <w:rPr>
                <w:sz w:val="20"/>
                <w:szCs w:val="20"/>
                <w:color w:val="auto"/>
              </w:rPr>
            </w:pPr>
            <w:r>
              <w:rPr>
                <w:rFonts w:ascii="Arial" w:cs="Arial" w:eastAsia="Arial" w:hAnsi="Arial"/>
                <w:sz w:val="18"/>
                <w:szCs w:val="18"/>
                <w:color w:val="auto"/>
                <w:w w:val="90"/>
              </w:rPr>
              <w:t>(as of February 14, 2014)</w:t>
            </w:r>
          </w:p>
        </w:tc>
        <w:tc>
          <w:tcPr>
            <w:tcW w:w="1860" w:type="dxa"/>
            <w:vAlign w:val="bottom"/>
          </w:tcPr>
          <w:p>
            <w:pPr>
              <w:spacing w:after="0"/>
              <w:rPr>
                <w:sz w:val="20"/>
                <w:szCs w:val="20"/>
                <w:color w:val="auto"/>
              </w:rPr>
            </w:pPr>
          </w:p>
        </w:tc>
      </w:tr>
      <w:tr>
        <w:trPr>
          <w:trHeight w:val="407"/>
        </w:trPr>
        <w:tc>
          <w:tcPr>
            <w:tcW w:w="6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4"/>
                <w:szCs w:val="14"/>
                <w:b w:val="1"/>
                <w:bCs w:val="1"/>
                <w:color w:val="auto"/>
              </w:rPr>
              <w:t>Jurisdiction of</w:t>
            </w:r>
          </w:p>
        </w:tc>
      </w:tr>
      <w:tr>
        <w:trPr>
          <w:trHeight w:val="282"/>
        </w:trPr>
        <w:tc>
          <w:tcPr>
            <w:tcW w:w="8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Subsidiaries organized in the United States</w:t>
            </w:r>
          </w:p>
        </w:tc>
        <w:tc>
          <w:tcPr>
            <w:tcW w:w="840" w:type="dxa"/>
            <w:vAlign w:val="bottom"/>
          </w:tcPr>
          <w:p>
            <w:pPr>
              <w:spacing w:after="0"/>
              <w:rPr>
                <w:sz w:val="24"/>
                <w:szCs w:val="24"/>
                <w:color w:val="auto"/>
              </w:rPr>
            </w:pPr>
          </w:p>
        </w:tc>
        <w:tc>
          <w:tcPr>
            <w:tcW w:w="1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Organization</w:t>
            </w:r>
          </w:p>
        </w:tc>
      </w:tr>
      <w:tr>
        <w:trPr>
          <w:trHeight w:val="304"/>
        </w:trPr>
        <w:tc>
          <w:tcPr>
            <w:tcW w:w="9560" w:type="dxa"/>
            <w:vAlign w:val="bottom"/>
            <w:gridSpan w:val="3"/>
          </w:tcPr>
          <w:p>
            <w:pPr>
              <w:spacing w:after="0"/>
              <w:rPr>
                <w:sz w:val="20"/>
                <w:szCs w:val="20"/>
                <w:color w:val="auto"/>
              </w:rPr>
            </w:pPr>
            <w:r>
              <w:rPr>
                <w:rFonts w:ascii="Arial" w:cs="Arial" w:eastAsia="Arial" w:hAnsi="Arial"/>
                <w:sz w:val="18"/>
                <w:szCs w:val="18"/>
                <w:color w:val="auto"/>
              </w:rPr>
              <w:t>Dockside Market Partnership *</w:t>
            </w:r>
          </w:p>
        </w:tc>
        <w:tc>
          <w:tcPr>
            <w:tcW w:w="1860" w:type="dxa"/>
            <w:vAlign w:val="bottom"/>
          </w:tcPr>
          <w:p>
            <w:pPr>
              <w:spacing w:after="0"/>
              <w:rPr>
                <w:sz w:val="20"/>
                <w:szCs w:val="20"/>
                <w:color w:val="auto"/>
              </w:rPr>
            </w:pPr>
            <w:r>
              <w:rPr>
                <w:rFonts w:ascii="Arial" w:cs="Arial" w:eastAsia="Arial" w:hAnsi="Arial"/>
                <w:sz w:val="18"/>
                <w:szCs w:val="18"/>
                <w:color w:val="auto"/>
              </w:rPr>
              <w:t>Florida</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e-CRM Central, LLC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Eagle Tree Construction, LLC</w:t>
            </w:r>
          </w:p>
        </w:tc>
        <w:tc>
          <w:tcPr>
            <w:tcW w:w="1860" w:type="dxa"/>
            <w:vAlign w:val="bottom"/>
          </w:tcPr>
          <w:p>
            <w:pPr>
              <w:spacing w:after="0"/>
              <w:rPr>
                <w:sz w:val="20"/>
                <w:szCs w:val="20"/>
                <w:color w:val="auto"/>
              </w:rPr>
            </w:pPr>
            <w:r>
              <w:rPr>
                <w:rFonts w:ascii="Arial" w:cs="Arial" w:eastAsia="Arial" w:hAnsi="Arial"/>
                <w:sz w:val="18"/>
                <w:szCs w:val="18"/>
                <w:color w:val="auto"/>
              </w:rPr>
              <w:t>Florida</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Hard Carbon, LLC</w:t>
            </w:r>
          </w:p>
        </w:tc>
        <w:tc>
          <w:tcPr>
            <w:tcW w:w="1860" w:type="dxa"/>
            <w:vAlign w:val="bottom"/>
          </w:tcPr>
          <w:p>
            <w:pPr>
              <w:spacing w:after="0"/>
              <w:rPr>
                <w:sz w:val="20"/>
                <w:szCs w:val="20"/>
                <w:color w:val="auto"/>
              </w:rPr>
            </w:pPr>
            <w:r>
              <w:rPr>
                <w:rFonts w:ascii="Arial" w:cs="Arial" w:eastAsia="Arial" w:hAnsi="Arial"/>
                <w:sz w:val="18"/>
                <w:szCs w:val="18"/>
                <w:color w:val="auto"/>
              </w:rPr>
              <w:t>Nevada</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Heavenly Resort Properties, LLC</w:t>
            </w:r>
          </w:p>
        </w:tc>
        <w:tc>
          <w:tcPr>
            <w:tcW w:w="1860" w:type="dxa"/>
            <w:vAlign w:val="bottom"/>
          </w:tcPr>
          <w:p>
            <w:pPr>
              <w:spacing w:after="0"/>
              <w:rPr>
                <w:sz w:val="20"/>
                <w:szCs w:val="20"/>
                <w:color w:val="auto"/>
              </w:rPr>
            </w:pPr>
            <w:r>
              <w:rPr>
                <w:rFonts w:ascii="Arial" w:cs="Arial" w:eastAsia="Arial" w:hAnsi="Arial"/>
                <w:sz w:val="18"/>
                <w:szCs w:val="18"/>
                <w:color w:val="auto"/>
              </w:rPr>
              <w:t>Nevada</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K D Kapule LLC</w:t>
            </w:r>
          </w:p>
        </w:tc>
        <w:tc>
          <w:tcPr>
            <w:tcW w:w="1860" w:type="dxa"/>
            <w:vAlign w:val="bottom"/>
          </w:tcPr>
          <w:p>
            <w:pPr>
              <w:spacing w:after="0"/>
              <w:rPr>
                <w:sz w:val="20"/>
                <w:szCs w:val="20"/>
                <w:color w:val="auto"/>
              </w:rPr>
            </w:pPr>
            <w:r>
              <w:rPr>
                <w:rFonts w:ascii="Arial" w:cs="Arial" w:eastAsia="Arial" w:hAnsi="Arial"/>
                <w:sz w:val="18"/>
                <w:szCs w:val="18"/>
                <w:color w:val="auto"/>
              </w:rPr>
              <w:t>Hawaii</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Kauai Lagoons Holdings LLC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Kauai Lagoons LLC</w:t>
            </w:r>
          </w:p>
        </w:tc>
        <w:tc>
          <w:tcPr>
            <w:tcW w:w="1860" w:type="dxa"/>
            <w:vAlign w:val="bottom"/>
          </w:tcPr>
          <w:p>
            <w:pPr>
              <w:spacing w:after="0"/>
              <w:rPr>
                <w:sz w:val="20"/>
                <w:szCs w:val="20"/>
                <w:color w:val="auto"/>
              </w:rPr>
            </w:pPr>
            <w:r>
              <w:rPr>
                <w:rFonts w:ascii="Arial" w:cs="Arial" w:eastAsia="Arial" w:hAnsi="Arial"/>
                <w:sz w:val="18"/>
                <w:szCs w:val="18"/>
                <w:color w:val="auto"/>
              </w:rPr>
              <w:t>Hawaii</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Kauai Lagoons Vessels LLC</w:t>
            </w:r>
          </w:p>
        </w:tc>
        <w:tc>
          <w:tcPr>
            <w:tcW w:w="1860" w:type="dxa"/>
            <w:vAlign w:val="bottom"/>
          </w:tcPr>
          <w:p>
            <w:pPr>
              <w:spacing w:after="0"/>
              <w:rPr>
                <w:sz w:val="20"/>
                <w:szCs w:val="20"/>
                <w:color w:val="auto"/>
              </w:rPr>
            </w:pPr>
            <w:r>
              <w:rPr>
                <w:rFonts w:ascii="Arial" w:cs="Arial" w:eastAsia="Arial" w:hAnsi="Arial"/>
                <w:sz w:val="18"/>
                <w:szCs w:val="18"/>
                <w:color w:val="auto"/>
              </w:rPr>
              <w:t>Hawaii</w:t>
            </w:r>
          </w:p>
        </w:tc>
      </w:tr>
      <w:tr>
        <w:trPr>
          <w:trHeight w:val="310"/>
        </w:trPr>
        <w:tc>
          <w:tcPr>
            <w:tcW w:w="9560" w:type="dxa"/>
            <w:vAlign w:val="bottom"/>
            <w:gridSpan w:val="3"/>
          </w:tcPr>
          <w:p>
            <w:pPr>
              <w:spacing w:after="0"/>
              <w:rPr>
                <w:sz w:val="20"/>
                <w:szCs w:val="20"/>
                <w:color w:val="auto"/>
              </w:rPr>
            </w:pPr>
            <w:r>
              <w:rPr>
                <w:rFonts w:ascii="Arial" w:cs="Arial" w:eastAsia="Arial" w:hAnsi="Arial"/>
                <w:sz w:val="18"/>
                <w:szCs w:val="18"/>
                <w:color w:val="auto"/>
              </w:rPr>
              <w:t>Marriott Kauai Ownership Resorts,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560" w:type="dxa"/>
            <w:vAlign w:val="bottom"/>
            <w:gridSpan w:val="3"/>
          </w:tcPr>
          <w:p>
            <w:pPr>
              <w:ind w:left="180"/>
              <w:spacing w:after="0"/>
              <w:rPr>
                <w:sz w:val="20"/>
                <w:szCs w:val="20"/>
                <w:color w:val="auto"/>
              </w:rPr>
            </w:pPr>
            <w:r>
              <w:rPr>
                <w:rFonts w:ascii="Arial" w:cs="Arial" w:eastAsia="Arial" w:hAnsi="Arial"/>
                <w:sz w:val="18"/>
                <w:szCs w:val="18"/>
                <w:color w:val="auto"/>
              </w:rPr>
              <w:t>Entity also does business under the names:</w:t>
            </w:r>
          </w:p>
        </w:tc>
        <w:tc>
          <w:tcPr>
            <w:tcW w:w="1860" w:type="dxa"/>
            <w:vAlign w:val="bottom"/>
          </w:tcPr>
          <w:p>
            <w:pPr>
              <w:spacing w:after="0"/>
              <w:rPr>
                <w:sz w:val="18"/>
                <w:szCs w:val="18"/>
                <w:color w:val="auto"/>
              </w:rPr>
            </w:pPr>
          </w:p>
        </w:tc>
      </w:tr>
      <w:tr>
        <w:trPr>
          <w:trHeight w:val="230"/>
        </w:trPr>
        <w:tc>
          <w:tcPr>
            <w:tcW w:w="9560" w:type="dxa"/>
            <w:vAlign w:val="bottom"/>
            <w:gridSpan w:val="3"/>
          </w:tcPr>
          <w:p>
            <w:pPr>
              <w:ind w:left="460"/>
              <w:spacing w:after="0"/>
              <w:rPr>
                <w:sz w:val="20"/>
                <w:szCs w:val="20"/>
                <w:color w:val="auto"/>
              </w:rPr>
            </w:pPr>
            <w:r>
              <w:rPr>
                <w:rFonts w:ascii="Arial" w:cs="Arial" w:eastAsia="Arial" w:hAnsi="Arial"/>
                <w:sz w:val="18"/>
                <w:szCs w:val="18"/>
                <w:color w:val="auto"/>
              </w:rPr>
              <w:t>•  Marriott Vacation Club International</w:t>
            </w:r>
          </w:p>
        </w:tc>
        <w:tc>
          <w:tcPr>
            <w:tcW w:w="1860" w:type="dxa"/>
            <w:vAlign w:val="bottom"/>
          </w:tcPr>
          <w:p>
            <w:pPr>
              <w:spacing w:after="0"/>
              <w:rPr>
                <w:sz w:val="20"/>
                <w:szCs w:val="20"/>
                <w:color w:val="auto"/>
              </w:rPr>
            </w:pPr>
          </w:p>
        </w:tc>
      </w:tr>
      <w:tr>
        <w:trPr>
          <w:trHeight w:val="338"/>
        </w:trPr>
        <w:tc>
          <w:tcPr>
            <w:tcW w:w="9560" w:type="dxa"/>
            <w:vAlign w:val="bottom"/>
            <w:gridSpan w:val="3"/>
          </w:tcPr>
          <w:p>
            <w:pPr>
              <w:spacing w:after="0"/>
              <w:rPr>
                <w:sz w:val="20"/>
                <w:szCs w:val="20"/>
                <w:color w:val="auto"/>
              </w:rPr>
            </w:pPr>
            <w:r>
              <w:rPr>
                <w:rFonts w:ascii="Arial" w:cs="Arial" w:eastAsia="Arial" w:hAnsi="Arial"/>
                <w:sz w:val="18"/>
                <w:szCs w:val="18"/>
                <w:color w:val="auto"/>
              </w:rPr>
              <w:t>Marriott Overseas Owners Services Corporation</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Marriott Ownership Resorts Procurement, LLC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310"/>
        </w:trPr>
        <w:tc>
          <w:tcPr>
            <w:tcW w:w="9560" w:type="dxa"/>
            <w:vAlign w:val="bottom"/>
            <w:gridSpan w:val="3"/>
          </w:tcPr>
          <w:p>
            <w:pPr>
              <w:spacing w:after="0"/>
              <w:rPr>
                <w:sz w:val="20"/>
                <w:szCs w:val="20"/>
                <w:color w:val="auto"/>
              </w:rPr>
            </w:pPr>
            <w:r>
              <w:rPr>
                <w:rFonts w:ascii="Arial" w:cs="Arial" w:eastAsia="Arial" w:hAnsi="Arial"/>
                <w:sz w:val="18"/>
                <w:szCs w:val="18"/>
                <w:color w:val="auto"/>
              </w:rPr>
              <w:t>Marriott Ownership Resorts,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9560" w:type="dxa"/>
            <w:vAlign w:val="bottom"/>
            <w:gridSpan w:val="3"/>
          </w:tcPr>
          <w:p>
            <w:pPr>
              <w:ind w:left="180"/>
              <w:spacing w:after="0"/>
              <w:rPr>
                <w:sz w:val="20"/>
                <w:szCs w:val="20"/>
                <w:color w:val="auto"/>
              </w:rPr>
            </w:pPr>
            <w:r>
              <w:rPr>
                <w:rFonts w:ascii="Arial" w:cs="Arial" w:eastAsia="Arial" w:hAnsi="Arial"/>
                <w:sz w:val="18"/>
                <w:szCs w:val="18"/>
                <w:color w:val="auto"/>
              </w:rPr>
              <w:t>Entity also does business under the names:</w:t>
            </w:r>
          </w:p>
        </w:tc>
        <w:tc>
          <w:tcPr>
            <w:tcW w:w="1860" w:type="dxa"/>
            <w:vAlign w:val="bottom"/>
          </w:tcPr>
          <w:p>
            <w:pPr>
              <w:spacing w:after="0"/>
              <w:rPr>
                <w:sz w:val="18"/>
                <w:szCs w:val="18"/>
                <w:color w:val="auto"/>
              </w:rPr>
            </w:pPr>
          </w:p>
        </w:tc>
      </w:tr>
      <w:tr>
        <w:trPr>
          <w:trHeight w:val="216"/>
        </w:trPr>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Flagler’s</w:t>
            </w:r>
          </w:p>
        </w:tc>
        <w:tc>
          <w:tcPr>
            <w:tcW w:w="1860" w:type="dxa"/>
            <w:vAlign w:val="bottom"/>
          </w:tcPr>
          <w:p>
            <w:pPr>
              <w:spacing w:after="0"/>
              <w:rPr>
                <w:sz w:val="18"/>
                <w:szCs w:val="18"/>
                <w:color w:val="auto"/>
              </w:rPr>
            </w:pPr>
          </w:p>
        </w:tc>
      </w:tr>
      <w:tr>
        <w:trPr>
          <w:trHeight w:val="216"/>
        </w:trPr>
        <w:tc>
          <w:tcPr>
            <w:tcW w:w="9560" w:type="dxa"/>
            <w:vAlign w:val="bottom"/>
            <w:gridSpan w:val="3"/>
          </w:tcPr>
          <w:p>
            <w:pPr>
              <w:ind w:left="460"/>
              <w:spacing w:after="0"/>
              <w:rPr>
                <w:sz w:val="20"/>
                <w:szCs w:val="20"/>
                <w:color w:val="auto"/>
              </w:rPr>
            </w:pPr>
            <w:r>
              <w:rPr>
                <w:rFonts w:ascii="Arial" w:cs="Arial" w:eastAsia="Arial" w:hAnsi="Arial"/>
                <w:sz w:val="18"/>
                <w:szCs w:val="18"/>
                <w:color w:val="auto"/>
              </w:rPr>
              <w:t>•  Grand Pines Golf Club</w:t>
            </w:r>
          </w:p>
        </w:tc>
        <w:tc>
          <w:tcPr>
            <w:tcW w:w="1860" w:type="dxa"/>
            <w:vAlign w:val="bottom"/>
          </w:tcPr>
          <w:p>
            <w:pPr>
              <w:spacing w:after="0"/>
              <w:rPr>
                <w:sz w:val="18"/>
                <w:szCs w:val="18"/>
                <w:color w:val="auto"/>
              </w:rPr>
            </w:pPr>
          </w:p>
        </w:tc>
      </w:tr>
      <w:tr>
        <w:trPr>
          <w:trHeight w:val="216"/>
        </w:trPr>
        <w:tc>
          <w:tcPr>
            <w:tcW w:w="9560" w:type="dxa"/>
            <w:vAlign w:val="bottom"/>
            <w:gridSpan w:val="3"/>
          </w:tcPr>
          <w:p>
            <w:pPr>
              <w:ind w:left="460"/>
              <w:spacing w:after="0"/>
              <w:rPr>
                <w:sz w:val="20"/>
                <w:szCs w:val="20"/>
                <w:color w:val="auto"/>
              </w:rPr>
            </w:pPr>
            <w:r>
              <w:rPr>
                <w:rFonts w:ascii="Arial" w:cs="Arial" w:eastAsia="Arial" w:hAnsi="Arial"/>
                <w:sz w:val="18"/>
                <w:szCs w:val="18"/>
                <w:color w:val="auto"/>
              </w:rPr>
              <w:t>•  Grand Residences by Marriott</w:t>
            </w:r>
          </w:p>
        </w:tc>
        <w:tc>
          <w:tcPr>
            <w:tcW w:w="1860" w:type="dxa"/>
            <w:vAlign w:val="bottom"/>
          </w:tcPr>
          <w:p>
            <w:pPr>
              <w:spacing w:after="0"/>
              <w:rPr>
                <w:sz w:val="18"/>
                <w:szCs w:val="18"/>
                <w:color w:val="auto"/>
              </w:rPr>
            </w:pPr>
          </w:p>
        </w:tc>
      </w:tr>
      <w:tr>
        <w:trPr>
          <w:trHeight w:val="216"/>
        </w:trPr>
        <w:tc>
          <w:tcPr>
            <w:tcW w:w="9560" w:type="dxa"/>
            <w:vAlign w:val="bottom"/>
            <w:gridSpan w:val="3"/>
          </w:tcPr>
          <w:p>
            <w:pPr>
              <w:ind w:left="460"/>
              <w:spacing w:after="0"/>
              <w:rPr>
                <w:sz w:val="20"/>
                <w:szCs w:val="20"/>
                <w:color w:val="auto"/>
              </w:rPr>
            </w:pPr>
            <w:r>
              <w:rPr>
                <w:rFonts w:ascii="Arial" w:cs="Arial" w:eastAsia="Arial" w:hAnsi="Arial"/>
                <w:sz w:val="18"/>
                <w:szCs w:val="18"/>
                <w:color w:val="auto"/>
              </w:rPr>
              <w:t>•  Horizon’s by Marriott Vacation Club</w:t>
            </w:r>
          </w:p>
        </w:tc>
        <w:tc>
          <w:tcPr>
            <w:tcW w:w="1860" w:type="dxa"/>
            <w:vAlign w:val="bottom"/>
          </w:tcPr>
          <w:p>
            <w:pPr>
              <w:spacing w:after="0"/>
              <w:rPr>
                <w:sz w:val="18"/>
                <w:szCs w:val="18"/>
                <w:color w:val="auto"/>
              </w:rPr>
            </w:pPr>
          </w:p>
        </w:tc>
      </w:tr>
      <w:tr>
        <w:trPr>
          <w:trHeight w:val="216"/>
        </w:trPr>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International Golf Club</w:t>
            </w:r>
          </w:p>
        </w:tc>
        <w:tc>
          <w:tcPr>
            <w:tcW w:w="1860" w:type="dxa"/>
            <w:vAlign w:val="bottom"/>
          </w:tcPr>
          <w:p>
            <w:pPr>
              <w:spacing w:after="0"/>
              <w:rPr>
                <w:sz w:val="18"/>
                <w:szCs w:val="18"/>
                <w:color w:val="auto"/>
              </w:rPr>
            </w:pPr>
          </w:p>
        </w:tc>
      </w:tr>
      <w:tr>
        <w:trPr>
          <w:trHeight w:val="216"/>
        </w:trPr>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Marriott Golf Academy</w:t>
            </w:r>
          </w:p>
        </w:tc>
        <w:tc>
          <w:tcPr>
            <w:tcW w:w="1860" w:type="dxa"/>
            <w:vAlign w:val="bottom"/>
          </w:tcPr>
          <w:p>
            <w:pPr>
              <w:spacing w:after="0"/>
              <w:rPr>
                <w:sz w:val="18"/>
                <w:szCs w:val="18"/>
                <w:color w:val="auto"/>
              </w:rPr>
            </w:pPr>
          </w:p>
        </w:tc>
      </w:tr>
      <w:tr>
        <w:trPr>
          <w:trHeight w:val="216"/>
        </w:trPr>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Marriott Vacation Club</w:t>
            </w:r>
          </w:p>
        </w:tc>
        <w:tc>
          <w:tcPr>
            <w:tcW w:w="1860" w:type="dxa"/>
            <w:vAlign w:val="bottom"/>
          </w:tcPr>
          <w:p>
            <w:pPr>
              <w:spacing w:after="0"/>
              <w:rPr>
                <w:sz w:val="18"/>
                <w:szCs w:val="18"/>
                <w:color w:val="auto"/>
              </w:rPr>
            </w:pPr>
          </w:p>
        </w:tc>
      </w:tr>
      <w:tr>
        <w:trPr>
          <w:trHeight w:val="216"/>
        </w:trPr>
        <w:tc>
          <w:tcPr>
            <w:tcW w:w="9560" w:type="dxa"/>
            <w:vAlign w:val="bottom"/>
            <w:gridSpan w:val="3"/>
          </w:tcPr>
          <w:p>
            <w:pPr>
              <w:ind w:left="460"/>
              <w:spacing w:after="0"/>
              <w:rPr>
                <w:sz w:val="20"/>
                <w:szCs w:val="20"/>
                <w:color w:val="auto"/>
              </w:rPr>
            </w:pPr>
            <w:r>
              <w:rPr>
                <w:rFonts w:ascii="Arial" w:cs="Arial" w:eastAsia="Arial" w:hAnsi="Arial"/>
                <w:sz w:val="18"/>
                <w:szCs w:val="18"/>
                <w:color w:val="auto"/>
              </w:rPr>
              <w:t>•  Marriott Vacation Club International</w:t>
            </w:r>
          </w:p>
        </w:tc>
        <w:tc>
          <w:tcPr>
            <w:tcW w:w="1860" w:type="dxa"/>
            <w:vAlign w:val="bottom"/>
          </w:tcPr>
          <w:p>
            <w:pPr>
              <w:spacing w:after="0"/>
              <w:rPr>
                <w:sz w:val="18"/>
                <w:szCs w:val="18"/>
                <w:color w:val="auto"/>
              </w:rPr>
            </w:pPr>
          </w:p>
        </w:tc>
      </w:tr>
      <w:tr>
        <w:trPr>
          <w:trHeight w:val="216"/>
        </w:trPr>
        <w:tc>
          <w:tcPr>
            <w:tcW w:w="9560" w:type="dxa"/>
            <w:vAlign w:val="bottom"/>
            <w:gridSpan w:val="3"/>
          </w:tcPr>
          <w:p>
            <w:pPr>
              <w:ind w:left="460"/>
              <w:spacing w:after="0"/>
              <w:rPr>
                <w:sz w:val="20"/>
                <w:szCs w:val="20"/>
                <w:color w:val="auto"/>
              </w:rPr>
            </w:pPr>
            <w:r>
              <w:rPr>
                <w:rFonts w:ascii="Arial" w:cs="Arial" w:eastAsia="Arial" w:hAnsi="Arial"/>
                <w:sz w:val="18"/>
                <w:szCs w:val="18"/>
                <w:color w:val="auto"/>
              </w:rPr>
              <w:t>•  Marriott Vacation Club International (MVCI)</w:t>
            </w:r>
          </w:p>
        </w:tc>
        <w:tc>
          <w:tcPr>
            <w:tcW w:w="1860" w:type="dxa"/>
            <w:vAlign w:val="bottom"/>
          </w:tcPr>
          <w:p>
            <w:pPr>
              <w:spacing w:after="0"/>
              <w:rPr>
                <w:sz w:val="18"/>
                <w:szCs w:val="18"/>
                <w:color w:val="auto"/>
              </w:rPr>
            </w:pPr>
          </w:p>
        </w:tc>
      </w:tr>
      <w:tr>
        <w:trPr>
          <w:trHeight w:val="216"/>
        </w:trPr>
        <w:tc>
          <w:tcPr>
            <w:tcW w:w="9560" w:type="dxa"/>
            <w:vAlign w:val="bottom"/>
            <w:gridSpan w:val="3"/>
          </w:tcPr>
          <w:p>
            <w:pPr>
              <w:ind w:left="460"/>
              <w:spacing w:after="0"/>
              <w:rPr>
                <w:sz w:val="20"/>
                <w:szCs w:val="20"/>
                <w:color w:val="auto"/>
              </w:rPr>
            </w:pPr>
            <w:r>
              <w:rPr>
                <w:rFonts w:ascii="Arial" w:cs="Arial" w:eastAsia="Arial" w:hAnsi="Arial"/>
                <w:sz w:val="18"/>
                <w:szCs w:val="18"/>
                <w:color w:val="auto"/>
              </w:rPr>
              <w:t>•  Marriott Vacation Club International, Corp.</w:t>
            </w:r>
          </w:p>
        </w:tc>
        <w:tc>
          <w:tcPr>
            <w:tcW w:w="1860" w:type="dxa"/>
            <w:vAlign w:val="bottom"/>
          </w:tcPr>
          <w:p>
            <w:pPr>
              <w:spacing w:after="0"/>
              <w:rPr>
                <w:sz w:val="18"/>
                <w:szCs w:val="18"/>
                <w:color w:val="auto"/>
              </w:rPr>
            </w:pPr>
          </w:p>
        </w:tc>
      </w:tr>
      <w:tr>
        <w:trPr>
          <w:trHeight w:val="216"/>
        </w:trPr>
        <w:tc>
          <w:tcPr>
            <w:tcW w:w="9560" w:type="dxa"/>
            <w:vAlign w:val="bottom"/>
            <w:gridSpan w:val="3"/>
          </w:tcPr>
          <w:p>
            <w:pPr>
              <w:ind w:left="460"/>
              <w:spacing w:after="0"/>
              <w:rPr>
                <w:sz w:val="20"/>
                <w:szCs w:val="20"/>
                <w:color w:val="auto"/>
              </w:rPr>
            </w:pPr>
            <w:r>
              <w:rPr>
                <w:rFonts w:ascii="Arial" w:cs="Arial" w:eastAsia="Arial" w:hAnsi="Arial"/>
                <w:sz w:val="18"/>
                <w:szCs w:val="18"/>
                <w:color w:val="auto"/>
              </w:rPr>
              <w:t>•  The Pool Patio and Grill</w:t>
            </w:r>
          </w:p>
        </w:tc>
        <w:tc>
          <w:tcPr>
            <w:tcW w:w="1860" w:type="dxa"/>
            <w:vAlign w:val="bottom"/>
          </w:tcPr>
          <w:p>
            <w:pPr>
              <w:spacing w:after="0"/>
              <w:rPr>
                <w:sz w:val="18"/>
                <w:szCs w:val="18"/>
                <w:color w:val="auto"/>
              </w:rPr>
            </w:pPr>
          </w:p>
        </w:tc>
      </w:tr>
      <w:tr>
        <w:trPr>
          <w:trHeight w:val="230"/>
        </w:trPr>
        <w:tc>
          <w:tcPr>
            <w:tcW w:w="9560" w:type="dxa"/>
            <w:vAlign w:val="bottom"/>
            <w:gridSpan w:val="3"/>
          </w:tcPr>
          <w:p>
            <w:pPr>
              <w:ind w:left="460"/>
              <w:spacing w:after="0"/>
              <w:rPr>
                <w:sz w:val="20"/>
                <w:szCs w:val="20"/>
                <w:color w:val="auto"/>
              </w:rPr>
            </w:pPr>
            <w:r>
              <w:rPr>
                <w:rFonts w:ascii="Arial" w:cs="Arial" w:eastAsia="Arial" w:hAnsi="Arial"/>
                <w:sz w:val="18"/>
                <w:szCs w:val="18"/>
                <w:color w:val="auto"/>
              </w:rPr>
              <w:t>•  Marriott’s Waiohai Beach Resort</w:t>
            </w:r>
          </w:p>
        </w:tc>
        <w:tc>
          <w:tcPr>
            <w:tcW w:w="1860" w:type="dxa"/>
            <w:vAlign w:val="bottom"/>
          </w:tcPr>
          <w:p>
            <w:pPr>
              <w:spacing w:after="0"/>
              <w:rPr>
                <w:sz w:val="20"/>
                <w:szCs w:val="20"/>
                <w:color w:val="auto"/>
              </w:rPr>
            </w:pPr>
          </w:p>
        </w:tc>
      </w:tr>
      <w:tr>
        <w:trPr>
          <w:trHeight w:val="323"/>
        </w:trPr>
        <w:tc>
          <w:tcPr>
            <w:tcW w:w="9560" w:type="dxa"/>
            <w:vAlign w:val="bottom"/>
            <w:gridSpan w:val="3"/>
          </w:tcPr>
          <w:p>
            <w:pPr>
              <w:spacing w:after="0"/>
              <w:rPr>
                <w:sz w:val="20"/>
                <w:szCs w:val="20"/>
                <w:color w:val="auto"/>
              </w:rPr>
            </w:pPr>
            <w:r>
              <w:rPr>
                <w:rFonts w:ascii="Arial" w:cs="Arial" w:eastAsia="Arial" w:hAnsi="Arial"/>
                <w:sz w:val="18"/>
                <w:szCs w:val="18"/>
                <w:color w:val="auto"/>
              </w:rPr>
              <w:t>Marriott Resorts Hospitality Corporation</w:t>
            </w:r>
          </w:p>
        </w:tc>
        <w:tc>
          <w:tcPr>
            <w:tcW w:w="1860" w:type="dxa"/>
            <w:vAlign w:val="bottom"/>
          </w:tcPr>
          <w:p>
            <w:pPr>
              <w:spacing w:after="0"/>
              <w:rPr>
                <w:sz w:val="20"/>
                <w:szCs w:val="20"/>
                <w:color w:val="auto"/>
              </w:rPr>
            </w:pPr>
            <w:r>
              <w:rPr>
                <w:rFonts w:ascii="Arial" w:cs="Arial" w:eastAsia="Arial" w:hAnsi="Arial"/>
                <w:sz w:val="18"/>
                <w:szCs w:val="18"/>
                <w:color w:val="auto"/>
              </w:rPr>
              <w:t>South Carolina</w:t>
            </w:r>
          </w:p>
        </w:tc>
      </w:tr>
      <w:tr>
        <w:trPr>
          <w:trHeight w:val="230"/>
        </w:trPr>
        <w:tc>
          <w:tcPr>
            <w:tcW w:w="9560" w:type="dxa"/>
            <w:vAlign w:val="bottom"/>
            <w:gridSpan w:val="3"/>
          </w:tcPr>
          <w:p>
            <w:pPr>
              <w:ind w:left="180"/>
              <w:spacing w:after="0"/>
              <w:rPr>
                <w:sz w:val="20"/>
                <w:szCs w:val="20"/>
                <w:color w:val="auto"/>
              </w:rPr>
            </w:pPr>
            <w:r>
              <w:rPr>
                <w:rFonts w:ascii="Arial" w:cs="Arial" w:eastAsia="Arial" w:hAnsi="Arial"/>
                <w:sz w:val="18"/>
                <w:szCs w:val="18"/>
                <w:color w:val="auto"/>
              </w:rPr>
              <w:t>Entity also does business under the names:</w:t>
            </w:r>
          </w:p>
        </w:tc>
        <w:tc>
          <w:tcPr>
            <w:tcW w:w="1860" w:type="dxa"/>
            <w:vAlign w:val="bottom"/>
          </w:tcPr>
          <w:p>
            <w:pPr>
              <w:spacing w:after="0"/>
              <w:rPr>
                <w:sz w:val="20"/>
                <w:szCs w:val="20"/>
                <w:color w:val="auto"/>
              </w:rPr>
            </w:pPr>
          </w:p>
        </w:tc>
      </w:tr>
    </w:tbl>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Horizon’s by Marriott Vacation Club</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Marriott Vacation Club</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Marriott Vacation Club International</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Marriott Vacation Club International One</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Marriott Grand’ Chateau</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Marriott’s Legends Edge at Bay Point</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Marriott’s Mountainside Resort</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Marriott’s Oceana Palms</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Marriott’s Summit Watch Resort</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Marriott’s Villas at Doral</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Reflections</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Market Place</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Tidewater’s Sweets and Sundries</w:t>
      </w:r>
    </w:p>
    <w:p>
      <w:pPr>
        <w:spacing w:after="0" w:line="116"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Marriott Resorts Sales Company, Inc.</w:t>
      </w:r>
      <w:r>
        <w:rPr>
          <w:sz w:val="20"/>
          <w:szCs w:val="20"/>
          <w:color w:val="auto"/>
        </w:rPr>
        <w:tab/>
      </w:r>
      <w:r>
        <w:rPr>
          <w:rFonts w:ascii="Arial" w:cs="Arial" w:eastAsia="Arial" w:hAnsi="Arial"/>
          <w:sz w:val="16"/>
          <w:szCs w:val="16"/>
          <w:color w:val="auto"/>
        </w:rPr>
        <w:t>Delaware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Entity also does business under the names:</w:t>
      </w:r>
    </w:p>
    <w:p>
      <w:pPr>
        <w:spacing w:after="0" w:line="9" w:lineRule="exact"/>
        <w:rPr>
          <w:sz w:val="20"/>
          <w:szCs w:val="20"/>
          <w:color w:val="auto"/>
        </w:rPr>
      </w:pPr>
    </w:p>
    <w:p>
      <w:pPr>
        <w:ind w:left="460"/>
        <w:spacing w:after="0"/>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Marriott Vacation Club International (MVCI)</w:t>
      </w:r>
    </w:p>
    <w:p>
      <w:pPr>
        <w:spacing w:after="0" w:line="116"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Marriott Resorts Title Company, Inc.</w:t>
      </w:r>
      <w:r>
        <w:rPr>
          <w:sz w:val="20"/>
          <w:szCs w:val="20"/>
          <w:color w:val="auto"/>
        </w:rPr>
        <w:tab/>
      </w:r>
      <w:r>
        <w:rPr>
          <w:rFonts w:ascii="Arial" w:cs="Arial" w:eastAsia="Arial" w:hAnsi="Arial"/>
          <w:sz w:val="17"/>
          <w:szCs w:val="17"/>
          <w:color w:val="auto"/>
        </w:rPr>
        <w:t>Florida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Entity also does business under the names:</w:t>
      </w:r>
    </w:p>
    <w:p>
      <w:pPr>
        <w:spacing w:after="0" w:line="9" w:lineRule="exact"/>
        <w:rPr>
          <w:sz w:val="20"/>
          <w:szCs w:val="20"/>
          <w:color w:val="auto"/>
        </w:rPr>
      </w:pPr>
    </w:p>
    <w:p>
      <w:pPr>
        <w:ind w:left="460"/>
        <w:spacing w:after="0"/>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Marriott Resorts Title, Inc.</w:t>
      </w:r>
    </w:p>
    <w:p>
      <w:pPr>
        <w:spacing w:after="0" w:line="116"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Marriott Resorts, Travel Company, Inc.</w:t>
      </w:r>
      <w:r>
        <w:rPr>
          <w:sz w:val="20"/>
          <w:szCs w:val="20"/>
          <w:color w:val="auto"/>
        </w:rPr>
        <w:tab/>
      </w:r>
      <w:r>
        <w:rPr>
          <w:rFonts w:ascii="Arial" w:cs="Arial" w:eastAsia="Arial" w:hAnsi="Arial"/>
          <w:sz w:val="16"/>
          <w:szCs w:val="16"/>
          <w:color w:val="auto"/>
        </w:rPr>
        <w:t>Delaware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Entity also does business under the names:</w:t>
      </w:r>
    </w:p>
    <w:p>
      <w:pPr>
        <w:spacing w:after="0" w:line="9" w:lineRule="exact"/>
        <w:rPr>
          <w:sz w:val="20"/>
          <w:szCs w:val="20"/>
          <w:color w:val="auto"/>
        </w:rPr>
      </w:pPr>
    </w:p>
    <w:p>
      <w:pPr>
        <w:ind w:left="460"/>
        <w:spacing w:after="0"/>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Marriott Vacation Club International</w:t>
      </w:r>
    </w:p>
    <w:p>
      <w:pPr>
        <w:spacing w:after="0" w:line="9" w:lineRule="exact"/>
        <w:rPr>
          <w:sz w:val="20"/>
          <w:szCs w:val="20"/>
          <w:color w:val="auto"/>
        </w:rPr>
      </w:pPr>
    </w:p>
    <w:p>
      <w:pPr>
        <w:ind w:left="460"/>
        <w:spacing w:after="0"/>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Marriott Vacation Club International Two</w:t>
      </w:r>
    </w:p>
    <w:p>
      <w:pPr>
        <w:spacing w:after="0" w:line="9" w:lineRule="exact"/>
        <w:rPr>
          <w:sz w:val="20"/>
          <w:szCs w:val="20"/>
          <w:color w:val="auto"/>
        </w:rPr>
      </w:pPr>
    </w:p>
    <w:p>
      <w:pPr>
        <w:ind w:left="460"/>
        <w:spacing w:after="0"/>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Marriott Vacation Club International (MVCI)</w:t>
      </w:r>
    </w:p>
    <w:p>
      <w:pPr>
        <w:spacing w:after="0" w:line="9" w:lineRule="exact"/>
        <w:rPr>
          <w:sz w:val="20"/>
          <w:szCs w:val="20"/>
          <w:color w:val="auto"/>
        </w:rPr>
      </w:pPr>
    </w:p>
    <w:p>
      <w:pPr>
        <w:ind w:left="460"/>
        <w:spacing w:after="0"/>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MVC Exchange Company</w:t>
      </w:r>
    </w:p>
    <w:p>
      <w:pPr>
        <w:sectPr>
          <w:pgSz w:w="11900" w:h="16838" w:orient="portrait"/>
          <w:cols w:equalWidth="0" w:num="1">
            <w:col w:w="11420"/>
          </w:cols>
          <w:pgMar w:left="240" w:top="121" w:right="239" w:bottom="341"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341"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4"/>
                <w:szCs w:val="14"/>
                <w:b w:val="1"/>
                <w:bCs w:val="1"/>
                <w:color w:val="auto"/>
              </w:rPr>
              <w:t>Jurisdiction of</w:t>
            </w:r>
          </w:p>
        </w:tc>
      </w:tr>
      <w:tr>
        <w:trPr>
          <w:trHeight w:val="282"/>
        </w:trPr>
        <w:tc>
          <w:tcPr>
            <w:tcW w:w="9560" w:type="dxa"/>
            <w:vAlign w:val="bottom"/>
            <w:gridSpan w:val="3"/>
          </w:tcPr>
          <w:p>
            <w:pPr>
              <w:spacing w:after="0"/>
              <w:rPr>
                <w:sz w:val="20"/>
                <w:szCs w:val="20"/>
                <w:color w:val="auto"/>
              </w:rPr>
            </w:pPr>
            <w:r>
              <w:rPr>
                <w:rFonts w:ascii="Arial" w:cs="Arial" w:eastAsia="Arial" w:hAnsi="Arial"/>
                <w:sz w:val="14"/>
                <w:szCs w:val="14"/>
                <w:b w:val="1"/>
                <w:bCs w:val="1"/>
                <w:color w:val="auto"/>
              </w:rPr>
              <w:t>Subsidiaries organized in the United States</w:t>
            </w:r>
          </w:p>
        </w:tc>
        <w:tc>
          <w:tcPr>
            <w:tcW w:w="1860" w:type="dxa"/>
            <w:vAlign w:val="bottom"/>
          </w:tcPr>
          <w:p>
            <w:pPr>
              <w:spacing w:after="0"/>
              <w:rPr>
                <w:sz w:val="20"/>
                <w:szCs w:val="20"/>
                <w:color w:val="auto"/>
              </w:rPr>
            </w:pPr>
            <w:r>
              <w:rPr>
                <w:rFonts w:ascii="Arial" w:cs="Arial" w:eastAsia="Arial" w:hAnsi="Arial"/>
                <w:sz w:val="14"/>
                <w:szCs w:val="14"/>
                <w:b w:val="1"/>
                <w:bCs w:val="1"/>
                <w:color w:val="auto"/>
              </w:rPr>
              <w:t>Organization</w:t>
            </w:r>
          </w:p>
        </w:tc>
      </w:tr>
      <w:tr>
        <w:trPr>
          <w:trHeight w:val="224"/>
        </w:trPr>
        <w:tc>
          <w:tcPr>
            <w:tcW w:w="20" w:type="dxa"/>
            <w:vAlign w:val="bottom"/>
          </w:tcPr>
          <w:p>
            <w:pPr>
              <w:spacing w:after="0"/>
              <w:rPr>
                <w:sz w:val="19"/>
                <w:szCs w:val="19"/>
                <w:color w:val="auto"/>
              </w:rPr>
            </w:pPr>
          </w:p>
        </w:tc>
        <w:tc>
          <w:tcPr>
            <w:tcW w:w="8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Marriott Vacation Club Ownership LLC</w:t>
            </w:r>
          </w:p>
        </w:tc>
        <w:tc>
          <w:tcPr>
            <w:tcW w:w="140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310"/>
        </w:trPr>
        <w:tc>
          <w:tcPr>
            <w:tcW w:w="9560" w:type="dxa"/>
            <w:vAlign w:val="bottom"/>
            <w:gridSpan w:val="3"/>
          </w:tcPr>
          <w:p>
            <w:pPr>
              <w:spacing w:after="0"/>
              <w:rPr>
                <w:sz w:val="20"/>
                <w:szCs w:val="20"/>
                <w:color w:val="auto"/>
              </w:rPr>
            </w:pPr>
            <w:r>
              <w:rPr>
                <w:rFonts w:ascii="Arial" w:cs="Arial" w:eastAsia="Arial" w:hAnsi="Arial"/>
                <w:sz w:val="18"/>
                <w:szCs w:val="18"/>
                <w:color w:val="auto"/>
              </w:rPr>
              <w:t>Marriott Vacation Club Ownership II LLC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Marriott Vacation Properties of Florida,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Marriott’s Desert Springs Development Corporation</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MH Kapalua Venture, LLC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310"/>
        </w:trPr>
        <w:tc>
          <w:tcPr>
            <w:tcW w:w="9560" w:type="dxa"/>
            <w:vAlign w:val="bottom"/>
            <w:gridSpan w:val="3"/>
          </w:tcPr>
          <w:p>
            <w:pPr>
              <w:spacing w:after="0"/>
              <w:rPr>
                <w:sz w:val="20"/>
                <w:szCs w:val="20"/>
                <w:color w:val="auto"/>
              </w:rPr>
            </w:pPr>
            <w:r>
              <w:rPr>
                <w:rFonts w:ascii="Arial" w:cs="Arial" w:eastAsia="Arial" w:hAnsi="Arial"/>
                <w:sz w:val="18"/>
                <w:szCs w:val="18"/>
                <w:color w:val="auto"/>
              </w:rPr>
              <w:t>MORI Golf (Kauai), LLC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0" w:type="dxa"/>
            <w:vAlign w:val="bottom"/>
          </w:tcPr>
          <w:p>
            <w:pPr>
              <w:spacing w:after="0"/>
              <w:rPr>
                <w:sz w:val="20"/>
                <w:szCs w:val="20"/>
                <w:color w:val="auto"/>
              </w:rPr>
            </w:pPr>
          </w:p>
        </w:tc>
        <w:tc>
          <w:tcPr>
            <w:tcW w:w="9540" w:type="dxa"/>
            <w:vAlign w:val="bottom"/>
            <w:gridSpan w:val="2"/>
          </w:tcPr>
          <w:p>
            <w:pPr>
              <w:ind w:left="160"/>
              <w:spacing w:after="0"/>
              <w:rPr>
                <w:sz w:val="20"/>
                <w:szCs w:val="20"/>
                <w:color w:val="auto"/>
              </w:rPr>
            </w:pPr>
            <w:r>
              <w:rPr>
                <w:rFonts w:ascii="Arial" w:cs="Arial" w:eastAsia="Arial" w:hAnsi="Arial"/>
                <w:sz w:val="18"/>
                <w:szCs w:val="18"/>
                <w:color w:val="auto"/>
              </w:rPr>
              <w:t>Entity also does business under the names:</w:t>
            </w:r>
          </w:p>
        </w:tc>
        <w:tc>
          <w:tcPr>
            <w:tcW w:w="1860" w:type="dxa"/>
            <w:vAlign w:val="bottom"/>
          </w:tcPr>
          <w:p>
            <w:pPr>
              <w:spacing w:after="0"/>
              <w:rPr>
                <w:sz w:val="20"/>
                <w:szCs w:val="20"/>
                <w:color w:val="auto"/>
              </w:rPr>
            </w:pPr>
          </w:p>
        </w:tc>
      </w:tr>
    </w:tbl>
    <w:p>
      <w:pPr>
        <w:ind w:left="700" w:hanging="242"/>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Kauai Lagoons</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Kauai Lagoons Golf and Racquet Club</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Kauai Lagoons Golf Course</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Kiele Golf Course</w:t>
      </w:r>
    </w:p>
    <w:p>
      <w:pPr>
        <w:spacing w:after="0" w:line="116"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Member (Kauai),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Residences, Inc.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SPC 2005-1 Corp.</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SPC 2005-2 Corp.</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SPC 2006-1 Corp</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SPC 2006-2 Corp.</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SPC 2007-1 Corp.</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SPC Corp.</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SPC II, Inc.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SPC III Corp.</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SPC Series Corp.</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SPC V Corp.</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SPC VI Corp.</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MORI SPC VII Corp.</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MTSC, INC.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MVCO 2005-1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MVCO 2005-2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MVCO 2006-1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MVCO 2006-2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MVCO 2007-1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MVCO Series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MVW International Finance Company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MVW of Nevada, Inc.</w:t>
      </w:r>
      <w:r>
        <w:rPr>
          <w:sz w:val="20"/>
          <w:szCs w:val="20"/>
          <w:color w:val="auto"/>
        </w:rPr>
        <w:tab/>
      </w:r>
      <w:r>
        <w:rPr>
          <w:rFonts w:ascii="Arial" w:cs="Arial" w:eastAsia="Arial" w:hAnsi="Arial"/>
          <w:sz w:val="15"/>
          <w:szCs w:val="15"/>
          <w:color w:val="auto"/>
        </w:rPr>
        <w:t>Nevada</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Entity also does business under the names:</w:t>
      </w:r>
    </w:p>
    <w:p>
      <w:pPr>
        <w:spacing w:after="0" w:line="9" w:lineRule="exact"/>
        <w:rPr>
          <w:sz w:val="20"/>
          <w:szCs w:val="20"/>
          <w:color w:val="auto"/>
        </w:rPr>
      </w:pPr>
    </w:p>
    <w:p>
      <w:pPr>
        <w:ind w:left="460"/>
        <w:spacing w:after="0"/>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Marriott’s Grand Chateau</w:t>
      </w:r>
    </w:p>
    <w:p>
      <w:pPr>
        <w:spacing w:after="0" w:line="116"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MVW SSC, Inc.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MVW US Holdings, Inc.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MVW US Services,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R.C. Chronicle Building, L.P.</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RBF, LLC</w:t>
      </w:r>
      <w:r>
        <w:rPr>
          <w:sz w:val="20"/>
          <w:szCs w:val="20"/>
          <w:color w:val="auto"/>
        </w:rPr>
        <w:tab/>
      </w:r>
      <w:r>
        <w:rPr>
          <w:rFonts w:ascii="Arial" w:cs="Arial" w:eastAsia="Arial" w:hAnsi="Arial"/>
          <w:sz w:val="16"/>
          <w:szCs w:val="16"/>
          <w:color w:val="auto"/>
        </w:rPr>
        <w:t>Delaware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Entity also does business under the names:</w:t>
      </w:r>
    </w:p>
    <w:p>
      <w:pPr>
        <w:spacing w:after="0" w:line="9" w:lineRule="exact"/>
        <w:rPr>
          <w:sz w:val="20"/>
          <w:szCs w:val="20"/>
          <w:color w:val="auto"/>
        </w:rPr>
      </w:pPr>
    </w:p>
    <w:p>
      <w:pPr>
        <w:ind w:left="700" w:hanging="242"/>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RBF-Jupiter, LLC</w:t>
      </w:r>
    </w:p>
    <w:p>
      <w:pPr>
        <w:spacing w:after="0" w:line="9" w:lineRule="exact"/>
        <w:rPr>
          <w:rFonts w:ascii="Arial" w:cs="Arial" w:eastAsia="Arial" w:hAnsi="Arial"/>
          <w:sz w:val="18"/>
          <w:szCs w:val="18"/>
          <w:color w:val="auto"/>
        </w:rPr>
      </w:pPr>
    </w:p>
    <w:p>
      <w:pPr>
        <w:ind w:left="700" w:hanging="242"/>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Ritz-Carlton Golf Club &amp; Spa, Jupiter</w:t>
      </w:r>
    </w:p>
    <w:p>
      <w:pPr>
        <w:spacing w:after="0" w:line="116"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RCC (GP) Holdings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RCC (LP) Holdings L.P.</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RCDC 942, L.L.C.</w:t>
      </w:r>
      <w:r>
        <w:rPr>
          <w:sz w:val="20"/>
          <w:szCs w:val="20"/>
          <w:color w:val="auto"/>
        </w:rPr>
        <w:tab/>
      </w:r>
      <w:r>
        <w:rPr>
          <w:rFonts w:ascii="Arial" w:cs="Arial" w:eastAsia="Arial" w:hAnsi="Arial"/>
          <w:sz w:val="16"/>
          <w:szCs w:val="16"/>
          <w:color w:val="auto"/>
        </w:rPr>
        <w:t>Delaware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Entity also does business under the names:</w:t>
      </w:r>
    </w:p>
    <w:p>
      <w:pPr>
        <w:spacing w:after="0" w:line="9" w:lineRule="exact"/>
        <w:rPr>
          <w:sz w:val="20"/>
          <w:szCs w:val="20"/>
          <w:color w:val="auto"/>
        </w:rPr>
      </w:pPr>
    </w:p>
    <w:p>
      <w:pPr>
        <w:ind w:left="460"/>
        <w:spacing w:after="0"/>
        <w:tabs>
          <w:tab w:leader="none" w:pos="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RCDC 942 Market Street, LLC</w:t>
      </w:r>
    </w:p>
    <w:p>
      <w:pPr>
        <w:spacing w:after="0" w:line="116"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RCDC Chronicle LLC</w:t>
      </w:r>
      <w:r>
        <w:rPr>
          <w:sz w:val="20"/>
          <w:szCs w:val="20"/>
          <w:color w:val="auto"/>
        </w:rPr>
        <w:tab/>
      </w:r>
      <w:r>
        <w:rPr>
          <w:rFonts w:ascii="Arial" w:cs="Arial" w:eastAsia="Arial" w:hAnsi="Arial"/>
          <w:sz w:val="16"/>
          <w:szCs w:val="16"/>
          <w:color w:val="auto"/>
        </w:rPr>
        <w:t>Delaware</w:t>
      </w:r>
    </w:p>
    <w:p>
      <w:pPr>
        <w:spacing w:after="0" w:line="117"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The Cobalt Travel Company, LLC</w:t>
      </w:r>
      <w:r>
        <w:rPr>
          <w:sz w:val="20"/>
          <w:szCs w:val="20"/>
          <w:color w:val="auto"/>
        </w:rPr>
        <w:tab/>
      </w:r>
      <w:r>
        <w:rPr>
          <w:rFonts w:ascii="Arial" w:cs="Arial" w:eastAsia="Arial" w:hAnsi="Arial"/>
          <w:sz w:val="16"/>
          <w:szCs w:val="16"/>
          <w:color w:val="auto"/>
        </w:rPr>
        <w:t>Delaware</w:t>
      </w:r>
    </w:p>
    <w:p>
      <w:pPr>
        <w:sectPr>
          <w:pgSz w:w="11900" w:h="16838" w:orient="portrait"/>
          <w:cols w:equalWidth="0" w:num="1">
            <w:col w:w="11420"/>
          </w:cols>
          <w:pgMar w:left="240" w:top="265" w:right="239" w:bottom="16"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5" w:right="239" w:bottom="16"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60" w:type="dxa"/>
            <w:vAlign w:val="bottom"/>
          </w:tcPr>
          <w:p>
            <w:pPr>
              <w:spacing w:after="0"/>
              <w:rPr>
                <w:sz w:val="20"/>
                <w:szCs w:val="20"/>
                <w:color w:val="auto"/>
              </w:rPr>
            </w:pPr>
            <w:r>
              <w:rPr>
                <w:rFonts w:ascii="Arial" w:cs="Arial" w:eastAsia="Arial" w:hAnsi="Arial"/>
                <w:sz w:val="14"/>
                <w:szCs w:val="14"/>
                <w:b w:val="1"/>
                <w:bCs w:val="1"/>
                <w:color w:val="auto"/>
              </w:rPr>
              <w:t>Jurisdiction of</w:t>
            </w:r>
          </w:p>
        </w:tc>
      </w:tr>
      <w:tr>
        <w:trPr>
          <w:trHeight w:val="282"/>
        </w:trPr>
        <w:tc>
          <w:tcPr>
            <w:tcW w:w="9560" w:type="dxa"/>
            <w:vAlign w:val="bottom"/>
            <w:gridSpan w:val="3"/>
          </w:tcPr>
          <w:p>
            <w:pPr>
              <w:spacing w:after="0"/>
              <w:rPr>
                <w:sz w:val="20"/>
                <w:szCs w:val="20"/>
                <w:color w:val="auto"/>
              </w:rPr>
            </w:pPr>
            <w:r>
              <w:rPr>
                <w:rFonts w:ascii="Arial" w:cs="Arial" w:eastAsia="Arial" w:hAnsi="Arial"/>
                <w:sz w:val="14"/>
                <w:szCs w:val="14"/>
                <w:b w:val="1"/>
                <w:bCs w:val="1"/>
                <w:color w:val="auto"/>
              </w:rPr>
              <w:t>Subsidiaries organized in the United States</w:t>
            </w:r>
          </w:p>
        </w:tc>
        <w:tc>
          <w:tcPr>
            <w:tcW w:w="1860" w:type="dxa"/>
            <w:vAlign w:val="bottom"/>
          </w:tcPr>
          <w:p>
            <w:pPr>
              <w:spacing w:after="0"/>
              <w:rPr>
                <w:sz w:val="20"/>
                <w:szCs w:val="20"/>
                <w:color w:val="auto"/>
              </w:rPr>
            </w:pPr>
            <w:r>
              <w:rPr>
                <w:rFonts w:ascii="Arial" w:cs="Arial" w:eastAsia="Arial" w:hAnsi="Arial"/>
                <w:sz w:val="14"/>
                <w:szCs w:val="14"/>
                <w:b w:val="1"/>
                <w:bCs w:val="1"/>
                <w:color w:val="auto"/>
              </w:rPr>
              <w:t>Organization</w:t>
            </w:r>
          </w:p>
        </w:tc>
      </w:tr>
      <w:tr>
        <w:trPr>
          <w:trHeight w:val="195"/>
        </w:trPr>
        <w:tc>
          <w:tcPr>
            <w:tcW w:w="20" w:type="dxa"/>
            <w:vAlign w:val="bottom"/>
          </w:tcPr>
          <w:p>
            <w:pPr>
              <w:spacing w:after="0"/>
              <w:rPr>
                <w:sz w:val="16"/>
                <w:szCs w:val="16"/>
                <w:color w:val="auto"/>
              </w:rPr>
            </w:pPr>
          </w:p>
        </w:tc>
        <w:tc>
          <w:tcPr>
            <w:tcW w:w="8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Lion &amp; Crown Travel Co., LLC</w:t>
            </w:r>
          </w:p>
        </w:tc>
        <w:tc>
          <w:tcPr>
            <w:tcW w:w="580" w:type="dxa"/>
            <w:vAlign w:val="bottom"/>
          </w:tcPr>
          <w:p>
            <w:pPr>
              <w:spacing w:after="0"/>
              <w:rPr>
                <w:sz w:val="16"/>
                <w:szCs w:val="16"/>
                <w:color w:val="auto"/>
              </w:rPr>
            </w:pPr>
          </w:p>
        </w:tc>
        <w:tc>
          <w:tcPr>
            <w:tcW w:w="1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540" w:type="dxa"/>
            <w:vAlign w:val="bottom"/>
            <w:gridSpan w:val="2"/>
          </w:tcPr>
          <w:p>
            <w:pPr>
              <w:ind w:left="160"/>
              <w:spacing w:after="0"/>
              <w:rPr>
                <w:sz w:val="20"/>
                <w:szCs w:val="20"/>
                <w:color w:val="auto"/>
              </w:rPr>
            </w:pPr>
            <w:r>
              <w:rPr>
                <w:rFonts w:ascii="Arial" w:cs="Arial" w:eastAsia="Arial" w:hAnsi="Arial"/>
                <w:sz w:val="18"/>
                <w:szCs w:val="18"/>
                <w:color w:val="auto"/>
              </w:rPr>
              <w:t>Entity also does business under the names:</w:t>
            </w:r>
          </w:p>
        </w:tc>
        <w:tc>
          <w:tcPr>
            <w:tcW w:w="1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40" w:type="dxa"/>
            <w:vAlign w:val="bottom"/>
            <w:gridSpan w:val="2"/>
          </w:tcPr>
          <w:p>
            <w:pPr>
              <w:ind w:left="440"/>
              <w:spacing w:after="0"/>
              <w:rPr>
                <w:sz w:val="20"/>
                <w:szCs w:val="20"/>
                <w:color w:val="auto"/>
              </w:rPr>
            </w:pPr>
            <w:r>
              <w:rPr>
                <w:rFonts w:ascii="Arial" w:cs="Arial" w:eastAsia="Arial" w:hAnsi="Arial"/>
                <w:sz w:val="18"/>
                <w:szCs w:val="18"/>
                <w:color w:val="auto"/>
              </w:rPr>
              <w:t>•  Waikiki Edition Hotel</w:t>
            </w:r>
          </w:p>
        </w:tc>
        <w:tc>
          <w:tcPr>
            <w:tcW w:w="1860" w:type="dxa"/>
            <w:vAlign w:val="bottom"/>
          </w:tcPr>
          <w:p>
            <w:pPr>
              <w:spacing w:after="0"/>
              <w:rPr>
                <w:sz w:val="20"/>
                <w:szCs w:val="20"/>
                <w:color w:val="auto"/>
              </w:rPr>
            </w:pPr>
          </w:p>
        </w:tc>
      </w:tr>
      <w:tr>
        <w:trPr>
          <w:trHeight w:val="323"/>
        </w:trPr>
        <w:tc>
          <w:tcPr>
            <w:tcW w:w="9560" w:type="dxa"/>
            <w:vAlign w:val="bottom"/>
            <w:gridSpan w:val="3"/>
          </w:tcPr>
          <w:p>
            <w:pPr>
              <w:spacing w:after="0"/>
              <w:rPr>
                <w:sz w:val="20"/>
                <w:szCs w:val="20"/>
                <w:color w:val="auto"/>
              </w:rPr>
            </w:pPr>
            <w:r>
              <w:rPr>
                <w:rFonts w:ascii="Arial" w:cs="Arial" w:eastAsia="Arial" w:hAnsi="Arial"/>
                <w:sz w:val="18"/>
                <w:szCs w:val="18"/>
                <w:color w:val="auto"/>
              </w:rPr>
              <w:t>The Ritz-Carlton Development Company,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540" w:type="dxa"/>
            <w:vAlign w:val="bottom"/>
            <w:gridSpan w:val="2"/>
          </w:tcPr>
          <w:p>
            <w:pPr>
              <w:ind w:left="160"/>
              <w:spacing w:after="0"/>
              <w:rPr>
                <w:sz w:val="20"/>
                <w:szCs w:val="20"/>
                <w:color w:val="auto"/>
              </w:rPr>
            </w:pPr>
            <w:r>
              <w:rPr>
                <w:rFonts w:ascii="Arial" w:cs="Arial" w:eastAsia="Arial" w:hAnsi="Arial"/>
                <w:sz w:val="18"/>
                <w:szCs w:val="18"/>
                <w:color w:val="auto"/>
              </w:rPr>
              <w:t>Entity also does business under the names:</w:t>
            </w:r>
          </w:p>
        </w:tc>
        <w:tc>
          <w:tcPr>
            <w:tcW w:w="1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40" w:type="dxa"/>
            <w:vAlign w:val="bottom"/>
            <w:gridSpan w:val="2"/>
          </w:tcPr>
          <w:p>
            <w:pPr>
              <w:ind w:left="440"/>
              <w:spacing w:after="0"/>
              <w:rPr>
                <w:sz w:val="20"/>
                <w:szCs w:val="20"/>
                <w:color w:val="auto"/>
              </w:rPr>
            </w:pPr>
            <w:r>
              <w:rPr>
                <w:rFonts w:ascii="Arial" w:cs="Arial" w:eastAsia="Arial" w:hAnsi="Arial"/>
                <w:sz w:val="18"/>
                <w:szCs w:val="18"/>
                <w:color w:val="auto"/>
              </w:rPr>
              <w:t>•  The Ritz-Carlton Destination Club</w:t>
            </w:r>
          </w:p>
        </w:tc>
        <w:tc>
          <w:tcPr>
            <w:tcW w:w="1860" w:type="dxa"/>
            <w:vAlign w:val="bottom"/>
          </w:tcPr>
          <w:p>
            <w:pPr>
              <w:spacing w:after="0"/>
              <w:rPr>
                <w:sz w:val="20"/>
                <w:szCs w:val="20"/>
                <w:color w:val="auto"/>
              </w:rPr>
            </w:pPr>
          </w:p>
        </w:tc>
      </w:tr>
      <w:tr>
        <w:trPr>
          <w:trHeight w:val="338"/>
        </w:trPr>
        <w:tc>
          <w:tcPr>
            <w:tcW w:w="9560" w:type="dxa"/>
            <w:vAlign w:val="bottom"/>
            <w:gridSpan w:val="3"/>
          </w:tcPr>
          <w:p>
            <w:pPr>
              <w:spacing w:after="0"/>
              <w:rPr>
                <w:sz w:val="20"/>
                <w:szCs w:val="20"/>
                <w:color w:val="auto"/>
              </w:rPr>
            </w:pPr>
            <w:r>
              <w:rPr>
                <w:rFonts w:ascii="Arial" w:cs="Arial" w:eastAsia="Arial" w:hAnsi="Arial"/>
                <w:sz w:val="18"/>
                <w:szCs w:val="18"/>
                <w:color w:val="auto"/>
              </w:rPr>
              <w:t>The Ritz-Carlton Management Company, L.L.C.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The Ritz-Carlton Sales Company,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The Ritz-Carlton Title Company, Inc.</w:t>
            </w:r>
          </w:p>
        </w:tc>
        <w:tc>
          <w:tcPr>
            <w:tcW w:w="1860" w:type="dxa"/>
            <w:vAlign w:val="bottom"/>
          </w:tcPr>
          <w:p>
            <w:pPr>
              <w:spacing w:after="0"/>
              <w:rPr>
                <w:sz w:val="20"/>
                <w:szCs w:val="20"/>
                <w:color w:val="auto"/>
              </w:rPr>
            </w:pPr>
            <w:r>
              <w:rPr>
                <w:rFonts w:ascii="Arial" w:cs="Arial" w:eastAsia="Arial" w:hAnsi="Arial"/>
                <w:sz w:val="18"/>
                <w:szCs w:val="18"/>
                <w:color w:val="auto"/>
              </w:rPr>
              <w:t>Delaware</w:t>
            </w:r>
          </w:p>
        </w:tc>
      </w:tr>
      <w:tr>
        <w:trPr>
          <w:trHeight w:val="488"/>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4"/>
                <w:szCs w:val="14"/>
                <w:b w:val="1"/>
                <w:bCs w:val="1"/>
                <w:color w:val="auto"/>
              </w:rPr>
              <w:t>Jurisdiction of</w:t>
            </w:r>
          </w:p>
        </w:tc>
      </w:tr>
      <w:tr>
        <w:trPr>
          <w:trHeight w:val="282"/>
        </w:trPr>
        <w:tc>
          <w:tcPr>
            <w:tcW w:w="9560" w:type="dxa"/>
            <w:vAlign w:val="bottom"/>
            <w:gridSpan w:val="3"/>
          </w:tcPr>
          <w:p>
            <w:pPr>
              <w:spacing w:after="0"/>
              <w:rPr>
                <w:sz w:val="20"/>
                <w:szCs w:val="20"/>
                <w:color w:val="auto"/>
              </w:rPr>
            </w:pPr>
            <w:r>
              <w:rPr>
                <w:rFonts w:ascii="Arial" w:cs="Arial" w:eastAsia="Arial" w:hAnsi="Arial"/>
                <w:sz w:val="14"/>
                <w:szCs w:val="14"/>
                <w:b w:val="1"/>
                <w:bCs w:val="1"/>
                <w:color w:val="auto"/>
              </w:rPr>
              <w:t>Subsidiaries organized outside the United States</w:t>
            </w:r>
          </w:p>
        </w:tc>
        <w:tc>
          <w:tcPr>
            <w:tcW w:w="1860" w:type="dxa"/>
            <w:vAlign w:val="bottom"/>
          </w:tcPr>
          <w:p>
            <w:pPr>
              <w:spacing w:after="0"/>
              <w:rPr>
                <w:sz w:val="20"/>
                <w:szCs w:val="20"/>
                <w:color w:val="auto"/>
              </w:rPr>
            </w:pPr>
            <w:r>
              <w:rPr>
                <w:rFonts w:ascii="Arial" w:cs="Arial" w:eastAsia="Arial" w:hAnsi="Arial"/>
                <w:sz w:val="14"/>
                <w:szCs w:val="14"/>
                <w:b w:val="1"/>
                <w:bCs w:val="1"/>
                <w:color w:val="auto"/>
              </w:rPr>
              <w:t>Organization</w:t>
            </w:r>
          </w:p>
        </w:tc>
      </w:tr>
      <w:tr>
        <w:trPr>
          <w:trHeight w:val="20"/>
        </w:trPr>
        <w:tc>
          <w:tcPr>
            <w:tcW w:w="20" w:type="dxa"/>
            <w:vAlign w:val="bottom"/>
          </w:tcPr>
          <w:p>
            <w:pPr>
              <w:spacing w:after="0" w:line="20" w:lineRule="exact"/>
              <w:rPr>
                <w:sz w:val="1"/>
                <w:szCs w:val="1"/>
                <w:color w:val="auto"/>
              </w:rPr>
            </w:pPr>
          </w:p>
        </w:tc>
        <w:tc>
          <w:tcPr>
            <w:tcW w:w="8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304"/>
        </w:trPr>
        <w:tc>
          <w:tcPr>
            <w:tcW w:w="9560" w:type="dxa"/>
            <w:vAlign w:val="bottom"/>
            <w:gridSpan w:val="3"/>
          </w:tcPr>
          <w:p>
            <w:pPr>
              <w:spacing w:after="0"/>
              <w:rPr>
                <w:sz w:val="20"/>
                <w:szCs w:val="20"/>
                <w:color w:val="auto"/>
              </w:rPr>
            </w:pPr>
            <w:r>
              <w:rPr>
                <w:rFonts w:ascii="Arial" w:cs="Arial" w:eastAsia="Arial" w:hAnsi="Arial"/>
                <w:sz w:val="18"/>
                <w:szCs w:val="18"/>
                <w:color w:val="auto"/>
              </w:rPr>
              <w:t>AP (Macau) Pte Limited</w:t>
            </w:r>
          </w:p>
        </w:tc>
        <w:tc>
          <w:tcPr>
            <w:tcW w:w="1860" w:type="dxa"/>
            <w:vAlign w:val="bottom"/>
          </w:tcPr>
          <w:p>
            <w:pPr>
              <w:spacing w:after="0"/>
              <w:rPr>
                <w:sz w:val="20"/>
                <w:szCs w:val="20"/>
                <w:color w:val="auto"/>
              </w:rPr>
            </w:pPr>
            <w:r>
              <w:rPr>
                <w:rFonts w:ascii="Arial" w:cs="Arial" w:eastAsia="Arial" w:hAnsi="Arial"/>
                <w:sz w:val="18"/>
                <w:szCs w:val="18"/>
                <w:color w:val="auto"/>
              </w:rPr>
              <w:t>Macau</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Aruba Finance Holdings B.V.</w:t>
            </w:r>
          </w:p>
        </w:tc>
        <w:tc>
          <w:tcPr>
            <w:tcW w:w="1860" w:type="dxa"/>
            <w:vAlign w:val="bottom"/>
          </w:tcPr>
          <w:p>
            <w:pPr>
              <w:spacing w:after="0"/>
              <w:rPr>
                <w:sz w:val="20"/>
                <w:szCs w:val="20"/>
                <w:color w:val="auto"/>
              </w:rPr>
            </w:pPr>
            <w:r>
              <w:rPr>
                <w:rFonts w:ascii="Arial" w:cs="Arial" w:eastAsia="Arial" w:hAnsi="Arial"/>
                <w:sz w:val="18"/>
                <w:szCs w:val="18"/>
                <w:color w:val="auto"/>
              </w:rPr>
              <w:t>Netherlands</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Club Resorts No. 1 Australia Ltd.</w:t>
            </w:r>
          </w:p>
        </w:tc>
        <w:tc>
          <w:tcPr>
            <w:tcW w:w="1860" w:type="dxa"/>
            <w:vAlign w:val="bottom"/>
          </w:tcPr>
          <w:p>
            <w:pPr>
              <w:spacing w:after="0"/>
              <w:rPr>
                <w:sz w:val="20"/>
                <w:szCs w:val="20"/>
                <w:color w:val="auto"/>
              </w:rPr>
            </w:pPr>
            <w:r>
              <w:rPr>
                <w:rFonts w:ascii="Arial" w:cs="Arial" w:eastAsia="Arial" w:hAnsi="Arial"/>
                <w:sz w:val="18"/>
                <w:szCs w:val="18"/>
                <w:color w:val="auto"/>
              </w:rPr>
              <w:t>Australia</w:t>
            </w:r>
          </w:p>
        </w:tc>
      </w:tr>
      <w:tr>
        <w:trPr>
          <w:trHeight w:val="310"/>
        </w:trPr>
        <w:tc>
          <w:tcPr>
            <w:tcW w:w="9560" w:type="dxa"/>
            <w:vAlign w:val="bottom"/>
            <w:gridSpan w:val="3"/>
          </w:tcPr>
          <w:p>
            <w:pPr>
              <w:spacing w:after="0"/>
              <w:rPr>
                <w:sz w:val="20"/>
                <w:szCs w:val="20"/>
                <w:color w:val="auto"/>
              </w:rPr>
            </w:pPr>
            <w:r>
              <w:rPr>
                <w:rFonts w:ascii="Arial" w:cs="Arial" w:eastAsia="Arial" w:hAnsi="Arial"/>
                <w:sz w:val="18"/>
                <w:szCs w:val="18"/>
                <w:color w:val="auto"/>
              </w:rPr>
              <w:t>Costa Del Sol Development Company N.V.</w:t>
            </w:r>
          </w:p>
        </w:tc>
        <w:tc>
          <w:tcPr>
            <w:tcW w:w="1860" w:type="dxa"/>
            <w:vAlign w:val="bottom"/>
          </w:tcPr>
          <w:p>
            <w:pPr>
              <w:spacing w:after="0"/>
              <w:rPr>
                <w:sz w:val="20"/>
                <w:szCs w:val="20"/>
                <w:color w:val="auto"/>
              </w:rPr>
            </w:pPr>
            <w:r>
              <w:rPr>
                <w:rFonts w:ascii="Arial" w:cs="Arial" w:eastAsia="Arial" w:hAnsi="Arial"/>
                <w:sz w:val="18"/>
                <w:szCs w:val="18"/>
                <w:color w:val="auto"/>
              </w:rPr>
              <w:t>Aruba</w:t>
            </w:r>
          </w:p>
        </w:tc>
      </w:tr>
      <w:tr>
        <w:trPr>
          <w:trHeight w:val="216"/>
        </w:trPr>
        <w:tc>
          <w:tcPr>
            <w:tcW w:w="20" w:type="dxa"/>
            <w:vAlign w:val="bottom"/>
          </w:tcPr>
          <w:p>
            <w:pPr>
              <w:spacing w:after="0"/>
              <w:rPr>
                <w:sz w:val="18"/>
                <w:szCs w:val="18"/>
                <w:color w:val="auto"/>
              </w:rPr>
            </w:pPr>
          </w:p>
        </w:tc>
        <w:tc>
          <w:tcPr>
            <w:tcW w:w="9540" w:type="dxa"/>
            <w:vAlign w:val="bottom"/>
            <w:gridSpan w:val="2"/>
          </w:tcPr>
          <w:p>
            <w:pPr>
              <w:ind w:left="160"/>
              <w:spacing w:after="0"/>
              <w:rPr>
                <w:sz w:val="20"/>
                <w:szCs w:val="20"/>
                <w:color w:val="auto"/>
              </w:rPr>
            </w:pPr>
            <w:r>
              <w:rPr>
                <w:rFonts w:ascii="Arial" w:cs="Arial" w:eastAsia="Arial" w:hAnsi="Arial"/>
                <w:sz w:val="18"/>
                <w:szCs w:val="18"/>
                <w:color w:val="auto"/>
              </w:rPr>
              <w:t>Entity also does business under the names:</w:t>
            </w:r>
          </w:p>
        </w:tc>
        <w:tc>
          <w:tcPr>
            <w:tcW w:w="1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40" w:type="dxa"/>
            <w:vAlign w:val="bottom"/>
            <w:gridSpan w:val="2"/>
          </w:tcPr>
          <w:p>
            <w:pPr>
              <w:ind w:left="440"/>
              <w:spacing w:after="0"/>
              <w:rPr>
                <w:sz w:val="20"/>
                <w:szCs w:val="20"/>
                <w:color w:val="auto"/>
              </w:rPr>
            </w:pPr>
            <w:r>
              <w:rPr>
                <w:rFonts w:ascii="Arial" w:cs="Arial" w:eastAsia="Arial" w:hAnsi="Arial"/>
                <w:sz w:val="18"/>
                <w:szCs w:val="18"/>
                <w:color w:val="auto"/>
              </w:rPr>
              <w:t>•  Aruba Surf Club Development and Management Company</w:t>
            </w:r>
          </w:p>
        </w:tc>
        <w:tc>
          <w:tcPr>
            <w:tcW w:w="1860" w:type="dxa"/>
            <w:vAlign w:val="bottom"/>
          </w:tcPr>
          <w:p>
            <w:pPr>
              <w:spacing w:after="0"/>
              <w:rPr>
                <w:sz w:val="20"/>
                <w:szCs w:val="20"/>
                <w:color w:val="auto"/>
              </w:rPr>
            </w:pPr>
          </w:p>
        </w:tc>
      </w:tr>
      <w:tr>
        <w:trPr>
          <w:trHeight w:val="338"/>
        </w:trPr>
        <w:tc>
          <w:tcPr>
            <w:tcW w:w="9560" w:type="dxa"/>
            <w:vAlign w:val="bottom"/>
            <w:gridSpan w:val="3"/>
          </w:tcPr>
          <w:p>
            <w:pPr>
              <w:spacing w:after="0"/>
              <w:rPr>
                <w:sz w:val="20"/>
                <w:szCs w:val="20"/>
                <w:color w:val="auto"/>
              </w:rPr>
            </w:pPr>
            <w:r>
              <w:rPr>
                <w:rFonts w:ascii="Arial" w:cs="Arial" w:eastAsia="Arial" w:hAnsi="Arial"/>
                <w:sz w:val="18"/>
                <w:szCs w:val="18"/>
                <w:color w:val="auto"/>
              </w:rPr>
              <w:t>Fortyseven Park Street Limited</w:t>
            </w:r>
          </w:p>
        </w:tc>
        <w:tc>
          <w:tcPr>
            <w:tcW w:w="18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Hat 64</w:t>
            </w:r>
          </w:p>
        </w:tc>
        <w:tc>
          <w:tcPr>
            <w:tcW w:w="1860" w:type="dxa"/>
            <w:vAlign w:val="bottom"/>
          </w:tcPr>
          <w:p>
            <w:pPr>
              <w:spacing w:after="0"/>
              <w:rPr>
                <w:sz w:val="20"/>
                <w:szCs w:val="20"/>
                <w:color w:val="auto"/>
              </w:rPr>
            </w:pPr>
            <w:r>
              <w:rPr>
                <w:rFonts w:ascii="Arial" w:cs="Arial" w:eastAsia="Arial" w:hAnsi="Arial"/>
                <w:sz w:val="18"/>
                <w:szCs w:val="18"/>
                <w:color w:val="auto"/>
              </w:rPr>
              <w:t>Cayman Islands</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Kildare Holding Company (Jersey) Limited</w:t>
            </w:r>
          </w:p>
        </w:tc>
        <w:tc>
          <w:tcPr>
            <w:tcW w:w="1860" w:type="dxa"/>
            <w:vAlign w:val="bottom"/>
          </w:tcPr>
          <w:p>
            <w:pPr>
              <w:spacing w:after="0"/>
              <w:rPr>
                <w:sz w:val="20"/>
                <w:szCs w:val="20"/>
                <w:color w:val="auto"/>
              </w:rPr>
            </w:pPr>
            <w:r>
              <w:rPr>
                <w:rFonts w:ascii="Arial" w:cs="Arial" w:eastAsia="Arial" w:hAnsi="Arial"/>
                <w:sz w:val="18"/>
                <w:szCs w:val="18"/>
                <w:color w:val="auto"/>
              </w:rPr>
              <w:t>Jersey, Channel Island</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Maikhao Land Owning Limited</w:t>
            </w:r>
          </w:p>
        </w:tc>
        <w:tc>
          <w:tcPr>
            <w:tcW w:w="1860" w:type="dxa"/>
            <w:vAlign w:val="bottom"/>
          </w:tcPr>
          <w:p>
            <w:pPr>
              <w:spacing w:after="0"/>
              <w:rPr>
                <w:sz w:val="20"/>
                <w:szCs w:val="20"/>
                <w:color w:val="auto"/>
              </w:rPr>
            </w:pPr>
            <w:r>
              <w:rPr>
                <w:rFonts w:ascii="Arial" w:cs="Arial" w:eastAsia="Arial" w:hAnsi="Arial"/>
                <w:sz w:val="18"/>
                <w:szCs w:val="18"/>
                <w:color w:val="auto"/>
              </w:rPr>
              <w:t>Thailand</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Marriott Ownership Resorts (Bahamas) Limited</w:t>
            </w:r>
          </w:p>
        </w:tc>
        <w:tc>
          <w:tcPr>
            <w:tcW w:w="1860" w:type="dxa"/>
            <w:vAlign w:val="bottom"/>
          </w:tcPr>
          <w:p>
            <w:pPr>
              <w:spacing w:after="0"/>
              <w:rPr>
                <w:sz w:val="20"/>
                <w:szCs w:val="20"/>
                <w:color w:val="auto"/>
              </w:rPr>
            </w:pPr>
            <w:r>
              <w:rPr>
                <w:rFonts w:ascii="Arial" w:cs="Arial" w:eastAsia="Arial" w:hAnsi="Arial"/>
                <w:sz w:val="18"/>
                <w:szCs w:val="18"/>
                <w:color w:val="auto"/>
              </w:rPr>
              <w:t>Bahamas</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Marriott Ownership Resorts (St. Thomas), Inc.</w:t>
            </w:r>
          </w:p>
        </w:tc>
        <w:tc>
          <w:tcPr>
            <w:tcW w:w="1860" w:type="dxa"/>
            <w:vAlign w:val="bottom"/>
          </w:tcPr>
          <w:p>
            <w:pPr>
              <w:spacing w:after="0"/>
              <w:rPr>
                <w:sz w:val="20"/>
                <w:szCs w:val="20"/>
                <w:color w:val="auto"/>
              </w:rPr>
            </w:pPr>
            <w:r>
              <w:rPr>
                <w:rFonts w:ascii="Arial" w:cs="Arial" w:eastAsia="Arial" w:hAnsi="Arial"/>
                <w:sz w:val="18"/>
                <w:szCs w:val="18"/>
                <w:color w:val="auto"/>
              </w:rPr>
              <w:t>Virgin Islands - US</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Marriott Resorts Hospitality (Bahamas) Limited</w:t>
            </w:r>
          </w:p>
        </w:tc>
        <w:tc>
          <w:tcPr>
            <w:tcW w:w="1860" w:type="dxa"/>
            <w:vAlign w:val="bottom"/>
          </w:tcPr>
          <w:p>
            <w:pPr>
              <w:spacing w:after="0"/>
              <w:rPr>
                <w:sz w:val="20"/>
                <w:szCs w:val="20"/>
                <w:color w:val="auto"/>
              </w:rPr>
            </w:pPr>
            <w:r>
              <w:rPr>
                <w:rFonts w:ascii="Arial" w:cs="Arial" w:eastAsia="Arial" w:hAnsi="Arial"/>
                <w:sz w:val="18"/>
                <w:szCs w:val="18"/>
                <w:color w:val="auto"/>
              </w:rPr>
              <w:t>Bahamas</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Marriott Resorts Hospitality of Aruba N.V.</w:t>
            </w:r>
          </w:p>
        </w:tc>
        <w:tc>
          <w:tcPr>
            <w:tcW w:w="1860" w:type="dxa"/>
            <w:vAlign w:val="bottom"/>
          </w:tcPr>
          <w:p>
            <w:pPr>
              <w:spacing w:after="0"/>
              <w:rPr>
                <w:sz w:val="20"/>
                <w:szCs w:val="20"/>
                <w:color w:val="auto"/>
              </w:rPr>
            </w:pPr>
            <w:r>
              <w:rPr>
                <w:rFonts w:ascii="Arial" w:cs="Arial" w:eastAsia="Arial" w:hAnsi="Arial"/>
                <w:sz w:val="18"/>
                <w:szCs w:val="18"/>
                <w:color w:val="auto"/>
              </w:rPr>
              <w:t>Aruba</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Marriott Vacation Club International of Aruba N.V.</w:t>
            </w:r>
          </w:p>
        </w:tc>
        <w:tc>
          <w:tcPr>
            <w:tcW w:w="1860" w:type="dxa"/>
            <w:vAlign w:val="bottom"/>
          </w:tcPr>
          <w:p>
            <w:pPr>
              <w:spacing w:after="0"/>
              <w:rPr>
                <w:sz w:val="20"/>
                <w:szCs w:val="20"/>
                <w:color w:val="auto"/>
              </w:rPr>
            </w:pPr>
            <w:r>
              <w:rPr>
                <w:rFonts w:ascii="Arial" w:cs="Arial" w:eastAsia="Arial" w:hAnsi="Arial"/>
                <w:sz w:val="18"/>
                <w:szCs w:val="18"/>
                <w:color w:val="auto"/>
              </w:rPr>
              <w:t>Aruba</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Marriott Vacation Club International of Japan, Inc.</w:t>
            </w:r>
          </w:p>
        </w:tc>
        <w:tc>
          <w:tcPr>
            <w:tcW w:w="1860" w:type="dxa"/>
            <w:vAlign w:val="bottom"/>
          </w:tcPr>
          <w:p>
            <w:pPr>
              <w:spacing w:after="0"/>
              <w:rPr>
                <w:sz w:val="20"/>
                <w:szCs w:val="20"/>
                <w:color w:val="auto"/>
              </w:rPr>
            </w:pPr>
            <w:r>
              <w:rPr>
                <w:rFonts w:ascii="Arial" w:cs="Arial" w:eastAsia="Arial" w:hAnsi="Arial"/>
                <w:sz w:val="18"/>
                <w:szCs w:val="18"/>
                <w:color w:val="auto"/>
              </w:rPr>
              <w:t>Japan</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Marriott Vacation Club Timesharing GmbH</w:t>
            </w:r>
          </w:p>
        </w:tc>
        <w:tc>
          <w:tcPr>
            <w:tcW w:w="1860" w:type="dxa"/>
            <w:vAlign w:val="bottom"/>
          </w:tcPr>
          <w:p>
            <w:pPr>
              <w:spacing w:after="0"/>
              <w:rPr>
                <w:sz w:val="20"/>
                <w:szCs w:val="20"/>
                <w:color w:val="auto"/>
              </w:rPr>
            </w:pPr>
            <w:r>
              <w:rPr>
                <w:rFonts w:ascii="Arial" w:cs="Arial" w:eastAsia="Arial" w:hAnsi="Arial"/>
                <w:sz w:val="18"/>
                <w:szCs w:val="18"/>
                <w:color w:val="auto"/>
              </w:rPr>
              <w:t>Austria</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MGRC Management Limited</w:t>
            </w:r>
          </w:p>
        </w:tc>
        <w:tc>
          <w:tcPr>
            <w:tcW w:w="18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AP Macau Marketing Pte, Limited</w:t>
            </w:r>
          </w:p>
        </w:tc>
        <w:tc>
          <w:tcPr>
            <w:tcW w:w="1860" w:type="dxa"/>
            <w:vAlign w:val="bottom"/>
          </w:tcPr>
          <w:p>
            <w:pPr>
              <w:spacing w:after="0"/>
              <w:rPr>
                <w:sz w:val="20"/>
                <w:szCs w:val="20"/>
                <w:color w:val="auto"/>
              </w:rPr>
            </w:pPr>
            <w:r>
              <w:rPr>
                <w:rFonts w:ascii="Arial" w:cs="Arial" w:eastAsia="Arial" w:hAnsi="Arial"/>
                <w:sz w:val="18"/>
                <w:szCs w:val="18"/>
                <w:color w:val="auto"/>
              </w:rPr>
              <w:t>Macau</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Australia Pty Ltd.</w:t>
            </w:r>
          </w:p>
        </w:tc>
        <w:tc>
          <w:tcPr>
            <w:tcW w:w="1860" w:type="dxa"/>
            <w:vAlign w:val="bottom"/>
          </w:tcPr>
          <w:p>
            <w:pPr>
              <w:spacing w:after="0"/>
              <w:rPr>
                <w:sz w:val="20"/>
                <w:szCs w:val="20"/>
                <w:color w:val="auto"/>
              </w:rPr>
            </w:pPr>
            <w:r>
              <w:rPr>
                <w:rFonts w:ascii="Arial" w:cs="Arial" w:eastAsia="Arial" w:hAnsi="Arial"/>
                <w:sz w:val="18"/>
                <w:szCs w:val="18"/>
                <w:color w:val="auto"/>
              </w:rPr>
              <w:t>Australia</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Asia Pacific (Hong Kong) Pte. Limited</w:t>
            </w:r>
          </w:p>
        </w:tc>
        <w:tc>
          <w:tcPr>
            <w:tcW w:w="1860" w:type="dxa"/>
            <w:vAlign w:val="bottom"/>
          </w:tcPr>
          <w:p>
            <w:pPr>
              <w:spacing w:after="0"/>
              <w:rPr>
                <w:sz w:val="20"/>
                <w:szCs w:val="20"/>
                <w:color w:val="auto"/>
              </w:rPr>
            </w:pPr>
            <w:r>
              <w:rPr>
                <w:rFonts w:ascii="Arial" w:cs="Arial" w:eastAsia="Arial" w:hAnsi="Arial"/>
                <w:sz w:val="18"/>
                <w:szCs w:val="18"/>
                <w:color w:val="auto"/>
              </w:rPr>
              <w:t>Hong Kong</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Asia Pacific Finance Pte. Limited</w:t>
            </w:r>
          </w:p>
        </w:tc>
        <w:tc>
          <w:tcPr>
            <w:tcW w:w="1860" w:type="dxa"/>
            <w:vAlign w:val="bottom"/>
          </w:tcPr>
          <w:p>
            <w:pPr>
              <w:spacing w:after="0"/>
              <w:rPr>
                <w:sz w:val="20"/>
                <w:szCs w:val="20"/>
                <w:color w:val="auto"/>
              </w:rPr>
            </w:pPr>
            <w:r>
              <w:rPr>
                <w:rFonts w:ascii="Arial" w:cs="Arial" w:eastAsia="Arial" w:hAnsi="Arial"/>
                <w:sz w:val="18"/>
                <w:szCs w:val="18"/>
                <w:color w:val="auto"/>
              </w:rPr>
              <w:t>Hong Kong</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Asia Pacific Pte. Ltd.</w:t>
            </w:r>
          </w:p>
        </w:tc>
        <w:tc>
          <w:tcPr>
            <w:tcW w:w="1860" w:type="dxa"/>
            <w:vAlign w:val="bottom"/>
          </w:tcPr>
          <w:p>
            <w:pPr>
              <w:spacing w:after="0"/>
              <w:rPr>
                <w:sz w:val="20"/>
                <w:szCs w:val="20"/>
                <w:color w:val="auto"/>
              </w:rPr>
            </w:pPr>
            <w:r>
              <w:rPr>
                <w:rFonts w:ascii="Arial" w:cs="Arial" w:eastAsia="Arial" w:hAnsi="Arial"/>
                <w:sz w:val="18"/>
                <w:szCs w:val="18"/>
                <w:color w:val="auto"/>
              </w:rPr>
              <w:t>Singapore</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Curacao N.V.</w:t>
            </w:r>
          </w:p>
        </w:tc>
        <w:tc>
          <w:tcPr>
            <w:tcW w:w="1860" w:type="dxa"/>
            <w:vAlign w:val="bottom"/>
          </w:tcPr>
          <w:p>
            <w:pPr>
              <w:spacing w:after="0"/>
              <w:rPr>
                <w:sz w:val="20"/>
                <w:szCs w:val="20"/>
                <w:color w:val="auto"/>
              </w:rPr>
            </w:pPr>
            <w:r>
              <w:rPr>
                <w:rFonts w:ascii="Arial" w:cs="Arial" w:eastAsia="Arial" w:hAnsi="Arial"/>
                <w:sz w:val="18"/>
                <w:szCs w:val="18"/>
                <w:color w:val="auto"/>
              </w:rPr>
              <w:t>Curacao</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Egypt B.V.</w:t>
            </w:r>
          </w:p>
        </w:tc>
        <w:tc>
          <w:tcPr>
            <w:tcW w:w="1860" w:type="dxa"/>
            <w:vAlign w:val="bottom"/>
          </w:tcPr>
          <w:p>
            <w:pPr>
              <w:spacing w:after="0"/>
              <w:rPr>
                <w:sz w:val="20"/>
                <w:szCs w:val="20"/>
                <w:color w:val="auto"/>
              </w:rPr>
            </w:pPr>
            <w:r>
              <w:rPr>
                <w:rFonts w:ascii="Arial" w:cs="Arial" w:eastAsia="Arial" w:hAnsi="Arial"/>
                <w:sz w:val="18"/>
                <w:szCs w:val="18"/>
                <w:color w:val="auto"/>
              </w:rPr>
              <w:t>Netherlands</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Europe Limited</w:t>
            </w:r>
          </w:p>
        </w:tc>
        <w:tc>
          <w:tcPr>
            <w:tcW w:w="18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Finance C.V.</w:t>
            </w:r>
          </w:p>
        </w:tc>
        <w:tc>
          <w:tcPr>
            <w:tcW w:w="1860" w:type="dxa"/>
            <w:vAlign w:val="bottom"/>
          </w:tcPr>
          <w:p>
            <w:pPr>
              <w:spacing w:after="0"/>
              <w:rPr>
                <w:sz w:val="20"/>
                <w:szCs w:val="20"/>
                <w:color w:val="auto"/>
              </w:rPr>
            </w:pPr>
            <w:r>
              <w:rPr>
                <w:rFonts w:ascii="Arial" w:cs="Arial" w:eastAsia="Arial" w:hAnsi="Arial"/>
                <w:sz w:val="18"/>
                <w:szCs w:val="18"/>
                <w:color w:val="auto"/>
              </w:rPr>
              <w:t>Aruba</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France SAS</w:t>
            </w:r>
          </w:p>
        </w:tc>
        <w:tc>
          <w:tcPr>
            <w:tcW w:w="1860" w:type="dxa"/>
            <w:vAlign w:val="bottom"/>
          </w:tcPr>
          <w:p>
            <w:pPr>
              <w:spacing w:after="0"/>
              <w:rPr>
                <w:sz w:val="20"/>
                <w:szCs w:val="20"/>
                <w:color w:val="auto"/>
              </w:rPr>
            </w:pPr>
            <w:r>
              <w:rPr>
                <w:rFonts w:ascii="Arial" w:cs="Arial" w:eastAsia="Arial" w:hAnsi="Arial"/>
                <w:sz w:val="18"/>
                <w:szCs w:val="18"/>
                <w:color w:val="auto"/>
              </w:rPr>
              <w:t>France</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Holidays France SAS</w:t>
            </w:r>
          </w:p>
        </w:tc>
        <w:tc>
          <w:tcPr>
            <w:tcW w:w="1860" w:type="dxa"/>
            <w:vAlign w:val="bottom"/>
          </w:tcPr>
          <w:p>
            <w:pPr>
              <w:spacing w:after="0"/>
              <w:rPr>
                <w:sz w:val="20"/>
                <w:szCs w:val="20"/>
                <w:color w:val="auto"/>
              </w:rPr>
            </w:pPr>
            <w:r>
              <w:rPr>
                <w:rFonts w:ascii="Arial" w:cs="Arial" w:eastAsia="Arial" w:hAnsi="Arial"/>
                <w:sz w:val="18"/>
                <w:szCs w:val="18"/>
                <w:color w:val="auto"/>
              </w:rPr>
              <w:t>France</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Holidays, S.L.</w:t>
            </w:r>
          </w:p>
        </w:tc>
        <w:tc>
          <w:tcPr>
            <w:tcW w:w="1860" w:type="dxa"/>
            <w:vAlign w:val="bottom"/>
          </w:tcPr>
          <w:p>
            <w:pPr>
              <w:spacing w:after="0"/>
              <w:rPr>
                <w:sz w:val="20"/>
                <w:szCs w:val="20"/>
                <w:color w:val="auto"/>
              </w:rPr>
            </w:pPr>
            <w:r>
              <w:rPr>
                <w:rFonts w:ascii="Arial" w:cs="Arial" w:eastAsia="Arial" w:hAnsi="Arial"/>
                <w:sz w:val="18"/>
                <w:szCs w:val="18"/>
                <w:color w:val="auto"/>
              </w:rPr>
              <w:t>Spain</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Holdings B.V.</w:t>
            </w:r>
          </w:p>
        </w:tc>
        <w:tc>
          <w:tcPr>
            <w:tcW w:w="1860" w:type="dxa"/>
            <w:vAlign w:val="bottom"/>
          </w:tcPr>
          <w:p>
            <w:pPr>
              <w:spacing w:after="0"/>
              <w:rPr>
                <w:sz w:val="20"/>
                <w:szCs w:val="20"/>
                <w:color w:val="auto"/>
              </w:rPr>
            </w:pPr>
            <w:r>
              <w:rPr>
                <w:rFonts w:ascii="Arial" w:cs="Arial" w:eastAsia="Arial" w:hAnsi="Arial"/>
                <w:sz w:val="18"/>
                <w:szCs w:val="18"/>
                <w:color w:val="auto"/>
              </w:rPr>
              <w:t>Netherlands</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Ireland Limited</w:t>
            </w:r>
          </w:p>
        </w:tc>
        <w:tc>
          <w:tcPr>
            <w:tcW w:w="1860" w:type="dxa"/>
            <w:vAlign w:val="bottom"/>
          </w:tcPr>
          <w:p>
            <w:pPr>
              <w:spacing w:after="0"/>
              <w:rPr>
                <w:sz w:val="20"/>
                <w:szCs w:val="20"/>
                <w:color w:val="auto"/>
              </w:rPr>
            </w:pPr>
            <w:r>
              <w:rPr>
                <w:rFonts w:ascii="Arial" w:cs="Arial" w:eastAsia="Arial" w:hAnsi="Arial"/>
                <w:sz w:val="18"/>
                <w:szCs w:val="18"/>
                <w:color w:val="auto"/>
              </w:rPr>
              <w:t>Ireland</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Management, S.L.</w:t>
            </w:r>
          </w:p>
        </w:tc>
        <w:tc>
          <w:tcPr>
            <w:tcW w:w="1860" w:type="dxa"/>
            <w:vAlign w:val="bottom"/>
          </w:tcPr>
          <w:p>
            <w:pPr>
              <w:spacing w:after="0"/>
              <w:rPr>
                <w:sz w:val="20"/>
                <w:szCs w:val="20"/>
                <w:color w:val="auto"/>
              </w:rPr>
            </w:pPr>
            <w:r>
              <w:rPr>
                <w:rFonts w:ascii="Arial" w:cs="Arial" w:eastAsia="Arial" w:hAnsi="Arial"/>
                <w:sz w:val="18"/>
                <w:szCs w:val="18"/>
                <w:color w:val="auto"/>
              </w:rPr>
              <w:t>Spain</w:t>
            </w:r>
          </w:p>
        </w:tc>
      </w:tr>
      <w:tr>
        <w:trPr>
          <w:trHeight w:val="324"/>
        </w:trPr>
        <w:tc>
          <w:tcPr>
            <w:tcW w:w="9560" w:type="dxa"/>
            <w:vAlign w:val="bottom"/>
            <w:gridSpan w:val="3"/>
          </w:tcPr>
          <w:p>
            <w:pPr>
              <w:spacing w:after="0"/>
              <w:rPr>
                <w:sz w:val="20"/>
                <w:szCs w:val="20"/>
                <w:color w:val="auto"/>
              </w:rPr>
            </w:pPr>
            <w:r>
              <w:rPr>
                <w:rFonts w:ascii="Arial" w:cs="Arial" w:eastAsia="Arial" w:hAnsi="Arial"/>
                <w:sz w:val="18"/>
                <w:szCs w:val="18"/>
                <w:color w:val="auto"/>
              </w:rPr>
              <w:t>MVCI Playa Andaluza Holidays, S.L.</w:t>
            </w:r>
          </w:p>
        </w:tc>
        <w:tc>
          <w:tcPr>
            <w:tcW w:w="1860" w:type="dxa"/>
            <w:vAlign w:val="bottom"/>
          </w:tcPr>
          <w:p>
            <w:pPr>
              <w:spacing w:after="0"/>
              <w:rPr>
                <w:sz w:val="20"/>
                <w:szCs w:val="20"/>
                <w:color w:val="auto"/>
              </w:rPr>
            </w:pPr>
            <w:r>
              <w:rPr>
                <w:rFonts w:ascii="Arial" w:cs="Arial" w:eastAsia="Arial" w:hAnsi="Arial"/>
                <w:sz w:val="18"/>
                <w:szCs w:val="18"/>
                <w:color w:val="auto"/>
              </w:rPr>
              <w:t>Spain</w:t>
            </w:r>
          </w:p>
        </w:tc>
      </w:tr>
      <w:tr>
        <w:trPr>
          <w:trHeight w:val="310"/>
        </w:trPr>
        <w:tc>
          <w:tcPr>
            <w:tcW w:w="9560" w:type="dxa"/>
            <w:vAlign w:val="bottom"/>
            <w:gridSpan w:val="3"/>
          </w:tcPr>
          <w:p>
            <w:pPr>
              <w:spacing w:after="0"/>
              <w:rPr>
                <w:sz w:val="20"/>
                <w:szCs w:val="20"/>
                <w:color w:val="auto"/>
              </w:rPr>
            </w:pPr>
            <w:r>
              <w:rPr>
                <w:rFonts w:ascii="Arial" w:cs="Arial" w:eastAsia="Arial" w:hAnsi="Arial"/>
                <w:sz w:val="18"/>
                <w:szCs w:val="18"/>
                <w:color w:val="auto"/>
              </w:rPr>
              <w:t>MVCI Puerto Rico, Inc.</w:t>
            </w:r>
          </w:p>
        </w:tc>
        <w:tc>
          <w:tcPr>
            <w:tcW w:w="1860" w:type="dxa"/>
            <w:vAlign w:val="bottom"/>
          </w:tcPr>
          <w:p>
            <w:pPr>
              <w:spacing w:after="0"/>
              <w:rPr>
                <w:sz w:val="20"/>
                <w:szCs w:val="20"/>
                <w:color w:val="auto"/>
              </w:rPr>
            </w:pPr>
            <w:r>
              <w:rPr>
                <w:rFonts w:ascii="Arial" w:cs="Arial" w:eastAsia="Arial" w:hAnsi="Arial"/>
                <w:sz w:val="18"/>
                <w:szCs w:val="18"/>
                <w:color w:val="auto"/>
              </w:rPr>
              <w:t>Puerto Rico</w:t>
            </w:r>
          </w:p>
        </w:tc>
      </w:tr>
      <w:tr>
        <w:trPr>
          <w:trHeight w:val="216"/>
        </w:trPr>
        <w:tc>
          <w:tcPr>
            <w:tcW w:w="20" w:type="dxa"/>
            <w:vAlign w:val="bottom"/>
          </w:tcPr>
          <w:p>
            <w:pPr>
              <w:spacing w:after="0"/>
              <w:rPr>
                <w:sz w:val="18"/>
                <w:szCs w:val="18"/>
                <w:color w:val="auto"/>
              </w:rPr>
            </w:pPr>
          </w:p>
        </w:tc>
        <w:tc>
          <w:tcPr>
            <w:tcW w:w="9540" w:type="dxa"/>
            <w:vAlign w:val="bottom"/>
            <w:gridSpan w:val="2"/>
          </w:tcPr>
          <w:p>
            <w:pPr>
              <w:ind w:left="160"/>
              <w:spacing w:after="0"/>
              <w:rPr>
                <w:sz w:val="20"/>
                <w:szCs w:val="20"/>
                <w:color w:val="auto"/>
              </w:rPr>
            </w:pPr>
            <w:r>
              <w:rPr>
                <w:rFonts w:ascii="Arial" w:cs="Arial" w:eastAsia="Arial" w:hAnsi="Arial"/>
                <w:sz w:val="18"/>
                <w:szCs w:val="18"/>
                <w:color w:val="auto"/>
              </w:rPr>
              <w:t>Entity also does business under the names:</w:t>
            </w:r>
          </w:p>
        </w:tc>
        <w:tc>
          <w:tcPr>
            <w:tcW w:w="1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540" w:type="dxa"/>
            <w:vAlign w:val="bottom"/>
            <w:gridSpan w:val="2"/>
          </w:tcPr>
          <w:p>
            <w:pPr>
              <w:ind w:left="440"/>
              <w:spacing w:after="0"/>
              <w:rPr>
                <w:sz w:val="20"/>
                <w:szCs w:val="20"/>
                <w:color w:val="auto"/>
              </w:rPr>
            </w:pPr>
            <w:r>
              <w:rPr>
                <w:rFonts w:ascii="Arial" w:cs="Arial" w:eastAsia="Arial" w:hAnsi="Arial"/>
                <w:sz w:val="18"/>
                <w:szCs w:val="18"/>
                <w:color w:val="auto"/>
              </w:rPr>
              <w:t>•  Marriott Vacation Club International</w:t>
            </w:r>
          </w:p>
        </w:tc>
        <w:tc>
          <w:tcPr>
            <w:tcW w:w="1860" w:type="dxa"/>
            <w:vAlign w:val="bottom"/>
          </w:tcPr>
          <w:p>
            <w:pPr>
              <w:spacing w:after="0"/>
              <w:rPr>
                <w:sz w:val="20"/>
                <w:szCs w:val="20"/>
                <w:color w:val="auto"/>
              </w:rPr>
            </w:pPr>
          </w:p>
        </w:tc>
      </w:tr>
      <w:tr>
        <w:trPr>
          <w:trHeight w:val="338"/>
        </w:trPr>
        <w:tc>
          <w:tcPr>
            <w:tcW w:w="9560" w:type="dxa"/>
            <w:vAlign w:val="bottom"/>
            <w:gridSpan w:val="3"/>
          </w:tcPr>
          <w:p>
            <w:pPr>
              <w:spacing w:after="0"/>
              <w:rPr>
                <w:sz w:val="20"/>
                <w:szCs w:val="20"/>
                <w:color w:val="auto"/>
              </w:rPr>
            </w:pPr>
            <w:r>
              <w:rPr>
                <w:rFonts w:ascii="Arial" w:cs="Arial" w:eastAsia="Arial" w:hAnsi="Arial"/>
                <w:sz w:val="18"/>
                <w:szCs w:val="18"/>
                <w:color w:val="auto"/>
              </w:rPr>
              <w:t>MVCI Services Limited</w:t>
            </w:r>
          </w:p>
        </w:tc>
        <w:tc>
          <w:tcPr>
            <w:tcW w:w="1860" w:type="dxa"/>
            <w:vAlign w:val="bottom"/>
          </w:tcPr>
          <w:p>
            <w:pPr>
              <w:spacing w:after="0"/>
              <w:rPr>
                <w:sz w:val="20"/>
                <w:szCs w:val="20"/>
                <w:color w:val="auto"/>
              </w:rPr>
            </w:pPr>
            <w:r>
              <w:rPr>
                <w:rFonts w:ascii="Arial" w:cs="Arial" w:eastAsia="Arial" w:hAnsi="Arial"/>
                <w:sz w:val="18"/>
                <w:szCs w:val="18"/>
                <w:color w:val="auto"/>
              </w:rPr>
              <w:t>Ireland</w:t>
            </w:r>
          </w:p>
        </w:tc>
      </w:tr>
    </w:tbl>
    <w:p>
      <w:pPr>
        <w:spacing w:after="0"/>
        <w:rPr>
          <w:sz w:val="20"/>
          <w:szCs w:val="20"/>
          <w:color w:val="auto"/>
        </w:rPr>
        <w:sectPr>
          <w:pgSz w:w="11900" w:h="16838" w:orient="portrait"/>
          <w:cols w:equalWidth="0" w:num="1">
            <w:col w:w="11420"/>
          </w:cols>
          <w:pgMar w:left="240" w:top="265" w:right="239" w:bottom="111"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65" w:right="239" w:bottom="111" w:gutter="0" w:footer="0" w:header="0"/>
          <w:type w:val="continuous"/>
        </w:sectPr>
      </w:pPr>
    </w:p>
    <w:bookmarkStart w:id="145" w:name="page146"/>
    <w:bookmarkEnd w:id="145"/>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tcPr>
          <w:p>
            <w:pPr>
              <w:spacing w:after="0"/>
              <w:rPr>
                <w:sz w:val="20"/>
                <w:szCs w:val="20"/>
                <w:color w:val="auto"/>
              </w:rPr>
            </w:pPr>
            <w:r>
              <w:rPr>
                <w:rFonts w:ascii="Arial" w:cs="Arial" w:eastAsia="Arial" w:hAnsi="Arial"/>
                <w:sz w:val="14"/>
                <w:szCs w:val="14"/>
                <w:b w:val="1"/>
                <w:bCs w:val="1"/>
                <w:color w:val="auto"/>
              </w:rPr>
              <w:t>Jurisdiction of</w:t>
            </w:r>
          </w:p>
        </w:tc>
      </w:tr>
      <w:tr>
        <w:trPr>
          <w:trHeight w:val="282"/>
        </w:trPr>
        <w:tc>
          <w:tcPr>
            <w:tcW w:w="5260" w:type="dxa"/>
            <w:vAlign w:val="bottom"/>
            <w:gridSpan w:val="2"/>
          </w:tcPr>
          <w:p>
            <w:pPr>
              <w:ind w:left="580"/>
              <w:spacing w:after="0"/>
              <w:rPr>
                <w:sz w:val="20"/>
                <w:szCs w:val="20"/>
                <w:color w:val="auto"/>
              </w:rPr>
            </w:pPr>
            <w:r>
              <w:rPr>
                <w:rFonts w:ascii="Arial" w:cs="Arial" w:eastAsia="Arial" w:hAnsi="Arial"/>
                <w:sz w:val="14"/>
                <w:szCs w:val="14"/>
                <w:b w:val="1"/>
                <w:bCs w:val="1"/>
                <w:color w:val="auto"/>
              </w:rPr>
              <w:t>Subsidiaries organized outside the United States</w:t>
            </w: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4"/>
                <w:szCs w:val="14"/>
                <w:b w:val="1"/>
                <w:bCs w:val="1"/>
                <w:color w:val="auto"/>
              </w:rPr>
              <w:t>Organization</w:t>
            </w:r>
          </w:p>
        </w:tc>
      </w:tr>
      <w:tr>
        <w:trPr>
          <w:trHeight w:val="224"/>
        </w:trPr>
        <w:tc>
          <w:tcPr>
            <w:tcW w:w="580" w:type="dxa"/>
            <w:vAlign w:val="bottom"/>
          </w:tcPr>
          <w:p>
            <w:pPr>
              <w:spacing w:after="0"/>
              <w:rPr>
                <w:sz w:val="19"/>
                <w:szCs w:val="19"/>
                <w:color w:val="auto"/>
              </w:rPr>
            </w:pPr>
          </w:p>
        </w:tc>
        <w:tc>
          <w:tcPr>
            <w:tcW w:w="4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MVCI St. Kitts Company Limited</w:t>
            </w:r>
          </w:p>
        </w:tc>
        <w:tc>
          <w:tcPr>
            <w:tcW w:w="32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Saint Kitts &amp; Nieves</w:t>
            </w:r>
          </w:p>
        </w:tc>
      </w:tr>
      <w:tr>
        <w:trPr>
          <w:trHeight w:val="310"/>
        </w:trPr>
        <w:tc>
          <w:tcPr>
            <w:tcW w:w="5260" w:type="dxa"/>
            <w:vAlign w:val="bottom"/>
            <w:gridSpan w:val="2"/>
          </w:tcPr>
          <w:p>
            <w:pPr>
              <w:ind w:left="580"/>
              <w:spacing w:after="0"/>
              <w:rPr>
                <w:sz w:val="20"/>
                <w:szCs w:val="20"/>
                <w:color w:val="auto"/>
              </w:rPr>
            </w:pPr>
            <w:r>
              <w:rPr>
                <w:rFonts w:ascii="Arial" w:cs="Arial" w:eastAsia="Arial" w:hAnsi="Arial"/>
                <w:sz w:val="18"/>
                <w:szCs w:val="18"/>
                <w:color w:val="auto"/>
              </w:rPr>
              <w:t>MVCI (Thailand) Limited</w:t>
            </w: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Thailand</w:t>
            </w:r>
          </w:p>
        </w:tc>
      </w:tr>
      <w:tr>
        <w:trPr>
          <w:trHeight w:val="324"/>
        </w:trPr>
        <w:tc>
          <w:tcPr>
            <w:tcW w:w="5260" w:type="dxa"/>
            <w:vAlign w:val="bottom"/>
            <w:gridSpan w:val="2"/>
          </w:tcPr>
          <w:p>
            <w:pPr>
              <w:ind w:left="580"/>
              <w:spacing w:after="0"/>
              <w:rPr>
                <w:sz w:val="20"/>
                <w:szCs w:val="20"/>
                <w:color w:val="auto"/>
              </w:rPr>
            </w:pPr>
            <w:r>
              <w:rPr>
                <w:rFonts w:ascii="Arial" w:cs="Arial" w:eastAsia="Arial" w:hAnsi="Arial"/>
                <w:sz w:val="18"/>
                <w:szCs w:val="18"/>
                <w:color w:val="auto"/>
              </w:rPr>
              <w:t>MVW International Holding Company S.à r.l.</w:t>
            </w: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Luxembourg</w:t>
            </w:r>
          </w:p>
        </w:tc>
      </w:tr>
      <w:tr>
        <w:trPr>
          <w:trHeight w:val="324"/>
        </w:trPr>
        <w:tc>
          <w:tcPr>
            <w:tcW w:w="5260" w:type="dxa"/>
            <w:vAlign w:val="bottom"/>
            <w:gridSpan w:val="2"/>
          </w:tcPr>
          <w:p>
            <w:pPr>
              <w:ind w:left="580"/>
              <w:spacing w:after="0"/>
              <w:rPr>
                <w:sz w:val="20"/>
                <w:szCs w:val="20"/>
                <w:color w:val="auto"/>
              </w:rPr>
            </w:pPr>
            <w:r>
              <w:rPr>
                <w:rFonts w:ascii="Arial" w:cs="Arial" w:eastAsia="Arial" w:hAnsi="Arial"/>
                <w:sz w:val="18"/>
                <w:szCs w:val="18"/>
                <w:color w:val="auto"/>
              </w:rPr>
              <w:t>Promociones Marriott, S.A. de C.V.</w:t>
            </w: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Mexico</w:t>
            </w:r>
          </w:p>
        </w:tc>
      </w:tr>
      <w:tr>
        <w:trPr>
          <w:trHeight w:val="324"/>
        </w:trPr>
        <w:tc>
          <w:tcPr>
            <w:tcW w:w="5260" w:type="dxa"/>
            <w:vAlign w:val="bottom"/>
            <w:gridSpan w:val="2"/>
          </w:tcPr>
          <w:p>
            <w:pPr>
              <w:ind w:left="580"/>
              <w:spacing w:after="0"/>
              <w:rPr>
                <w:sz w:val="20"/>
                <w:szCs w:val="20"/>
                <w:color w:val="auto"/>
              </w:rPr>
            </w:pPr>
            <w:r>
              <w:rPr>
                <w:rFonts w:ascii="Arial" w:cs="Arial" w:eastAsia="Arial" w:hAnsi="Arial"/>
                <w:sz w:val="18"/>
                <w:szCs w:val="18"/>
                <w:color w:val="auto"/>
              </w:rPr>
              <w:t>RC Abaco Holding Company Limited</w:t>
            </w: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Virgin Islands - BR</w:t>
            </w:r>
          </w:p>
        </w:tc>
      </w:tr>
      <w:tr>
        <w:trPr>
          <w:trHeight w:val="324"/>
        </w:trPr>
        <w:tc>
          <w:tcPr>
            <w:tcW w:w="5260" w:type="dxa"/>
            <w:vAlign w:val="bottom"/>
            <w:gridSpan w:val="2"/>
          </w:tcPr>
          <w:p>
            <w:pPr>
              <w:ind w:left="580"/>
              <w:spacing w:after="0"/>
              <w:rPr>
                <w:sz w:val="20"/>
                <w:szCs w:val="20"/>
                <w:color w:val="auto"/>
              </w:rPr>
            </w:pPr>
            <w:r>
              <w:rPr>
                <w:rFonts w:ascii="Arial" w:cs="Arial" w:eastAsia="Arial" w:hAnsi="Arial"/>
                <w:sz w:val="18"/>
                <w:szCs w:val="18"/>
                <w:color w:val="auto"/>
              </w:rPr>
              <w:t>RC Management Company Bahamas Limited</w:t>
            </w: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Bahamas</w:t>
            </w:r>
          </w:p>
        </w:tc>
      </w:tr>
      <w:tr>
        <w:trPr>
          <w:trHeight w:val="324"/>
        </w:trPr>
        <w:tc>
          <w:tcPr>
            <w:tcW w:w="5260" w:type="dxa"/>
            <w:vAlign w:val="bottom"/>
            <w:gridSpan w:val="2"/>
          </w:tcPr>
          <w:p>
            <w:pPr>
              <w:ind w:left="580"/>
              <w:spacing w:after="0"/>
              <w:rPr>
                <w:sz w:val="20"/>
                <w:szCs w:val="20"/>
                <w:color w:val="auto"/>
              </w:rPr>
            </w:pPr>
            <w:r>
              <w:rPr>
                <w:rFonts w:ascii="Arial" w:cs="Arial" w:eastAsia="Arial" w:hAnsi="Arial"/>
                <w:sz w:val="18"/>
                <w:szCs w:val="18"/>
                <w:color w:val="auto"/>
              </w:rPr>
              <w:t>R.M. Mexicana S.A. de C.V.</w:t>
            </w: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Mexico</w:t>
            </w:r>
          </w:p>
        </w:tc>
      </w:tr>
      <w:tr>
        <w:trPr>
          <w:trHeight w:val="324"/>
        </w:trPr>
        <w:tc>
          <w:tcPr>
            <w:tcW w:w="5260" w:type="dxa"/>
            <w:vAlign w:val="bottom"/>
            <w:gridSpan w:val="2"/>
          </w:tcPr>
          <w:p>
            <w:pPr>
              <w:ind w:left="580"/>
              <w:spacing w:after="0"/>
              <w:rPr>
                <w:sz w:val="20"/>
                <w:szCs w:val="20"/>
                <w:color w:val="auto"/>
              </w:rPr>
            </w:pPr>
            <w:r>
              <w:rPr>
                <w:rFonts w:ascii="Arial" w:cs="Arial" w:eastAsia="Arial" w:hAnsi="Arial"/>
                <w:sz w:val="18"/>
                <w:szCs w:val="18"/>
                <w:color w:val="auto"/>
              </w:rPr>
              <w:t>RC St. Thomas, LLC</w:t>
            </w: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Virgin Islands - US</w:t>
            </w:r>
          </w:p>
        </w:tc>
      </w:tr>
      <w:tr>
        <w:trPr>
          <w:trHeight w:val="324"/>
        </w:trPr>
        <w:tc>
          <w:tcPr>
            <w:tcW w:w="5260" w:type="dxa"/>
            <w:vAlign w:val="bottom"/>
            <w:gridSpan w:val="2"/>
          </w:tcPr>
          <w:p>
            <w:pPr>
              <w:ind w:left="580"/>
              <w:spacing w:after="0"/>
              <w:rPr>
                <w:sz w:val="20"/>
                <w:szCs w:val="20"/>
                <w:color w:val="auto"/>
              </w:rPr>
            </w:pPr>
            <w:r>
              <w:rPr>
                <w:rFonts w:ascii="Arial" w:cs="Arial" w:eastAsia="Arial" w:hAnsi="Arial"/>
                <w:sz w:val="18"/>
                <w:szCs w:val="18"/>
                <w:color w:val="auto"/>
              </w:rPr>
              <w:t>Son Antem Holding Company (Jersey) Limited</w:t>
            </w: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Jersey, Channel Island</w:t>
            </w:r>
          </w:p>
        </w:tc>
      </w:tr>
      <w:tr>
        <w:trPr>
          <w:trHeight w:val="324"/>
        </w:trPr>
        <w:tc>
          <w:tcPr>
            <w:tcW w:w="5260" w:type="dxa"/>
            <w:vAlign w:val="bottom"/>
            <w:gridSpan w:val="2"/>
          </w:tcPr>
          <w:p>
            <w:pPr>
              <w:ind w:left="580"/>
              <w:spacing w:after="0"/>
              <w:rPr>
                <w:sz w:val="20"/>
                <w:szCs w:val="20"/>
                <w:color w:val="auto"/>
              </w:rPr>
            </w:pPr>
            <w:r>
              <w:rPr>
                <w:rFonts w:ascii="Arial" w:cs="Arial" w:eastAsia="Arial" w:hAnsi="Arial"/>
                <w:sz w:val="18"/>
                <w:szCs w:val="18"/>
                <w:color w:val="auto"/>
              </w:rPr>
              <w:t>The Abaco Club RC, Ltd.</w:t>
            </w: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Bahamas</w:t>
            </w:r>
          </w:p>
        </w:tc>
      </w:tr>
      <w:tr>
        <w:trPr>
          <w:trHeight w:val="324"/>
        </w:trPr>
        <w:tc>
          <w:tcPr>
            <w:tcW w:w="5260" w:type="dxa"/>
            <w:vAlign w:val="bottom"/>
            <w:gridSpan w:val="2"/>
          </w:tcPr>
          <w:p>
            <w:pPr>
              <w:ind w:left="580"/>
              <w:spacing w:after="0"/>
              <w:rPr>
                <w:sz w:val="20"/>
                <w:szCs w:val="20"/>
                <w:color w:val="auto"/>
              </w:rPr>
            </w:pPr>
            <w:r>
              <w:rPr>
                <w:rFonts w:ascii="Arial" w:cs="Arial" w:eastAsia="Arial" w:hAnsi="Arial"/>
                <w:sz w:val="18"/>
                <w:szCs w:val="18"/>
                <w:color w:val="auto"/>
              </w:rPr>
              <w:t>The Ritz-Carlton Club, St. Thomas, Inc.</w:t>
            </w: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Virgin Islands - US</w:t>
            </w:r>
          </w:p>
        </w:tc>
      </w:tr>
      <w:tr>
        <w:trPr>
          <w:trHeight w:val="432"/>
        </w:trPr>
        <w:tc>
          <w:tcPr>
            <w:tcW w:w="5260" w:type="dxa"/>
            <w:vAlign w:val="bottom"/>
            <w:gridSpan w:val="2"/>
          </w:tcPr>
          <w:p>
            <w:pPr>
              <w:spacing w:after="0"/>
              <w:rPr>
                <w:sz w:val="20"/>
                <w:szCs w:val="20"/>
                <w:color w:val="auto"/>
              </w:rPr>
            </w:pPr>
            <w:r>
              <w:rPr>
                <w:rFonts w:ascii="Arial" w:cs="Arial" w:eastAsia="Arial" w:hAnsi="Arial"/>
                <w:sz w:val="18"/>
                <w:szCs w:val="18"/>
                <w:color w:val="auto"/>
                <w:w w:val="99"/>
              </w:rPr>
              <w:t>* Marriott Vacations Worldwide Corporation owns less than 100%.</w:t>
            </w: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65"/>
        </w:trPr>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220" w:type="dxa"/>
            <w:vAlign w:val="bottom"/>
          </w:tcPr>
          <w:p>
            <w:pPr>
              <w:jc w:val="right"/>
              <w:ind w:right="263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860"/>
          </w:cols>
          <w:pgMar w:left="240" w:top="589" w:right="7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900" w:right="26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(Form S-8 No. 333-191765) pertaining to the Marriott Vacations Worldwide Corporation Deferred Compensation Plan, and</w:t>
      </w:r>
    </w:p>
    <w:p>
      <w:pPr>
        <w:spacing w:after="0" w:line="197"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(Form S-8 No. 333-177798) pertaining to the Marriott Vacations Worldwide Corporation Stock and Cash Incentive Plan;</w:t>
      </w:r>
    </w:p>
    <w:p>
      <w:pPr>
        <w:spacing w:after="0" w:line="248"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of our reports dated February 27, 2014, with respect to the consolidated financial statements of Marriott Vacations Worldwide Corporation and the effectiveness of internal control over financial reporting of Marriott Vacations Worldwide Corporation included in this Annual Report (Form 10-K) of Marriott Vacations Worldwide Corporation for the fiscal year ended January 3,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ectPr>
          <w:pgSz w:w="11900" w:h="16838" w:orient="portrait"/>
          <w:cols w:equalWidth="0" w:num="1">
            <w:col w:w="11420"/>
          </w:cols>
          <w:pgMar w:left="240" w:top="1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3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900" w:right="40" w:hanging="446"/>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100" w:hanging="440"/>
        <w:spacing w:after="0" w:line="286" w:lineRule="auto"/>
        <w:tabs>
          <w:tab w:leader="none" w:pos="1920"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60" w:hanging="440"/>
        <w:spacing w:after="0" w:line="264" w:lineRule="auto"/>
        <w:tabs>
          <w:tab w:leader="none" w:pos="19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60" w:hanging="440"/>
        <w:spacing w:after="0" w:line="286" w:lineRule="auto"/>
        <w:tabs>
          <w:tab w:leader="none" w:pos="1920" w:val="left"/>
        </w:tabs>
        <w:numPr>
          <w:ilvl w:val="1"/>
          <w:numId w:val="6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20" w:hanging="446"/>
        <w:spacing w:after="0" w:line="34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00" w:hanging="440"/>
        <w:spacing w:after="0" w:line="277" w:lineRule="auto"/>
        <w:tabs>
          <w:tab w:leader="none" w:pos="19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252"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3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900" w:right="40" w:hanging="446"/>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100" w:hanging="440"/>
        <w:spacing w:after="0" w:line="286" w:lineRule="auto"/>
        <w:tabs>
          <w:tab w:leader="none" w:pos="19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60" w:hanging="440"/>
        <w:spacing w:after="0" w:line="264" w:lineRule="auto"/>
        <w:tabs>
          <w:tab w:leader="none" w:pos="19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160" w:hanging="440"/>
        <w:spacing w:after="0" w:line="286" w:lineRule="auto"/>
        <w:tabs>
          <w:tab w:leader="none" w:pos="19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20" w:hanging="446"/>
        <w:spacing w:after="0" w:line="34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300" w:hanging="440"/>
        <w:spacing w:after="0" w:line="277" w:lineRule="auto"/>
        <w:tabs>
          <w:tab w:leader="none" w:pos="19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252"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31" w:lineRule="exact"/>
        <w:rPr>
          <w:sz w:val="20"/>
          <w:szCs w:val="20"/>
          <w:color w:val="auto"/>
        </w:rPr>
      </w:pPr>
    </w:p>
    <w:p>
      <w:pPr>
        <w:ind w:left="900" w:right="820" w:hanging="446"/>
        <w:spacing w:after="0" w:line="308"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January 3, 2014 (the “Annual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252"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54" w:lineRule="exact"/>
        <w:rPr>
          <w:sz w:val="20"/>
          <w:szCs w:val="20"/>
          <w:color w:val="auto"/>
        </w:rPr>
      </w:pPr>
    </w:p>
    <w:p>
      <w:pPr>
        <w:ind w:left="900" w:right="820" w:hanging="446"/>
        <w:spacing w:after="0" w:line="308"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January 3, 2014 (the “Annual Report”), fully complies with the requirements of section 13(a) or 15(d) of the Securities Exchange Act of 1934 (15 U.S.C. 78m or 78o(d)); and</w:t>
      </w:r>
    </w:p>
    <w:p>
      <w:pPr>
        <w:spacing w:after="0" w:line="51"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2014</w:t>
      </w:r>
    </w:p>
    <w:p>
      <w:pPr>
        <w:spacing w:after="0" w:line="252"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2"/>
    </w:lvl>
  </w:abstractNum>
  <w:abstractNum w:abstractNumId="4">
    <w:nsid w:val="5577F8E1"/>
    <w:multiLevelType w:val="hybridMultilevel"/>
    <w:lvl w:ilvl="0">
      <w:lvlJc w:val="left"/>
      <w:lvlText w:val="(%1)"/>
      <w:numFmt w:val="decimal"/>
      <w:start w:val="2"/>
    </w:lvl>
  </w:abstractNum>
  <w:abstractNum w:abstractNumId="5">
    <w:nsid w:val="440BADFC"/>
    <w:multiLevelType w:val="hybridMultilevel"/>
    <w:lvl w:ilvl="0">
      <w:lvlJc w:val="left"/>
      <w:lvlText w:val="(%1)"/>
      <w:numFmt w:val="decimal"/>
      <w:start w:val="6"/>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3"/>
    </w:lvl>
  </w:abstractNum>
  <w:abstractNum w:abstractNumId="11">
    <w:nsid w:val="2463B9EA"/>
    <w:multiLevelType w:val="hybridMultilevel"/>
    <w:lvl w:ilvl="0">
      <w:lvlJc w:val="left"/>
      <w:lvlText w:val="(%1)"/>
      <w:numFmt w:val="lowerLetter"/>
      <w:start w:val="1"/>
    </w:lvl>
  </w:abstractNum>
  <w:abstractNum w:abstractNumId="12">
    <w:nsid w:val="5E884ADC"/>
    <w:multiLevelType w:val="hybridMultilevel"/>
    <w:lvl w:ilvl="0">
      <w:lvlJc w:val="left"/>
      <w:lvlText w:val="(%1)"/>
      <w:numFmt w:val="decimal"/>
      <w:start w:val="5"/>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lvl w:ilvl="1">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lowerRoman"/>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1."/>
      <w:numFmt w:val="decimal"/>
      <w:start w:val="19"/>
    </w:lvl>
    <w:lvl w:ilvl="1">
      <w:lvlJc w:val="left"/>
      <w:lvlText w:val="•"/>
      <w:numFmt w:val="bullet"/>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10"/>
    </w:lvl>
  </w:abstractNum>
  <w:abstractNum w:abstractNumId="41">
    <w:nsid w:val="520EEDD1"/>
    <w:multiLevelType w:val="hybridMultilevel"/>
    <w:lvl w:ilvl="0">
      <w:lvlJc w:val="left"/>
      <w:lvlText w:val="(%1)"/>
      <w:numFmt w:val="lowerLetter"/>
      <w:start w:val="1"/>
    </w:lvl>
  </w:abstractNum>
  <w:abstractNum w:abstractNumId="42">
    <w:nsid w:val="374A3FE6"/>
    <w:multiLevelType w:val="hybridMultilevel"/>
    <w:lvl w:ilvl="0">
      <w:lvlJc w:val="left"/>
      <w:lvlText w:val="(%1)"/>
      <w:numFmt w:val="lowerLetter"/>
      <w:start w:val="1"/>
    </w:lvl>
  </w:abstractNum>
  <w:abstractNum w:abstractNumId="43">
    <w:nsid w:val="4F4EF005"/>
    <w:multiLevelType w:val="hybridMultilevel"/>
    <w:lvl w:ilvl="0">
      <w:lvlJc w:val="left"/>
      <w:lvlText w:val="(%1)"/>
      <w:numFmt w:val="lowerLetter"/>
      <w:start w:val="3"/>
    </w:lvl>
  </w:abstractNum>
  <w:abstractNum w:abstractNumId="44">
    <w:nsid w:val="23F9C13C"/>
    <w:multiLevelType w:val="hybridMultilevel"/>
    <w:lvl w:ilvl="0">
      <w:lvlJc w:val="left"/>
      <w:lvlText w:val="(%1)"/>
      <w:numFmt w:val="decimal"/>
      <w:start w:val="12"/>
    </w:lvl>
  </w:abstractNum>
  <w:abstractNum w:abstractNumId="45">
    <w:nsid w:val="649BB77C"/>
    <w:multiLevelType w:val="hybridMultilevel"/>
    <w:lvl w:ilvl="0">
      <w:lvlJc w:val="left"/>
      <w:lvlText w:val="(%1)"/>
      <w:numFmt w:val="decimal"/>
      <w:start w:val="3"/>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Letter"/>
      <w:start w:val="1"/>
    </w:lvl>
  </w:abstractNum>
  <w:abstractNum w:abstractNumId="50">
    <w:nsid w:val="235BA861"/>
    <w:multiLevelType w:val="hybridMultilevel"/>
    <w:lvl w:ilvl="0">
      <w:lvlJc w:val="left"/>
      <w:lvlText w:val="(%1)"/>
      <w:numFmt w:val="lowerLetter"/>
      <w:start w:val="5"/>
    </w:lvl>
  </w:abstractNum>
  <w:abstractNum w:abstractNumId="51">
    <w:nsid w:val="47398C89"/>
    <w:multiLevelType w:val="hybridMultilevel"/>
    <w:lvl w:ilvl="0">
      <w:lvlJc w:val="left"/>
      <w:lvlText w:val="%1"/>
      <w:numFmt w:val="lowerLetter"/>
      <w:start w:val="1"/>
    </w:lvl>
    <w:lvl w:ilvl="1">
      <w:lvlJc w:val="left"/>
      <w:lvlText w:val="(%2)"/>
      <w:numFmt w:val="lowerLetter"/>
      <w:start w:val="1"/>
    </w:lvl>
  </w:abstractNum>
  <w:abstractNum w:abstractNumId="52">
    <w:nsid w:val="354FE9F9"/>
    <w:multiLevelType w:val="hybridMultilevel"/>
    <w:lvl w:ilvl="0">
      <w:lvlJc w:val="left"/>
      <w:lvlText w:val="(%1)"/>
      <w:numFmt w:val="lowerLetter"/>
      <w:start w:val="61"/>
    </w:lvl>
    <w:lvl w:ilvl="1">
      <w:lvlJc w:val="left"/>
      <w:lvlText w:val="(%2)"/>
      <w:numFmt w:val="lowerLetter"/>
      <w:start w:val="4"/>
    </w:lvl>
  </w:abstractNum>
  <w:abstractNum w:abstractNumId="53">
    <w:nsid w:val="15B5AF5C"/>
    <w:multiLevelType w:val="hybridMultilevel"/>
    <w:lvl w:ilvl="0">
      <w:lvlJc w:val="left"/>
      <w:lvlText w:val="%1"/>
      <w:numFmt w:val="lowerLetter"/>
      <w:start w:val="1"/>
    </w:lvl>
    <w:lvl w:ilvl="1">
      <w:lvlJc w:val="left"/>
      <w:lvlText w:val="(%2)"/>
      <w:numFmt w:val="lowerLetter"/>
      <w:start w:val="1"/>
    </w:lvl>
  </w:abstractNum>
  <w:abstractNum w:abstractNumId="54">
    <w:nsid w:val="741226BB"/>
    <w:multiLevelType w:val="hybridMultilevel"/>
    <w:lvl w:ilvl="0">
      <w:lvlJc w:val="left"/>
      <w:lvlText w:val="(%1)"/>
      <w:numFmt w:val="lowerLetter"/>
      <w:start w:val="35"/>
    </w:lvl>
    <w:lvl w:ilvl="1">
      <w:lvlJc w:val="left"/>
      <w:lvlText w:val="%2"/>
      <w:numFmt w:val="lowerLetter"/>
      <w:start w:val="1"/>
    </w:lvl>
  </w:abstractNum>
  <w:abstractNum w:abstractNumId="55">
    <w:nsid w:val="D34B6A8"/>
    <w:multiLevelType w:val="hybridMultilevel"/>
    <w:lvl w:ilvl="0">
      <w:lvlJc w:val="left"/>
      <w:lvlText w:val="(%1)"/>
      <w:numFmt w:val="lowerLetter"/>
      <w:start w:val="3"/>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2019-12-08T01:45:19Z</dcterms:created>
  <dcterms:modified xsi:type="dcterms:W3CDTF">2019-12-08T01:45:19Z</dcterms:modified>
</cp:coreProperties>
</file>