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ind w:left="0" w:right="0" w:firstLine="72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72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ind w:left="0" w:right="0" w:firstLine="72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ind w:left="0" w:right="0" w:firstLine="72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2025</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120" w:after="283"/>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001-35219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60" w:after="283"/>
        <w:jc w:val="center"/>
        <w:rPr>
          <w:rFonts w:ascii="Times New Roman;serif" w:hAnsi="Times New Roman;serif"/>
          <w:b/>
          <w:color w:val="000000"/>
          <w:sz w:val="44"/>
        </w:rPr>
      </w:pPr>
      <w:r>
        <w:rPr>
          <w:rFonts w:ascii="Times New Roman;serif" w:hAnsi="Times New Roman;serif"/>
          <w:b/>
          <w:color w:val="000000"/>
          <w:sz w:val="44"/>
        </w:rPr>
        <w:t xml:space="preserve">Marriott Vacations Worldwide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tbl>
      <w:tblPr>
        <w:tblW w:w="5892" w:type="dxa"/>
        <w:jc w:val="center"/>
        <w:tblInd w:w="0" w:type="dxa"/>
        <w:tblLayout w:type="fixed"/>
        <w:tblCellMar>
          <w:top w:w="28" w:type="dxa"/>
          <w:left w:w="28" w:type="dxa"/>
          <w:bottom w:w="28" w:type="dxa"/>
          <w:right w:w="28" w:type="dxa"/>
        </w:tblCellMar>
      </w:tblPr>
      <w:tblGrid>
        <w:gridCol w:w="178"/>
        <w:gridCol w:w="156"/>
        <w:gridCol w:w="156"/>
        <w:gridCol w:w="609"/>
        <w:gridCol w:w="609"/>
        <w:gridCol w:w="611"/>
        <w:gridCol w:w="275"/>
        <w:gridCol w:w="275"/>
        <w:gridCol w:w="276"/>
        <w:gridCol w:w="156"/>
        <w:gridCol w:w="156"/>
        <w:gridCol w:w="156"/>
        <w:gridCol w:w="156"/>
        <w:gridCol w:w="156"/>
        <w:gridCol w:w="156"/>
        <w:gridCol w:w="109"/>
        <w:gridCol w:w="109"/>
        <w:gridCol w:w="109"/>
        <w:gridCol w:w="433"/>
        <w:gridCol w:w="433"/>
        <w:gridCol w:w="618"/>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40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45-2598330</w:t>
            </w:r>
          </w:p>
        </w:tc>
      </w:tr>
      <w:tr>
        <w:trPr/>
        <w:tc>
          <w:tcPr>
            <w:tcW w:w="40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7812 Palm Parkway</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Orlando</w:t>
            </w:r>
          </w:p>
        </w:tc>
        <w:tc>
          <w:tcPr>
            <w:tcW w:w="4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FL</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32836</w:t>
            </w:r>
          </w:p>
        </w:tc>
      </w:tr>
      <w:tr>
        <w:trPr/>
        <w:tc>
          <w:tcPr>
            <w:tcW w:w="40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60" w:after="283"/>
        <w:jc w:val="center"/>
        <w:rPr/>
      </w:pPr>
      <w:r>
        <w:rPr>
          <w:rFonts w:ascii="Times New Roman;serif" w:hAnsi="Times New Roman;serif"/>
          <w:b/>
          <w:color w:val="000000"/>
          <w:sz w:val="20"/>
        </w:rPr>
        <w:t xml:space="preserve">(407) 206-6000 </w:t>
      </w:r>
      <w:r>
        <w:rPr>
          <w:rFonts w:ascii="Times New Roman;serif" w:hAnsi="Times New Roman;serif"/>
          <w:b/>
          <w:color w:val="000000"/>
          <w:sz w:val="16"/>
        </w:rPr>
        <w:t>(Registrant’s telephone number, including area code)</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p>
      <w:pPr>
        <w:pStyle w:val="TextBody"/>
        <w:bidi w:val="0"/>
        <w:spacing w:lineRule="auto" w:line="288" w:before="240" w:after="283"/>
        <w:jc w:val="left"/>
        <w:rPr>
          <w:rFonts w:ascii="Times New Roman;serif" w:hAnsi="Times New Roman;serif"/>
          <w:b w:val="false"/>
          <w:color w:val="000000"/>
          <w:sz w:val="19"/>
        </w:rPr>
      </w:pPr>
      <w:r>
        <w:rPr>
          <w:rFonts w:ascii="Times New Roman;serif" w:hAnsi="Times New Roman;serif"/>
          <w:b w:val="false"/>
          <w:color w:val="000000"/>
          <w:sz w:val="19"/>
        </w:rPr>
        <w:t>Securities registered pursuant to Section 12(b) of the Act:</w:t>
      </w:r>
    </w:p>
    <w:tbl>
      <w:tblPr>
        <w:tblW w:w="7528" w:type="dxa"/>
        <w:jc w:val="center"/>
        <w:tblInd w:w="0" w:type="dxa"/>
        <w:tblLayout w:type="fixed"/>
        <w:tblCellMar>
          <w:top w:w="28" w:type="dxa"/>
          <w:left w:w="28" w:type="dxa"/>
          <w:bottom w:w="28" w:type="dxa"/>
          <w:right w:w="28" w:type="dxa"/>
        </w:tblCellMar>
      </w:tblPr>
      <w:tblGrid>
        <w:gridCol w:w="998"/>
        <w:gridCol w:w="875"/>
        <w:gridCol w:w="887"/>
        <w:gridCol w:w="484"/>
        <w:gridCol w:w="484"/>
        <w:gridCol w:w="486"/>
        <w:gridCol w:w="970"/>
        <w:gridCol w:w="970"/>
        <w:gridCol w:w="1374"/>
      </w:tblGrid>
      <w:tr>
        <w:trPr/>
        <w:tc>
          <w:tcPr>
            <w:tcW w:w="99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op w:val="single" w:sz="8" w:space="0" w:color="000000"/>
              <w:left w:val="single" w:sz="8"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76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Common Stock, $0.01 Par Value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VAC</w:t>
            </w:r>
          </w:p>
        </w:tc>
        <w:tc>
          <w:tcPr>
            <w:tcW w:w="3314" w:type="dxa"/>
            <w:gridSpan w:val="3"/>
            <w:tcBorders>
              <w:top w:val="single" w:sz="8" w:space="0" w:color="000000"/>
              <w:left w:val="single" w:sz="8" w:space="0" w:color="000000"/>
              <w:bottom w:val="single" w:sz="8"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New York Stock Exchange</w:t>
            </w:r>
          </w:p>
        </w:tc>
      </w:tr>
    </w:tbl>
    <w:p>
      <w:pPr>
        <w:pStyle w:val="TextBody"/>
        <w:bidi w:val="0"/>
        <w:spacing w:lineRule="auto" w:line="288" w:before="120" w:after="283"/>
        <w:jc w:val="left"/>
        <w:rPr/>
      </w:pPr>
      <w:r>
        <w:rPr>
          <w:rFonts w:ascii="Times New Roman;serif" w:hAnsi="Times New Roman;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9"/>
        </w:rPr>
        <w:t>No  </w:t>
      </w:r>
      <w:r>
        <w:rPr>
          <w:color w:val="000000"/>
        </w:rPr>
        <w:t>☐</w:t>
      </w:r>
    </w:p>
    <w:p>
      <w:pPr>
        <w:pStyle w:val="TextBody"/>
        <w:bidi w:val="0"/>
        <w:spacing w:lineRule="auto" w:line="288" w:before="120" w:after="283"/>
        <w:jc w:val="left"/>
        <w:rPr/>
      </w:pPr>
      <w:r>
        <w:rPr>
          <w:rFonts w:ascii="Times New Roman;serif" w:hAnsi="Times New Roman;serif"/>
          <w:b w:val="false"/>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9"/>
        </w:rPr>
        <w:t>No  </w:t>
      </w:r>
      <w:r>
        <w:rPr>
          <w:color w:val="000000"/>
        </w:rPr>
        <w:t>☐</w:t>
      </w:r>
    </w:p>
    <w:p>
      <w:pPr>
        <w:pStyle w:val="TextBody"/>
        <w:bidi w:val="0"/>
        <w:spacing w:lineRule="auto" w:line="288" w:before="120" w:after="283"/>
        <w:jc w:val="left"/>
        <w:rPr>
          <w:rFonts w:ascii="Times New Roman;serif" w:hAnsi="Times New Roman;serif"/>
          <w:b w:val="false"/>
          <w:color w:val="000000"/>
          <w:sz w:val="19"/>
        </w:rPr>
      </w:pPr>
      <w:r>
        <w:rPr>
          <w:rFonts w:ascii="Times New Roman;serif" w:hAnsi="Times New Roman;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center"/>
        <w:tblInd w:w="0" w:type="dxa"/>
        <w:tblLayout w:type="fixed"/>
        <w:tblCellMar>
          <w:top w:w="28" w:type="dxa"/>
          <w:left w:w="28" w:type="dxa"/>
          <w:bottom w:w="28" w:type="dxa"/>
          <w:right w:w="28" w:type="dxa"/>
        </w:tblCellMar>
      </w:tblPr>
      <w:tblGrid>
        <w:gridCol w:w="666"/>
        <w:gridCol w:w="586"/>
        <w:gridCol w:w="588"/>
        <w:gridCol w:w="109"/>
        <w:gridCol w:w="109"/>
        <w:gridCol w:w="109"/>
        <w:gridCol w:w="109"/>
        <w:gridCol w:w="109"/>
        <w:gridCol w:w="109"/>
        <w:gridCol w:w="109"/>
        <w:gridCol w:w="109"/>
        <w:gridCol w:w="109"/>
        <w:gridCol w:w="432"/>
        <w:gridCol w:w="432"/>
        <w:gridCol w:w="434"/>
        <w:gridCol w:w="109"/>
        <w:gridCol w:w="109"/>
        <w:gridCol w:w="109"/>
        <w:gridCol w:w="109"/>
        <w:gridCol w:w="109"/>
        <w:gridCol w:w="109"/>
        <w:gridCol w:w="109"/>
        <w:gridCol w:w="109"/>
        <w:gridCol w:w="109"/>
        <w:gridCol w:w="552"/>
        <w:gridCol w:w="552"/>
        <w:gridCol w:w="554"/>
        <w:gridCol w:w="109"/>
        <w:gridCol w:w="109"/>
        <w:gridCol w:w="109"/>
        <w:gridCol w:w="109"/>
        <w:gridCol w:w="109"/>
        <w:gridCol w:w="109"/>
        <w:gridCol w:w="109"/>
        <w:gridCol w:w="109"/>
        <w:gridCol w:w="109"/>
        <w:gridCol w:w="587"/>
        <w:gridCol w:w="587"/>
        <w:gridCol w:w="589"/>
        <w:gridCol w:w="109"/>
        <w:gridCol w:w="109"/>
        <w:gridCol w:w="109"/>
        <w:gridCol w:w="109"/>
        <w:gridCol w:w="109"/>
        <w:gridCol w:w="158"/>
      </w:tblGrid>
      <w:tr>
        <w:trPr/>
        <w:tc>
          <w:tcPr>
            <w:tcW w:w="6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1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erif" w:hAnsi="Times New Roman;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jc w:val="left"/>
        <w:rPr/>
      </w:pPr>
      <w:r>
        <w:rPr>
          <w:rFonts w:ascii="Times New Roman;serif" w:hAnsi="Times New Roman;serif"/>
          <w:b w:val="false"/>
          <w:color w:val="000000"/>
          <w:sz w:val="19"/>
        </w:rPr>
        <w:t>Indicate by check mark whether the registrant is a shell company (as defined in Rule 12b-2 of the Exchange Act).</w:t>
      </w:r>
      <w:r>
        <w:rPr>
          <w:color w:val="000000"/>
        </w:rPr>
        <w:t> </w:t>
      </w:r>
      <w:r>
        <w:rPr>
          <w:rFonts w:ascii="Times New Roman;serif" w:hAnsi="Times New Roman;serif"/>
          <w:b w:val="false"/>
          <w:color w:val="000000"/>
          <w:sz w:val="19"/>
        </w:rPr>
        <w:t>Yes</w:t>
      </w:r>
      <w:r>
        <w:rPr>
          <w:color w:val="000000"/>
        </w:rPr>
        <w:t xml:space="preserve"> ☐ </w:t>
      </w:r>
      <w:r>
        <w:rPr>
          <w:rFonts w:ascii="Times New Roman;serif" w:hAnsi="Times New Roman;serif"/>
          <w:b w:val="false"/>
          <w:color w:val="000000"/>
          <w:sz w:val="19"/>
        </w:rPr>
        <w:t>No</w:t>
      </w:r>
      <w:r>
        <w:rPr>
          <w:color w:val="000000"/>
        </w:rPr>
        <w:t xml:space="preserve"> ☒</w:t>
      </w:r>
    </w:p>
    <w:p>
      <w:pPr>
        <w:pStyle w:val="TextBody"/>
        <w:bidi w:val="0"/>
        <w:spacing w:lineRule="auto" w:line="288" w:before="60" w:after="283"/>
        <w:jc w:val="left"/>
        <w:rPr>
          <w:rFonts w:ascii="Times New Roman;serif" w:hAnsi="Times New Roman;serif"/>
          <w:b w:val="false"/>
          <w:color w:val="000000"/>
          <w:sz w:val="19"/>
        </w:rPr>
      </w:pPr>
      <w:r>
        <w:rPr>
          <w:rFonts w:ascii="Times New Roman;serif" w:hAnsi="Times New Roman;serif"/>
          <w:b w:val="false"/>
          <w:color w:val="000000"/>
          <w:sz w:val="19"/>
        </w:rPr>
        <w:t>The number of shares outstanding of the issuer’s common stock, par value $0.01 per share, as of July 31, 2025 was 34,602,499.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720"/>
                        <w:jc w:val="left"/>
                        <w:rPr/>
                      </w:pPr>
                      <w:r>
                        <w:rPr/>
                      </w:r>
                    </w:p>
                  </w:txbxContent>
                </v:textbox>
                <w10:wrap type="none"/>
              </v:rect>
            </w:pict>
          </mc:Fallback>
        </mc:AlternateContent>
      </w:r>
    </w:p>
    <w:p>
      <w:pPr>
        <w:pStyle w:val="TextBody"/>
        <w:bidi w:val="0"/>
        <w:spacing w:before="120" w:after="283"/>
        <w:ind w:left="0" w:right="0" w:firstLine="720"/>
        <w:jc w:val="center"/>
        <w:rPr/>
      </w:pPr>
      <w:r>
        <w:rPr/>
      </w:r>
    </w:p>
    <w:p>
      <w:pPr>
        <w:pStyle w:val="TextBody"/>
        <w:bidi w:val="0"/>
        <w:spacing w:before="120" w:after="283"/>
        <w:ind w:left="0" w:right="0" w:firstLine="720"/>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MARRIOTT VACATIONS WORLDWIDE CORPORATION</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FORM 10-Q TABLE OF CONTENTS</w:t>
      </w:r>
    </w:p>
    <w:tbl>
      <w:tblPr>
        <w:tblW w:w="8686" w:type="dxa"/>
        <w:jc w:val="center"/>
        <w:tblInd w:w="0" w:type="dxa"/>
        <w:tblLayout w:type="fixed"/>
        <w:tblCellMar>
          <w:top w:w="28" w:type="dxa"/>
          <w:left w:w="28" w:type="dxa"/>
          <w:bottom w:w="28" w:type="dxa"/>
          <w:right w:w="28" w:type="dxa"/>
        </w:tblCellMar>
      </w:tblPr>
      <w:tblGrid>
        <w:gridCol w:w="293"/>
        <w:gridCol w:w="258"/>
        <w:gridCol w:w="259"/>
        <w:gridCol w:w="2453"/>
        <w:gridCol w:w="2453"/>
        <w:gridCol w:w="2459"/>
        <w:gridCol w:w="149"/>
        <w:gridCol w:w="149"/>
        <w:gridCol w:w="213"/>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Part I.</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36c5a97f104319b927f2873a9a80b6_10">
              <w:r>
                <w:rPr>
                  <w:rStyle w:val="InternetLink"/>
                  <w:rFonts w:ascii="Times New Roman;serif" w:hAnsi="Times New Roman;serif"/>
                  <w:b/>
                  <w:color w:val="0000FF"/>
                  <w:sz w:val="19"/>
                  <w:u w:val="single"/>
                </w:rPr>
                <w:t>FINANCIAL INFORMATION</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ae36c5a97f104319b927f2873a9a80b6_10">
              <w:r>
                <w:rPr>
                  <w:rStyle w:val="InternetLink"/>
                  <w:rFonts w:ascii="Times New Roman;serif" w:hAnsi="Times New Roman;serif"/>
                  <w:b w:val="false"/>
                  <w:color w:val="0000FF"/>
                  <w:sz w:val="19"/>
                  <w:u w:val="single"/>
                </w:rPr>
                <w:t>1</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1.</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36c5a97f104319b927f2873a9a80b6_13">
              <w:r>
                <w:rPr>
                  <w:rStyle w:val="InternetLink"/>
                  <w:rFonts w:ascii="Times New Roman;serif" w:hAnsi="Times New Roman;serif"/>
                  <w:b w:val="false"/>
                  <w:color w:val="0000FF"/>
                  <w:sz w:val="19"/>
                  <w:u w:val="single"/>
                </w:rPr>
                <w:t>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36c5a97f104319b927f2873a9a80b6_13">
              <w:r>
                <w:rPr>
                  <w:rStyle w:val="InternetLink"/>
                  <w:rFonts w:ascii="Times New Roman;serif" w:hAnsi="Times New Roman;serif"/>
                  <w:b w:val="false"/>
                  <w:color w:val="0000FF"/>
                  <w:sz w:val="19"/>
                  <w:u w:val="single"/>
                </w:rPr>
                <w:t>1</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36c5a97f104319b927f2873a9a80b6_16">
              <w:r>
                <w:rPr>
                  <w:rStyle w:val="InternetLink"/>
                  <w:rFonts w:ascii="Times New Roman;serif" w:hAnsi="Times New Roman;serif"/>
                  <w:b w:val="false"/>
                  <w:color w:val="0000FF"/>
                  <w:sz w:val="19"/>
                  <w:u w:val="single"/>
                </w:rPr>
                <w:t>Interim Consolidated Statements of Income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36c5a97f104319b927f2873a9a80b6_16">
              <w:r>
                <w:rPr>
                  <w:rStyle w:val="InternetLink"/>
                  <w:rFonts w:ascii="Times New Roman;serif" w:hAnsi="Times New Roman;serif"/>
                  <w:b w:val="false"/>
                  <w:color w:val="0000FF"/>
                  <w:sz w:val="19"/>
                  <w:u w:val="single"/>
                </w:rPr>
                <w:t>1</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36c5a97f104319b927f2873a9a80b6_19">
              <w:r>
                <w:rPr>
                  <w:rStyle w:val="InternetLink"/>
                  <w:rFonts w:ascii="Times New Roman;serif" w:hAnsi="Times New Roman;serif"/>
                  <w:b w:val="false"/>
                  <w:color w:val="0000FF"/>
                  <w:sz w:val="19"/>
                  <w:u w:val="single"/>
                </w:rPr>
                <w:t>Interim Consolidated Statements of Comprehensive Income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36c5a97f104319b927f2873a9a80b6_19">
              <w:r>
                <w:rPr>
                  <w:rStyle w:val="InternetLink"/>
                  <w:rFonts w:ascii="Times New Roman;serif" w:hAnsi="Times New Roman;serif"/>
                  <w:b w:val="false"/>
                  <w:color w:val="0000FF"/>
                  <w:sz w:val="19"/>
                  <w:u w:val="single"/>
                </w:rPr>
                <w:t>2</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36c5a97f104319b927f2873a9a80b6_22">
              <w:r>
                <w:rPr>
                  <w:rStyle w:val="InternetLink"/>
                  <w:rFonts w:ascii="Times New Roman;serif" w:hAnsi="Times New Roman;serif"/>
                  <w:b w:val="false"/>
                  <w:color w:val="0000FF"/>
                  <w:sz w:val="19"/>
                  <w:u w:val="single"/>
                </w:rPr>
                <w:t>Interim 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36c5a97f104319b927f2873a9a80b6_22">
              <w:r>
                <w:rPr>
                  <w:rStyle w:val="InternetLink"/>
                  <w:rFonts w:ascii="Times New Roman;serif" w:hAnsi="Times New Roman;serif"/>
                  <w:b w:val="false"/>
                  <w:color w:val="0000FF"/>
                  <w:sz w:val="19"/>
                  <w:u w:val="single"/>
                </w:rPr>
                <w:t>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36c5a97f104319b927f2873a9a80b6_25">
              <w:r>
                <w:rPr>
                  <w:rStyle w:val="InternetLink"/>
                  <w:rFonts w:ascii="Times New Roman;serif" w:hAnsi="Times New Roman;serif"/>
                  <w:b w:val="false"/>
                  <w:color w:val="0000FF"/>
                  <w:sz w:val="19"/>
                  <w:u w:val="single"/>
                </w:rPr>
                <w:t>Interim 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36c5a97f104319b927f2873a9a80b6_25">
              <w:r>
                <w:rPr>
                  <w:rStyle w:val="InternetLink"/>
                  <w:rFonts w:ascii="Times New Roman;serif" w:hAnsi="Times New Roman;serif"/>
                  <w:b w:val="false"/>
                  <w:color w:val="0000FF"/>
                  <w:sz w:val="19"/>
                  <w:u w:val="single"/>
                </w:rPr>
                <w:t>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36c5a97f104319b927f2873a9a80b6_28">
              <w:r>
                <w:rPr>
                  <w:rStyle w:val="InternetLink"/>
                  <w:rFonts w:ascii="Times New Roman;serif" w:hAnsi="Times New Roman;serif"/>
                  <w:b w:val="false"/>
                  <w:color w:val="0000FF"/>
                  <w:sz w:val="19"/>
                  <w:u w:val="single"/>
                </w:rPr>
                <w:t>Interim Consolidated Statements of Stockholders’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36c5a97f104319b927f2873a9a80b6_28">
              <w:r>
                <w:rPr>
                  <w:rStyle w:val="InternetLink"/>
                  <w:rFonts w:ascii="Times New Roman;serif" w:hAnsi="Times New Roman;serif"/>
                  <w:b w:val="false"/>
                  <w:color w:val="0000FF"/>
                  <w:sz w:val="19"/>
                  <w:u w:val="single"/>
                </w:rPr>
                <w:t>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36c5a97f104319b927f2873a9a80b6_34">
              <w:r>
                <w:rPr>
                  <w:rStyle w:val="InternetLink"/>
                  <w:rFonts w:ascii="Times New Roman;serif" w:hAnsi="Times New Roman;serif"/>
                  <w:b w:val="false"/>
                  <w:color w:val="0000FF"/>
                  <w:sz w:val="19"/>
                  <w:u w:val="single"/>
                </w:rPr>
                <w:t>Interim Condensed Notes to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36c5a97f104319b927f2873a9a80b6_34">
              <w:r>
                <w:rPr>
                  <w:rStyle w:val="InternetLink"/>
                  <w:rFonts w:ascii="Times New Roman;serif" w:hAnsi="Times New Roman;serif"/>
                  <w:b w:val="false"/>
                  <w:color w:val="0000FF"/>
                  <w:sz w:val="19"/>
                  <w:u w:val="single"/>
                </w:rPr>
                <w:t>7</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36c5a97f104319b927f2873a9a80b6_37">
              <w:r>
                <w:rPr>
                  <w:rStyle w:val="InternetLink"/>
                  <w:rFonts w:ascii="Times New Roman;serif" w:hAnsi="Times New Roman;serif"/>
                  <w:b w:val="false"/>
                  <w:color w:val="0000FF"/>
                  <w:sz w:val="19"/>
                  <w:u w:val="single"/>
                </w:rPr>
                <w:t>1. Basis of Presentation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36c5a97f104319b927f2873a9a80b6_37">
              <w:r>
                <w:rPr>
                  <w:rStyle w:val="InternetLink"/>
                  <w:rFonts w:ascii="Times New Roman;serif" w:hAnsi="Times New Roman;serif"/>
                  <w:b w:val="false"/>
                  <w:color w:val="0000FF"/>
                  <w:sz w:val="19"/>
                  <w:u w:val="single"/>
                </w:rPr>
                <w:t>7</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36c5a97f104319b927f2873a9a80b6_40">
              <w:r>
                <w:rPr>
                  <w:rStyle w:val="InternetLink"/>
                  <w:rFonts w:ascii="Times New Roman;serif" w:hAnsi="Times New Roman;serif"/>
                  <w:b w:val="false"/>
                  <w:color w:val="0000FF"/>
                  <w:sz w:val="19"/>
                  <w:u w:val="single"/>
                </w:rPr>
                <w:t>2. Significant Accounting Policies and Recent Accounting Standards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36c5a97f104319b927f2873a9a80b6_40">
              <w:r>
                <w:rPr>
                  <w:rStyle w:val="InternetLink"/>
                  <w:rFonts w:ascii="Times New Roman;serif" w:hAnsi="Times New Roman;serif"/>
                  <w:b w:val="false"/>
                  <w:color w:val="0000FF"/>
                  <w:sz w:val="19"/>
                  <w:u w:val="single"/>
                </w:rPr>
                <w:t>8</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36c5a97f104319b927f2873a9a80b6_52">
              <w:r>
                <w:rPr>
                  <w:rStyle w:val="InternetLink"/>
                  <w:rFonts w:ascii="Times New Roman;serif" w:hAnsi="Times New Roman;serif"/>
                  <w:b w:val="false"/>
                  <w:color w:val="0000FF"/>
                  <w:sz w:val="19"/>
                  <w:u w:val="single"/>
                </w:rPr>
                <w:t>3. Acquisitions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36c5a97f104319b927f2873a9a80b6_52">
              <w:r>
                <w:rPr>
                  <w:rStyle w:val="InternetLink"/>
                  <w:rFonts w:ascii="Times New Roman;serif" w:hAnsi="Times New Roman;serif"/>
                  <w:b w:val="false"/>
                  <w:color w:val="0000FF"/>
                  <w:sz w:val="19"/>
                  <w:u w:val="single"/>
                </w:rPr>
                <w:t>8</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36c5a97f104319b927f2873a9a80b6_58">
              <w:r>
                <w:rPr>
                  <w:rStyle w:val="InternetLink"/>
                  <w:rFonts w:ascii="Times New Roman;serif" w:hAnsi="Times New Roman;serif"/>
                  <w:b w:val="false"/>
                  <w:color w:val="0000FF"/>
                  <w:sz w:val="19"/>
                  <w:u w:val="single"/>
                </w:rPr>
                <w:t>4. Revenue and Receivables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36c5a97f104319b927f2873a9a80b6_58">
              <w:r>
                <w:rPr>
                  <w:rStyle w:val="InternetLink"/>
                  <w:rFonts w:ascii="Times New Roman;serif" w:hAnsi="Times New Roman;serif"/>
                  <w:b w:val="false"/>
                  <w:color w:val="0000FF"/>
                  <w:sz w:val="19"/>
                  <w:u w:val="single"/>
                </w:rPr>
                <w:t>8</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36c5a97f104319b927f2873a9a80b6_64">
              <w:r>
                <w:rPr>
                  <w:rStyle w:val="InternetLink"/>
                  <w:rFonts w:ascii="Times New Roman;serif" w:hAnsi="Times New Roman;serif"/>
                  <w:b w:val="false"/>
                  <w:color w:val="0000FF"/>
                  <w:sz w:val="19"/>
                  <w:u w:val="single"/>
                </w:rPr>
                <w:t>5. Income Taxes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36c5a97f104319b927f2873a9a80b6_64">
              <w:r>
                <w:rPr>
                  <w:rStyle w:val="InternetLink"/>
                  <w:rFonts w:ascii="Times New Roman;serif" w:hAnsi="Times New Roman;serif"/>
                  <w:b w:val="false"/>
                  <w:color w:val="0000FF"/>
                  <w:sz w:val="19"/>
                  <w:u w:val="single"/>
                </w:rPr>
                <w:t>11</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36c5a97f104319b927f2873a9a80b6_70">
              <w:r>
                <w:rPr>
                  <w:rStyle w:val="InternetLink"/>
                  <w:rFonts w:ascii="Times New Roman;serif" w:hAnsi="Times New Roman;serif"/>
                  <w:b w:val="false"/>
                  <w:color w:val="0000FF"/>
                  <w:sz w:val="19"/>
                  <w:u w:val="single"/>
                </w:rPr>
                <w:t>6. Vacation Ownership Notes Receivable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36c5a97f104319b927f2873a9a80b6_70">
              <w:r>
                <w:rPr>
                  <w:rStyle w:val="InternetLink"/>
                  <w:rFonts w:ascii="Times New Roman;serif" w:hAnsi="Times New Roman;serif"/>
                  <w:b w:val="false"/>
                  <w:color w:val="0000FF"/>
                  <w:sz w:val="19"/>
                  <w:u w:val="single"/>
                </w:rPr>
                <w:t>12</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36c5a97f104319b927f2873a9a80b6_73">
              <w:r>
                <w:rPr>
                  <w:rStyle w:val="InternetLink"/>
                  <w:rFonts w:ascii="Times New Roman;serif" w:hAnsi="Times New Roman;serif"/>
                  <w:b w:val="false"/>
                  <w:color w:val="0000FF"/>
                  <w:sz w:val="19"/>
                  <w:u w:val="single"/>
                </w:rPr>
                <w:t>7. Financial Instruments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36c5a97f104319b927f2873a9a80b6_73">
              <w:r>
                <w:rPr>
                  <w:rStyle w:val="InternetLink"/>
                  <w:rFonts w:ascii="Times New Roman;serif" w:hAnsi="Times New Roman;serif"/>
                  <w:b w:val="false"/>
                  <w:color w:val="0000FF"/>
                  <w:sz w:val="19"/>
                  <w:u w:val="single"/>
                </w:rPr>
                <w:t>16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36c5a97f104319b927f2873a9a80b6_76">
              <w:r>
                <w:rPr>
                  <w:rStyle w:val="InternetLink"/>
                  <w:rFonts w:ascii="Times New Roman;serif" w:hAnsi="Times New Roman;serif"/>
                  <w:b w:val="false"/>
                  <w:color w:val="0000FF"/>
                  <w:sz w:val="19"/>
                  <w:u w:val="single"/>
                </w:rPr>
                <w:t>8. Earnings Per Share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36c5a97f104319b927f2873a9a80b6_76">
              <w:r>
                <w:rPr>
                  <w:rStyle w:val="InternetLink"/>
                  <w:rFonts w:ascii="Times New Roman;serif" w:hAnsi="Times New Roman;serif"/>
                  <w:b w:val="false"/>
                  <w:color w:val="0000FF"/>
                  <w:sz w:val="19"/>
                  <w:u w:val="single"/>
                </w:rPr>
                <w:t>18</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36c5a97f104319b927f2873a9a80b6_79">
              <w:r>
                <w:rPr>
                  <w:rStyle w:val="InternetLink"/>
                  <w:rFonts w:ascii="Times New Roman;serif" w:hAnsi="Times New Roman;serif"/>
                  <w:b w:val="false"/>
                  <w:color w:val="0000FF"/>
                  <w:sz w:val="19"/>
                  <w:u w:val="single"/>
                </w:rPr>
                <w:t>9. Inventory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36c5a97f104319b927f2873a9a80b6_79">
              <w:r>
                <w:rPr>
                  <w:rStyle w:val="InternetLink"/>
                  <w:rFonts w:ascii="Times New Roman;serif" w:hAnsi="Times New Roman;serif"/>
                  <w:b w:val="false"/>
                  <w:color w:val="0000FF"/>
                  <w:sz w:val="19"/>
                  <w:u w:val="single"/>
                </w:rPr>
                <w:t>19</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36c5a97f104319b927f2873a9a80b6_82">
              <w:r>
                <w:rPr>
                  <w:rStyle w:val="InternetLink"/>
                  <w:rFonts w:ascii="Times New Roman;serif" w:hAnsi="Times New Roman;serif"/>
                  <w:b w:val="false"/>
                  <w:color w:val="0000FF"/>
                  <w:sz w:val="19"/>
                  <w:u w:val="single"/>
                </w:rPr>
                <w:t>10. Contingencies and Commitments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36c5a97f104319b927f2873a9a80b6_82">
              <w:r>
                <w:rPr>
                  <w:rStyle w:val="InternetLink"/>
                  <w:rFonts w:ascii="Times New Roman;serif" w:hAnsi="Times New Roman;serif"/>
                  <w:b w:val="false"/>
                  <w:color w:val="0000FF"/>
                  <w:sz w:val="19"/>
                  <w:u w:val="single"/>
                </w:rPr>
                <w:t>19</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36c5a97f104319b927f2873a9a80b6_85">
              <w:r>
                <w:rPr>
                  <w:rStyle w:val="InternetLink"/>
                  <w:rFonts w:ascii="Times New Roman;serif" w:hAnsi="Times New Roman;serif"/>
                  <w:b w:val="false"/>
                  <w:color w:val="0000FF"/>
                  <w:sz w:val="19"/>
                  <w:u w:val="single"/>
                </w:rPr>
                <w:t>11. Securitized Debt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36c5a97f104319b927f2873a9a80b6_85">
              <w:r>
                <w:rPr>
                  <w:rStyle w:val="InternetLink"/>
                  <w:rFonts w:ascii="Times New Roman;serif" w:hAnsi="Times New Roman;serif"/>
                  <w:b w:val="false"/>
                  <w:color w:val="0000FF"/>
                  <w:sz w:val="19"/>
                  <w:u w:val="single"/>
                </w:rPr>
                <w:t>20</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36c5a97f104319b927f2873a9a80b6_91">
              <w:r>
                <w:rPr>
                  <w:rStyle w:val="InternetLink"/>
                  <w:rFonts w:ascii="Times New Roman;serif" w:hAnsi="Times New Roman;serif"/>
                  <w:b w:val="false"/>
                  <w:color w:val="0000FF"/>
                  <w:sz w:val="19"/>
                  <w:u w:val="single"/>
                </w:rPr>
                <w:t>12. Debt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36c5a97f104319b927f2873a9a80b6_91">
              <w:r>
                <w:rPr>
                  <w:rStyle w:val="InternetLink"/>
                  <w:rFonts w:ascii="Times New Roman;serif" w:hAnsi="Times New Roman;serif"/>
                  <w:b w:val="false"/>
                  <w:color w:val="0000FF"/>
                  <w:sz w:val="19"/>
                  <w:u w:val="single"/>
                </w:rPr>
                <w:t>22</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36c5a97f104319b927f2873a9a80b6_100">
              <w:r>
                <w:rPr>
                  <w:rStyle w:val="InternetLink"/>
                  <w:rFonts w:ascii="Times New Roman;serif" w:hAnsi="Times New Roman;serif"/>
                  <w:b w:val="false"/>
                  <w:color w:val="0000FF"/>
                  <w:sz w:val="19"/>
                  <w:u w:val="single"/>
                </w:rPr>
                <w:t>13. Stockholders’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36c5a97f104319b927f2873a9a80b6_100">
              <w:r>
                <w:rPr>
                  <w:rStyle w:val="InternetLink"/>
                  <w:rFonts w:ascii="Times New Roman;serif" w:hAnsi="Times New Roman;serif"/>
                  <w:b w:val="false"/>
                  <w:color w:val="0000FF"/>
                  <w:sz w:val="19"/>
                  <w:u w:val="single"/>
                </w:rPr>
                <w:t>25</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36c5a97f104319b927f2873a9a80b6_103">
              <w:r>
                <w:rPr>
                  <w:rStyle w:val="InternetLink"/>
                  <w:rFonts w:ascii="Times New Roman;serif" w:hAnsi="Times New Roman;serif"/>
                  <w:b w:val="false"/>
                  <w:color w:val="0000FF"/>
                  <w:sz w:val="19"/>
                  <w:u w:val="single"/>
                </w:rPr>
                <w:t>14. Share-Based Compensation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36c5a97f104319b927f2873a9a80b6_103">
              <w:r>
                <w:rPr>
                  <w:rStyle w:val="InternetLink"/>
                  <w:rFonts w:ascii="Times New Roman;serif" w:hAnsi="Times New Roman;serif"/>
                  <w:b w:val="false"/>
                  <w:color w:val="0000FF"/>
                  <w:sz w:val="19"/>
                  <w:u w:val="single"/>
                </w:rPr>
                <w:t>26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36c5a97f104319b927f2873a9a80b6_106">
              <w:r>
                <w:rPr>
                  <w:rStyle w:val="InternetLink"/>
                  <w:rFonts w:ascii="Times New Roman;serif" w:hAnsi="Times New Roman;serif"/>
                  <w:b w:val="false"/>
                  <w:color w:val="0000FF"/>
                  <w:sz w:val="19"/>
                  <w:u w:val="single"/>
                </w:rPr>
                <w:t>15. Variable Interest Entities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36c5a97f104319b927f2873a9a80b6_106">
              <w:r>
                <w:rPr>
                  <w:rStyle w:val="InternetLink"/>
                  <w:rFonts w:ascii="Times New Roman;serif" w:hAnsi="Times New Roman;serif"/>
                  <w:b w:val="false"/>
                  <w:color w:val="0000FF"/>
                  <w:sz w:val="19"/>
                  <w:u w:val="single"/>
                </w:rPr>
                <w:t>27</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36c5a97f104319b927f2873a9a80b6_112">
              <w:r>
                <w:rPr>
                  <w:rStyle w:val="InternetLink"/>
                  <w:rFonts w:ascii="Times New Roman;serif" w:hAnsi="Times New Roman;serif"/>
                  <w:b w:val="false"/>
                  <w:color w:val="0000FF"/>
                  <w:sz w:val="19"/>
                  <w:u w:val="single"/>
                </w:rPr>
                <w:t>16. Business Segments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36c5a97f104319b927f2873a9a80b6_112">
              <w:r>
                <w:rPr>
                  <w:rStyle w:val="InternetLink"/>
                  <w:rFonts w:ascii="Times New Roman;serif" w:hAnsi="Times New Roman;serif"/>
                  <w:b w:val="false"/>
                  <w:color w:val="0000FF"/>
                  <w:sz w:val="19"/>
                  <w:u w:val="single"/>
                </w:rPr>
                <w:t>29</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36c5a97f104319b927f2873a9a80b6_121">
              <w:r>
                <w:rPr>
                  <w:rStyle w:val="InternetLink"/>
                  <w:rFonts w:ascii="Times New Roman;serif" w:hAnsi="Times New Roman;serif"/>
                  <w:b w:val="false"/>
                  <w:color w:val="0000FF"/>
                  <w:sz w:val="19"/>
                  <w:u w:val="single"/>
                </w:rPr>
                <w:t>17. Restructuring</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36c5a97f104319b927f2873a9a80b6_121">
              <w:r>
                <w:rPr>
                  <w:rStyle w:val="InternetLink"/>
                  <w:rFonts w:ascii="Times New Roman;serif" w:hAnsi="Times New Roman;serif"/>
                  <w:b w:val="false"/>
                  <w:color w:val="0000FF"/>
                  <w:sz w:val="19"/>
                  <w:u w:val="single"/>
                </w:rPr>
                <w:t>31</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2.</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36c5a97f104319b927f2873a9a80b6_127">
              <w:r>
                <w:rPr>
                  <w:rStyle w:val="InternetLink"/>
                  <w:rFonts w:ascii="Times New Roman;serif" w:hAnsi="Times New Roman;serif"/>
                  <w:b w:val="false"/>
                  <w:color w:val="0000FF"/>
                  <w:sz w:val="19"/>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36c5a97f104319b927f2873a9a80b6_127">
              <w:r>
                <w:rPr>
                  <w:rStyle w:val="InternetLink"/>
                  <w:rFonts w:ascii="Times New Roman;serif" w:hAnsi="Times New Roman;serif"/>
                  <w:b w:val="false"/>
                  <w:color w:val="0000FF"/>
                  <w:sz w:val="19"/>
                  <w:u w:val="single"/>
                </w:rPr>
                <w:t>32</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3.</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36c5a97f104319b927f2873a9a80b6_313">
              <w:r>
                <w:rPr>
                  <w:rStyle w:val="InternetLink"/>
                  <w:rFonts w:ascii="Times New Roman;serif" w:hAnsi="Times New Roman;serif"/>
                  <w:b w:val="false"/>
                  <w:color w:val="0000FF"/>
                  <w:sz w:val="19"/>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36c5a97f104319b927f2873a9a80b6_313">
              <w:r>
                <w:rPr>
                  <w:rStyle w:val="InternetLink"/>
                  <w:rFonts w:ascii="Times New Roman;serif" w:hAnsi="Times New Roman;serif"/>
                  <w:b w:val="false"/>
                  <w:color w:val="0000FF"/>
                  <w:sz w:val="19"/>
                  <w:u w:val="single"/>
                </w:rPr>
                <w:t>54</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4.</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36c5a97f104319b927f2873a9a80b6_316">
              <w:r>
                <w:rPr>
                  <w:rStyle w:val="InternetLink"/>
                  <w:rFonts w:ascii="Times New Roman;serif" w:hAnsi="Times New Roman;serif"/>
                  <w:b w:val="false"/>
                  <w:color w:val="0000FF"/>
                  <w:sz w:val="19"/>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36c5a97f104319b927f2873a9a80b6_316">
              <w:r>
                <w:rPr>
                  <w:rStyle w:val="InternetLink"/>
                  <w:rFonts w:ascii="Times New Roman;serif" w:hAnsi="Times New Roman;serif"/>
                  <w:b w:val="false"/>
                  <w:color w:val="0000FF"/>
                  <w:sz w:val="19"/>
                  <w:u w:val="single"/>
                </w:rPr>
                <w:t>55</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Part II.</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36c5a97f104319b927f2873a9a80b6_319">
              <w:r>
                <w:rPr>
                  <w:rStyle w:val="InternetLink"/>
                  <w:rFonts w:ascii="Times New Roman;serif" w:hAnsi="Times New Roman;serif"/>
                  <w:b/>
                  <w:color w:val="0000FF"/>
                  <w:sz w:val="19"/>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36c5a97f104319b927f2873a9a80b6_319">
              <w:r>
                <w:rPr>
                  <w:rStyle w:val="InternetLink"/>
                  <w:rFonts w:ascii="Times New Roman;serif" w:hAnsi="Times New Roman;serif"/>
                  <w:b w:val="false"/>
                  <w:color w:val="0000FF"/>
                  <w:sz w:val="19"/>
                  <w:u w:val="single"/>
                </w:rPr>
                <w:t>55</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1.</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36c5a97f104319b927f2873a9a80b6_322">
              <w:r>
                <w:rPr>
                  <w:rStyle w:val="InternetLink"/>
                  <w:rFonts w:ascii="Times New Roman;serif" w:hAnsi="Times New Roman;serif"/>
                  <w:b w:val="false"/>
                  <w:color w:val="0000FF"/>
                  <w:sz w:val="19"/>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36c5a97f104319b927f2873a9a80b6_322">
              <w:r>
                <w:rPr>
                  <w:rStyle w:val="InternetLink"/>
                  <w:rFonts w:ascii="Times New Roman;serif" w:hAnsi="Times New Roman;serif"/>
                  <w:b w:val="false"/>
                  <w:color w:val="0000FF"/>
                  <w:sz w:val="19"/>
                  <w:u w:val="single"/>
                </w:rPr>
                <w:t>55</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1A.</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36c5a97f104319b927f2873a9a80b6_325">
              <w:r>
                <w:rPr>
                  <w:rStyle w:val="InternetLink"/>
                  <w:rFonts w:ascii="Times New Roman;serif" w:hAnsi="Times New Roman;serif"/>
                  <w:b w:val="false"/>
                  <w:color w:val="0000FF"/>
                  <w:sz w:val="19"/>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36c5a97f104319b927f2873a9a80b6_325">
              <w:r>
                <w:rPr>
                  <w:rStyle w:val="InternetLink"/>
                  <w:rFonts w:ascii="Times New Roman;serif" w:hAnsi="Times New Roman;serif"/>
                  <w:b w:val="false"/>
                  <w:color w:val="0000FF"/>
                  <w:sz w:val="19"/>
                  <w:u w:val="single"/>
                </w:rPr>
                <w:t>55</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2.</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36c5a97f104319b927f2873a9a80b6_328">
              <w:r>
                <w:rPr>
                  <w:rStyle w:val="InternetLink"/>
                  <w:rFonts w:ascii="Times New Roman;serif" w:hAnsi="Times New Roman;serif"/>
                  <w:b w:val="false"/>
                  <w:color w:val="0000FF"/>
                  <w:sz w:val="19"/>
                  <w:u w:val="singl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36c5a97f104319b927f2873a9a80b6_328">
              <w:r>
                <w:rPr>
                  <w:rStyle w:val="InternetLink"/>
                  <w:rFonts w:ascii="Times New Roman;serif" w:hAnsi="Times New Roman;serif"/>
                  <w:b w:val="false"/>
                  <w:color w:val="0000FF"/>
                  <w:sz w:val="19"/>
                  <w:u w:val="single"/>
                </w:rPr>
                <w:t>56</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5.</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36c5a97f104319b927f2873a9a80b6_334">
              <w:r>
                <w:rPr>
                  <w:rStyle w:val="InternetLink"/>
                  <w:rFonts w:ascii="Times New Roman;serif" w:hAnsi="Times New Roman;serif"/>
                  <w:b w:val="false"/>
                  <w:color w:val="0000FF"/>
                  <w:sz w:val="19"/>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36c5a97f104319b927f2873a9a80b6_331">
              <w:r>
                <w:rPr>
                  <w:rStyle w:val="InternetLink"/>
                  <w:rFonts w:ascii="Times New Roman;serif" w:hAnsi="Times New Roman;serif"/>
                  <w:b w:val="false"/>
                  <w:color w:val="0000FF"/>
                  <w:sz w:val="19"/>
                  <w:u w:val="single"/>
                </w:rPr>
                <w:t>56</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Item 6.</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36c5a97f104319b927f2873a9a80b6_340">
              <w:r>
                <w:rPr>
                  <w:rStyle w:val="InternetLink"/>
                  <w:rFonts w:ascii="Times New Roman;serif" w:hAnsi="Times New Roman;serif"/>
                  <w:b w:val="false"/>
                  <w:color w:val="0000FF"/>
                  <w:sz w:val="19"/>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36c5a97f104319b927f2873a9a80b6_340">
              <w:r>
                <w:rPr>
                  <w:rStyle w:val="InternetLink"/>
                  <w:rFonts w:ascii="Times New Roman;serif" w:hAnsi="Times New Roman;serif"/>
                  <w:b w:val="false"/>
                  <w:color w:val="0000FF"/>
                  <w:sz w:val="19"/>
                  <w:u w:val="single"/>
                </w:rPr>
                <w:t>57</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36c5a97f104319b927f2873a9a80b6_343">
              <w:r>
                <w:rPr>
                  <w:rStyle w:val="InternetLink"/>
                  <w:rFonts w:ascii="Times New Roman;serif" w:hAnsi="Times New Roman;serif"/>
                  <w:b w:val="false"/>
                  <w:color w:val="0000FF"/>
                  <w:sz w:val="19"/>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36c5a97f104319b927f2873a9a80b6_343">
              <w:r>
                <w:rPr>
                  <w:rStyle w:val="InternetLink"/>
                  <w:rFonts w:ascii="Times New Roman;serif" w:hAnsi="Times New Roman;serif"/>
                  <w:b w:val="false"/>
                  <w:color w:val="0000FF"/>
                  <w:sz w:val="19"/>
                  <w:u w:val="single"/>
                </w:rPr>
                <w:t>59</w:t>
              </w:r>
            </w:hyperlink>
          </w:p>
        </w:tc>
      </w:tr>
    </w:tbl>
    <w:p>
      <w:pPr>
        <w:pStyle w:val="TextBody"/>
        <w:bidi w:val="0"/>
        <w:spacing w:lineRule="auto" w:line="288" w:before="120" w:after="283"/>
        <w:jc w:val="left"/>
        <w:rPr/>
      </w:pPr>
      <w:r>
        <w:rPr>
          <w:rFonts w:ascii="Times New Roman;serif" w:hAnsi="Times New Roman;serif"/>
          <w:b w:val="false"/>
          <w:color w:val="000000"/>
          <w:sz w:val="20"/>
        </w:rPr>
        <w:t xml:space="preserve">Throughout this report, we refer to Marriott Vacations Worldwide Corporation, together with its consolidated subsidiaries, as “Marriott Vacations Worldwide,” “MVW,” “we,” “us,” or the “Company.” We also refer to brands that we own, as well as those brands that we license, as our brands. All brand names, trademarks, trade names, and service marks cited in this report are the property of their respective owners, including those of other companies and organizations. Solely for convenience, trademarks, trade names, and service marks referred to in this report may appear without the </w:t>
      </w:r>
      <w:r>
        <w:rPr>
          <w:rFonts w:ascii="Times New Roman;serif" w:hAnsi="Times New Roman;serif"/>
          <w:b w:val="false"/>
          <w:color w:val="000000"/>
          <w:sz w:val="13"/>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symbols, however, such references are not intended to indicate in any way that MVW or the owner, as applicable, will not assert, to the fullest extent under applicable law, all rights to such trademarks, trade names, and service marks.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720"/>
                        <w:jc w:val="left"/>
                        <w:rPr/>
                      </w:pPr>
                      <w:r>
                        <w:rPr/>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MARRIOTT VACATIONS WORLDWIDE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INTERIM CONSOLIDATED STATEMENTS OF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except per share amounts, and unaudited)</w:t>
      </w:r>
    </w:p>
    <w:tbl>
      <w:tblPr>
        <w:tblW w:w="10205" w:type="dxa"/>
        <w:jc w:val="center"/>
        <w:tblInd w:w="0" w:type="dxa"/>
        <w:tblLayout w:type="fixed"/>
        <w:tblCellMar>
          <w:top w:w="28" w:type="dxa"/>
          <w:left w:w="28" w:type="dxa"/>
          <w:bottom w:w="28" w:type="dxa"/>
          <w:right w:w="28" w:type="dxa"/>
        </w:tblCellMar>
      </w:tblPr>
      <w:tblGrid>
        <w:gridCol w:w="1972"/>
        <w:gridCol w:w="1425"/>
        <w:gridCol w:w="1427"/>
        <w:gridCol w:w="276"/>
        <w:gridCol w:w="669"/>
        <w:gridCol w:w="142"/>
        <w:gridCol w:w="109"/>
        <w:gridCol w:w="109"/>
        <w:gridCol w:w="109"/>
        <w:gridCol w:w="276"/>
        <w:gridCol w:w="669"/>
        <w:gridCol w:w="142"/>
        <w:gridCol w:w="109"/>
        <w:gridCol w:w="109"/>
        <w:gridCol w:w="109"/>
        <w:gridCol w:w="276"/>
        <w:gridCol w:w="669"/>
        <w:gridCol w:w="142"/>
        <w:gridCol w:w="109"/>
        <w:gridCol w:w="109"/>
        <w:gridCol w:w="109"/>
        <w:gridCol w:w="273"/>
        <w:gridCol w:w="661"/>
        <w:gridCol w:w="205"/>
      </w:tblGrid>
      <w:tr>
        <w:trPr/>
        <w:tc>
          <w:tcPr>
            <w:tcW w:w="1972"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2024</w:t>
            </w:r>
          </w:p>
        </w:tc>
      </w:tr>
      <w:tr>
        <w:trPr/>
        <w:tc>
          <w:tcPr>
            <w:tcW w:w="4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vacation ownership products</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and exchange</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reimbursements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vacation ownership products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sales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and exchange</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charges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fee</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reimbursements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EXPENSES</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and other income (expense), net</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 AND NONCONTROLLING INTERESTS</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COMMON STOCKHOLDERS</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 ATTRIBUTABLE TO COMMON STOCKHOLDERS</w:t>
            </w:r>
          </w:p>
        </w:tc>
      </w:tr>
      <w:tr>
        <w:trPr/>
        <w:tc>
          <w:tcPr>
            <w:tcW w:w="4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DIVIDENDS DECLARED PER SHARE</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See Interim Condensed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83260"/>
                <wp:effectExtent l="0" t="0" r="0" b="0"/>
                <wp:wrapNone/>
                <wp:docPr id="3" name="Frame3"/>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120" w:after="283"/>
                              <w:ind w:left="0" w:right="0" w:firstLine="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120" w:after="283"/>
                        <w:ind w:left="0" w:right="0" w:firstLine="720"/>
                        <w:jc w:val="center"/>
                        <w:rPr/>
                      </w:pPr>
                      <w:r>
                        <w:rPr/>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MARRIOTT VACATIONS WORLDWIDE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INTERIM CONSOLIDATED STATEMENTS OF COMPREHENSIVE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and unaudited)</w:t>
      </w:r>
    </w:p>
    <w:tbl>
      <w:tblPr>
        <w:tblW w:w="10205" w:type="dxa"/>
        <w:jc w:val="center"/>
        <w:tblInd w:w="0" w:type="dxa"/>
        <w:tblLayout w:type="fixed"/>
        <w:tblCellMar>
          <w:top w:w="28" w:type="dxa"/>
          <w:left w:w="28" w:type="dxa"/>
          <w:bottom w:w="28" w:type="dxa"/>
          <w:right w:w="28" w:type="dxa"/>
        </w:tblCellMar>
      </w:tblPr>
      <w:tblGrid>
        <w:gridCol w:w="2158"/>
        <w:gridCol w:w="1466"/>
        <w:gridCol w:w="1474"/>
        <w:gridCol w:w="310"/>
        <w:gridCol w:w="531"/>
        <w:gridCol w:w="160"/>
        <w:gridCol w:w="115"/>
        <w:gridCol w:w="115"/>
        <w:gridCol w:w="115"/>
        <w:gridCol w:w="310"/>
        <w:gridCol w:w="531"/>
        <w:gridCol w:w="160"/>
        <w:gridCol w:w="109"/>
        <w:gridCol w:w="109"/>
        <w:gridCol w:w="109"/>
        <w:gridCol w:w="282"/>
        <w:gridCol w:w="623"/>
        <w:gridCol w:w="145"/>
        <w:gridCol w:w="109"/>
        <w:gridCol w:w="109"/>
        <w:gridCol w:w="109"/>
        <w:gridCol w:w="304"/>
        <w:gridCol w:w="520"/>
        <w:gridCol w:w="232"/>
      </w:tblGrid>
      <w:tr>
        <w:trPr/>
        <w:tc>
          <w:tcPr>
            <w:tcW w:w="2158"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5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5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2024</w:t>
            </w:r>
          </w:p>
        </w:tc>
      </w:tr>
      <w:tr>
        <w:trPr/>
        <w:tc>
          <w:tcPr>
            <w:tcW w:w="5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 adjustment, net of tax</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LOSS, NET OF TAX</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8"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5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ATTRIBUTABLE TO NONCONTROLLING INTERESTS</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ATTRIBUTABLE TO COMMON STOCKHOLDERS</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20" w:after="283"/>
        <w:jc w:val="center"/>
        <w:rPr>
          <w:rFonts w:ascii="Times New Roman;serif" w:hAnsi="Times New Roman;serif"/>
          <w:b/>
          <w:color w:val="000000"/>
          <w:sz w:val="20"/>
        </w:rPr>
      </w:pPr>
      <w:r>
        <w:rPr>
          <w:rFonts w:ascii="Times New Roman;serif" w:hAnsi="Times New Roman;serif"/>
          <w:b/>
          <w:color w:val="000000"/>
          <w:sz w:val="20"/>
        </w:rPr>
        <w:t>See Interim Condensed Notes to Consolidated Financial Statements</w:t>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83260"/>
                <wp:effectExtent l="0" t="0" r="0" b="0"/>
                <wp:wrapNone/>
                <wp:docPr id="4" name="Frame4"/>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120" w:after="283"/>
                              <w:ind w:left="0" w:right="0" w:firstLine="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120" w:after="283"/>
                        <w:ind w:left="0" w:right="0" w:firstLine="720"/>
                        <w:jc w:val="center"/>
                        <w:rPr/>
                      </w:pPr>
                      <w:r>
                        <w:rPr/>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MARRIOTT VACATIONS WORLDWIDE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INTERIM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except share and per share data)</w:t>
      </w:r>
    </w:p>
    <w:tbl>
      <w:tblPr>
        <w:tblW w:w="10205" w:type="dxa"/>
        <w:jc w:val="center"/>
        <w:tblInd w:w="0" w:type="dxa"/>
        <w:tblLayout w:type="fixed"/>
        <w:tblCellMar>
          <w:top w:w="28" w:type="dxa"/>
          <w:left w:w="28" w:type="dxa"/>
          <w:bottom w:w="28" w:type="dxa"/>
          <w:right w:w="28" w:type="dxa"/>
        </w:tblCellMar>
      </w:tblPr>
      <w:tblGrid>
        <w:gridCol w:w="2761"/>
        <w:gridCol w:w="2209"/>
        <w:gridCol w:w="2227"/>
        <w:gridCol w:w="264"/>
        <w:gridCol w:w="771"/>
        <w:gridCol w:w="136"/>
        <w:gridCol w:w="109"/>
        <w:gridCol w:w="109"/>
        <w:gridCol w:w="109"/>
        <w:gridCol w:w="323"/>
        <w:gridCol w:w="945"/>
        <w:gridCol w:w="242"/>
      </w:tblGrid>
      <w:tr>
        <w:trPr/>
        <w:tc>
          <w:tcPr>
            <w:tcW w:w="2761"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7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 (including $81 and $82 from VIEs, respectively)</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and contracts receivable, net (including $16 and $16 from VIEs, respectively)</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Vacation ownership notes receivable, net (including $1,963 and $1,917 from VIEs, respectively)</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net</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(including $148 and $131 from VIEs, respectively)</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9,808 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 deposits</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liabilities (including $4 and $4 from VIEs, respectively)</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benefits liability</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liability</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Securitized debt, net (including $2,216 and $2,163 from VIEs, respectively)</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net</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7,403 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7,367 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Contingencies and Commitments (Note 10)</w:t>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 $0.01 par value; 2,000,000 shares authorized; none issued or outstanding</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 $0.01 par value; 100,000,000 shares authorized; 75,889,673 and 75,852,678 shares issued, respectively</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 at cost; 41,287,174 and 40,974,753 shares, respectively</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MVW STOCKHOLDERS' EQUITY</w:t>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w:t>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EQUITY</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9,808 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7"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erif" w:hAnsi="Times New Roman;serif"/>
                <w:b w:val="false"/>
                <w:i/>
                <w:color w:val="000000"/>
                <w:sz w:val="20"/>
              </w:rPr>
            </w:pPr>
            <w:r>
              <w:rPr>
                <w:rFonts w:ascii="Times New Roman;serif" w:hAnsi="Times New Roman;serif"/>
                <w:b w:val="false"/>
                <w:i/>
                <w:color w:val="000000"/>
                <w:sz w:val="20"/>
              </w:rPr>
              <w:t>The abbreviation VIEs above means Variable Interest Entities.</w:t>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See Interim Condensed 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83260"/>
                <wp:effectExtent l="0" t="0" r="0" b="0"/>
                <wp:wrapNone/>
                <wp:docPr id="5" name="Frame5"/>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120" w:after="283"/>
                              <w:ind w:left="0" w:right="0" w:firstLine="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120" w:after="283"/>
                        <w:ind w:left="0" w:right="0" w:firstLine="720"/>
                        <w:jc w:val="center"/>
                        <w:rPr/>
                      </w:pPr>
                      <w:r>
                        <w:rPr/>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MARRIOTT VACATIONS WORLDWIDE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INTERIM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and unaudited)</w:t>
      </w:r>
    </w:p>
    <w:tbl>
      <w:tblPr>
        <w:tblW w:w="10205" w:type="dxa"/>
        <w:jc w:val="center"/>
        <w:tblInd w:w="0" w:type="dxa"/>
        <w:tblLayout w:type="fixed"/>
        <w:tblCellMar>
          <w:top w:w="28" w:type="dxa"/>
          <w:left w:w="28" w:type="dxa"/>
          <w:bottom w:w="28" w:type="dxa"/>
          <w:right w:w="28" w:type="dxa"/>
        </w:tblCellMar>
      </w:tblPr>
      <w:tblGrid>
        <w:gridCol w:w="2770"/>
        <w:gridCol w:w="2422"/>
        <w:gridCol w:w="2427"/>
        <w:gridCol w:w="301"/>
        <w:gridCol w:w="665"/>
        <w:gridCol w:w="155"/>
        <w:gridCol w:w="109"/>
        <w:gridCol w:w="109"/>
        <w:gridCol w:w="109"/>
        <w:gridCol w:w="329"/>
        <w:gridCol w:w="564"/>
        <w:gridCol w:w="245"/>
      </w:tblGrid>
      <w:tr>
        <w:trPr/>
        <w:tc>
          <w:tcPr>
            <w:tcW w:w="2770" w:type="dxa"/>
            <w:tcBorders/>
            <w:vAlign w:val="center"/>
          </w:tcPr>
          <w:p>
            <w:pPr>
              <w:pStyle w:val="TableContents"/>
              <w:bidi w:val="0"/>
              <w:spacing w:before="0" w:after="283"/>
              <w:jc w:val="left"/>
              <w:rPr>
                <w:sz w:val="4"/>
                <w:szCs w:val="4"/>
              </w:rPr>
            </w:pPr>
            <w:r>
              <w:rPr>
                <w:sz w:val="4"/>
                <w:szCs w:val="4"/>
              </w:rPr>
            </w:r>
          </w:p>
        </w:tc>
        <w:tc>
          <w:tcPr>
            <w:tcW w:w="2422"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7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7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2024</w:t>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cash equivalents and restricted cash (used in) provided by operating activities:</w:t>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intangibles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 and issuance costs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Vacation ownership notes and contracts receivable reserve</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remeasurement (gain) loss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assets and liabilities:</w:t>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contracts receivable</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Vacation ownership notes receivable originations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Vacation ownership notes receivable collections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advance deposits and accrued liabilities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benefit liabilities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liability</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and development of property for future transfer to inventory</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cash equivalents and restricted cash (used in) provided by operating activities</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for property and equipment (excluding inventory)</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company owned life insurance</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and development of property for future sale</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dispositions, net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cash equivalents and restricted cash used in investing activities</w:t>
            </w:r>
          </w:p>
        </w:tc>
        <w:tc>
          <w:tcPr>
            <w:tcW w:w="9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24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Continued</w:t>
      </w:r>
    </w:p>
    <w:p>
      <w:pPr>
        <w:pStyle w:val="TextBody"/>
        <w:bidi w:val="0"/>
        <w:spacing w:lineRule="auto" w:line="288" w:before="480" w:after="283"/>
        <w:jc w:val="center"/>
        <w:rPr>
          <w:rFonts w:ascii="Times New Roman;serif" w:hAnsi="Times New Roman;serif"/>
          <w:b/>
          <w:color w:val="000000"/>
          <w:sz w:val="20"/>
        </w:rPr>
      </w:pPr>
      <w:r>
        <w:rPr>
          <w:rFonts w:ascii="Times New Roman;serif" w:hAnsi="Times New Roman;serif"/>
          <w:b/>
          <w:color w:val="000000"/>
          <w:sz w:val="20"/>
        </w:rPr>
        <w:t>See Interim Condensed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83260"/>
                <wp:effectExtent l="0" t="0" r="0" b="0"/>
                <wp:wrapNone/>
                <wp:docPr id="6" name="Frame6"/>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120" w:after="283"/>
                              <w:ind w:left="0" w:right="0" w:firstLine="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120" w:after="283"/>
                        <w:ind w:left="0" w:right="0" w:firstLine="720"/>
                        <w:jc w:val="center"/>
                        <w:rPr/>
                      </w:pPr>
                      <w:r>
                        <w:rPr/>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MARRIOTT VACATIONS WORLDWIDE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INTERIM CONSOLIDATED STATEMENTS OF CASH FLOWS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and unaudited)</w:t>
      </w:r>
    </w:p>
    <w:tbl>
      <w:tblPr>
        <w:tblW w:w="10120" w:type="dxa"/>
        <w:jc w:val="center"/>
        <w:tblInd w:w="0" w:type="dxa"/>
        <w:tblLayout w:type="fixed"/>
        <w:tblCellMar>
          <w:top w:w="28" w:type="dxa"/>
          <w:left w:w="28" w:type="dxa"/>
          <w:bottom w:w="28" w:type="dxa"/>
          <w:right w:w="28" w:type="dxa"/>
        </w:tblCellMar>
      </w:tblPr>
      <w:tblGrid>
        <w:gridCol w:w="2611"/>
        <w:gridCol w:w="2289"/>
        <w:gridCol w:w="2300"/>
        <w:gridCol w:w="342"/>
        <w:gridCol w:w="756"/>
        <w:gridCol w:w="176"/>
        <w:gridCol w:w="109"/>
        <w:gridCol w:w="109"/>
        <w:gridCol w:w="109"/>
        <w:gridCol w:w="335"/>
        <w:gridCol w:w="740"/>
        <w:gridCol w:w="244"/>
      </w:tblGrid>
      <w:tr>
        <w:trPr/>
        <w:tc>
          <w:tcPr>
            <w:tcW w:w="2611"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7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2024</w:t>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from securitization transactions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debt related to securitization transactions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debt</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debt</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payment</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debt and securitized debt issuance costs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dividends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withholding taxes on vesting of restricted stock units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cash equivalents and restricted cash provided by (used in) financing activities</w:t>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changes in exchange rates on cash, cash equivalents and restricted cash</w:t>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cash equivalents and restricted cash</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w:t>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issuance of treasury stock for employee stock purchase plan</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transfer from inventory to property and equipment</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transfer from property and equipment to inventory</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transfer from other assets to property and equipment</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 obtained in exchange for finance lease obligation</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issuance of debt in connection with finance lease</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 net of amounts capitalized</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 net of refunds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See Interim Condensed Notes to Consolidated Financial Statements</w:t>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83260"/>
                <wp:effectExtent l="0" t="0" r="0" b="0"/>
                <wp:wrapNone/>
                <wp:docPr id="7" name="Frame7"/>
                <a:graphic xmlns:a="http://schemas.openxmlformats.org/drawingml/2006/main">
                  <a:graphicData uri="http://schemas.microsoft.com/office/word/2010/wordprocessingShape">
                    <wps:wsp>
                      <wps:cNvSpPr txBox="1"/>
                      <wps:spPr>
                        <a:xfrm>
                          <a:off x="0" y="0"/>
                          <a:ext cx="6480175" cy="683260"/>
                        </a:xfrm>
                        <a:prstGeom prst="rect"/>
                        <a:solidFill>
                          <a:srgbClr val="FFFFFF"/>
                        </a:solidFill>
                      </wps:spPr>
                      <wps:txbx>
                        <w:txbxContent>
                          <w:p>
                            <w:pPr>
                              <w:pStyle w:val="TextBody"/>
                              <w:bidi w:val="0"/>
                              <w:spacing w:lineRule="auto" w:line="288"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120" w:after="283"/>
                              <w:ind w:left="0" w:right="0" w:firstLine="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120" w:after="283"/>
                        <w:ind w:left="0" w:right="0" w:firstLine="720"/>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MARRIOTT VACATIONS WORLDWIDE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INTERIM CONSOLIDATED STATEMENTS OF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and unaudited)</w:t>
      </w:r>
    </w:p>
    <w:tbl>
      <w:tblPr>
        <w:tblW w:w="12931" w:type="dxa"/>
        <w:jc w:val="center"/>
        <w:tblInd w:w="0" w:type="dxa"/>
        <w:tblLayout w:type="fixed"/>
        <w:tblCellMar>
          <w:top w:w="28" w:type="dxa"/>
          <w:left w:w="28" w:type="dxa"/>
          <w:bottom w:w="28" w:type="dxa"/>
          <w:right w:w="28" w:type="dxa"/>
        </w:tblCellMar>
      </w:tblPr>
      <w:tblGrid>
        <w:gridCol w:w="304"/>
        <w:gridCol w:w="268"/>
        <w:gridCol w:w="269"/>
        <w:gridCol w:w="109"/>
        <w:gridCol w:w="109"/>
        <w:gridCol w:w="109"/>
        <w:gridCol w:w="425"/>
        <w:gridCol w:w="410"/>
        <w:gridCol w:w="411"/>
        <w:gridCol w:w="302"/>
        <w:gridCol w:w="367"/>
        <w:gridCol w:w="157"/>
        <w:gridCol w:w="109"/>
        <w:gridCol w:w="109"/>
        <w:gridCol w:w="109"/>
        <w:gridCol w:w="211"/>
        <w:gridCol w:w="631"/>
        <w:gridCol w:w="109"/>
        <w:gridCol w:w="109"/>
        <w:gridCol w:w="109"/>
        <w:gridCol w:w="109"/>
        <w:gridCol w:w="211"/>
        <w:gridCol w:w="616"/>
        <w:gridCol w:w="109"/>
        <w:gridCol w:w="109"/>
        <w:gridCol w:w="109"/>
        <w:gridCol w:w="109"/>
        <w:gridCol w:w="395"/>
        <w:gridCol w:w="705"/>
        <w:gridCol w:w="206"/>
        <w:gridCol w:w="109"/>
        <w:gridCol w:w="109"/>
        <w:gridCol w:w="109"/>
        <w:gridCol w:w="217"/>
        <w:gridCol w:w="480"/>
        <w:gridCol w:w="114"/>
        <w:gridCol w:w="109"/>
        <w:gridCol w:w="109"/>
        <w:gridCol w:w="109"/>
        <w:gridCol w:w="260"/>
        <w:gridCol w:w="760"/>
        <w:gridCol w:w="136"/>
        <w:gridCol w:w="109"/>
        <w:gridCol w:w="109"/>
        <w:gridCol w:w="109"/>
        <w:gridCol w:w="366"/>
        <w:gridCol w:w="705"/>
        <w:gridCol w:w="190"/>
        <w:gridCol w:w="109"/>
        <w:gridCol w:w="109"/>
        <w:gridCol w:w="109"/>
        <w:gridCol w:w="211"/>
        <w:gridCol w:w="616"/>
        <w:gridCol w:w="15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w:t>
              <w:br/>
              <w:t>Stock</w:t>
              <w:br/>
              <w:t>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MVW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Equity</w:t>
            </w:r>
          </w:p>
        </w:tc>
      </w:tr>
      <w:tr>
        <w:trPr/>
        <w:tc>
          <w:tcPr>
            <w:tcW w:w="8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plans</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6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 adjustment</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plans</w:t>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tbl>
      <w:tblPr>
        <w:tblW w:w="12931" w:type="dxa"/>
        <w:jc w:val="center"/>
        <w:tblInd w:w="0" w:type="dxa"/>
        <w:tblLayout w:type="fixed"/>
        <w:tblCellMar>
          <w:top w:w="28" w:type="dxa"/>
          <w:left w:w="28" w:type="dxa"/>
          <w:bottom w:w="28" w:type="dxa"/>
          <w:right w:w="28" w:type="dxa"/>
        </w:tblCellMar>
      </w:tblPr>
      <w:tblGrid>
        <w:gridCol w:w="304"/>
        <w:gridCol w:w="268"/>
        <w:gridCol w:w="269"/>
        <w:gridCol w:w="109"/>
        <w:gridCol w:w="109"/>
        <w:gridCol w:w="109"/>
        <w:gridCol w:w="425"/>
        <w:gridCol w:w="410"/>
        <w:gridCol w:w="411"/>
        <w:gridCol w:w="302"/>
        <w:gridCol w:w="367"/>
        <w:gridCol w:w="157"/>
        <w:gridCol w:w="109"/>
        <w:gridCol w:w="109"/>
        <w:gridCol w:w="109"/>
        <w:gridCol w:w="211"/>
        <w:gridCol w:w="631"/>
        <w:gridCol w:w="109"/>
        <w:gridCol w:w="109"/>
        <w:gridCol w:w="109"/>
        <w:gridCol w:w="109"/>
        <w:gridCol w:w="211"/>
        <w:gridCol w:w="616"/>
        <w:gridCol w:w="109"/>
        <w:gridCol w:w="109"/>
        <w:gridCol w:w="109"/>
        <w:gridCol w:w="109"/>
        <w:gridCol w:w="404"/>
        <w:gridCol w:w="692"/>
        <w:gridCol w:w="210"/>
        <w:gridCol w:w="109"/>
        <w:gridCol w:w="109"/>
        <w:gridCol w:w="109"/>
        <w:gridCol w:w="217"/>
        <w:gridCol w:w="480"/>
        <w:gridCol w:w="114"/>
        <w:gridCol w:w="109"/>
        <w:gridCol w:w="109"/>
        <w:gridCol w:w="109"/>
        <w:gridCol w:w="260"/>
        <w:gridCol w:w="760"/>
        <w:gridCol w:w="136"/>
        <w:gridCol w:w="109"/>
        <w:gridCol w:w="109"/>
        <w:gridCol w:w="109"/>
        <w:gridCol w:w="366"/>
        <w:gridCol w:w="705"/>
        <w:gridCol w:w="190"/>
        <w:gridCol w:w="109"/>
        <w:gridCol w:w="109"/>
        <w:gridCol w:w="109"/>
        <w:gridCol w:w="211"/>
        <w:gridCol w:w="616"/>
        <w:gridCol w:w="15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w:t>
              <w:br/>
              <w:t>Stock</w:t>
              <w:br/>
              <w:t>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MVW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Equity</w:t>
            </w:r>
          </w:p>
        </w:tc>
      </w:tr>
      <w:tr>
        <w:trPr/>
        <w:tc>
          <w:tcPr>
            <w:tcW w:w="8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2023</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 adjustment</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plans</w:t>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w:t>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2024</w:t>
            </w:r>
          </w:p>
        </w:tc>
        <w:tc>
          <w:tcPr>
            <w:tcW w:w="6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 adjustment</w:t>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plans</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w:t>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2024</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See Interim Condensed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MARRIOTT VACATIONS WORLDWIDE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INTERIM CONDENSED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936" w:type="dxa"/>
        <w:jc w:val="left"/>
        <w:tblInd w:w="0" w:type="dxa"/>
        <w:tblLayout w:type="fixed"/>
        <w:tblCellMar>
          <w:top w:w="28" w:type="dxa"/>
          <w:left w:w="28" w:type="dxa"/>
          <w:bottom w:w="28" w:type="dxa"/>
          <w:right w:w="28" w:type="dxa"/>
        </w:tblCellMar>
      </w:tblPr>
      <w:tblGrid>
        <w:gridCol w:w="124"/>
        <w:gridCol w:w="109"/>
        <w:gridCol w:w="109"/>
        <w:gridCol w:w="759"/>
        <w:gridCol w:w="759"/>
        <w:gridCol w:w="10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1. </w:t>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BASIS OF PRESENTATION</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Interim Consolidated Financial Statements present the results of operations, financial position and cash flows of Marriott Vacations Worldwide Corporation (referred to in this report as (i) “we,” “us,” “Marriott Vacations Worldwide,” “MVW,” or the “Company,” which includes our consolidated subsidiaries except where the context of the reference is to a single corporate entity, or (ii) “MVWC,” which shall refer only to Marriott Vacations Worldwide Corporation, without its consolidated subsidiaries). In order to make this report easier to read, we refer throughout to (i) our Interim Consolidated Financial Statements as our “Financial Statements,” (ii) our Interim Consolidated Statements of Income as our “Income Statements,” (iii) our Interim Consolidated Balance Sheets as our “Balance Sheets,” and (iv) our Interim Consolidated Statements of Cash Flows as our “Cash Flows.” In addition, references throughout to numbered “Footnotes” refer to the numbered notes in the Financial Statements, unless otherwise noted. Capitalized terms used and not specifically defined herein have the same meanings given those terms in our Annual Report on Form 10-K for the fiscal year ended December 31, 2024 (the “2024 Annual Report”). We also use certain other terms that are defined within these Financial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Financial Statements presented herein and discussed below include 100% of the assets, liabilities, revenues, expenses, and cash flows of Marriott Vacations Worldwide, all entities in which Marriott Vacations Worldwide has a controlling voting interest (“subsidiaries”), and variable interest entities (“VIEs”) for which Marriott Vacations Worldwide is the primary beneficiary in accordance with consolidation accounting guidance. References in these Financial Statements to net income attributable to common stockholders and MVW stockholders’ equity do not include noncontrolling interests, which represent the outside ownership of our consolidated non-wholly owned entities and are reported separately. Intercompany accounts and transactions between consolidated entities have been eliminated in consolidation.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These Financial Statements reflect our financial position, results of operations, and cash flows as prepared in conformity with United States Generally Accepted Accounting Principles (“GAAP”). The preparation of financial statements in conformity with GAAP requires management to make estimates and assumptions that affect amounts reported in the financial statements and accompanying notes. Such estimates include, but are not limited to, revenue recognition, cost of vacation ownership products, inventory valuation, goodwill and intangibles valuation, vacation ownership notes receivable reserves, income taxes, and loss contingencies. The uncertainties and volatility in the broader macroeconomic environment, including inflation, the impact of changing trade policy, continuing high interest rates, mixed economic indicators, increased consumer debt, continuing global insecurity and political uncertainty, have made it more challenging to make these estimates. Actual results could differ from our estimates, and such differences may be material.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our opinion, our Financial Statements reflect all normal and recurring adjustments necessary to present fairly our financial position, the results of our operations, and cash flows for the periods presented. Interim results may not be indicative of fiscal year performance because of, among other reasons, general macroeconomic conditions, including inflationary pressures and seasonal and short-term variations. These Financial Statements have not been audited. We have condensed or omitted certain information and footnote disclosures normally included in financial statements presented in accordance with GAAP. Although we believe our footnote disclosures are adequate to make the information presented not misleading, the Financial Statements in this report should be read in conjunction with the consolidated financial statements and notes thereto in our 2024 Annual Report.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refer to the business and brands that we acquired in the acquisition of ILG, LLC, formerly known as ILG, Inc. (“ILG”), in 2018 (the “ILG Acquisition”) as “Legacy-ILG.” We refer to the business we conducted prior to the ILG Acquisition and the associated brands as “Legacy-MVW.” We refer to the business and brand that we acquired in the acquisition of Welk Hospitality Group, Inc. (“Welk”) in 2021 (the “Welk Acquisition”) as “Legacy-Welk.” During 2023, we rebranded all Legacy-Welk resorts as Hyatt Vacation Club resorts. Additionally, we use the term “Marriott Vacation Ownership” to refer to our Marriott, Sheraton, and Westin branded businesses and the term “Hyatt Vacation Ownership” to refer to our Hyatt branded business.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have reclassified certain prior year amounts to conform with our current year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tbl>
      <w:tblPr>
        <w:tblW w:w="7977" w:type="dxa"/>
        <w:jc w:val="left"/>
        <w:tblInd w:w="0" w:type="dxa"/>
        <w:tblLayout w:type="fixed"/>
        <w:tblCellMar>
          <w:top w:w="28" w:type="dxa"/>
          <w:left w:w="28" w:type="dxa"/>
          <w:bottom w:w="28" w:type="dxa"/>
          <w:right w:w="28" w:type="dxa"/>
        </w:tblCellMar>
      </w:tblPr>
      <w:tblGrid>
        <w:gridCol w:w="124"/>
        <w:gridCol w:w="109"/>
        <w:gridCol w:w="109"/>
        <w:gridCol w:w="2237"/>
        <w:gridCol w:w="2237"/>
        <w:gridCol w:w="3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2. </w:t>
            </w:r>
          </w:p>
        </w:tc>
        <w:tc>
          <w:tcPr>
            <w:tcW w:w="7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SIGNIFICANT ACCOUNTING POLICIES AND RECENT ACCOUNTING STANDARDS</w:t>
            </w:r>
          </w:p>
        </w:tc>
      </w:tr>
    </w:tbl>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Future Adoption of Accounting Standards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val="false"/>
          <w:color w:val="000000"/>
          <w:sz w:val="20"/>
        </w:rPr>
        <w:t>Accounting Standards Update 2023-09 –</w:t>
      </w:r>
      <w:r>
        <w:rPr>
          <w:color w:val="000000"/>
        </w:rPr>
        <w:t xml:space="preserve"> “</w:t>
      </w:r>
      <w:r>
        <w:rPr>
          <w:rFonts w:ascii="Times New Roman;serif" w:hAnsi="Times New Roman;serif"/>
          <w:b w:val="false"/>
          <w:i/>
          <w:color w:val="000000"/>
          <w:sz w:val="20"/>
        </w:rPr>
        <w:t>Income Taxes (Topic 740): Improvements to Income Tax Disclosures”</w:t>
      </w:r>
      <w:r>
        <w:rPr>
          <w:color w:val="000000"/>
        </w:rPr>
        <w:t xml:space="preserve"> </w:t>
      </w:r>
      <w:r>
        <w:rPr>
          <w:rFonts w:ascii="Times New Roman;serif" w:hAnsi="Times New Roman;serif"/>
          <w:b w:val="false"/>
          <w:color w:val="000000"/>
          <w:sz w:val="20"/>
        </w:rPr>
        <w:t>(“ASU 2023-09”)</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In December 2023, the Financial Accounting Standards Board (“FASB”) issued accounting standards update (“ASU”) 2023-09, which is intended to enhance the transparency and decision usefulness of income tax disclosures. ASU 2023-09 primarily enhances and expands both the annual income tax rate reconciliation disclosure and the annual income taxes paid disclosure. This update is effective for fiscal years beginning after December 15, 2024 and may be adopted on a prospective or retrospective basis, with early adoption permitted. We expect to begin providing the enhanced disclosures required by this update in our Annual Report on Form 10-K for the year ending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val="false"/>
          <w:color w:val="000000"/>
          <w:sz w:val="20"/>
        </w:rPr>
        <w:t xml:space="preserve">Accounting Standards Update 2024-03 - </w:t>
      </w:r>
      <w:r>
        <w:rPr>
          <w:color w:val="000000"/>
        </w:rPr>
        <w:t>“</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color w:val="000000"/>
        </w:rPr>
        <w:t xml:space="preserve"> </w:t>
      </w:r>
      <w:r>
        <w:rPr>
          <w:rFonts w:ascii="Times New Roman;serif" w:hAnsi="Times New Roman;serif"/>
          <w:b w:val="false"/>
          <w:color w:val="000000"/>
          <w:sz w:val="20"/>
        </w:rPr>
        <w:t>(“ASU 2024-03”)</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which requires additional information about specific expense categories in the notes to financial statements for both interim and annual reporting periods. This update is effective for annual periods beginning after December 15, 2026, and interim periods within annual periods beginning after December 15, 2027, and may be adopted on a prospective or retrospective basis, with early adoption permitted. We are evaluating the impact that the adoption of this update, including the timing of implementation, will have on our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val="false"/>
          <w:color w:val="000000"/>
          <w:sz w:val="20"/>
        </w:rPr>
        <w:t xml:space="preserve">Accounting Standards Update 2024-04 - </w:t>
      </w:r>
      <w:r>
        <w:rPr>
          <w:color w:val="000000"/>
        </w:rPr>
        <w:t>“</w:t>
      </w:r>
      <w:r>
        <w:rPr>
          <w:rFonts w:ascii="Times New Roman;serif" w:hAnsi="Times New Roman;serif"/>
          <w:b w:val="false"/>
          <w:i/>
          <w:color w:val="000000"/>
          <w:sz w:val="20"/>
        </w:rPr>
        <w:t>Debt - Debt with Conversion and Other Options (Subtopic 470-20): Induced Conversions of Convertible Debt Instruments”</w:t>
      </w:r>
      <w:r>
        <w:rPr>
          <w:color w:val="000000"/>
        </w:rPr>
        <w:t xml:space="preserve"> </w:t>
      </w:r>
      <w:r>
        <w:rPr>
          <w:rFonts w:ascii="Times New Roman;serif" w:hAnsi="Times New Roman;serif"/>
          <w:b w:val="false"/>
          <w:color w:val="000000"/>
          <w:sz w:val="20"/>
        </w:rPr>
        <w:t>(“ASU 2024-04”)</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2024-04, which requires an entity to account for certain early settlements of convertible debt instruments as an induced conversion if the inducement offer includes the issuance of all consideration (in form and amount) issuable under the conversion privileges provided in the terms of the existing convertible debt instrument. This update is effective for annual periods beginning after December 15, 2025, and interim periods within those annual reporting periods, with early adoption permitted for all entities that have adopted the amendments in ASU 2020-06. We adopted ASU 2020-06 on January 1, 2022 using the modified retrospective method. We are evaluating the impact that the adoption of ASU 2024-04 will have on our financial statements and related disclosures and expect to adopt this update on January 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903" w:type="dxa"/>
        <w:jc w:val="left"/>
        <w:tblInd w:w="0" w:type="dxa"/>
        <w:tblLayout w:type="fixed"/>
        <w:tblCellMar>
          <w:top w:w="28" w:type="dxa"/>
          <w:left w:w="28" w:type="dxa"/>
          <w:bottom w:w="28" w:type="dxa"/>
          <w:right w:w="28" w:type="dxa"/>
        </w:tblCellMar>
      </w:tblPr>
      <w:tblGrid>
        <w:gridCol w:w="124"/>
        <w:gridCol w:w="109"/>
        <w:gridCol w:w="109"/>
        <w:gridCol w:w="457"/>
        <w:gridCol w:w="457"/>
        <w:gridCol w:w="6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3. </w:t>
            </w:r>
          </w:p>
        </w:tc>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ACQUISITIONS</w:t>
            </w:r>
          </w:p>
        </w:tc>
      </w:tr>
    </w:tbl>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Khao Lak, Thailand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2025, we acquired the interest in 52 completed vacation ownership units located in Khao Lak, Thailand for $50 million and included it in Property and equipment, net. We paid $43 million in cash consideration during the second quarter of 2025. Additionally, during the second quarter of 2025, we reclassified $7 million of deposits previously paid in the fourth quarter of 2024 in connection with the project from Other assets to Property and equipment,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327" w:type="dxa"/>
        <w:jc w:val="left"/>
        <w:tblInd w:w="0" w:type="dxa"/>
        <w:tblLayout w:type="fixed"/>
        <w:tblCellMar>
          <w:top w:w="28" w:type="dxa"/>
          <w:left w:w="28" w:type="dxa"/>
          <w:bottom w:w="28" w:type="dxa"/>
          <w:right w:w="28" w:type="dxa"/>
        </w:tblCellMar>
      </w:tblPr>
      <w:tblGrid>
        <w:gridCol w:w="124"/>
        <w:gridCol w:w="109"/>
        <w:gridCol w:w="109"/>
        <w:gridCol w:w="873"/>
        <w:gridCol w:w="873"/>
        <w:gridCol w:w="12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4. </w:t>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 AND RECEIVABLES</w:t>
            </w:r>
          </w:p>
        </w:tc>
      </w:tr>
    </w:tbl>
    <w:p>
      <w:pPr>
        <w:pStyle w:val="TextBody"/>
        <w:bidi w:val="0"/>
        <w:spacing w:lineRule="auto" w:line="288" w:before="60" w:after="283"/>
        <w:jc w:val="left"/>
        <w:rPr>
          <w:rFonts w:ascii="Times New Roman;serif" w:hAnsi="Times New Roman;serif"/>
          <w:b/>
          <w:i/>
          <w:color w:val="000000"/>
          <w:sz w:val="20"/>
        </w:rPr>
      </w:pPr>
      <w:r>
        <w:rPr>
          <w:rFonts w:ascii="Times New Roman;serif" w:hAnsi="Times New Roman;serif"/>
          <w:b/>
          <w:i/>
          <w:color w:val="000000"/>
          <w:sz w:val="20"/>
        </w:rPr>
        <w:t>Sources of Revenue by Segment</w:t>
      </w:r>
    </w:p>
    <w:tbl>
      <w:tblPr>
        <w:tblW w:w="10205" w:type="dxa"/>
        <w:jc w:val="center"/>
        <w:tblInd w:w="0" w:type="dxa"/>
        <w:tblLayout w:type="fixed"/>
        <w:tblCellMar>
          <w:top w:w="28" w:type="dxa"/>
          <w:left w:w="28" w:type="dxa"/>
          <w:bottom w:w="28" w:type="dxa"/>
          <w:right w:w="28" w:type="dxa"/>
        </w:tblCellMar>
      </w:tblPr>
      <w:tblGrid>
        <w:gridCol w:w="1090"/>
        <w:gridCol w:w="841"/>
        <w:gridCol w:w="806"/>
        <w:gridCol w:w="332"/>
        <w:gridCol w:w="972"/>
        <w:gridCol w:w="173"/>
        <w:gridCol w:w="109"/>
        <w:gridCol w:w="109"/>
        <w:gridCol w:w="109"/>
        <w:gridCol w:w="734"/>
        <w:gridCol w:w="1415"/>
        <w:gridCol w:w="382"/>
        <w:gridCol w:w="109"/>
        <w:gridCol w:w="109"/>
        <w:gridCol w:w="109"/>
        <w:gridCol w:w="432"/>
        <w:gridCol w:w="833"/>
        <w:gridCol w:w="226"/>
        <w:gridCol w:w="109"/>
        <w:gridCol w:w="109"/>
        <w:gridCol w:w="109"/>
        <w:gridCol w:w="211"/>
        <w:gridCol w:w="616"/>
        <w:gridCol w:w="161"/>
      </w:tblGrid>
      <w:tr>
        <w:trPr/>
        <w:tc>
          <w:tcPr>
            <w:tcW w:w="109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r>
      <w:tr>
        <w:trPr/>
        <w:tc>
          <w:tcPr>
            <w:tcW w:w="2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4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Vacation Ownership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Exchange &amp; Third-Party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vacation ownership products</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Ancillary revenues</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 revenues</w:t>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and other services revenues</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and exchange</w:t>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reimbursements</w:t>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contracts with customers</w:t>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w:t>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090"/>
        <w:gridCol w:w="841"/>
        <w:gridCol w:w="806"/>
        <w:gridCol w:w="332"/>
        <w:gridCol w:w="972"/>
        <w:gridCol w:w="173"/>
        <w:gridCol w:w="109"/>
        <w:gridCol w:w="109"/>
        <w:gridCol w:w="109"/>
        <w:gridCol w:w="734"/>
        <w:gridCol w:w="1415"/>
        <w:gridCol w:w="382"/>
        <w:gridCol w:w="109"/>
        <w:gridCol w:w="109"/>
        <w:gridCol w:w="109"/>
        <w:gridCol w:w="432"/>
        <w:gridCol w:w="833"/>
        <w:gridCol w:w="226"/>
        <w:gridCol w:w="109"/>
        <w:gridCol w:w="109"/>
        <w:gridCol w:w="109"/>
        <w:gridCol w:w="211"/>
        <w:gridCol w:w="616"/>
        <w:gridCol w:w="161"/>
      </w:tblGrid>
      <w:tr>
        <w:trPr/>
        <w:tc>
          <w:tcPr>
            <w:tcW w:w="109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2024</w:t>
            </w:r>
          </w:p>
        </w:tc>
      </w:tr>
      <w:tr>
        <w:trPr/>
        <w:tc>
          <w:tcPr>
            <w:tcW w:w="2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4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Vacation Ownership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Exchange &amp; Third-Party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vacation ownership products</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Ancillary revenues</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 revenues</w:t>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and other services revenues</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and exchange</w:t>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reimbursements</w:t>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contracts with customers</w:t>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w:t>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090"/>
        <w:gridCol w:w="842"/>
        <w:gridCol w:w="806"/>
        <w:gridCol w:w="332"/>
        <w:gridCol w:w="972"/>
        <w:gridCol w:w="173"/>
        <w:gridCol w:w="109"/>
        <w:gridCol w:w="109"/>
        <w:gridCol w:w="109"/>
        <w:gridCol w:w="678"/>
        <w:gridCol w:w="1499"/>
        <w:gridCol w:w="353"/>
        <w:gridCol w:w="109"/>
        <w:gridCol w:w="109"/>
        <w:gridCol w:w="109"/>
        <w:gridCol w:w="432"/>
        <w:gridCol w:w="833"/>
        <w:gridCol w:w="226"/>
        <w:gridCol w:w="109"/>
        <w:gridCol w:w="109"/>
        <w:gridCol w:w="109"/>
        <w:gridCol w:w="211"/>
        <w:gridCol w:w="616"/>
        <w:gridCol w:w="161"/>
      </w:tblGrid>
      <w:tr>
        <w:trPr/>
        <w:tc>
          <w:tcPr>
            <w:tcW w:w="109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4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Vacation Ownership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Exchange &amp; Third-Party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vacation ownership products</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Ancillary revenues</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 revenues</w:t>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and other services revenues</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and exchange</w:t>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reimbursements</w:t>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contracts with customers</w:t>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w:t>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090"/>
        <w:gridCol w:w="842"/>
        <w:gridCol w:w="806"/>
        <w:gridCol w:w="332"/>
        <w:gridCol w:w="972"/>
        <w:gridCol w:w="173"/>
        <w:gridCol w:w="109"/>
        <w:gridCol w:w="109"/>
        <w:gridCol w:w="109"/>
        <w:gridCol w:w="678"/>
        <w:gridCol w:w="1499"/>
        <w:gridCol w:w="353"/>
        <w:gridCol w:w="109"/>
        <w:gridCol w:w="109"/>
        <w:gridCol w:w="109"/>
        <w:gridCol w:w="432"/>
        <w:gridCol w:w="833"/>
        <w:gridCol w:w="226"/>
        <w:gridCol w:w="109"/>
        <w:gridCol w:w="109"/>
        <w:gridCol w:w="109"/>
        <w:gridCol w:w="211"/>
        <w:gridCol w:w="616"/>
        <w:gridCol w:w="161"/>
      </w:tblGrid>
      <w:tr>
        <w:trPr/>
        <w:tc>
          <w:tcPr>
            <w:tcW w:w="109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2024</w:t>
            </w:r>
          </w:p>
        </w:tc>
      </w:tr>
      <w:tr>
        <w:trPr/>
        <w:tc>
          <w:tcPr>
            <w:tcW w:w="27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4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Vacation Ownership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Exchange &amp; Third-Party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vacation ownership products</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Ancillary revenues</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 revenues</w:t>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and other services revenues</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and exchange</w:t>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reimbursements</w:t>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contracts with customers</w:t>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w:t>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Timing of Revenue from Contracts with Customers by Segment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detail the timing of revenue from contracts with customers by segment for the time periods presented.</w:t>
      </w:r>
    </w:p>
    <w:tbl>
      <w:tblPr>
        <w:tblW w:w="10205" w:type="dxa"/>
        <w:jc w:val="center"/>
        <w:tblInd w:w="0" w:type="dxa"/>
        <w:tblLayout w:type="fixed"/>
        <w:tblCellMar>
          <w:top w:w="28" w:type="dxa"/>
          <w:left w:w="28" w:type="dxa"/>
          <w:bottom w:w="28" w:type="dxa"/>
          <w:right w:w="28" w:type="dxa"/>
        </w:tblCellMar>
      </w:tblPr>
      <w:tblGrid>
        <w:gridCol w:w="1064"/>
        <w:gridCol w:w="934"/>
        <w:gridCol w:w="891"/>
        <w:gridCol w:w="325"/>
        <w:gridCol w:w="951"/>
        <w:gridCol w:w="169"/>
        <w:gridCol w:w="109"/>
        <w:gridCol w:w="109"/>
        <w:gridCol w:w="109"/>
        <w:gridCol w:w="758"/>
        <w:gridCol w:w="1298"/>
        <w:gridCol w:w="393"/>
        <w:gridCol w:w="109"/>
        <w:gridCol w:w="109"/>
        <w:gridCol w:w="109"/>
        <w:gridCol w:w="533"/>
        <w:gridCol w:w="646"/>
        <w:gridCol w:w="276"/>
        <w:gridCol w:w="109"/>
        <w:gridCol w:w="109"/>
        <w:gridCol w:w="109"/>
        <w:gridCol w:w="211"/>
        <w:gridCol w:w="616"/>
        <w:gridCol w:w="159"/>
      </w:tblGrid>
      <w:tr>
        <w:trPr/>
        <w:tc>
          <w:tcPr>
            <w:tcW w:w="106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r>
      <w:tr>
        <w:trPr/>
        <w:tc>
          <w:tcPr>
            <w:tcW w:w="2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Vacation Ownership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Exchange &amp; Third-Party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transferred over time</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Goods or services transferred at a point in time</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contracts with customers</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064"/>
        <w:gridCol w:w="934"/>
        <w:gridCol w:w="891"/>
        <w:gridCol w:w="386"/>
        <w:gridCol w:w="856"/>
        <w:gridCol w:w="203"/>
        <w:gridCol w:w="109"/>
        <w:gridCol w:w="109"/>
        <w:gridCol w:w="109"/>
        <w:gridCol w:w="758"/>
        <w:gridCol w:w="1298"/>
        <w:gridCol w:w="393"/>
        <w:gridCol w:w="109"/>
        <w:gridCol w:w="109"/>
        <w:gridCol w:w="109"/>
        <w:gridCol w:w="533"/>
        <w:gridCol w:w="646"/>
        <w:gridCol w:w="276"/>
        <w:gridCol w:w="109"/>
        <w:gridCol w:w="109"/>
        <w:gridCol w:w="109"/>
        <w:gridCol w:w="211"/>
        <w:gridCol w:w="616"/>
        <w:gridCol w:w="159"/>
      </w:tblGrid>
      <w:tr>
        <w:trPr/>
        <w:tc>
          <w:tcPr>
            <w:tcW w:w="106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2024</w:t>
            </w:r>
          </w:p>
        </w:tc>
      </w:tr>
      <w:tr>
        <w:trPr/>
        <w:tc>
          <w:tcPr>
            <w:tcW w:w="2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Vacation Ownership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Exchange &amp; Third-Party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transferred over time</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Goods or services transferred at a point in time</w:t>
            </w:r>
          </w:p>
        </w:tc>
        <w:tc>
          <w:tcPr>
            <w:tcW w:w="12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contracts with customers</w:t>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064"/>
        <w:gridCol w:w="934"/>
        <w:gridCol w:w="891"/>
        <w:gridCol w:w="325"/>
        <w:gridCol w:w="951"/>
        <w:gridCol w:w="169"/>
        <w:gridCol w:w="109"/>
        <w:gridCol w:w="109"/>
        <w:gridCol w:w="109"/>
        <w:gridCol w:w="656"/>
        <w:gridCol w:w="1451"/>
        <w:gridCol w:w="342"/>
        <w:gridCol w:w="109"/>
        <w:gridCol w:w="109"/>
        <w:gridCol w:w="109"/>
        <w:gridCol w:w="450"/>
        <w:gridCol w:w="770"/>
        <w:gridCol w:w="234"/>
        <w:gridCol w:w="109"/>
        <w:gridCol w:w="109"/>
        <w:gridCol w:w="109"/>
        <w:gridCol w:w="211"/>
        <w:gridCol w:w="616"/>
        <w:gridCol w:w="160"/>
      </w:tblGrid>
      <w:tr>
        <w:trPr/>
        <w:tc>
          <w:tcPr>
            <w:tcW w:w="106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2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Vacation Ownership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Exchange &amp; Third-Party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transferred over time</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Goods or services transferred at a point in time</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contracts with customers</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064"/>
        <w:gridCol w:w="934"/>
        <w:gridCol w:w="891"/>
        <w:gridCol w:w="325"/>
        <w:gridCol w:w="951"/>
        <w:gridCol w:w="169"/>
        <w:gridCol w:w="109"/>
        <w:gridCol w:w="109"/>
        <w:gridCol w:w="109"/>
        <w:gridCol w:w="656"/>
        <w:gridCol w:w="1451"/>
        <w:gridCol w:w="342"/>
        <w:gridCol w:w="109"/>
        <w:gridCol w:w="109"/>
        <w:gridCol w:w="109"/>
        <w:gridCol w:w="533"/>
        <w:gridCol w:w="646"/>
        <w:gridCol w:w="276"/>
        <w:gridCol w:w="109"/>
        <w:gridCol w:w="109"/>
        <w:gridCol w:w="109"/>
        <w:gridCol w:w="211"/>
        <w:gridCol w:w="616"/>
        <w:gridCol w:w="159"/>
      </w:tblGrid>
      <w:tr>
        <w:trPr/>
        <w:tc>
          <w:tcPr>
            <w:tcW w:w="106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2024</w:t>
            </w:r>
          </w:p>
        </w:tc>
      </w:tr>
      <w:tr>
        <w:trPr/>
        <w:tc>
          <w:tcPr>
            <w:tcW w:w="2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Vacation Ownership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Exchange &amp; Third-Party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transferred over time</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Goods or services transferred at a point in time</w:t>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contracts with customers</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Sale of Vacation Ownership Products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Revenues were reduced during the second quarter and first half of 2025 by $3 million and $6 million, respectively, due to changes in our estimates of variable consideration for performance obligations that were satisfied in prior periods.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Receivables from Contracts with Customers, Contract Assets, &amp; Contract Liabilities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composition of our receivables from contracts with customers and contract liabilities. We had no contract assets at either June 30, 2025 or December 31, 2024. </w:t>
      </w:r>
    </w:p>
    <w:tbl>
      <w:tblPr>
        <w:tblW w:w="7359" w:type="dxa"/>
        <w:jc w:val="center"/>
        <w:tblInd w:w="0" w:type="dxa"/>
        <w:tblLayout w:type="fixed"/>
        <w:tblCellMar>
          <w:top w:w="28" w:type="dxa"/>
          <w:left w:w="28" w:type="dxa"/>
          <w:bottom w:w="28" w:type="dxa"/>
          <w:right w:w="28" w:type="dxa"/>
        </w:tblCellMar>
      </w:tblPr>
      <w:tblGrid>
        <w:gridCol w:w="1380"/>
        <w:gridCol w:w="1211"/>
        <w:gridCol w:w="1218"/>
        <w:gridCol w:w="314"/>
        <w:gridCol w:w="918"/>
        <w:gridCol w:w="162"/>
        <w:gridCol w:w="109"/>
        <w:gridCol w:w="109"/>
        <w:gridCol w:w="109"/>
        <w:gridCol w:w="393"/>
        <w:gridCol w:w="1149"/>
        <w:gridCol w:w="287"/>
      </w:tblGrid>
      <w:tr>
        <w:trPr/>
        <w:tc>
          <w:tcPr>
            <w:tcW w:w="1380"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At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At December 31, 2024</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Receivables from Contracts with Customers</w:t>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contracts receivable, net</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Vacation ownership notes receivable, net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Contract Liabilities</w:t>
            </w:r>
          </w:p>
        </w:tc>
        <w:tc>
          <w:tcPr>
            <w:tcW w:w="13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 deposits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 recognized during the second quarter and first half of 2025 that was included in our contract liabilities balance at December 31, 2024 was $84 million and $201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Remaining Performance Obligations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recorded contract liabilities represent the aggregate amount of the transaction price allocated to the performance obligations that are unsatisfied (or partially unsatisfied) as of June 30, 2025. At June 30, 2025, approximately 85% of the recorded contract liabilities are expected to be recognized as revenue over the next two years.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Accounts and Contracts Receivable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Accounts and contracts receivable is composed of amounts due from customers, primarily owners’ associations, resort developers, owners and members, credit card receivables, interest receivables, amounts due from taxing authorities, indemnification assets, and other miscellaneous receivables. The following table shows the composition of our accounts and contracts receivable balances:</w:t>
      </w:r>
    </w:p>
    <w:tbl>
      <w:tblPr>
        <w:tblW w:w="7464" w:type="dxa"/>
        <w:jc w:val="center"/>
        <w:tblInd w:w="0" w:type="dxa"/>
        <w:tblLayout w:type="fixed"/>
        <w:tblCellMar>
          <w:top w:w="28" w:type="dxa"/>
          <w:left w:w="28" w:type="dxa"/>
          <w:bottom w:w="28" w:type="dxa"/>
          <w:right w:w="28" w:type="dxa"/>
        </w:tblCellMar>
      </w:tblPr>
      <w:tblGrid>
        <w:gridCol w:w="1416"/>
        <w:gridCol w:w="1244"/>
        <w:gridCol w:w="1254"/>
        <w:gridCol w:w="374"/>
        <w:gridCol w:w="827"/>
        <w:gridCol w:w="193"/>
        <w:gridCol w:w="109"/>
        <w:gridCol w:w="109"/>
        <w:gridCol w:w="109"/>
        <w:gridCol w:w="463"/>
        <w:gridCol w:w="1025"/>
        <w:gridCol w:w="341"/>
      </w:tblGrid>
      <w:tr>
        <w:trPr/>
        <w:tc>
          <w:tcPr>
            <w:tcW w:w="1416"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At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At December 31, 2024</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from contracts with customers, net</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receivable</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receivable</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Indemnification assets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tax credit receivable</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991" w:type="dxa"/>
        <w:jc w:val="left"/>
        <w:tblInd w:w="0" w:type="dxa"/>
        <w:tblLayout w:type="fixed"/>
        <w:tblCellMar>
          <w:top w:w="28" w:type="dxa"/>
          <w:left w:w="28" w:type="dxa"/>
          <w:bottom w:w="28" w:type="dxa"/>
          <w:right w:w="28" w:type="dxa"/>
        </w:tblCellMar>
      </w:tblPr>
      <w:tblGrid>
        <w:gridCol w:w="124"/>
        <w:gridCol w:w="109"/>
        <w:gridCol w:w="109"/>
        <w:gridCol w:w="482"/>
        <w:gridCol w:w="482"/>
        <w:gridCol w:w="6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5.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TAXES</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provision for income taxes is calculated using an estimated annual effective tax rate (“AETR”), which is based upon projected annual income, including anticipated losses in certain jurisdictions, non-deductible expenses under applicable federal and local tax laws, statutory rates, and planned tax strategies across the jurisdictions in which we operate. Certain items that do not relate directly to ordinary income are excluded from the AETR and are recognized in the period in which they occur.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effective tax rate was 26.8% and 22.0% for the three months ended June 30, 2025 and June 30, 2024, respectively, and 35.5% and 35.2% for the six months ended June 30, 2025 and June 30, 2024, respectively.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effective tax rate for the three months ended June 30, 2025 was generally consistent with the blended U.S. federal and state statutory tax rate, with no significant variances.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effective tax rate for the three months ended June 30, 2024 differed from the blended U.S. federal and state statutory tax rate primarily due to discrete income tax adjustments. These included a $13 million decrease as a result of the expiration of statutes of limitation on certain unrecognized tax benefits, partially offset by a $4 million increase related to prior year true-up adjustments in non-U.S. jurisdictions.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effective tax rate for the six months ended June 30, 2025 differed from the blended U.S. federal and state statutory tax rate primarily due to the effect of losses incurred in certain non-U.S. jurisdictions for which no tax benefit was recognized. Additionally, permanent differences between the book and tax treatment further contributed to the variance from the statutory rate.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effective tax rate for the six months ended June 30, 2024 differed from the blended U.S. federal and state statutory tax rate primarily due to discrete income tax adjustments. These adjustments included a $20 million increase related to the removal of the permanent reinvestment assertion for certain non-U.S. entities and a $5 million increase from prior year true-up adjustments in non-U.S. jurisdictions. These impacts were partially offset by a $22 million decrease as a result of the expiration of statutes of limitation on certain unrecognized tax benefits.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income tax returns remain subject to examination by the relevant tax authorities. Certain returns are currently under audit in various jurisdictions for tax years 2007 through 2020. The amount of the unrecognized tax benefits may change within the next twelve months as a result of audits or resolution of audit-related matters.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Subsequent to the end of the second quarter of 2025, on July 4, 2025, the One Big Beautiful Bill Act (“OBBBA”) was signed into law, making several provisions of the Tax Cuts and Jobs Act permanent. Under Accounting Standards Codification (“ASC”) 740, “Income Taxes,” the effects of changes in tax laws must be recognized in the period of enactment. We are currently evaluating the potential impact of OBBBA on our future financial statements, including deferred tax positions and the estimated annual effective tax rate. No adjustments have been made to the financial statements as of June 30, 2025, as a result of OBBBA.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tbl>
      <w:tblPr>
        <w:tblW w:w="4812" w:type="dxa"/>
        <w:jc w:val="left"/>
        <w:tblInd w:w="0" w:type="dxa"/>
        <w:tblLayout w:type="fixed"/>
        <w:tblCellMar>
          <w:top w:w="28" w:type="dxa"/>
          <w:left w:w="28" w:type="dxa"/>
          <w:bottom w:w="28" w:type="dxa"/>
          <w:right w:w="28" w:type="dxa"/>
        </w:tblCellMar>
      </w:tblPr>
      <w:tblGrid>
        <w:gridCol w:w="124"/>
        <w:gridCol w:w="109"/>
        <w:gridCol w:w="109"/>
        <w:gridCol w:w="1309"/>
        <w:gridCol w:w="1309"/>
        <w:gridCol w:w="18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6. </w:t>
            </w:r>
          </w:p>
        </w:tc>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VACATION OWNERSHIP NOTES RECEIVABLE</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composition of our vacation ownership notes receivable balances, net of reserves. </w:t>
      </w:r>
    </w:p>
    <w:tbl>
      <w:tblPr>
        <w:tblW w:w="10205" w:type="dxa"/>
        <w:jc w:val="center"/>
        <w:tblInd w:w="0" w:type="dxa"/>
        <w:tblLayout w:type="fixed"/>
        <w:tblCellMar>
          <w:top w:w="28" w:type="dxa"/>
          <w:left w:w="28" w:type="dxa"/>
          <w:bottom w:w="28" w:type="dxa"/>
          <w:right w:w="28" w:type="dxa"/>
        </w:tblCellMar>
      </w:tblPr>
      <w:tblGrid>
        <w:gridCol w:w="987"/>
        <w:gridCol w:w="824"/>
        <w:gridCol w:w="670"/>
        <w:gridCol w:w="229"/>
        <w:gridCol w:w="672"/>
        <w:gridCol w:w="118"/>
        <w:gridCol w:w="118"/>
        <w:gridCol w:w="118"/>
        <w:gridCol w:w="118"/>
        <w:gridCol w:w="278"/>
        <w:gridCol w:w="477"/>
        <w:gridCol w:w="146"/>
        <w:gridCol w:w="118"/>
        <w:gridCol w:w="118"/>
        <w:gridCol w:w="118"/>
        <w:gridCol w:w="229"/>
        <w:gridCol w:w="672"/>
        <w:gridCol w:w="118"/>
        <w:gridCol w:w="118"/>
        <w:gridCol w:w="118"/>
        <w:gridCol w:w="118"/>
        <w:gridCol w:w="229"/>
        <w:gridCol w:w="672"/>
        <w:gridCol w:w="118"/>
        <w:gridCol w:w="118"/>
        <w:gridCol w:w="118"/>
        <w:gridCol w:w="118"/>
        <w:gridCol w:w="241"/>
        <w:gridCol w:w="534"/>
        <w:gridCol w:w="126"/>
        <w:gridCol w:w="118"/>
        <w:gridCol w:w="118"/>
        <w:gridCol w:w="118"/>
        <w:gridCol w:w="229"/>
        <w:gridCol w:w="672"/>
        <w:gridCol w:w="194"/>
      </w:tblGrid>
      <w:tr>
        <w:trPr/>
        <w:tc>
          <w:tcPr>
            <w:tcW w:w="98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Originated</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Acquired</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Originated</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Acquired</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Securitized</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Eligible for securitization</w:t>
            </w:r>
            <w:r>
              <w:rPr>
                <w:rFonts w:ascii="Times New Roman;serif" w:hAnsi="Times New Roman;serif"/>
                <w:b w:val="false"/>
                <w:color w:val="000000"/>
                <w:sz w:val="12"/>
              </w:rPr>
              <w:t>(1)</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Not eligible for securitization</w:t>
            </w:r>
            <w:r>
              <w:rPr>
                <w:rFonts w:ascii="Times New Roman;serif" w:hAnsi="Times New Roman;serif"/>
                <w:b w:val="false"/>
                <w:color w:val="000000"/>
                <w:sz w:val="12"/>
              </w:rPr>
              <w:t>(1)</w:t>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Non-securitized</w:t>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88" w:before="60" w:after="4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Refer to Footnote 7 “Financial Instruments” for discussion of eligibility of our vacation ownership notes receivable for securitization.</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reflect interest income associated with vacation ownership notes receivable on our Income Statements in the Financing revenues caption. The following table summarizes interest income associated with vacation ownership notes receivable.</w:t>
      </w:r>
    </w:p>
    <w:tbl>
      <w:tblPr>
        <w:tblW w:w="10205" w:type="dxa"/>
        <w:jc w:val="center"/>
        <w:tblInd w:w="0" w:type="dxa"/>
        <w:tblLayout w:type="fixed"/>
        <w:tblCellMar>
          <w:top w:w="28" w:type="dxa"/>
          <w:left w:w="28" w:type="dxa"/>
          <w:bottom w:w="28" w:type="dxa"/>
          <w:right w:w="28" w:type="dxa"/>
        </w:tblCellMar>
      </w:tblPr>
      <w:tblGrid>
        <w:gridCol w:w="1859"/>
        <w:gridCol w:w="1550"/>
        <w:gridCol w:w="1562"/>
        <w:gridCol w:w="321"/>
        <w:gridCol w:w="550"/>
        <w:gridCol w:w="165"/>
        <w:gridCol w:w="112"/>
        <w:gridCol w:w="112"/>
        <w:gridCol w:w="112"/>
        <w:gridCol w:w="321"/>
        <w:gridCol w:w="550"/>
        <w:gridCol w:w="165"/>
        <w:gridCol w:w="109"/>
        <w:gridCol w:w="109"/>
        <w:gridCol w:w="109"/>
        <w:gridCol w:w="285"/>
        <w:gridCol w:w="630"/>
        <w:gridCol w:w="147"/>
        <w:gridCol w:w="109"/>
        <w:gridCol w:w="109"/>
        <w:gridCol w:w="109"/>
        <w:gridCol w:w="280"/>
        <w:gridCol w:w="621"/>
        <w:gridCol w:w="209"/>
      </w:tblGrid>
      <w:tr>
        <w:trPr/>
        <w:tc>
          <w:tcPr>
            <w:tcW w:w="1859"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4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r>
      <w:tr>
        <w:trPr/>
        <w:tc>
          <w:tcPr>
            <w:tcW w:w="4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 - securitized vacation ownership notes receivable</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 - non-securitized vacation ownership notes receivable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income associated with vacation ownership notes receivable</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Vacation Ownership Notes Receivable Reserve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estimates of the variable consideration for originated vacation ownership notes receivable and the reserve for credit losses on the acquired vacation ownership notes receivable are based on default rates that are an output of our static pool analyses and estimates regarding future defaults.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the second quarter of 2024, we increased our sales reserve by $70 million to reflect the then-current macroeconomic conditions, including the cumulative impact of inflation on consumers and the related impact on year-over-year increases in maintenance fees for 2023 and 2024, which we believed were driving continued elevated delinquencies and default rates, higher consumer debt levels, continued high interest rates, uncertainty around timing and frequency of interest rate adjustments, and continued mixed economic indicators. Beginning in the third quarter of 2024, we also increased our sales reserve rate to reflect higher expected cumulative losses on new originations, consistent with more recent trends. While delinquency rates have declined thus far in 2025, we do not expect to lower the sales reserve for new originations until we have sufficient, sustained evidence of continued improvement in delinquency and default rates.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Credit Quality Indicators - Vacation Ownership Notes Receivable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use the origination of vacation ownership notes receivable and the FICO scores of the customer by brand as the primary credit quality indicators, as historical performance indicates that there is a relationship between the default behavior of borrowers by FICO score and the brand associated with the vacation ownership interest (“VOI”) they have acquired.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weighted average FICO score within our consolidated vacation ownership notes receivable pool was 726 and 725, at June 30, 2025 and December 31, 2024, respectively, based upon the FICO score of the borrower at the time of origination.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Originated Vacation Ownership Notes Receivable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Originated vacation ownership notes receivable represent vacation ownership notes receivable originated by Legacy-ILG and Legacy-Welk subsequent to each respective acquisition date, and all Legacy-MVW vacation ownership notes receivable. The following table shows future principal payments, net of reserves, and interest rates for our originated vacation ownership notes receivable at June 30, 2025.</w:t>
      </w:r>
    </w:p>
    <w:tbl>
      <w:tblPr>
        <w:tblW w:w="7862" w:type="dxa"/>
        <w:jc w:val="center"/>
        <w:tblInd w:w="0" w:type="dxa"/>
        <w:tblLayout w:type="fixed"/>
        <w:tblCellMar>
          <w:top w:w="28" w:type="dxa"/>
          <w:left w:w="28" w:type="dxa"/>
          <w:bottom w:w="28" w:type="dxa"/>
          <w:right w:w="28" w:type="dxa"/>
        </w:tblCellMar>
      </w:tblPr>
      <w:tblGrid>
        <w:gridCol w:w="1125"/>
        <w:gridCol w:w="989"/>
        <w:gridCol w:w="990"/>
        <w:gridCol w:w="358"/>
        <w:gridCol w:w="792"/>
        <w:gridCol w:w="186"/>
        <w:gridCol w:w="128"/>
        <w:gridCol w:w="128"/>
        <w:gridCol w:w="128"/>
        <w:gridCol w:w="294"/>
        <w:gridCol w:w="859"/>
        <w:gridCol w:w="151"/>
        <w:gridCol w:w="128"/>
        <w:gridCol w:w="128"/>
        <w:gridCol w:w="128"/>
        <w:gridCol w:w="290"/>
        <w:gridCol w:w="848"/>
        <w:gridCol w:w="212"/>
      </w:tblGrid>
      <w:tr>
        <w:trPr/>
        <w:tc>
          <w:tcPr>
            <w:tcW w:w="112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Originated Vacation Ownership Notes Receivable</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Non-Securitized</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Securitized</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remaining</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stated interest rate</w:t>
            </w:r>
          </w:p>
        </w:tc>
        <w:tc>
          <w:tcPr>
            <w:tcW w:w="133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11.6%</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13.3%</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12.9%</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Range of stated interest rates</w:t>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 to 20.9%</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 to 20.9%</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 to 20.9%</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originated vacation ownership notes receivable, we record the difference between the vacation ownership note receivable and the variable consideration included in the transaction price for the sale of the related vacation ownership product as a reserve on our vacation ownership notes receivable. The following table summarizes the activity related to our originated vacation ownership notes receivable reserve during the first half of 2025.</w:t>
      </w:r>
    </w:p>
    <w:tbl>
      <w:tblPr>
        <w:tblW w:w="10205" w:type="dxa"/>
        <w:jc w:val="center"/>
        <w:tblInd w:w="0" w:type="dxa"/>
        <w:tblLayout w:type="fixed"/>
        <w:tblCellMar>
          <w:top w:w="28" w:type="dxa"/>
          <w:left w:w="28" w:type="dxa"/>
          <w:bottom w:w="28" w:type="dxa"/>
          <w:right w:w="28" w:type="dxa"/>
        </w:tblCellMar>
      </w:tblPr>
      <w:tblGrid>
        <w:gridCol w:w="1872"/>
        <w:gridCol w:w="1363"/>
        <w:gridCol w:w="1297"/>
        <w:gridCol w:w="480"/>
        <w:gridCol w:w="1063"/>
        <w:gridCol w:w="249"/>
        <w:gridCol w:w="180"/>
        <w:gridCol w:w="180"/>
        <w:gridCol w:w="180"/>
        <w:gridCol w:w="423"/>
        <w:gridCol w:w="812"/>
        <w:gridCol w:w="180"/>
        <w:gridCol w:w="180"/>
        <w:gridCol w:w="180"/>
        <w:gridCol w:w="180"/>
        <w:gridCol w:w="349"/>
        <w:gridCol w:w="773"/>
        <w:gridCol w:w="264"/>
      </w:tblGrid>
      <w:tr>
        <w:trPr/>
        <w:tc>
          <w:tcPr>
            <w:tcW w:w="1872"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4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Originated Vacation Ownership Notes Receivable Reserve</w:t>
            </w:r>
          </w:p>
        </w:tc>
      </w:tr>
      <w:tr>
        <w:trPr/>
        <w:tc>
          <w:tcPr>
            <w:tcW w:w="4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Non-Securitized</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Securitized</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Increase in vacation ownership notes receivable reserve</w:t>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Securitizations</w:t>
            </w:r>
          </w:p>
        </w:tc>
        <w:tc>
          <w:tcPr>
            <w:tcW w:w="1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Clean-up call</w:t>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1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Defaulted vacation ownership notes receivable repurchase activity</w:t>
            </w:r>
            <w:r>
              <w:rPr>
                <w:rFonts w:ascii="Times New Roman;serif" w:hAnsi="Times New Roman;serif"/>
                <w:b w:val="false"/>
                <w:color w:val="000000"/>
                <w:sz w:val="12"/>
              </w:rPr>
              <w:t>(1)</w:t>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88" w:before="60" w:after="4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Reflects the change attributable to the transfer of the reserve from the securitized vacation ownership notes receivable reserve to the non-securitized vacation ownership notes receivable reserve when we voluntarily repurchased securitized vacation ownership notes receivable.</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show originated vacation ownership notes receivable, before reserves, by brand and borrower FICO score at origination.</w:t>
      </w:r>
    </w:p>
    <w:tbl>
      <w:tblPr>
        <w:tblW w:w="7983" w:type="dxa"/>
        <w:jc w:val="center"/>
        <w:tblInd w:w="0" w:type="dxa"/>
        <w:tblLayout w:type="fixed"/>
        <w:tblCellMar>
          <w:top w:w="28" w:type="dxa"/>
          <w:left w:w="28" w:type="dxa"/>
          <w:bottom w:w="28" w:type="dxa"/>
          <w:right w:w="28" w:type="dxa"/>
        </w:tblCellMar>
      </w:tblPr>
      <w:tblGrid>
        <w:gridCol w:w="902"/>
        <w:gridCol w:w="792"/>
        <w:gridCol w:w="795"/>
        <w:gridCol w:w="211"/>
        <w:gridCol w:w="616"/>
        <w:gridCol w:w="109"/>
        <w:gridCol w:w="109"/>
        <w:gridCol w:w="109"/>
        <w:gridCol w:w="109"/>
        <w:gridCol w:w="213"/>
        <w:gridCol w:w="471"/>
        <w:gridCol w:w="110"/>
        <w:gridCol w:w="109"/>
        <w:gridCol w:w="109"/>
        <w:gridCol w:w="109"/>
        <w:gridCol w:w="211"/>
        <w:gridCol w:w="361"/>
        <w:gridCol w:w="109"/>
        <w:gridCol w:w="109"/>
        <w:gridCol w:w="109"/>
        <w:gridCol w:w="109"/>
        <w:gridCol w:w="213"/>
        <w:gridCol w:w="471"/>
        <w:gridCol w:w="110"/>
        <w:gridCol w:w="109"/>
        <w:gridCol w:w="109"/>
        <w:gridCol w:w="109"/>
        <w:gridCol w:w="211"/>
        <w:gridCol w:w="616"/>
        <w:gridCol w:w="154"/>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4"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Originated Vacation Ownership Notes Receivable as of June 30, 2025</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700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600 - 699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&lt; 600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 Score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Marriott Vacation Ownership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Hyatt Vacation Ownership</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317" w:type="dxa"/>
        <w:jc w:val="center"/>
        <w:tblInd w:w="0" w:type="dxa"/>
        <w:tblLayout w:type="fixed"/>
        <w:tblCellMar>
          <w:top w:w="28" w:type="dxa"/>
          <w:left w:w="28" w:type="dxa"/>
          <w:bottom w:w="28" w:type="dxa"/>
          <w:right w:w="28" w:type="dxa"/>
        </w:tblCellMar>
      </w:tblPr>
      <w:tblGrid>
        <w:gridCol w:w="902"/>
        <w:gridCol w:w="792"/>
        <w:gridCol w:w="795"/>
        <w:gridCol w:w="224"/>
        <w:gridCol w:w="656"/>
        <w:gridCol w:w="116"/>
        <w:gridCol w:w="116"/>
        <w:gridCol w:w="116"/>
        <w:gridCol w:w="116"/>
        <w:gridCol w:w="224"/>
        <w:gridCol w:w="496"/>
        <w:gridCol w:w="116"/>
        <w:gridCol w:w="116"/>
        <w:gridCol w:w="116"/>
        <w:gridCol w:w="116"/>
        <w:gridCol w:w="224"/>
        <w:gridCol w:w="384"/>
        <w:gridCol w:w="116"/>
        <w:gridCol w:w="116"/>
        <w:gridCol w:w="116"/>
        <w:gridCol w:w="116"/>
        <w:gridCol w:w="224"/>
        <w:gridCol w:w="496"/>
        <w:gridCol w:w="116"/>
        <w:gridCol w:w="116"/>
        <w:gridCol w:w="116"/>
        <w:gridCol w:w="116"/>
        <w:gridCol w:w="224"/>
        <w:gridCol w:w="656"/>
        <w:gridCol w:w="164"/>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8"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Originated Vacation Ownership Notes Receivable as of December 31, 2024</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700 +</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600 - 699</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&lt; 600</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 Score</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Marriott Vacation Ownership</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Hyatt Vacation Ownership</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detail the origination year of our originated vacation ownership notes receivable, before reserves, by brand and borrower FICO score at origination as of June 30, 2025, and gross write-offs by brand for the first half of 2025.</w:t>
      </w:r>
    </w:p>
    <w:tbl>
      <w:tblPr>
        <w:tblW w:w="8233" w:type="dxa"/>
        <w:jc w:val="center"/>
        <w:tblInd w:w="0" w:type="dxa"/>
        <w:tblLayout w:type="fixed"/>
        <w:tblCellMar>
          <w:top w:w="28" w:type="dxa"/>
          <w:left w:w="28" w:type="dxa"/>
          <w:bottom w:w="28" w:type="dxa"/>
          <w:right w:w="28" w:type="dxa"/>
        </w:tblCellMar>
      </w:tblPr>
      <w:tblGrid>
        <w:gridCol w:w="500"/>
        <w:gridCol w:w="439"/>
        <w:gridCol w:w="440"/>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94"/>
        <w:gridCol w:w="649"/>
        <w:gridCol w:w="151"/>
        <w:gridCol w:w="109"/>
        <w:gridCol w:w="109"/>
        <w:gridCol w:w="109"/>
        <w:gridCol w:w="211"/>
        <w:gridCol w:w="616"/>
        <w:gridCol w:w="154"/>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Originated Vacation Ownership Notes Receivable - Marriott Vacation Ownership</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2021 &amp; Prior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700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600 - 699</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&lt; 600</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 Score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write-offs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912" w:type="dxa"/>
        <w:jc w:val="center"/>
        <w:tblInd w:w="0" w:type="dxa"/>
        <w:tblLayout w:type="fixed"/>
        <w:tblCellMar>
          <w:top w:w="28" w:type="dxa"/>
          <w:left w:w="28" w:type="dxa"/>
          <w:bottom w:w="28" w:type="dxa"/>
          <w:right w:w="28" w:type="dxa"/>
        </w:tblCellMar>
      </w:tblPr>
      <w:tblGrid>
        <w:gridCol w:w="500"/>
        <w:gridCol w:w="439"/>
        <w:gridCol w:w="440"/>
        <w:gridCol w:w="219"/>
        <w:gridCol w:w="423"/>
        <w:gridCol w:w="113"/>
        <w:gridCol w:w="113"/>
        <w:gridCol w:w="113"/>
        <w:gridCol w:w="113"/>
        <w:gridCol w:w="219"/>
        <w:gridCol w:w="376"/>
        <w:gridCol w:w="113"/>
        <w:gridCol w:w="113"/>
        <w:gridCol w:w="113"/>
        <w:gridCol w:w="113"/>
        <w:gridCol w:w="219"/>
        <w:gridCol w:w="376"/>
        <w:gridCol w:w="113"/>
        <w:gridCol w:w="113"/>
        <w:gridCol w:w="113"/>
        <w:gridCol w:w="113"/>
        <w:gridCol w:w="219"/>
        <w:gridCol w:w="376"/>
        <w:gridCol w:w="113"/>
        <w:gridCol w:w="113"/>
        <w:gridCol w:w="113"/>
        <w:gridCol w:w="113"/>
        <w:gridCol w:w="339"/>
        <w:gridCol w:w="582"/>
        <w:gridCol w:w="174"/>
        <w:gridCol w:w="113"/>
        <w:gridCol w:w="113"/>
        <w:gridCol w:w="113"/>
        <w:gridCol w:w="219"/>
        <w:gridCol w:w="485"/>
        <w:gridCol w:w="160"/>
      </w:tblGrid>
      <w:tr>
        <w:trPr/>
        <w:tc>
          <w:tcPr>
            <w:tcW w:w="50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Originated Vacation Ownership Notes Receivable - Hyatt Vacation Ownership</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2022</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2021 &amp; Prior</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700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600 - 699</w:t>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&lt; 600</w:t>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 Score</w:t>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write-offs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Acquired Vacation Ownership Notes Receivable</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Acquired vacation ownership notes receivable represent vacation ownership notes receivable acquired as part of the ILG Acquisition and the Welk Acquisition. The following table shows future contractual principal payments, net of a $7 million reserve, and interest rates for our acquired vacation ownership notes receivable at June 30, 2025.</w:t>
      </w:r>
    </w:p>
    <w:tbl>
      <w:tblPr>
        <w:tblW w:w="8006" w:type="dxa"/>
        <w:jc w:val="center"/>
        <w:tblInd w:w="0" w:type="dxa"/>
        <w:tblLayout w:type="fixed"/>
        <w:tblCellMar>
          <w:top w:w="28" w:type="dxa"/>
          <w:left w:w="28" w:type="dxa"/>
          <w:bottom w:w="28" w:type="dxa"/>
          <w:right w:w="28" w:type="dxa"/>
        </w:tblCellMar>
      </w:tblPr>
      <w:tblGrid>
        <w:gridCol w:w="1125"/>
        <w:gridCol w:w="989"/>
        <w:gridCol w:w="990"/>
        <w:gridCol w:w="413"/>
        <w:gridCol w:w="708"/>
        <w:gridCol w:w="215"/>
        <w:gridCol w:w="152"/>
        <w:gridCol w:w="152"/>
        <w:gridCol w:w="152"/>
        <w:gridCol w:w="404"/>
        <w:gridCol w:w="692"/>
        <w:gridCol w:w="208"/>
        <w:gridCol w:w="152"/>
        <w:gridCol w:w="152"/>
        <w:gridCol w:w="152"/>
        <w:gridCol w:w="392"/>
        <w:gridCol w:w="672"/>
        <w:gridCol w:w="286"/>
      </w:tblGrid>
      <w:tr>
        <w:trPr/>
        <w:tc>
          <w:tcPr>
            <w:tcW w:w="112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Acquired Vacation Ownership Notes Receivable</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Non-Securitized</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Securitized</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remaining</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stated interest rate</w:t>
            </w:r>
          </w:p>
        </w:tc>
        <w:tc>
          <w:tcPr>
            <w:tcW w:w="133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13.8%</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14.2%</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14.1%</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Range of stated interest rates</w:t>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 to 21.9%</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 to 21.9%</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 to 21.9%</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show the acquired vacation ownership notes receivable, before reserves, by brand and borrower FICO score at origination.</w:t>
      </w:r>
    </w:p>
    <w:tbl>
      <w:tblPr>
        <w:tblW w:w="7940" w:type="dxa"/>
        <w:jc w:val="center"/>
        <w:tblInd w:w="0" w:type="dxa"/>
        <w:tblLayout w:type="fixed"/>
        <w:tblCellMar>
          <w:top w:w="28" w:type="dxa"/>
          <w:left w:w="28" w:type="dxa"/>
          <w:bottom w:w="28" w:type="dxa"/>
          <w:right w:w="28" w:type="dxa"/>
        </w:tblCellMar>
      </w:tblPr>
      <w:tblGrid>
        <w:gridCol w:w="902"/>
        <w:gridCol w:w="792"/>
        <w:gridCol w:w="795"/>
        <w:gridCol w:w="247"/>
        <w:gridCol w:w="423"/>
        <w:gridCol w:w="128"/>
        <w:gridCol w:w="128"/>
        <w:gridCol w:w="128"/>
        <w:gridCol w:w="128"/>
        <w:gridCol w:w="247"/>
        <w:gridCol w:w="423"/>
        <w:gridCol w:w="128"/>
        <w:gridCol w:w="128"/>
        <w:gridCol w:w="128"/>
        <w:gridCol w:w="128"/>
        <w:gridCol w:w="247"/>
        <w:gridCol w:w="300"/>
        <w:gridCol w:w="128"/>
        <w:gridCol w:w="128"/>
        <w:gridCol w:w="128"/>
        <w:gridCol w:w="128"/>
        <w:gridCol w:w="291"/>
        <w:gridCol w:w="353"/>
        <w:gridCol w:w="150"/>
        <w:gridCol w:w="128"/>
        <w:gridCol w:w="128"/>
        <w:gridCol w:w="128"/>
        <w:gridCol w:w="247"/>
        <w:gridCol w:w="423"/>
        <w:gridCol w:w="180"/>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1"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Acquired Vacation Ownership Notes Receivable as of June 30, 2025</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700+</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600 - 699</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&lt; 600</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 Score</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Marriott Vacation Ownership</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Hyatt Vacation Ownership</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295" w:type="dxa"/>
        <w:jc w:val="center"/>
        <w:tblInd w:w="0" w:type="dxa"/>
        <w:tblLayout w:type="fixed"/>
        <w:tblCellMar>
          <w:top w:w="28" w:type="dxa"/>
          <w:left w:w="28" w:type="dxa"/>
          <w:bottom w:w="28" w:type="dxa"/>
          <w:right w:w="28" w:type="dxa"/>
        </w:tblCellMar>
      </w:tblPr>
      <w:tblGrid>
        <w:gridCol w:w="902"/>
        <w:gridCol w:w="792"/>
        <w:gridCol w:w="795"/>
        <w:gridCol w:w="259"/>
        <w:gridCol w:w="444"/>
        <w:gridCol w:w="134"/>
        <w:gridCol w:w="134"/>
        <w:gridCol w:w="134"/>
        <w:gridCol w:w="134"/>
        <w:gridCol w:w="259"/>
        <w:gridCol w:w="444"/>
        <w:gridCol w:w="134"/>
        <w:gridCol w:w="134"/>
        <w:gridCol w:w="134"/>
        <w:gridCol w:w="134"/>
        <w:gridCol w:w="259"/>
        <w:gridCol w:w="315"/>
        <w:gridCol w:w="134"/>
        <w:gridCol w:w="134"/>
        <w:gridCol w:w="134"/>
        <w:gridCol w:w="134"/>
        <w:gridCol w:w="291"/>
        <w:gridCol w:w="354"/>
        <w:gridCol w:w="150"/>
        <w:gridCol w:w="134"/>
        <w:gridCol w:w="134"/>
        <w:gridCol w:w="134"/>
        <w:gridCol w:w="259"/>
        <w:gridCol w:w="573"/>
        <w:gridCol w:w="189"/>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6"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Acquired Vacation Ownership Notes Receivable as of December 31, 2024</w:t>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700+</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600 - 699</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&lt; 600</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 Score</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Marriott Vacation Ownership</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Hyatt Vacation Ownership</w:t>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Vacation Ownership Notes Receivable on Non-Accrual Status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both non-securitized and securitized vacation ownership notes receivable, we estimated the average remaining default rates of 13.48% as of June 30, 2025 and 13.96% as of December 31, 2024. A 0.5 percentage point increase in the estimated default rate would have resulted in an increase in the related vacation ownership notes receivable reserve of $14 million as of both June 30, 2025 and December 31, 2024.</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our recorded investment in non-accrual vacation ownership notes receivable, which are vacation ownership notes receivable that are 90 days or more past due.</w:t>
      </w:r>
    </w:p>
    <w:tbl>
      <w:tblPr>
        <w:tblW w:w="10205" w:type="dxa"/>
        <w:jc w:val="center"/>
        <w:tblInd w:w="0" w:type="dxa"/>
        <w:tblLayout w:type="fixed"/>
        <w:tblCellMar>
          <w:top w:w="28" w:type="dxa"/>
          <w:left w:w="28" w:type="dxa"/>
          <w:bottom w:w="28" w:type="dxa"/>
          <w:right w:w="28" w:type="dxa"/>
        </w:tblCellMar>
      </w:tblPr>
      <w:tblGrid>
        <w:gridCol w:w="2340"/>
        <w:gridCol w:w="2026"/>
        <w:gridCol w:w="2026"/>
        <w:gridCol w:w="358"/>
        <w:gridCol w:w="792"/>
        <w:gridCol w:w="186"/>
        <w:gridCol w:w="112"/>
        <w:gridCol w:w="112"/>
        <w:gridCol w:w="112"/>
        <w:gridCol w:w="293"/>
        <w:gridCol w:w="501"/>
        <w:gridCol w:w="152"/>
        <w:gridCol w:w="112"/>
        <w:gridCol w:w="112"/>
        <w:gridCol w:w="112"/>
        <w:gridCol w:w="217"/>
        <w:gridCol w:w="480"/>
        <w:gridCol w:w="162"/>
      </w:tblGrid>
      <w:tr>
        <w:trPr/>
        <w:tc>
          <w:tcPr>
            <w:tcW w:w="2340"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Vacation Ownership Notes Receivable</w:t>
            </w:r>
          </w:p>
        </w:tc>
      </w:tr>
      <w:tr>
        <w:trPr/>
        <w:tc>
          <w:tcPr>
            <w:tcW w:w="6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Non-Securitized</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Securitized</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63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in vacation ownership notes receivable on non-accrual status at June 30, 2025</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in vacation ownership notes receivable on non-accrual status at December 31, 2024</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aging of the recorded investment in principal, before reserves, in vacation ownership notes receivable as of June 30, 2025 and December 31, 2024.</w:t>
      </w:r>
    </w:p>
    <w:tbl>
      <w:tblPr>
        <w:tblW w:w="10205" w:type="dxa"/>
        <w:jc w:val="center"/>
        <w:tblInd w:w="0" w:type="dxa"/>
        <w:tblLayout w:type="fixed"/>
        <w:tblCellMar>
          <w:top w:w="28" w:type="dxa"/>
          <w:left w:w="28" w:type="dxa"/>
          <w:bottom w:w="28" w:type="dxa"/>
          <w:right w:w="28" w:type="dxa"/>
        </w:tblCellMar>
      </w:tblPr>
      <w:tblGrid>
        <w:gridCol w:w="860"/>
        <w:gridCol w:w="613"/>
        <w:gridCol w:w="614"/>
        <w:gridCol w:w="358"/>
        <w:gridCol w:w="792"/>
        <w:gridCol w:w="186"/>
        <w:gridCol w:w="109"/>
        <w:gridCol w:w="109"/>
        <w:gridCol w:w="109"/>
        <w:gridCol w:w="213"/>
        <w:gridCol w:w="622"/>
        <w:gridCol w:w="111"/>
        <w:gridCol w:w="109"/>
        <w:gridCol w:w="109"/>
        <w:gridCol w:w="109"/>
        <w:gridCol w:w="211"/>
        <w:gridCol w:w="616"/>
        <w:gridCol w:w="109"/>
        <w:gridCol w:w="109"/>
        <w:gridCol w:w="109"/>
        <w:gridCol w:w="109"/>
        <w:gridCol w:w="358"/>
        <w:gridCol w:w="792"/>
        <w:gridCol w:w="186"/>
        <w:gridCol w:w="109"/>
        <w:gridCol w:w="109"/>
        <w:gridCol w:w="109"/>
        <w:gridCol w:w="213"/>
        <w:gridCol w:w="622"/>
        <w:gridCol w:w="111"/>
        <w:gridCol w:w="109"/>
        <w:gridCol w:w="109"/>
        <w:gridCol w:w="109"/>
        <w:gridCol w:w="211"/>
        <w:gridCol w:w="616"/>
        <w:gridCol w:w="156"/>
      </w:tblGrid>
      <w:tr>
        <w:trPr/>
        <w:tc>
          <w:tcPr>
            <w:tcW w:w="86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8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6782" w:type="dxa"/>
            <w:gridSpan w:val="30"/>
            <w:tcBorders/>
          </w:tcPr>
          <w:p>
            <w:pPr>
              <w:pStyle w:val="TableContents"/>
              <w:bidi w:val="0"/>
              <w:spacing w:before="0" w:after="283"/>
              <w:jc w:val="left"/>
              <w:rPr>
                <w:sz w:val="4"/>
                <w:szCs w:val="4"/>
              </w:rPr>
            </w:pPr>
            <w:r>
              <w:rPr>
                <w:sz w:val="4"/>
                <w:szCs w:val="4"/>
              </w:rPr>
            </w:r>
          </w:p>
        </w:tc>
      </w:tr>
      <w:tr>
        <w:trPr/>
        <w:tc>
          <w:tcPr>
            <w:tcW w:w="2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2024</w:t>
            </w:r>
          </w:p>
        </w:tc>
      </w:tr>
      <w:tr>
        <w:trPr/>
        <w:tc>
          <w:tcPr>
            <w:tcW w:w="2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Non-Securitized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Non-Securitized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 – 90 days past due</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91 – 120 days past due</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Greater than 120 days past due</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past due</w:t>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vacation ownership notes receivable</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tbl>
      <w:tblPr>
        <w:tblW w:w="3027" w:type="dxa"/>
        <w:jc w:val="left"/>
        <w:tblInd w:w="0" w:type="dxa"/>
        <w:tblLayout w:type="fixed"/>
        <w:tblCellMar>
          <w:top w:w="28" w:type="dxa"/>
          <w:left w:w="28" w:type="dxa"/>
          <w:bottom w:w="28" w:type="dxa"/>
          <w:right w:w="28" w:type="dxa"/>
        </w:tblCellMar>
      </w:tblPr>
      <w:tblGrid>
        <w:gridCol w:w="124"/>
        <w:gridCol w:w="109"/>
        <w:gridCol w:w="109"/>
        <w:gridCol w:w="786"/>
        <w:gridCol w:w="786"/>
        <w:gridCol w:w="11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7. </w:t>
            </w:r>
          </w:p>
        </w:tc>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INSTRUMENTS</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carrying values and the estimated fair values of financial assets and liabilities that qualify as financial instruments, determined in accordance with the authoritative guidance for disclosures regarding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and contracts receivable (excluding contracts receivable for financed VOI sales, net), deposits included in Other assets, Accounts payable, Advance deposits, Accrued liabilities, and derivative instruments, all of which had fair values approximating their carrying amounts due to the short maturities and liquidity of these instruments. The table also excludes the Delayed-Draw Term Loan (as defined and further discussed in Footnote 12 “Debt”) as there were no outstanding borrowings as of June 30, 2025.</w:t>
      </w:r>
    </w:p>
    <w:tbl>
      <w:tblPr>
        <w:tblW w:w="10005" w:type="dxa"/>
        <w:jc w:val="center"/>
        <w:tblInd w:w="0" w:type="dxa"/>
        <w:tblLayout w:type="fixed"/>
        <w:tblCellMar>
          <w:top w:w="28" w:type="dxa"/>
          <w:left w:w="28" w:type="dxa"/>
          <w:bottom w:w="28" w:type="dxa"/>
          <w:right w:w="28" w:type="dxa"/>
        </w:tblCellMar>
      </w:tblPr>
      <w:tblGrid>
        <w:gridCol w:w="1435"/>
        <w:gridCol w:w="1260"/>
        <w:gridCol w:w="1264"/>
        <w:gridCol w:w="313"/>
        <w:gridCol w:w="1025"/>
        <w:gridCol w:w="161"/>
        <w:gridCol w:w="109"/>
        <w:gridCol w:w="109"/>
        <w:gridCol w:w="109"/>
        <w:gridCol w:w="211"/>
        <w:gridCol w:w="691"/>
        <w:gridCol w:w="109"/>
        <w:gridCol w:w="109"/>
        <w:gridCol w:w="109"/>
        <w:gridCol w:w="109"/>
        <w:gridCol w:w="313"/>
        <w:gridCol w:w="1025"/>
        <w:gridCol w:w="161"/>
        <w:gridCol w:w="109"/>
        <w:gridCol w:w="109"/>
        <w:gridCol w:w="109"/>
        <w:gridCol w:w="211"/>
        <w:gridCol w:w="691"/>
        <w:gridCol w:w="154"/>
      </w:tblGrid>
      <w:tr>
        <w:trPr/>
        <w:tc>
          <w:tcPr>
            <w:tcW w:w="143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At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At December 31, 2024</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Vacation ownership notes receivable, net</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Contracts receivable for financed VOI sales, net</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Securitized debt, net</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net</w:t>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Corporate Credit Facility, net</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Notes, net</w:t>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Notes, net</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Convertible Notes, net</w:t>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Convertible Notes, net</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liabilities</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(5,186)</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(5,026)</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Vacation Ownership Notes Receivable </w:t>
      </w:r>
    </w:p>
    <w:tbl>
      <w:tblPr>
        <w:tblW w:w="8415" w:type="dxa"/>
        <w:jc w:val="center"/>
        <w:tblInd w:w="0" w:type="dxa"/>
        <w:tblLayout w:type="fixed"/>
        <w:tblCellMar>
          <w:top w:w="28" w:type="dxa"/>
          <w:left w:w="28" w:type="dxa"/>
          <w:bottom w:w="28" w:type="dxa"/>
          <w:right w:w="28" w:type="dxa"/>
        </w:tblCellMar>
      </w:tblPr>
      <w:tblGrid>
        <w:gridCol w:w="961"/>
        <w:gridCol w:w="845"/>
        <w:gridCol w:w="713"/>
        <w:gridCol w:w="338"/>
        <w:gridCol w:w="987"/>
        <w:gridCol w:w="174"/>
        <w:gridCol w:w="109"/>
        <w:gridCol w:w="109"/>
        <w:gridCol w:w="109"/>
        <w:gridCol w:w="211"/>
        <w:gridCol w:w="616"/>
        <w:gridCol w:w="109"/>
        <w:gridCol w:w="109"/>
        <w:gridCol w:w="109"/>
        <w:gridCol w:w="109"/>
        <w:gridCol w:w="338"/>
        <w:gridCol w:w="987"/>
        <w:gridCol w:w="174"/>
        <w:gridCol w:w="109"/>
        <w:gridCol w:w="109"/>
        <w:gridCol w:w="109"/>
        <w:gridCol w:w="211"/>
        <w:gridCol w:w="616"/>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At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At December 31, 2024</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Securitized</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Eligible for securitization</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 eligible for securitization</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Non-securitized</w:t>
            </w:r>
          </w:p>
        </w:tc>
        <w:tc>
          <w:tcPr>
            <w:tcW w:w="13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estimate the fair value of our vacation ownership notes receivable that have been securitized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to determine the fair value of the underlying vacation ownership notes receivable. We concluded that this fair value measurement should be categorized within Level 3.</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Due to factors that impact the general marketability of our vacation ownership notes receivable that have not been securitized, as well as current market conditions, we bifurcate our non-securitized vacation ownership notes receivable at each balance sheet date into those eligible and not eligible for securitization using criteria applicable to current securitization transactions in the asset-backed securities (“ABS”) market. Generally, vacation ownership notes receivable are considered not eligible for securitization if any of the following attributes are present: (1) payments are greater than 30 days past due; (2) the first payment has not been received; or (3) the collateral is located in Asia or Europe. In some cases, eligibility may also be determined based on the credit score of the borrower, the remaining term of the loans and other similar factors that may reflect investor demand in a securitization transaction or the cost to effectively securitize the vacation ownership notes receivable.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table above shows the bifurcation of our vacation ownership notes receivable that have not been securitized into those eligible and not eligible for securitization based upon the aforementioned eligibility criteria. We estimate the fair value of the portion of our vacation ownership notes receivable that have not been securitized that we believe will ultimately be securitized in the same manner as vacation ownership notes receivable that have been securitized. We value the remaining vacation ownership notes receivable that have not been securitized at their carrying value, rather than using our pricing model. We believe that the carrying value of these particular vacation ownership notes receivable approximates fair value because the stated, or otherwise imputed, interest rates of these loans are generally consistent with current market rates and the reserve for these vacation ownership notes receivable appropriately accounts for risks in default rates, prepayment rates, discount rates, and loan terms. We concluded that this fair value measurement should be categorized within Level 3.</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Contracts Receivable for Financed VOI Sales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At the time at which we recognize revenue for our VOI sales, we temporarily record a contract receivable for financed VOI sales, until the time at which we originate a vacation ownership note receivable, which occurs at closing. We believe that the carrying value of the contracts receivable for financed VOI sales approximates fair value because the stated, or otherwise imputed, interest rates of these receivables are generally consistent with current market rates and the reserve for these contracts receivable for financed VOI sales appropriately accounts for risks in default rates. We concluded that this fair value measurement should be categorized within Level 3.</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Other Assets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assets include $148 million and $131 million of company owned insurance policies (the “COLI policies”) acquired on the lives of certain participants in the Marriott Vacations Worldwide Deferred Compensation Plan (the “Deferred Compensation Plan”) at June 30, 2025 and December 31, 2024, respectively, that are held in a rabbi trust. The carrying value of the COLI policies is equal to their cash surrender value (Level 2 inputs).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Securitized Debt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generate cash flow estimates by modeling all bond tranches for our active vacation ownership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vacation ownership securities and determine an average credit spread by rating level of the different tranches. We then apply those estimated market spreads to swap rates in order to estimate an underlying discount rate for calculating the fair value of the active bonds payable. We concluded that this fair value measurement should be categorized within Level 3.</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Term Loan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estimate the fair value of our Term Loan (as defined in Footnote 12 “Debt”) using quotes from securities dealers as of the last trading day for the quarter; however, this loan has only a limited trading history and volume, and as such, this fair value estimate is not necessarily indicative of the value at which the Term Loan could be retired or transferred. We concluded that this fair value measurement should be categorized within Level 3.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Revolving Corporate Credit Facility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estimate that the gross carrying value of our Revolving Corporate Credit Facility (as defined in Footnote 12 “Debt”) approximates fair value as the contractual interest rate is variable plus an applicable margin. We concluded that this fair value measurement should be categorized within Level 3.</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Senior Notes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estimate the fair value of our 2028 Notes and 2029 Notes (each as defined in Footnote 12 “Debt”) using quoted market prices as of the last trading day for the quarter; however, these notes have only a limited trading history and volume, and as such, this fair value estimate is not necessarily indicative of the value at which these notes could be retired or transferred. We concluded that this fair value measurement should be categorized within Level 2.</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Convertible Notes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estimate the fair value of our convertible notes using quoted market prices as of the last trading day for the quarter; however, these notes have only a limited trading history and volume, and as such, this fair value estimate is not necessarily indicative of the value at which the convertible notes could be retired or transferred. We concluded that this fair value measurement should be categorized within Level 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tbl>
      <w:tblPr>
        <w:tblW w:w="2637" w:type="dxa"/>
        <w:jc w:val="left"/>
        <w:tblInd w:w="0" w:type="dxa"/>
        <w:tblLayout w:type="fixed"/>
        <w:tblCellMar>
          <w:top w:w="28" w:type="dxa"/>
          <w:left w:w="28" w:type="dxa"/>
          <w:bottom w:w="28" w:type="dxa"/>
          <w:right w:w="28" w:type="dxa"/>
        </w:tblCellMar>
      </w:tblPr>
      <w:tblGrid>
        <w:gridCol w:w="124"/>
        <w:gridCol w:w="109"/>
        <w:gridCol w:w="109"/>
        <w:gridCol w:w="671"/>
        <w:gridCol w:w="671"/>
        <w:gridCol w:w="9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8. </w:t>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 attributable to common stockholders is calculated by dividing net income attributable to common stockholders by the weighted average number of shares of common stock outstanding during the reporting period. Diluted earnings per share attributable to common stockholders reflects the assumed conversion of all dilutive securities, calculated using the treasury stock method.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tables below illustrate the reconciliation of the earnings and number of shares used in our calculation of basic and diluted earnings per share attributable to common stockholders.</w:t>
      </w:r>
    </w:p>
    <w:tbl>
      <w:tblPr>
        <w:tblW w:w="9722" w:type="dxa"/>
        <w:jc w:val="center"/>
        <w:tblInd w:w="0" w:type="dxa"/>
        <w:tblLayout w:type="fixed"/>
        <w:tblCellMar>
          <w:top w:w="28" w:type="dxa"/>
          <w:left w:w="28" w:type="dxa"/>
          <w:bottom w:w="28" w:type="dxa"/>
          <w:right w:w="28" w:type="dxa"/>
        </w:tblCellMar>
      </w:tblPr>
      <w:tblGrid>
        <w:gridCol w:w="1477"/>
        <w:gridCol w:w="1295"/>
        <w:gridCol w:w="1307"/>
        <w:gridCol w:w="293"/>
        <w:gridCol w:w="710"/>
        <w:gridCol w:w="151"/>
        <w:gridCol w:w="109"/>
        <w:gridCol w:w="109"/>
        <w:gridCol w:w="109"/>
        <w:gridCol w:w="293"/>
        <w:gridCol w:w="710"/>
        <w:gridCol w:w="151"/>
        <w:gridCol w:w="109"/>
        <w:gridCol w:w="109"/>
        <w:gridCol w:w="109"/>
        <w:gridCol w:w="293"/>
        <w:gridCol w:w="710"/>
        <w:gridCol w:w="151"/>
        <w:gridCol w:w="109"/>
        <w:gridCol w:w="109"/>
        <w:gridCol w:w="109"/>
        <w:gridCol w:w="289"/>
        <w:gridCol w:w="700"/>
        <w:gridCol w:w="211"/>
      </w:tblGrid>
      <w:tr>
        <w:trPr/>
        <w:tc>
          <w:tcPr>
            <w:tcW w:w="1477"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 except per share amounts)</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for basic earnings per share</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784"/>
        <w:gridCol w:w="1496"/>
        <w:gridCol w:w="1510"/>
        <w:gridCol w:w="278"/>
        <w:gridCol w:w="674"/>
        <w:gridCol w:w="143"/>
        <w:gridCol w:w="109"/>
        <w:gridCol w:w="109"/>
        <w:gridCol w:w="109"/>
        <w:gridCol w:w="278"/>
        <w:gridCol w:w="674"/>
        <w:gridCol w:w="143"/>
        <w:gridCol w:w="109"/>
        <w:gridCol w:w="109"/>
        <w:gridCol w:w="109"/>
        <w:gridCol w:w="278"/>
        <w:gridCol w:w="674"/>
        <w:gridCol w:w="143"/>
        <w:gridCol w:w="109"/>
        <w:gridCol w:w="109"/>
        <w:gridCol w:w="109"/>
        <w:gridCol w:w="275"/>
        <w:gridCol w:w="666"/>
        <w:gridCol w:w="208"/>
      </w:tblGrid>
      <w:tr>
        <w:trPr/>
        <w:tc>
          <w:tcPr>
            <w:tcW w:w="1784"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4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millions, except per share amounts)</w:t>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of interest expense related to convertible notes, net of tax</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 used to calculate diluted earnings per share</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Shares for basic earnings per share</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shares outstanding</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Convertible Notes</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2027 Convertible Notes </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for diluted earnings per share</w:t>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0.98 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computations of diluted earnings per share attributable to common stockholders above exclude approximately 645,000 and 393,000 shares of common stock, the maximum number of shares issuable as of June 30, 2025 and June 30, 2024, respectively, upon the vesting of certain performance-based awards, because the performance conditions required to be met for the shares subject to such awards to vest were not achieved by the end of the reporting period.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accordance with the applicable accounting guidance for calculating earnings per share, for each of the second quarter and first half of 2025, we excluded from our calculation of diluted earnings per share 788,607 shares underlying stock appreciation rights (“SARs”) that may settle in shares of common stock because the exercise prices of such SARs, which ranged from $71.17 to $173.88, were greater than the average market price of our common stock for the applicable period.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For the second quarter of 2024, we excluded from our calculation of diluted earnings per share 559,444 shares underlying SARs that may settle in shares of common stock because the exercise prices of such SARs, which ranged from $96.82 to $173.88, were greater than the average market price of our common stock for the applicable period.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For the first half of 2024, we excluded from our calculation of diluted earnings per share 646,203 shares underlying SARs that may settle in shares of common stock because the exercise prices of such SARs, which ranged from $93.73 to $173.88, were greater than the average market price of our common stock for the applicable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tbl>
      <w:tblPr>
        <w:tblW w:w="1663" w:type="dxa"/>
        <w:jc w:val="left"/>
        <w:tblInd w:w="0" w:type="dxa"/>
        <w:tblLayout w:type="fixed"/>
        <w:tblCellMar>
          <w:top w:w="28" w:type="dxa"/>
          <w:left w:w="28" w:type="dxa"/>
          <w:bottom w:w="28" w:type="dxa"/>
          <w:right w:w="28" w:type="dxa"/>
        </w:tblCellMar>
      </w:tblPr>
      <w:tblGrid>
        <w:gridCol w:w="124"/>
        <w:gridCol w:w="109"/>
        <w:gridCol w:w="109"/>
        <w:gridCol w:w="387"/>
        <w:gridCol w:w="387"/>
        <w:gridCol w:w="5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9. </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INVENTORY</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composition of our inventory balances:</w:t>
      </w:r>
    </w:p>
    <w:tbl>
      <w:tblPr>
        <w:tblW w:w="10205" w:type="dxa"/>
        <w:jc w:val="center"/>
        <w:tblInd w:w="0" w:type="dxa"/>
        <w:tblLayout w:type="fixed"/>
        <w:tblCellMar>
          <w:top w:w="28" w:type="dxa"/>
          <w:left w:w="28" w:type="dxa"/>
          <w:bottom w:w="28" w:type="dxa"/>
          <w:right w:w="28" w:type="dxa"/>
        </w:tblCellMar>
      </w:tblPr>
      <w:tblGrid>
        <w:gridCol w:w="1326"/>
        <w:gridCol w:w="1152"/>
        <w:gridCol w:w="1097"/>
        <w:gridCol w:w="696"/>
        <w:gridCol w:w="1540"/>
        <w:gridCol w:w="359"/>
        <w:gridCol w:w="227"/>
        <w:gridCol w:w="227"/>
        <w:gridCol w:w="227"/>
        <w:gridCol w:w="847"/>
        <w:gridCol w:w="1876"/>
        <w:gridCol w:w="631"/>
      </w:tblGrid>
      <w:tr>
        <w:trPr/>
        <w:tc>
          <w:tcPr>
            <w:tcW w:w="1326"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3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At June 30, 2025</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At December 31, 2024</w:t>
            </w:r>
          </w:p>
        </w:tc>
      </w:tr>
      <w:tr>
        <w:trPr/>
        <w:tc>
          <w:tcPr>
            <w:tcW w:w="3575" w:type="dxa"/>
            <w:gridSpan w:val="3"/>
            <w:tcBorders/>
            <w:vAlign w:val="center"/>
          </w:tcPr>
          <w:p>
            <w:pPr>
              <w:pStyle w:val="TableContents"/>
              <w:bidi w:val="0"/>
              <w:spacing w:before="0" w:after="283"/>
              <w:jc w:val="left"/>
              <w:rPr>
                <w:sz w:val="4"/>
                <w:szCs w:val="4"/>
              </w:rPr>
            </w:pPr>
            <w:r>
              <w:rPr>
                <w:sz w:val="4"/>
                <w:szCs w:val="4"/>
              </w:rPr>
            </w:r>
          </w:p>
        </w:tc>
        <w:tc>
          <w:tcPr>
            <w:tcW w:w="259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354" w:type="dxa"/>
            <w:gridSpan w:val="3"/>
            <w:tcBorders/>
            <w:vAlign w:val="center"/>
          </w:tcPr>
          <w:p>
            <w:pPr>
              <w:pStyle w:val="TableContents"/>
              <w:bidi w:val="0"/>
              <w:spacing w:before="0" w:after="283"/>
              <w:jc w:val="left"/>
              <w:rPr>
                <w:sz w:val="4"/>
                <w:szCs w:val="4"/>
              </w:rPr>
            </w:pPr>
            <w:r>
              <w:rPr>
                <w:sz w:val="4"/>
                <w:szCs w:val="4"/>
              </w:rPr>
            </w:r>
          </w:p>
        </w:tc>
      </w:tr>
      <w:tr>
        <w:trPr/>
        <w:tc>
          <w:tcPr>
            <w:tcW w:w="3575" w:type="dxa"/>
            <w:gridSpan w:val="3"/>
            <w:tcBorders/>
            <w:vAlign w:val="center"/>
          </w:tcPr>
          <w:p>
            <w:pPr>
              <w:pStyle w:val="TableContents"/>
              <w:bidi w:val="0"/>
              <w:spacing w:before="0" w:after="283"/>
              <w:jc w:val="left"/>
              <w:rPr>
                <w:sz w:val="4"/>
                <w:szCs w:val="4"/>
              </w:rPr>
            </w:pPr>
            <w:r>
              <w:rPr>
                <w:sz w:val="4"/>
                <w:szCs w:val="4"/>
              </w:rPr>
            </w:r>
          </w:p>
        </w:tc>
        <w:tc>
          <w:tcPr>
            <w:tcW w:w="2595"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354" w:type="dxa"/>
            <w:gridSpan w:val="3"/>
            <w:tcBorders/>
            <w:vAlign w:val="center"/>
          </w:tcPr>
          <w:p>
            <w:pPr>
              <w:pStyle w:val="TableContents"/>
              <w:bidi w:val="0"/>
              <w:spacing w:before="0" w:after="283"/>
              <w:jc w:val="left"/>
              <w:rPr>
                <w:sz w:val="4"/>
                <w:szCs w:val="4"/>
              </w:rPr>
            </w:pPr>
            <w:r>
              <w:rPr>
                <w:sz w:val="4"/>
                <w:szCs w:val="4"/>
              </w:rPr>
            </w:r>
          </w:p>
        </w:tc>
      </w:tr>
      <w:tr>
        <w:trPr/>
        <w:tc>
          <w:tcPr>
            <w:tcW w:w="3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Real estate inventory</w:t>
            </w:r>
            <w:r>
              <w:rPr>
                <w:rFonts w:ascii="Times New Roman;serif" w:hAnsi="Times New Roman;serif"/>
                <w:b w:val="false"/>
                <w:color w:val="000000"/>
                <w:sz w:val="10"/>
              </w:rPr>
              <w:t>(1)</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2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4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Represents completed inventory that is registered for sale as VOIs and vacation ownership inventory expected to be reacquired pursuant to estimated future defaults on originated vacation ownership notes receivable.</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Product cost true-up activity relating to vacation ownership products increased carrying values of inventory by $28 million during the first half of 2025 and $20 million during the first half of 2024.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the above, at June 30, 2025 and December 31, 2024, we had $323 million and $271 million, respectively, of completed vacation ownership units which are classified as a component of Property and equipment, net until the time at which they are available and legally registered for sale as vacation ownership products.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also had deposits on future purchases of inventory of $30 million at June 30, 2025, of which $25 million was included in Other assets and $5 million was included in Accounts and contracts receivable, net on our Balance Sheet, and $33 million at December 31, 2024, of which $29 million was included in Other assets and $4 million was included in Accounts and contracts receivable, net on our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245" w:type="dxa"/>
        <w:jc w:val="left"/>
        <w:tblInd w:w="0" w:type="dxa"/>
        <w:tblLayout w:type="fixed"/>
        <w:tblCellMar>
          <w:top w:w="28" w:type="dxa"/>
          <w:left w:w="28" w:type="dxa"/>
          <w:bottom w:w="28" w:type="dxa"/>
          <w:right w:w="28" w:type="dxa"/>
        </w:tblCellMar>
      </w:tblPr>
      <w:tblGrid>
        <w:gridCol w:w="152"/>
        <w:gridCol w:w="134"/>
        <w:gridCol w:w="134"/>
        <w:gridCol w:w="1120"/>
        <w:gridCol w:w="1120"/>
        <w:gridCol w:w="1585"/>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10. </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CONTINGENCIES AND COMMITMENTS</w:t>
            </w:r>
          </w:p>
        </w:tc>
      </w:tr>
    </w:tbl>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Commitments and Letters of Credit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2025, we had the following commitments outstanding: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have various contracts for the use of information technology hardware and software, including cloud computing arrangements, that we use in the normal course of business. Our aggregate commitment under these contracts was $101 million, of which we expect $42 million, $39 million, $18 million, and $2 million will be paid in the remainder of 2025, 2026, 2027, and 2028, respectively.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We have remaining commitments of $28 million to purchase vacation ownership units located in Bali, Indonesia in two separate transactions, contingent upon completion of construction to agreed-upon standards within specified timeframes, for use in our Vacation Ownership segment.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We expect to complete the acquisition of 32 vacation ownership units in 2027 pursuant to one of these commitments, and to make remaining payments with respect to these units when specific construction milestones are completed as follows: $10 million in 2026 and $1 million in 2027.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We expect to complete the acquisition of 26 vacation ownership units in 2027 pursuant to the other commitment, and to make remaining payments with respect to these units when specific construction milestones are completed as follows: $16 million in 2026 and $1 million in 2027.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have a remaining commitment of $37 million to purchase 60 vacation ownership units located in Khao Lak, Thailand, contingent upon completion of construction to agreed-upon standards within specified timeframes, for use in our Vacation Ownership segment. We expect to complete the acquisition of these vacation ownership units in 2027, and we expect to make remaining payments with respect to these units when specific construction milestones are completed as follows: $4 million in the remainder of 2025, $31 million in 2026, and $2 million in 2027.</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have a commitment to purchase property and vacation ownership units located in Nashville, Tennessee, contingent upon completion of construction to agreed-upon standards within specified timeframes, for use in our Vacation Ownership segment. We expect to complete the acquisition of 168 vacation ownership units in 2027, and we expect to make payments when specific construction milestones are completed of $122 million in 2027.</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We have a commitment to acquire real estate in Waikiki, Hawaii for use in our Vacation Ownership segment via our involvement with a VIE. Refer to Footnote 15 “Variable Interest Entities” for information about this commitment, including purchases that occurred during the first quarter of 2024 pursuant to this commitment, and for additional information about our activities relating to the VIE involved in this commitment.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2025, we had $26 million of letters of credit outstanding under our Revolving Corporate Credit Facility (as defined in Footnote 12 “Debt”), of which $25 million were related to and in lieu of reserves required for certain of our outstanding securitization transactions. In addition, as of June 30, 2025, we had $10 million in letters of credit outstanding that were related to and in lieu of reserves required for a certain other outstanding securitization transaction, which were not issued pursuant to, nor do they impact our borrowing capacity under, the Revolving Corporate Credit Facility.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Surety bonds issued as of June 30, 2025 totaled $134 million, the majority of which were requested by federal, state or local governments in connection with our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Guarantees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have a commitment to an owners’ association that we manage to pay for any shortfall between the actual expenses incurred by the owners’ association and the income received by the owners’ association, in lieu of our payment of maintenance fees for unsold inventory. The agreement will terminate on the earlier of: 1) sale of 95% of the total ownership interests in the owners’ association; or 2) written notification of termination by either party. At June 30, 2025, our expected commitment for the remainder of 2025 is $13 million, which will ultimately be recorded as a component of rental expense on our income statement.</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Loss Contingencies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the ordinary course of our business, various claims and lawsuits have been filed or are pending against us. A number of these lawsuits and claims may exist at any given time. We record and accrue for legal contingencies when we determine that it is probable that a liability has been incurred and the amount of the loss can be reasonably estimated. In making such determinations, we evaluate, among other things, the degree of probability of an unfavorable outcome and, when it is probable that a liability has been incurred, our ability to make a reasonable estimate of loss. We review these accruals each reporting period and make revisions based on changes in facts and circumstances.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have accrued for certain pending claims and lawsuits, but the amount accrued is not material individually or in the aggregate. For matters not requiring accrual, we do not believe that the ultimate outcome of such matters, individually or in the aggregate, will materially harm our financial position, cash flows, or overall trends in results of operations based on information currently available. However, legal proceedings are inherently uncertain, and while we believe that our accruals, where required, are adequate and/or we have valid defenses to the claims asserted, unfavorable rulings could occur that could, individually or in the aggregate, have a material adverse effect on our business, financial condition, or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490" w:type="dxa"/>
        <w:jc w:val="left"/>
        <w:tblInd w:w="0" w:type="dxa"/>
        <w:tblLayout w:type="fixed"/>
        <w:tblCellMar>
          <w:top w:w="28" w:type="dxa"/>
          <w:left w:w="28" w:type="dxa"/>
          <w:bottom w:w="28" w:type="dxa"/>
          <w:right w:w="28" w:type="dxa"/>
        </w:tblCellMar>
      </w:tblPr>
      <w:tblGrid>
        <w:gridCol w:w="152"/>
        <w:gridCol w:w="134"/>
        <w:gridCol w:w="134"/>
        <w:gridCol w:w="606"/>
        <w:gridCol w:w="606"/>
        <w:gridCol w:w="858"/>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11.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SECURITIZED DEBT</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detail on our securitized debt, net of unamortized debt discount and issuance costs.</w:t>
      </w:r>
    </w:p>
    <w:tbl>
      <w:tblPr>
        <w:tblW w:w="8767" w:type="dxa"/>
        <w:jc w:val="center"/>
        <w:tblInd w:w="0" w:type="dxa"/>
        <w:tblLayout w:type="fixed"/>
        <w:tblCellMar>
          <w:top w:w="28" w:type="dxa"/>
          <w:left w:w="28" w:type="dxa"/>
          <w:bottom w:w="28" w:type="dxa"/>
          <w:right w:w="28" w:type="dxa"/>
        </w:tblCellMar>
      </w:tblPr>
      <w:tblGrid>
        <w:gridCol w:w="945"/>
        <w:gridCol w:w="831"/>
        <w:gridCol w:w="831"/>
        <w:gridCol w:w="831"/>
        <w:gridCol w:w="831"/>
        <w:gridCol w:w="857"/>
        <w:gridCol w:w="322"/>
        <w:gridCol w:w="943"/>
        <w:gridCol w:w="166"/>
        <w:gridCol w:w="111"/>
        <w:gridCol w:w="111"/>
        <w:gridCol w:w="111"/>
        <w:gridCol w:w="403"/>
        <w:gridCol w:w="1180"/>
        <w:gridCol w:w="294"/>
      </w:tblGrid>
      <w:tr>
        <w:trPr/>
        <w:tc>
          <w:tcPr>
            <w:tcW w:w="94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51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At June 30, 2025</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At December 31, 2024</w:t>
            </w:r>
          </w:p>
        </w:tc>
      </w:tr>
      <w:tr>
        <w:trPr/>
        <w:tc>
          <w:tcPr>
            <w:tcW w:w="5126"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Vacation ownership notes receivable securitizations, gross</w:t>
            </w:r>
            <w:r>
              <w:rPr>
                <w:rFonts w:ascii="Times New Roman;serif" w:hAnsi="Times New Roman;serif"/>
                <w:b w:val="false"/>
                <w:color w:val="000000"/>
                <w:sz w:val="12"/>
              </w:rPr>
              <w:t>(1)</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discount and issuance costs</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Warehouse Credit Facility, gross</w:t>
            </w:r>
            <w:r>
              <w:rPr>
                <w:rFonts w:ascii="Times New Roman;serif" w:hAnsi="Times New Roman;serif"/>
                <w:b w:val="false"/>
                <w:color w:val="000000"/>
                <w:sz w:val="13"/>
              </w:rPr>
              <w:t>(2)</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6"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2,136 </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767"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7" w:type="dxa"/>
            <w:gridSpan w:val="15"/>
            <w:tcBorders/>
            <w:tcMar>
              <w:top w:w="0" w:type="dxa"/>
              <w:left w:w="0" w:type="dxa"/>
              <w:bottom w:w="0" w:type="dxa"/>
              <w:right w:w="0" w:type="dxa"/>
            </w:tcMar>
            <w:vAlign w:val="center"/>
          </w:tcPr>
          <w:p>
            <w:pPr>
              <w:pStyle w:val="TableContents"/>
              <w:bidi w:val="0"/>
              <w:spacing w:lineRule="auto" w:line="288" w:before="4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Interest rates as of June 30, 2025 range from 1.5% to 6.6%, with a weighted average interest rate of 4.8%.</w:t>
            </w:r>
          </w:p>
        </w:tc>
      </w:tr>
      <w:tr>
        <w:trPr/>
        <w:tc>
          <w:tcPr>
            <w:tcW w:w="8767" w:type="dxa"/>
            <w:gridSpan w:val="15"/>
            <w:tcBorders/>
            <w:tcMar>
              <w:top w:w="0" w:type="dxa"/>
              <w:left w:w="0" w:type="dxa"/>
              <w:bottom w:w="0" w:type="dxa"/>
              <w:right w:w="0" w:type="dxa"/>
            </w:tcMar>
            <w:vAlign w:val="center"/>
          </w:tcPr>
          <w:p>
            <w:pPr>
              <w:pStyle w:val="TableContents"/>
              <w:bidi w:val="0"/>
              <w:spacing w:lineRule="auto" w:line="288" w:before="4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Effective interest rate as of June 30, 2025 was 5.4%.</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All of our securitized debt is non-recourse. See Footnote 15 “Variable Interest Entities” for a discussion of the collateral for the non-recourse debt associated with our securitized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anticipated future principal payments for our securitized debt as of June 30, 2025.</w:t>
      </w:r>
    </w:p>
    <w:tbl>
      <w:tblPr>
        <w:tblW w:w="7168" w:type="dxa"/>
        <w:jc w:val="center"/>
        <w:tblInd w:w="0" w:type="dxa"/>
        <w:tblLayout w:type="fixed"/>
        <w:tblCellMar>
          <w:top w:w="28" w:type="dxa"/>
          <w:left w:w="28" w:type="dxa"/>
          <w:bottom w:w="28" w:type="dxa"/>
          <w:right w:w="28" w:type="dxa"/>
        </w:tblCellMar>
      </w:tblPr>
      <w:tblGrid>
        <w:gridCol w:w="527"/>
        <w:gridCol w:w="463"/>
        <w:gridCol w:w="464"/>
        <w:gridCol w:w="577"/>
        <w:gridCol w:w="1688"/>
        <w:gridCol w:w="300"/>
        <w:gridCol w:w="109"/>
        <w:gridCol w:w="109"/>
        <w:gridCol w:w="109"/>
        <w:gridCol w:w="406"/>
        <w:gridCol w:w="897"/>
        <w:gridCol w:w="211"/>
        <w:gridCol w:w="109"/>
        <w:gridCol w:w="109"/>
        <w:gridCol w:w="109"/>
        <w:gridCol w:w="211"/>
        <w:gridCol w:w="616"/>
        <w:gridCol w:w="154"/>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Vacation Ownership</w:t>
              <w:br/>
              <w:t>Notes Receivable Securitizations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Warehouse Credit</w:t>
            </w:r>
          </w:p>
          <w:p>
            <w:pPr>
              <w:pStyle w:val="TableContents"/>
              <w:bidi w:val="0"/>
              <w:spacing w:lineRule="auto" w:line="240" w:before="0" w:after="0"/>
              <w:jc w:val="center"/>
              <w:rPr/>
            </w:pPr>
            <w:r>
              <w:rPr>
                <w:rFonts w:ascii="Times New Roman;serif" w:hAnsi="Times New Roman;serif"/>
                <w:b/>
                <w:color w:val="000000"/>
                <w:sz w:val="18"/>
              </w:rPr>
              <w:t>Facility</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25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Payment Year</w:t>
            </w:r>
          </w:p>
        </w:tc>
        <w:tc>
          <w:tcPr>
            <w:tcW w:w="25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remaining</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2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2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2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2,058 </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18"/>
            <w:tcBorders/>
            <w:tcMar>
              <w:top w:w="0" w:type="dxa"/>
              <w:left w:w="0" w:type="dxa"/>
              <w:bottom w:w="0" w:type="dxa"/>
              <w:right w:w="0" w:type="dxa"/>
            </w:tcMar>
            <w:vAlign w:val="center"/>
          </w:tcPr>
          <w:p>
            <w:pPr>
              <w:pStyle w:val="TableContents"/>
              <w:bidi w:val="0"/>
              <w:spacing w:lineRule="auto" w:line="240" w:before="60" w:after="4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Excludes future Warehouse Credit Facility renewals.</w:t>
            </w:r>
          </w:p>
        </w:tc>
      </w:tr>
    </w:tbl>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Vacation Ownership Notes Receivable Securitizations</w:t>
      </w:r>
    </w:p>
    <w:p>
      <w:pPr>
        <w:pStyle w:val="TextBody"/>
        <w:bidi w:val="0"/>
        <w:spacing w:lineRule="auto" w:line="288" w:before="120" w:after="283"/>
        <w:jc w:val="left"/>
        <w:rPr/>
      </w:pPr>
      <w:r>
        <w:rPr>
          <w:rFonts w:ascii="Times New Roman;serif" w:hAnsi="Times New Roman;serif"/>
          <w:b w:val="false"/>
          <w:color w:val="000000"/>
          <w:sz w:val="20"/>
        </w:rPr>
        <w:t>Each of the securitized vacation ownership notes receivable transactions contains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the second quarter of 2025, and as of June 30, 2025, no securitized vacation ownership notes receivable pools were out of compliance with their respective established parameters. As of June 30, 2025, we had 11 securitized vacation ownership notes receivable pools outstanding.</w:t>
      </w:r>
      <w:r>
        <w:rPr>
          <w:color w:val="EE2724"/>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the contractual terms of the underlying securitized vacation ownership notes receivable determine the maturities of the non-recourse debt associated with them, actual maturities may occur earlier than shown above due to prepayments by the vacation ownership notes receivable obligors.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2025, we securitized a pool of $459 million of vacation ownership notes receivable. In connection with the securitization, $450 million in vacation ownership loan backed notes were issued by MVW 2025-1 LLC (the “2025-1 LLC”) in a private placement. Three classes of vacation ownership loan backed notes were issued by the 2025-1 LLC: $277 million of Class A Notes, $93 million of Class B Notes, and $80 million of Class C Notes. The Class A Notes have an interest rate of 4.97%, the Class B Notes have an interest rate of 5.21%, and the Class C Notes have an interest rate of 5.75%, for an overall weighted average interest rate of 5.16%. Proceeds from the transaction, net of fees, were used to repay the outstanding obligations on our warehouse credit facility (as defined below) and for other general corporate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Warehouse Credit Facility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warehouse credit facility (the “Warehouse Credit Facility”), which has a borrowing capacity of $500 million, allows for the securitization of vacation ownership notes receivable on a revolving non-recourse basis. During the second quarter of 2025, we amended certain agreements associated with our Warehouse Credit Facility (the “Warehouse Amendment”). The Warehouse Amendment extended the revolving period of the Warehouse Credit Facility from June 11, 2026 to June 11, 2027, and changed the credit spread from 115 basis points over the Secured Overnight Financing Rate (“SOFR”) to 110 basis points over SOFR. The Warehouse Amendment made no other material changes to the Warehouse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tbl>
      <w:tblPr>
        <w:tblW w:w="1111" w:type="dxa"/>
        <w:jc w:val="left"/>
        <w:tblInd w:w="0" w:type="dxa"/>
        <w:tblLayout w:type="fixed"/>
        <w:tblCellMar>
          <w:top w:w="28" w:type="dxa"/>
          <w:left w:w="28" w:type="dxa"/>
          <w:bottom w:w="28" w:type="dxa"/>
          <w:right w:w="28" w:type="dxa"/>
        </w:tblCellMar>
      </w:tblPr>
      <w:tblGrid>
        <w:gridCol w:w="152"/>
        <w:gridCol w:w="134"/>
        <w:gridCol w:w="134"/>
        <w:gridCol w:w="202"/>
        <w:gridCol w:w="202"/>
        <w:gridCol w:w="287"/>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12. </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DEBT</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detail on our debt balances, net of unamortized debt discount and issuance costs.</w:t>
      </w:r>
    </w:p>
    <w:tbl>
      <w:tblPr>
        <w:tblW w:w="8561" w:type="dxa"/>
        <w:jc w:val="center"/>
        <w:tblInd w:w="0" w:type="dxa"/>
        <w:tblLayout w:type="fixed"/>
        <w:tblCellMar>
          <w:top w:w="28" w:type="dxa"/>
          <w:left w:w="28" w:type="dxa"/>
          <w:bottom w:w="28" w:type="dxa"/>
          <w:right w:w="28" w:type="dxa"/>
        </w:tblCellMar>
      </w:tblPr>
      <w:tblGrid>
        <w:gridCol w:w="425"/>
        <w:gridCol w:w="373"/>
        <w:gridCol w:w="373"/>
        <w:gridCol w:w="1735"/>
        <w:gridCol w:w="1046"/>
        <w:gridCol w:w="1059"/>
        <w:gridCol w:w="314"/>
        <w:gridCol w:w="918"/>
        <w:gridCol w:w="162"/>
        <w:gridCol w:w="109"/>
        <w:gridCol w:w="109"/>
        <w:gridCol w:w="109"/>
        <w:gridCol w:w="393"/>
        <w:gridCol w:w="1149"/>
        <w:gridCol w:w="287"/>
      </w:tblGrid>
      <w:tr>
        <w:trPr/>
        <w:tc>
          <w:tcPr>
            <w:tcW w:w="42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50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At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At December 31, 2024</w:t>
            </w:r>
          </w:p>
        </w:tc>
      </w:tr>
      <w:tr>
        <w:trPr/>
        <w:tc>
          <w:tcPr>
            <w:tcW w:w="501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Corporate Credit Facility</w:t>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Term Loan</w:t>
            </w:r>
            <w:r>
              <w:rPr>
                <w:rFonts w:ascii="Times New Roman;serif" w:hAnsi="Times New Roman;serif"/>
                <w:b w:val="false"/>
                <w:color w:val="000000"/>
                <w:sz w:val="12"/>
              </w:rPr>
              <w:t>(1)</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discount and issuance costs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840"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Revolving Corporate Credit Facility</w:t>
            </w:r>
            <w:r>
              <w:rPr>
                <w:rFonts w:ascii="Times New Roman;serif" w:hAnsi="Times New Roman;serif"/>
                <w:b w:val="false"/>
                <w:color w:val="000000"/>
                <w:sz w:val="12"/>
              </w:rPr>
              <w:t>(2)</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Senior Unsecured Notes</w:t>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Notes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discount and issuance costs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Notes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discount and issuance costs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Convertible Notes</w:t>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Convertible Notes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Convertible Notes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1" w:type="dxa"/>
            <w:gridSpan w:val="15"/>
            <w:tcBorders/>
            <w:tcMar>
              <w:top w:w="0" w:type="dxa"/>
              <w:left w:w="0" w:type="dxa"/>
              <w:bottom w:w="0" w:type="dxa"/>
              <w:right w:w="0" w:type="dxa"/>
            </w:tcMar>
            <w:vAlign w:val="center"/>
          </w:tcPr>
          <w:p>
            <w:pPr>
              <w:pStyle w:val="TableContents"/>
              <w:bidi w:val="0"/>
              <w:spacing w:lineRule="auto" w:line="288" w:before="60" w:after="40"/>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The effective interest rate as of June 30, 2025 was 6.6%.</w:t>
            </w:r>
          </w:p>
        </w:tc>
      </w:tr>
      <w:tr>
        <w:trPr/>
        <w:tc>
          <w:tcPr>
            <w:tcW w:w="8561" w:type="dxa"/>
            <w:gridSpan w:val="15"/>
            <w:tcBorders/>
            <w:tcMar>
              <w:top w:w="0" w:type="dxa"/>
              <w:left w:w="0" w:type="dxa"/>
              <w:bottom w:w="0" w:type="dxa"/>
              <w:right w:w="0" w:type="dxa"/>
            </w:tcMar>
            <w:vAlign w:val="center"/>
          </w:tcPr>
          <w:p>
            <w:pPr>
              <w:pStyle w:val="TableContents"/>
              <w:bidi w:val="0"/>
              <w:spacing w:lineRule="auto" w:line="288" w:before="60" w:after="40"/>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The effective interest rate as of June 30, 2025 was 5.9%.</w:t>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7390" w:type="dxa"/>
            <w:gridSpan w:val="12"/>
            <w:tcBorders/>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7390" w:type="dxa"/>
            <w:gridSpan w:val="12"/>
            <w:tcBorders/>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scheduled principal payments for our debt, excluding finance leases, as of June 30, 2025.</w:t>
      </w:r>
    </w:p>
    <w:tbl>
      <w:tblPr>
        <w:tblW w:w="10205" w:type="dxa"/>
        <w:jc w:val="center"/>
        <w:tblInd w:w="0" w:type="dxa"/>
        <w:tblLayout w:type="fixed"/>
        <w:tblCellMar>
          <w:top w:w="28" w:type="dxa"/>
          <w:left w:w="28" w:type="dxa"/>
          <w:bottom w:w="28" w:type="dxa"/>
          <w:right w:w="28" w:type="dxa"/>
        </w:tblCellMar>
      </w:tblPr>
      <w:tblGrid>
        <w:gridCol w:w="802"/>
        <w:gridCol w:w="657"/>
        <w:gridCol w:w="598"/>
        <w:gridCol w:w="418"/>
        <w:gridCol w:w="507"/>
        <w:gridCol w:w="217"/>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45"/>
        <w:gridCol w:w="543"/>
        <w:gridCol w:w="128"/>
        <w:gridCol w:w="109"/>
        <w:gridCol w:w="109"/>
        <w:gridCol w:w="109"/>
        <w:gridCol w:w="211"/>
        <w:gridCol w:w="616"/>
        <w:gridCol w:w="157"/>
      </w:tblGrid>
      <w:tr>
        <w:trPr/>
        <w:tc>
          <w:tcPr>
            <w:tcW w:w="802"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8"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Payments Year</w:t>
            </w:r>
          </w:p>
        </w:tc>
      </w:tr>
      <w:tr>
        <w:trPr/>
        <w:tc>
          <w:tcPr>
            <w:tcW w:w="2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Remaining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Thereafter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Corporate Credit Facility</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Notes</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Notes</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Convertible Notes</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Convertible Notes</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Corporate Credit Facility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corporate credit facility (the “Corporate Credit Facility”) provides support for our business, including ongoing liquidity and letters of credit, and consists of a term loan facility (the “Term Loan”), a delayed-draw term loan facility (as defined below), and a revolving credit facility (the “Revolving Corporate Credit Facility”), which includes a letter of credit sub-facility.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first quarter of 2025, we entered into an amendment to the Corporate Credit Facility (the “Amendment), which, among other things: increased the borrowing capacity on our Revolving Corporate Credit Facility from $750 million to $800 million; extended the termination date from March 31, 2027 to March 24, 2030; and reduced certain fees and interest costs. The Amendment also increased the letter of credit sub-facility of the Revolving Corporate Credit Facility from $75 million to $150 million.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Additionally, the Amendment provided for a new $450 million senior secured delayed-draw term loan facility (the “Delayed-Draw Term Loan”) scheduled to mature on December 31, 2027. The Delayed-Draw Term Loan is only available to finance the redemption or repurchase of our 2026 Convertible Notes (as defined below), which are due January 15, 2026. As of June 30, 2025, there were no outstanding borrowings on the Delayed-Draw Term Loan.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2025, we entered into a $300 million interest rate swap pursuant to which we pay interest at a fixed rate of 3.344% and receive interest at a floating rate (SOFR) through May 2027 to hedge a portion of our interest rate risk on the Term Loan. This interest rate swap has been designated and qualifies as a cash flow hedge of interest rate risk and is recorded in Other Assets on our Balance Sheets as of June 30, 2025. We characterize payments we make or receive in connection with this derivative instrument as interest expense and a reclassification of accumulated other comprehensive income or loss for presentation purposes.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the activity in accumulated other comprehensive income or loss related to our derivative instruments during the first half of 2025 and 2024. There were no reclassifications to the Income Statement for any of the periods presented below.</w:t>
      </w:r>
    </w:p>
    <w:tbl>
      <w:tblPr>
        <w:tblW w:w="6458" w:type="dxa"/>
        <w:jc w:val="center"/>
        <w:tblInd w:w="0" w:type="dxa"/>
        <w:tblLayout w:type="fixed"/>
        <w:tblCellMar>
          <w:top w:w="28" w:type="dxa"/>
          <w:left w:w="28" w:type="dxa"/>
          <w:bottom w:w="28" w:type="dxa"/>
          <w:right w:w="28" w:type="dxa"/>
        </w:tblCellMar>
      </w:tblPr>
      <w:tblGrid>
        <w:gridCol w:w="1680"/>
        <w:gridCol w:w="1475"/>
        <w:gridCol w:w="1479"/>
        <w:gridCol w:w="211"/>
        <w:gridCol w:w="406"/>
        <w:gridCol w:w="109"/>
        <w:gridCol w:w="109"/>
        <w:gridCol w:w="109"/>
        <w:gridCol w:w="109"/>
        <w:gridCol w:w="211"/>
        <w:gridCol w:w="406"/>
        <w:gridCol w:w="154"/>
      </w:tblGrid>
      <w:tr>
        <w:trPr/>
        <w:tc>
          <w:tcPr>
            <w:tcW w:w="168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 adjustment balance,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before reclassifications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 adjustment balance, March 31</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gain (loss) before reclassifications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 adjustment balance, June 30</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Senior Notes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Our senior notes include: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$350 million aggregate principal amount of 4.750% Senior Unsecured Notes due 2028 issued in the fourth quarter of 2019 with a maturity date of January 15, 2028 (the “2028 Notes”).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$500 million aggregate principal amount of 4.500% Senior Unsecured Notes due 2029 issued in the second quarter of 2021 with a maturity date of June 15, 2029 (the “2029 Notes”).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Convertible Notes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2026 Convertible Notes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2021, we issued $575 million aggregate principal amount of convertible senior notes (the “2026 Convertible Notes”) that bear interest at a rate of 0.00%. The 2026 Convertible Notes mature on January 15, 2026, unless earlier repurchased or converted in accordance with their terms prior to that date.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conversion rate of the 2026 Convertible Notes is subject to adjustment for certain events as described in the indenture governing the notes and was subject to adjustment as of June 30, 2025 to 6.5289 shares of common stock per $1,000 principal amount of 2026 Convertible Notes (equivalent to a conversion price of $153.17 per share of our common stock), as a result of the dividends we declared since issuance of the 2026 Convertible Notes that were greater than the quarterly dividend we paid when the 2026 Convertible Notes were issued. Upon conversion, we will pay or deliver, as the case may be, cash, shares of our common stock, or a combination of cash and shares of our common stock, at our election. As of June 30, 2025, the effective interest rate was 0.55%.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components of interest expense related to the 2026 Convertible Notes.</w:t>
      </w:r>
    </w:p>
    <w:tbl>
      <w:tblPr>
        <w:tblW w:w="8715" w:type="dxa"/>
        <w:jc w:val="center"/>
        <w:tblInd w:w="0" w:type="dxa"/>
        <w:tblLayout w:type="fixed"/>
        <w:tblCellMar>
          <w:top w:w="28" w:type="dxa"/>
          <w:left w:w="28" w:type="dxa"/>
          <w:bottom w:w="28" w:type="dxa"/>
          <w:right w:w="28" w:type="dxa"/>
        </w:tblCellMar>
      </w:tblPr>
      <w:tblGrid>
        <w:gridCol w:w="1086"/>
        <w:gridCol w:w="952"/>
        <w:gridCol w:w="962"/>
        <w:gridCol w:w="423"/>
        <w:gridCol w:w="513"/>
        <w:gridCol w:w="218"/>
        <w:gridCol w:w="129"/>
        <w:gridCol w:w="129"/>
        <w:gridCol w:w="129"/>
        <w:gridCol w:w="423"/>
        <w:gridCol w:w="513"/>
        <w:gridCol w:w="218"/>
        <w:gridCol w:w="109"/>
        <w:gridCol w:w="109"/>
        <w:gridCol w:w="109"/>
        <w:gridCol w:w="423"/>
        <w:gridCol w:w="514"/>
        <w:gridCol w:w="217"/>
        <w:gridCol w:w="113"/>
        <w:gridCol w:w="113"/>
        <w:gridCol w:w="113"/>
        <w:gridCol w:w="408"/>
        <w:gridCol w:w="495"/>
        <w:gridCol w:w="297"/>
      </w:tblGrid>
      <w:tr>
        <w:trPr/>
        <w:tc>
          <w:tcPr>
            <w:tcW w:w="108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2026 Convertible Note Hedges and Warrants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offering of the 2026 Convertible Notes, we concurrently entered into the following privately-negotiated separate transactions: convertible note hedge transactions with respect to our common stock (the “2026 Convertible Note Hedges”), covering a total of 3.8 million shares of our common stock, and warrant transactions (the “2026 Warrants”), whereby we sold to the counterparties to the 2026 Convertible Note Hedges warrants to acquire 3.8 million shares of our common stock, in each case, as of June 30, 2025. The strike prices of the 2026 Convertible Note Hedges and the 2026 Warrants were subject to adjustment to $153.17 and $191.45, respectively, as of June 30, 2025, and no 2026 Convertible Note Hedges or 2026 Warrants have been exercised.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2027 Convertible Notes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2022, we issued $575 million aggregate principal amount of convertible senior notes (the “2027 Convertible Notes”) that bear interest at a rate of 3.25%. The 2027 Convertible Notes mature on December 15, 2027, unless earlier repurchased or converted in accordance with their terms prior to that date.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conversion rate of the 2027 Convertible Notes is subject to adjustment for certain events as described in the indenture governing the notes and was subject to adjustment as of June 30, 2025 to 5.2978 shares of common stock per $1,000 principal amount of 2027 Convertible Notes (equivalent to a conversion price of $188.76 per share of our common stock), as a result of the dividends we declared since issuance of the 2027 Convertible Notes that were greater than the quarterly dividend we paid when the 2027 Convertible notes were issued. Upon conversion, we will pay or deliver, as the case may be, cash, shares of our common stock, or a combination of cash and shares of our common stock, at our election. As of June 30, 2025, the effective interest rate was 3.88%.</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components of interest expense related to the 2027 Convertible Notes.</w:t>
      </w:r>
    </w:p>
    <w:tbl>
      <w:tblPr>
        <w:tblW w:w="8704" w:type="dxa"/>
        <w:jc w:val="center"/>
        <w:tblInd w:w="0" w:type="dxa"/>
        <w:tblLayout w:type="fixed"/>
        <w:tblCellMar>
          <w:top w:w="28" w:type="dxa"/>
          <w:left w:w="28" w:type="dxa"/>
          <w:bottom w:w="28" w:type="dxa"/>
          <w:right w:w="28" w:type="dxa"/>
        </w:tblCellMar>
      </w:tblPr>
      <w:tblGrid>
        <w:gridCol w:w="1088"/>
        <w:gridCol w:w="955"/>
        <w:gridCol w:w="957"/>
        <w:gridCol w:w="423"/>
        <w:gridCol w:w="513"/>
        <w:gridCol w:w="218"/>
        <w:gridCol w:w="129"/>
        <w:gridCol w:w="129"/>
        <w:gridCol w:w="129"/>
        <w:gridCol w:w="423"/>
        <w:gridCol w:w="513"/>
        <w:gridCol w:w="218"/>
        <w:gridCol w:w="109"/>
        <w:gridCol w:w="109"/>
        <w:gridCol w:w="109"/>
        <w:gridCol w:w="358"/>
        <w:gridCol w:w="612"/>
        <w:gridCol w:w="185"/>
        <w:gridCol w:w="109"/>
        <w:gridCol w:w="109"/>
        <w:gridCol w:w="109"/>
        <w:gridCol w:w="349"/>
        <w:gridCol w:w="597"/>
        <w:gridCol w:w="254"/>
      </w:tblGrid>
      <w:tr>
        <w:trPr/>
        <w:tc>
          <w:tcPr>
            <w:tcW w:w="1088"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2027 Convertible Note Hedges and Warrants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offering of the 2027 Convertible Notes, we concurrently entered into the following privately-negotiated separate transactions: convertible note hedge transactions with respect to our common stock (the “2027 Convertible Note Hedges”), covering a total of 3.0 million shares of our common stock, and warrant transactions (the “2027 Warrants”), whereby we sold to the counterparties to the 2027 Convertible Note Hedges warrants to acquire 3.0 million shares of our common stock, in each case, as of June 30, 2025. The strike prices of the 2027 Convertible Note Hedges and the 2027 Warrants were subject to adjustment to $188.76 and $284.91, respectively, as of June 30, 2025, and no 2027 Convertible Note Hedges or 2027 Warrants have been exercised.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Security and Guarantees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Amounts borrowed under the Corporate Credit Facility, as well as obligations with respect to letters of credit issued pursuant to the Corporate Credit Facility, are secured by a perfected first priority security interest in substantially all of the assets of the borrowers under, and guarantors of, that facility (which include MVWC and certain of our direct and indirect, existing and future, domestic subsidiaries, excluding certain bankruptcy remote special purpose entities), subject to certain exceptions. In addition, the Corporate Credit Facility, the 2026 Convertible Notes, the 2027 Convertible Notes, the 2028 Notes, and the 2029 Notes are guaranteed by MVWC and certain of our direct and indirect, existing and future, domestic subsidiaries, excluding certain bankruptcy remote special purpose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tbl>
      <w:tblPr>
        <w:tblW w:w="3060" w:type="dxa"/>
        <w:jc w:val="left"/>
        <w:tblInd w:w="0" w:type="dxa"/>
        <w:tblLayout w:type="fixed"/>
        <w:tblCellMar>
          <w:top w:w="28" w:type="dxa"/>
          <w:left w:w="28" w:type="dxa"/>
          <w:bottom w:w="28" w:type="dxa"/>
          <w:right w:w="28" w:type="dxa"/>
        </w:tblCellMar>
      </w:tblPr>
      <w:tblGrid>
        <w:gridCol w:w="152"/>
        <w:gridCol w:w="134"/>
        <w:gridCol w:w="134"/>
        <w:gridCol w:w="773"/>
        <w:gridCol w:w="773"/>
        <w:gridCol w:w="109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13. </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Marriott Vacations Worldwide has 100,000,000 authorized shares of common stock, par value of $0.01 per share. At June 30, 2025, there were 75,889,673 shares of Marriott Vacations Worldwide common stock issued, of which 34,602,499 shares were outstanding and 41,287,174 shares were held as treasury stock. At December 31, 2024, there were 75,852,678 shares of Marriott Vacations Worldwide common stock issued, of which 34,877,925 shares were outstanding and 40,974,753 shares were held as treasury stock. Marriott Vacations Worldwide has 2,000,000 authorized shares of preferred stock, par value of $0.01 per share, none of which were issued or outstanding as of June 30, 2025 or December 31, 2024.</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with the approval of our Board of Directors, we may undertake programs to purchase shares of our common stock (each, a “Share Repurchase Program”). As of June 30, 2025, approximately $347 million remained available for share repurchases under the current Share Repurchase Program, which authorizes share repurchases through December 31, 2025.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 repurchases may be made through open market purchases, privately negotiated transactions, block transactions, tender offers, or otherwise. The specific timing, amount and other terms of the repurchases will depend on market conditions, corporate and regulatory requirements, contractual restrictions, and other factors. In connection with the current Share Repurchase Program, we are authorized to adopt one or more plans pursuant to the provisions of Rule 10b5-1 under the Securities Exchange Act of 1934, as amended. The authorization for the current Share Repurchase Program may be suspended, terminated, increased or decreased by our Board of Directors at any time without prior notice. Acquired shares of our common stock are currently held as treasury shares and carried at cost in our Financial Statements.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share repurchase activity under our Share Repurchase Program:</w:t>
      </w:r>
    </w:p>
    <w:tbl>
      <w:tblPr>
        <w:tblW w:w="10205" w:type="dxa"/>
        <w:jc w:val="center"/>
        <w:tblInd w:w="0" w:type="dxa"/>
        <w:tblLayout w:type="fixed"/>
        <w:tblCellMar>
          <w:top w:w="28" w:type="dxa"/>
          <w:left w:w="28" w:type="dxa"/>
          <w:bottom w:w="28" w:type="dxa"/>
          <w:right w:w="28" w:type="dxa"/>
        </w:tblCellMar>
      </w:tblPr>
      <w:tblGrid>
        <w:gridCol w:w="1074"/>
        <w:gridCol w:w="941"/>
        <w:gridCol w:w="949"/>
        <w:gridCol w:w="857"/>
        <w:gridCol w:w="854"/>
        <w:gridCol w:w="856"/>
        <w:gridCol w:w="109"/>
        <w:gridCol w:w="109"/>
        <w:gridCol w:w="109"/>
        <w:gridCol w:w="612"/>
        <w:gridCol w:w="1797"/>
        <w:gridCol w:w="319"/>
        <w:gridCol w:w="109"/>
        <w:gridCol w:w="109"/>
        <w:gridCol w:w="109"/>
        <w:gridCol w:w="276"/>
        <w:gridCol w:w="808"/>
        <w:gridCol w:w="208"/>
      </w:tblGrid>
      <w:tr>
        <w:trPr/>
        <w:tc>
          <w:tcPr>
            <w:tcW w:w="107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2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 except per share amounts)</w:t>
            </w:r>
          </w:p>
        </w:tc>
        <w:tc>
          <w:tcPr>
            <w:tcW w:w="2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 Basis of 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Price</w:t>
              <w:br/>
              <w:t>Paid per Share</w:t>
            </w:r>
          </w:p>
        </w:tc>
      </w:tr>
      <w:tr>
        <w:trPr/>
        <w:tc>
          <w:tcPr>
            <w:tcW w:w="2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2024</w:t>
            </w:r>
          </w:p>
        </w:tc>
        <w:tc>
          <w:tcPr>
            <w:tcW w:w="17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25,790,550 </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95.40 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the first half of 2025</w:t>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496,484 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2025</w:t>
            </w:r>
          </w:p>
        </w:tc>
        <w:tc>
          <w:tcPr>
            <w:tcW w:w="17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26,287,034 </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2,497 </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Dividends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declared cash dividends to holders of common stock during the first half of 2025 as follows. Any future dividend payments will be subject to the restrictions imposed under the agreements covering our debt and approval of our Board of Directors. There can be no assurance that we will pay dividends in the future.</w:t>
      </w:r>
    </w:p>
    <w:tbl>
      <w:tblPr>
        <w:tblW w:w="7729" w:type="dxa"/>
        <w:jc w:val="center"/>
        <w:tblInd w:w="0" w:type="dxa"/>
        <w:tblLayout w:type="fixed"/>
        <w:tblCellMar>
          <w:top w:w="28" w:type="dxa"/>
          <w:left w:w="28" w:type="dxa"/>
          <w:bottom w:w="28" w:type="dxa"/>
          <w:right w:w="28" w:type="dxa"/>
        </w:tblCellMar>
      </w:tblPr>
      <w:tblGrid>
        <w:gridCol w:w="581"/>
        <w:gridCol w:w="510"/>
        <w:gridCol w:w="514"/>
        <w:gridCol w:w="109"/>
        <w:gridCol w:w="109"/>
        <w:gridCol w:w="109"/>
        <w:gridCol w:w="679"/>
        <w:gridCol w:w="679"/>
        <w:gridCol w:w="681"/>
        <w:gridCol w:w="109"/>
        <w:gridCol w:w="109"/>
        <w:gridCol w:w="109"/>
        <w:gridCol w:w="484"/>
        <w:gridCol w:w="484"/>
        <w:gridCol w:w="486"/>
        <w:gridCol w:w="109"/>
        <w:gridCol w:w="109"/>
        <w:gridCol w:w="109"/>
        <w:gridCol w:w="482"/>
        <w:gridCol w:w="482"/>
        <w:gridCol w:w="686"/>
      </w:tblGrid>
      <w:tr>
        <w:trP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Declaration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Stockholder 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Distribution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Dividend per Share</w:t>
            </w:r>
          </w:p>
        </w:tc>
      </w:tr>
      <w:tr>
        <w:trPr/>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19,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$0.79</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12,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23,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6,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$0.79</w:t>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tbl>
      <w:tblPr>
        <w:tblW w:w="3570" w:type="dxa"/>
        <w:jc w:val="left"/>
        <w:tblInd w:w="0" w:type="dxa"/>
        <w:tblLayout w:type="fixed"/>
        <w:tblCellMar>
          <w:top w:w="28" w:type="dxa"/>
          <w:left w:w="28" w:type="dxa"/>
          <w:bottom w:w="28" w:type="dxa"/>
          <w:right w:w="28" w:type="dxa"/>
        </w:tblCellMar>
      </w:tblPr>
      <w:tblGrid>
        <w:gridCol w:w="152"/>
        <w:gridCol w:w="134"/>
        <w:gridCol w:w="134"/>
        <w:gridCol w:w="923"/>
        <w:gridCol w:w="923"/>
        <w:gridCol w:w="130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14. </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SHARE-BASED COMPENSATION</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We maintain the Marriott Vacations Worldwide Corporation 2020 Equity Incentive Plan (the “MVW Equity Plan”) for the benefit of our officers, directors, and employees. Under the MVW Equity Plan, we are authorized to award: (1) restricted stock and restricted stock units (“RSUs”) of our common stock, (2) stock appreciation rights (“SARs”) relating to our common stock, and (3) stock options to purchase our common stock. A total of approximately 3 million shares were authorized for issuance pursuant to grants under the MVW Equity Plan. As of June 30, 2025, approximately 1 million shares were available for grants under the MVW Equity Plan.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our share-based compensation expense related to award grants to our officers, directors, and employees:</w:t>
      </w:r>
    </w:p>
    <w:tbl>
      <w:tblPr>
        <w:tblW w:w="7803" w:type="dxa"/>
        <w:jc w:val="center"/>
        <w:tblInd w:w="0" w:type="dxa"/>
        <w:tblLayout w:type="fixed"/>
        <w:tblCellMar>
          <w:top w:w="28" w:type="dxa"/>
          <w:left w:w="28" w:type="dxa"/>
          <w:bottom w:w="28" w:type="dxa"/>
          <w:right w:w="28" w:type="dxa"/>
        </w:tblCellMar>
      </w:tblPr>
      <w:tblGrid>
        <w:gridCol w:w="777"/>
        <w:gridCol w:w="682"/>
        <w:gridCol w:w="686"/>
        <w:gridCol w:w="358"/>
        <w:gridCol w:w="613"/>
        <w:gridCol w:w="184"/>
        <w:gridCol w:w="113"/>
        <w:gridCol w:w="113"/>
        <w:gridCol w:w="113"/>
        <w:gridCol w:w="358"/>
        <w:gridCol w:w="613"/>
        <w:gridCol w:w="184"/>
        <w:gridCol w:w="109"/>
        <w:gridCol w:w="109"/>
        <w:gridCol w:w="109"/>
        <w:gridCol w:w="358"/>
        <w:gridCol w:w="612"/>
        <w:gridCol w:w="185"/>
        <w:gridCol w:w="109"/>
        <w:gridCol w:w="109"/>
        <w:gridCol w:w="109"/>
        <w:gridCol w:w="349"/>
        <w:gridCol w:w="597"/>
        <w:gridCol w:w="254"/>
      </w:tblGrid>
      <w:tr>
        <w:trPr/>
        <w:tc>
          <w:tcPr>
            <w:tcW w:w="7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Service-based RSUs</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RSUs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SARs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our deferred compensation costs related to unvested awards:</w:t>
      </w:r>
    </w:p>
    <w:tbl>
      <w:tblPr>
        <w:tblW w:w="5696" w:type="dxa"/>
        <w:jc w:val="center"/>
        <w:tblInd w:w="0" w:type="dxa"/>
        <w:tblLayout w:type="fixed"/>
        <w:tblCellMar>
          <w:top w:w="28" w:type="dxa"/>
          <w:left w:w="28" w:type="dxa"/>
          <w:bottom w:w="28" w:type="dxa"/>
          <w:right w:w="28" w:type="dxa"/>
        </w:tblCellMar>
      </w:tblPr>
      <w:tblGrid>
        <w:gridCol w:w="777"/>
        <w:gridCol w:w="682"/>
        <w:gridCol w:w="686"/>
        <w:gridCol w:w="432"/>
        <w:gridCol w:w="740"/>
        <w:gridCol w:w="223"/>
        <w:gridCol w:w="109"/>
        <w:gridCol w:w="109"/>
        <w:gridCol w:w="109"/>
        <w:gridCol w:w="531"/>
        <w:gridCol w:w="909"/>
        <w:gridCol w:w="389"/>
      </w:tblGrid>
      <w:tr>
        <w:trPr/>
        <w:tc>
          <w:tcPr>
            <w:tcW w:w="7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At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At December 31, 2024</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Service-based RSUs</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RSUs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SARs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granted 529,447 service-based RSUs, which are subject to time-based vesting conditions, with a weighted average grant-date fair value of $64.37, to our employees and non-employee directors during the first half of 2025. During the first half of 2025, we also granted performance-based RSUs, which are subject to performance-based vesting conditions, to members of management. A maximum of 423,863 RSUs may be earned under the performance-based RSU awards granted during the first half of 2025.</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Stock Appreciation Rights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granted 145,440 SARs, with a weighted average grant-date fair value of $23.17 and a weighted average exercise price of $71.17, to members of management during the first half of 2025. We use the Black-Scholes model to estimate the fair value of the SARs granted. The expected stock price volatility was calculated based on the average of the historical and implied volatility of our stock price. The average expected life was calculated using the simplified method, as we have insufficient historical information to provide a basis for estimating average expected life. The risk-free interest rate was calculated based on U.S. Treasury zero-coupon issues with a remaining term equal to the expected life assumed at the date of grant. The dividend yield assumption listed below is based on the expectation of future payouts.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outlines the assumptions used to estimate the fair value of grants during the first half of 2025:</w:t>
      </w:r>
    </w:p>
    <w:tbl>
      <w:tblPr>
        <w:tblW w:w="2865" w:type="dxa"/>
        <w:jc w:val="center"/>
        <w:tblInd w:w="0" w:type="dxa"/>
        <w:tblLayout w:type="fixed"/>
        <w:tblCellMar>
          <w:top w:w="28" w:type="dxa"/>
          <w:left w:w="28" w:type="dxa"/>
          <w:bottom w:w="28" w:type="dxa"/>
          <w:right w:w="28" w:type="dxa"/>
        </w:tblCellMar>
      </w:tblPr>
      <w:tblGrid>
        <w:gridCol w:w="756"/>
        <w:gridCol w:w="663"/>
        <w:gridCol w:w="666"/>
        <w:gridCol w:w="228"/>
        <w:gridCol w:w="228"/>
        <w:gridCol w:w="324"/>
      </w:tblGrid>
      <w:tr>
        <w:trPr/>
        <w:tc>
          <w:tcPr>
            <w:tcW w:w="7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45.79%</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4.35%</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4.03%</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tbl>
      <w:tblPr>
        <w:tblW w:w="3599" w:type="dxa"/>
        <w:jc w:val="left"/>
        <w:tblInd w:w="0" w:type="dxa"/>
        <w:tblLayout w:type="fixed"/>
        <w:tblCellMar>
          <w:top w:w="28" w:type="dxa"/>
          <w:left w:w="28" w:type="dxa"/>
          <w:bottom w:w="28" w:type="dxa"/>
          <w:right w:w="28" w:type="dxa"/>
        </w:tblCellMar>
      </w:tblPr>
      <w:tblGrid>
        <w:gridCol w:w="152"/>
        <w:gridCol w:w="134"/>
        <w:gridCol w:w="134"/>
        <w:gridCol w:w="931"/>
        <w:gridCol w:w="931"/>
        <w:gridCol w:w="1317"/>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15.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VARIABLE INTEREST ENTITIES</w:t>
            </w:r>
          </w:p>
        </w:tc>
      </w:tr>
    </w:tbl>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Variable Interest Entities Related to Our Vacation Ownership Notes Receivable Securitizations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consolidated assets, which are collateral for the obligations of the VIEs related to our vacation ownership notes receivable securitizations, and consolidated liabilities included on our Balance Sheet at June 30, 2025:</w:t>
      </w:r>
    </w:p>
    <w:tbl>
      <w:tblPr>
        <w:tblW w:w="8879" w:type="dxa"/>
        <w:jc w:val="center"/>
        <w:tblInd w:w="0" w:type="dxa"/>
        <w:tblLayout w:type="fixed"/>
        <w:tblCellMar>
          <w:top w:w="28" w:type="dxa"/>
          <w:left w:w="28" w:type="dxa"/>
          <w:bottom w:w="28" w:type="dxa"/>
          <w:right w:w="28" w:type="dxa"/>
        </w:tblCellMar>
      </w:tblPr>
      <w:tblGrid>
        <w:gridCol w:w="1577"/>
        <w:gridCol w:w="1382"/>
        <w:gridCol w:w="1391"/>
        <w:gridCol w:w="381"/>
        <w:gridCol w:w="1115"/>
        <w:gridCol w:w="198"/>
        <w:gridCol w:w="109"/>
        <w:gridCol w:w="109"/>
        <w:gridCol w:w="109"/>
        <w:gridCol w:w="322"/>
        <w:gridCol w:w="711"/>
        <w:gridCol w:w="167"/>
        <w:gridCol w:w="109"/>
        <w:gridCol w:w="109"/>
        <w:gridCol w:w="109"/>
        <w:gridCol w:w="211"/>
        <w:gridCol w:w="616"/>
        <w:gridCol w:w="154"/>
      </w:tblGrid>
      <w:tr>
        <w:trPr/>
        <w:tc>
          <w:tcPr>
            <w:tcW w:w="1577"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Vacation Ownership</w:t>
              <w:br/>
              <w:t>Notes Receivable</w:t>
              <w:br/>
              <w:t>Securitizations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Warehouse</w:t>
              <w:br/>
              <w:t>Credit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Assets</w:t>
            </w:r>
          </w:p>
        </w:tc>
        <w:tc>
          <w:tcPr>
            <w:tcW w:w="16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Vacation ownership notes receivable, net of reserves</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receivable</w:t>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Liabilities</w:t>
            </w:r>
          </w:p>
        </w:tc>
        <w:tc>
          <w:tcPr>
            <w:tcW w:w="16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payable</w:t>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Securitized debt</w:t>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interest income and expense recognized as a result of our involvement with these VIEs during the second quarter of 2025:</w:t>
      </w:r>
    </w:p>
    <w:tbl>
      <w:tblPr>
        <w:tblW w:w="6973" w:type="dxa"/>
        <w:jc w:val="center"/>
        <w:tblInd w:w="0" w:type="dxa"/>
        <w:tblLayout w:type="fixed"/>
        <w:tblCellMar>
          <w:top w:w="28" w:type="dxa"/>
          <w:left w:w="28" w:type="dxa"/>
          <w:bottom w:w="28" w:type="dxa"/>
          <w:right w:w="28" w:type="dxa"/>
        </w:tblCellMar>
      </w:tblPr>
      <w:tblGrid>
        <w:gridCol w:w="979"/>
        <w:gridCol w:w="858"/>
        <w:gridCol w:w="862"/>
        <w:gridCol w:w="524"/>
        <w:gridCol w:w="898"/>
        <w:gridCol w:w="272"/>
        <w:gridCol w:w="109"/>
        <w:gridCol w:w="109"/>
        <w:gridCol w:w="109"/>
        <w:gridCol w:w="348"/>
        <w:gridCol w:w="670"/>
        <w:gridCol w:w="182"/>
        <w:gridCol w:w="109"/>
        <w:gridCol w:w="109"/>
        <w:gridCol w:w="109"/>
        <w:gridCol w:w="211"/>
        <w:gridCol w:w="361"/>
        <w:gridCol w:w="154"/>
      </w:tblGrid>
      <w:tr>
        <w:trPr/>
        <w:tc>
          <w:tcPr>
            <w:tcW w:w="97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Vacation Ownership</w:t>
              <w:br/>
              <w:t>Notes Receivable</w:t>
              <w:br/>
              <w:t>Securitizations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Warehouse</w:t>
              <w:br/>
              <w:t>Credit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 amortization</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interest income and expense recognized as a result of our involvement with these VIEs during the first half of 2025:</w:t>
      </w:r>
    </w:p>
    <w:tbl>
      <w:tblPr>
        <w:tblW w:w="7078" w:type="dxa"/>
        <w:jc w:val="center"/>
        <w:tblInd w:w="0" w:type="dxa"/>
        <w:tblLayout w:type="fixed"/>
        <w:tblCellMar>
          <w:top w:w="28" w:type="dxa"/>
          <w:left w:w="28" w:type="dxa"/>
          <w:bottom w:w="28" w:type="dxa"/>
          <w:right w:w="28" w:type="dxa"/>
        </w:tblCellMar>
      </w:tblPr>
      <w:tblGrid>
        <w:gridCol w:w="979"/>
        <w:gridCol w:w="858"/>
        <w:gridCol w:w="862"/>
        <w:gridCol w:w="454"/>
        <w:gridCol w:w="1004"/>
        <w:gridCol w:w="236"/>
        <w:gridCol w:w="109"/>
        <w:gridCol w:w="109"/>
        <w:gridCol w:w="109"/>
        <w:gridCol w:w="371"/>
        <w:gridCol w:w="636"/>
        <w:gridCol w:w="193"/>
        <w:gridCol w:w="109"/>
        <w:gridCol w:w="109"/>
        <w:gridCol w:w="109"/>
        <w:gridCol w:w="211"/>
        <w:gridCol w:w="466"/>
        <w:gridCol w:w="154"/>
      </w:tblGrid>
      <w:tr>
        <w:trPr/>
        <w:tc>
          <w:tcPr>
            <w:tcW w:w="97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Vacation Ownership</w:t>
              <w:br/>
              <w:t>Notes Receivable</w:t>
              <w:br/>
              <w:t>Securitizations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Warehouse</w:t>
              <w:br/>
              <w:t>Credit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 amortization</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cash flows between us and the vacation ownership notes receivable securitization VIEs:</w:t>
      </w:r>
    </w:p>
    <w:tbl>
      <w:tblPr>
        <w:tblW w:w="8635" w:type="dxa"/>
        <w:jc w:val="center"/>
        <w:tblInd w:w="0" w:type="dxa"/>
        <w:tblLayout w:type="fixed"/>
        <w:tblCellMar>
          <w:top w:w="28" w:type="dxa"/>
          <w:left w:w="28" w:type="dxa"/>
          <w:bottom w:w="28" w:type="dxa"/>
          <w:right w:w="28" w:type="dxa"/>
        </w:tblCellMar>
      </w:tblPr>
      <w:tblGrid>
        <w:gridCol w:w="2465"/>
        <w:gridCol w:w="1740"/>
        <w:gridCol w:w="1749"/>
        <w:gridCol w:w="310"/>
        <w:gridCol w:w="685"/>
        <w:gridCol w:w="160"/>
        <w:gridCol w:w="109"/>
        <w:gridCol w:w="109"/>
        <w:gridCol w:w="109"/>
        <w:gridCol w:w="304"/>
        <w:gridCol w:w="673"/>
        <w:gridCol w:w="222"/>
      </w:tblGrid>
      <w:tr>
        <w:trPr/>
        <w:tc>
          <w:tcPr>
            <w:tcW w:w="2465"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Inflows</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vacation ownership notes receivable securitizations</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receipts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receipts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release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Outflows</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Voluntary repurchases of defaulted vacation ownership notes receivable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Voluntary clean-up call</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payments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Funding of restricted cash</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Flows</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cash flows between us and the Warehouse Credit Facility VIE:</w:t>
      </w:r>
    </w:p>
    <w:tbl>
      <w:tblPr>
        <w:tblW w:w="8636" w:type="dxa"/>
        <w:jc w:val="center"/>
        <w:tblInd w:w="0" w:type="dxa"/>
        <w:tblLayout w:type="fixed"/>
        <w:tblCellMar>
          <w:top w:w="28" w:type="dxa"/>
          <w:left w:w="28" w:type="dxa"/>
          <w:bottom w:w="28" w:type="dxa"/>
          <w:right w:w="28" w:type="dxa"/>
        </w:tblCellMar>
      </w:tblPr>
      <w:tblGrid>
        <w:gridCol w:w="2465"/>
        <w:gridCol w:w="1740"/>
        <w:gridCol w:w="1750"/>
        <w:gridCol w:w="310"/>
        <w:gridCol w:w="685"/>
        <w:gridCol w:w="160"/>
        <w:gridCol w:w="109"/>
        <w:gridCol w:w="109"/>
        <w:gridCol w:w="109"/>
        <w:gridCol w:w="304"/>
        <w:gridCol w:w="673"/>
        <w:gridCol w:w="222"/>
      </w:tblGrid>
      <w:tr>
        <w:trPr/>
        <w:tc>
          <w:tcPr>
            <w:tcW w:w="2465"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Inflows</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vacation ownership notes receivable securitizations</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receipts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receipts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release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Outflows</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Voluntary repurchases of defaulted vacation ownership notes receivable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Warehouse Credit Facility</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payments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Funding of restricted cash</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Flows</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Under the terms of our vacation ownership notes receivable securitizations, we have the right to substitute loans for, or repurchase, defaulted loans at our option, subject to certain limitations. Our maximum exposure to potential loss relating to the special purpose entities that purchase, sell, and own these vacation ownership notes receivable is the overcollateralization amount (the difference between the loan collateral balance and the balance of the outstanding vacation ownership notes receivable), plus cash reserves and any residual interest in future cash flows from collateral.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Other Variable Interest Entities</w:t>
      </w:r>
    </w:p>
    <w:p>
      <w:pPr>
        <w:pStyle w:val="TextBody"/>
        <w:bidi w:val="0"/>
        <w:spacing w:lineRule="auto" w:line="288" w:before="120" w:after="283"/>
        <w:jc w:val="left"/>
        <w:rPr/>
      </w:pPr>
      <w:r>
        <w:rPr>
          <w:rFonts w:ascii="Times New Roman;serif" w:hAnsi="Times New Roman;serif"/>
          <w:b w:val="false"/>
          <w:color w:val="000000"/>
          <w:sz w:val="20"/>
        </w:rPr>
        <w:t>We have a commitment to purchase a property located in Waikiki, Hawaii. The property is held by a VIE for which we are not the primary beneficiary. We do not control the decisions that most significantly impact the economic performance of the entity as we cannot prevent the variable interest entity from selling the property at a higher price.</w:t>
      </w:r>
      <w:r>
        <w:rPr>
          <w:color w:val="EE2724"/>
        </w:rPr>
        <w:t xml:space="preserve"> </w:t>
      </w:r>
      <w:r>
        <w:rPr>
          <w:rFonts w:ascii="Times New Roman;serif" w:hAnsi="Times New Roman;serif"/>
          <w:b w:val="false"/>
          <w:color w:val="000000"/>
          <w:sz w:val="20"/>
        </w:rPr>
        <w:t xml:space="preserve">Accordingly, we have not consolidated the VIE. We expect to acquire the property over time and as of June 30, 2025, we expect to make payments for the property as follows: $82 million in 2025 and $41 million in 2026. As of June 30, 2025, our Balance Sheet reflected $1 million in Accounts and contracts receivable, net, including a note receivable of less than $1 million, $11 million in Property and equipment, net, $1 million in Accrued Liabilities, and $1 million in the Other line within liabilities on our Balance Sheet. We believe that our maximum exposure to loss as a result of our involvement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with this VIE is approximately $14 million as of June 30, 2025. During the first quarter of 2024, we acquired retail space located at our Marriott Vacation Club, Waikiki property for $48 million. The transaction was accounted for as an asset acquisition and is included in Property and equipment, net on our Balance Sheet as of June 30, 2025.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Deferred Compensation Plan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consolidate the liabilities of the Deferred Compensation Plan and the related assets, which consist of the COLI policies held in a rabbi trust. The rabbi trust is considered a VIE. We are the primary beneficiary of the rabbi trust because we direct the activities of the trust and are the beneficiary of the trust. At June 30, 2025 and December 31, 2024, the value of the assets held in the rabbi trust was $148 million and $131 million, respectively, and was included in the Other line within assets on our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625" w:type="dxa"/>
        <w:jc w:val="left"/>
        <w:tblInd w:w="0" w:type="dxa"/>
        <w:tblLayout w:type="fixed"/>
        <w:tblCellMar>
          <w:top w:w="28" w:type="dxa"/>
          <w:left w:w="28" w:type="dxa"/>
          <w:bottom w:w="28" w:type="dxa"/>
          <w:right w:w="28" w:type="dxa"/>
        </w:tblCellMar>
      </w:tblPr>
      <w:tblGrid>
        <w:gridCol w:w="152"/>
        <w:gridCol w:w="134"/>
        <w:gridCol w:w="134"/>
        <w:gridCol w:w="645"/>
        <w:gridCol w:w="645"/>
        <w:gridCol w:w="915"/>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16. </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BUSINESS SEGMENTS</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define our reportable segments based on the way in which the chief operating decision maker (“CODM”), currently our chief executive officer, manages the operations of the Company for purposes of allocating resources and assessing performance. We operate in two operating and reportable business segments: Vacation Ownership and Exchange &amp; Third-Party Management.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CODM evaluates the performance of our segments based primarily on the results of the segment without allocating corporate expenses or income taxes. We do not allocate corporate interest expense or indirect general and administrative expenses to our segments. We include interest income specific to segment activities within the appropriate segment. We allocate depreciation and amortization, other gains and losses, equity in earnings or losses from our joint ventures, and noncontrolling interest to each of our segments as appropriate. Corporate and other represents that portion of our results that are not allocable to our segments, including those relating to consolidated owners’ associations, as our CODM does not use this information to make operating segment resource allocations.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CODM uses Adjusted Earnings before Interest Expense, Taxes, Depreciation and Amortization (“Adjusted EBITDA”) to evaluate the profitability of our operating segments, and the components of net income attributable to common stockholders excluded from Adjusted EBITDA are not separately evaluated. Our CODM reviews budget-to-actual and/or forecast-to-actual variances on a monthly basis using Adjusted EBITDA to make decisions about capital allocation and resource distribution to the segments. Adjusted EBITDA is defined as net income attributable to common stockholders, before interest expense (excluding consumer financing interest expense associated with term securitization transactions), income taxes, depreciation and amortization, excluding share-based compensation expense and amortization of cloud computing software implementation costs, and adjusted for certain items that affect the comparability of our operating performance.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first quarter of 2025, we began excluding Amortization of cloud computing software implementation costs, which are not included in Depreciation and amortization, from Adjusted EBITDA for comparability purposes, to address the considerable variability among companies in the utilization of productive assets, and have reclassified prior year amounts to conform with our current year presentation.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reconciliation of the aggregate amount of Adjusted EBITDA for our reportable segments to consolidated net income attributable to common stockholders is presented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left"/>
        <w:rPr>
          <w:rFonts w:ascii="Times New Roman;serif" w:hAnsi="Times New Roman;serif"/>
          <w:b/>
          <w:i/>
          <w:color w:val="000000"/>
          <w:sz w:val="20"/>
        </w:rPr>
      </w:pPr>
      <w:r>
        <w:rPr>
          <w:rFonts w:ascii="Times New Roman;serif" w:hAnsi="Times New Roman;serif"/>
          <w:b/>
          <w:i/>
          <w:color w:val="000000"/>
          <w:sz w:val="20"/>
        </w:rPr>
        <w:t>Segment Revenues and Adjusted EBITDA</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following for the periods presented: revenues, disaggregated by segment, reconciled to consolidated revenue; segment expenses, including significant expense categories and amounts that align with segment-level information regularly provided to our CODM; and segment Adjusted EBITDA reconciled to Net income attributable to common stockholders.</w:t>
      </w:r>
    </w:p>
    <w:tbl>
      <w:tblPr>
        <w:tblW w:w="17150" w:type="dxa"/>
        <w:jc w:val="center"/>
        <w:tblInd w:w="0" w:type="dxa"/>
        <w:tblLayout w:type="fixed"/>
        <w:tblCellMar>
          <w:top w:w="28" w:type="dxa"/>
          <w:left w:w="28" w:type="dxa"/>
          <w:bottom w:w="28" w:type="dxa"/>
          <w:right w:w="28" w:type="dxa"/>
        </w:tblCellMar>
      </w:tblPr>
      <w:tblGrid>
        <w:gridCol w:w="807"/>
        <w:gridCol w:w="313"/>
        <w:gridCol w:w="216"/>
        <w:gridCol w:w="211"/>
        <w:gridCol w:w="616"/>
        <w:gridCol w:w="109"/>
        <w:gridCol w:w="109"/>
        <w:gridCol w:w="109"/>
        <w:gridCol w:w="109"/>
        <w:gridCol w:w="340"/>
        <w:gridCol w:w="654"/>
        <w:gridCol w:w="177"/>
        <w:gridCol w:w="109"/>
        <w:gridCol w:w="109"/>
        <w:gridCol w:w="109"/>
        <w:gridCol w:w="211"/>
        <w:gridCol w:w="616"/>
        <w:gridCol w:w="109"/>
        <w:gridCol w:w="109"/>
        <w:gridCol w:w="109"/>
        <w:gridCol w:w="109"/>
        <w:gridCol w:w="211"/>
        <w:gridCol w:w="616"/>
        <w:gridCol w:w="109"/>
        <w:gridCol w:w="109"/>
        <w:gridCol w:w="109"/>
        <w:gridCol w:w="109"/>
        <w:gridCol w:w="340"/>
        <w:gridCol w:w="654"/>
        <w:gridCol w:w="177"/>
        <w:gridCol w:w="109"/>
        <w:gridCol w:w="109"/>
        <w:gridCol w:w="109"/>
        <w:gridCol w:w="211"/>
        <w:gridCol w:w="616"/>
        <w:gridCol w:w="109"/>
        <w:gridCol w:w="109"/>
        <w:gridCol w:w="109"/>
        <w:gridCol w:w="109"/>
        <w:gridCol w:w="211"/>
        <w:gridCol w:w="616"/>
        <w:gridCol w:w="109"/>
        <w:gridCol w:w="109"/>
        <w:gridCol w:w="109"/>
        <w:gridCol w:w="109"/>
        <w:gridCol w:w="314"/>
        <w:gridCol w:w="694"/>
        <w:gridCol w:w="163"/>
        <w:gridCol w:w="109"/>
        <w:gridCol w:w="109"/>
        <w:gridCol w:w="109"/>
        <w:gridCol w:w="211"/>
        <w:gridCol w:w="616"/>
        <w:gridCol w:w="109"/>
        <w:gridCol w:w="109"/>
        <w:gridCol w:w="109"/>
        <w:gridCol w:w="109"/>
        <w:gridCol w:w="211"/>
        <w:gridCol w:w="616"/>
        <w:gridCol w:w="109"/>
        <w:gridCol w:w="109"/>
        <w:gridCol w:w="109"/>
        <w:gridCol w:w="109"/>
        <w:gridCol w:w="314"/>
        <w:gridCol w:w="694"/>
        <w:gridCol w:w="163"/>
        <w:gridCol w:w="327"/>
        <w:gridCol w:w="211"/>
        <w:gridCol w:w="616"/>
        <w:gridCol w:w="154"/>
      </w:tblGrid>
      <w:tr>
        <w:trPr/>
        <w:tc>
          <w:tcPr>
            <w:tcW w:w="80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Vacation</w:t>
            </w:r>
          </w:p>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Ownership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Exchange &amp; Third-Party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Vacation Ownership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Exchange &amp; Third-Party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Vacation Ownership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Exchange &amp; Third-Party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Vacation Ownership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Exchange &amp; Third-Party 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external customers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revenues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and other</w:t>
            </w:r>
            <w:r>
              <w:rPr>
                <w:rFonts w:ascii="Times New Roman;serif" w:hAnsi="Times New Roman;serif"/>
                <w:b w:val="false"/>
                <w:color w:val="000000"/>
                <w:sz w:val="13"/>
              </w:rPr>
              <w:t>(1)</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revenues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vacation ownership products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and exchange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fee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(2)(3)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and other</w:t>
            </w:r>
            <w:r>
              <w:rPr>
                <w:rFonts w:ascii="Times New Roman;serif" w:hAnsi="Times New Roman;serif"/>
                <w:b w:val="false"/>
                <w:color w:val="000000"/>
                <w:sz w:val="13"/>
              </w:rPr>
              <w:t>(1)</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 of cloud computing software implementation costs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Certain items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Corporate and Other consist of results that are not allocable to our segments, including company-wide general and administrative expenses, corporate interest expense, transaction and integration costs, and income taxes. In addition, Corporate and Other includes revenues and expenses from Consolidated Property Owners’ Associations. Our CODM does not use this information for operating segment resource allocations.</w:t>
      </w:r>
    </w:p>
    <w:p>
      <w:pPr>
        <w:pStyle w:val="TextBody"/>
        <w:bidi w:val="0"/>
        <w:spacing w:lineRule="auto" w:line="288" w:before="6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Other segment items include cost reimbursements, non-cash share-based compensation, amortization of cloud computing software implementation costs, and other.</w:t>
      </w:r>
    </w:p>
    <w:p>
      <w:pPr>
        <w:pStyle w:val="TextBody"/>
        <w:bidi w:val="0"/>
        <w:spacing w:lineRule="auto" w:line="288" w:before="60" w:after="283"/>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Prior year amounts have been reclassified to conform with our current year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Assets</w:t>
      </w:r>
    </w:p>
    <w:tbl>
      <w:tblPr>
        <w:tblW w:w="6759" w:type="dxa"/>
        <w:jc w:val="center"/>
        <w:tblInd w:w="0" w:type="dxa"/>
        <w:tblLayout w:type="fixed"/>
        <w:tblCellMar>
          <w:top w:w="28" w:type="dxa"/>
          <w:left w:w="28" w:type="dxa"/>
          <w:bottom w:w="28" w:type="dxa"/>
          <w:right w:w="28" w:type="dxa"/>
        </w:tblCellMar>
      </w:tblPr>
      <w:tblGrid>
        <w:gridCol w:w="1163"/>
        <w:gridCol w:w="1021"/>
        <w:gridCol w:w="1025"/>
        <w:gridCol w:w="314"/>
        <w:gridCol w:w="918"/>
        <w:gridCol w:w="162"/>
        <w:gridCol w:w="109"/>
        <w:gridCol w:w="109"/>
        <w:gridCol w:w="109"/>
        <w:gridCol w:w="393"/>
        <w:gridCol w:w="1149"/>
        <w:gridCol w:w="287"/>
      </w:tblGrid>
      <w:tr>
        <w:trPr/>
        <w:tc>
          <w:tcPr>
            <w:tcW w:w="1163"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At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At December 31, 2024</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Vacation Ownership</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8,296 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&amp; Third-Party Management</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assets</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9,073 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9,887 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9,808 </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251" w:type="dxa"/>
        <w:jc w:val="left"/>
        <w:tblInd w:w="0" w:type="dxa"/>
        <w:tblLayout w:type="fixed"/>
        <w:tblCellMar>
          <w:top w:w="28" w:type="dxa"/>
          <w:left w:w="28" w:type="dxa"/>
          <w:bottom w:w="28" w:type="dxa"/>
          <w:right w:w="28" w:type="dxa"/>
        </w:tblCellMar>
      </w:tblPr>
      <w:tblGrid>
        <w:gridCol w:w="152"/>
        <w:gridCol w:w="134"/>
        <w:gridCol w:w="134"/>
        <w:gridCol w:w="536"/>
        <w:gridCol w:w="536"/>
        <w:gridCol w:w="759"/>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17. </w:t>
            </w:r>
          </w:p>
        </w:tc>
        <w:tc>
          <w:tcPr>
            <w:tcW w:w="1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RESTRUCTURING</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composition of our Restructuring charges, by segment, for the three and six months ended June 30, 2025.</w:t>
      </w:r>
    </w:p>
    <w:tbl>
      <w:tblPr>
        <w:tblW w:w="10915" w:type="dxa"/>
        <w:jc w:val="center"/>
        <w:tblInd w:w="0" w:type="dxa"/>
        <w:tblLayout w:type="fixed"/>
        <w:tblCellMar>
          <w:top w:w="28" w:type="dxa"/>
          <w:left w:w="28" w:type="dxa"/>
          <w:bottom w:w="28" w:type="dxa"/>
          <w:right w:w="28" w:type="dxa"/>
        </w:tblCellMar>
      </w:tblPr>
      <w:tblGrid>
        <w:gridCol w:w="402"/>
        <w:gridCol w:w="328"/>
        <w:gridCol w:w="216"/>
        <w:gridCol w:w="109"/>
        <w:gridCol w:w="109"/>
        <w:gridCol w:w="109"/>
        <w:gridCol w:w="352"/>
        <w:gridCol w:w="427"/>
        <w:gridCol w:w="182"/>
        <w:gridCol w:w="109"/>
        <w:gridCol w:w="109"/>
        <w:gridCol w:w="109"/>
        <w:gridCol w:w="322"/>
        <w:gridCol w:w="621"/>
        <w:gridCol w:w="168"/>
        <w:gridCol w:w="109"/>
        <w:gridCol w:w="109"/>
        <w:gridCol w:w="109"/>
        <w:gridCol w:w="279"/>
        <w:gridCol w:w="477"/>
        <w:gridCol w:w="145"/>
        <w:gridCol w:w="109"/>
        <w:gridCol w:w="109"/>
        <w:gridCol w:w="109"/>
        <w:gridCol w:w="211"/>
        <w:gridCol w:w="361"/>
        <w:gridCol w:w="109"/>
        <w:gridCol w:w="109"/>
        <w:gridCol w:w="109"/>
        <w:gridCol w:w="109"/>
        <w:gridCol w:w="352"/>
        <w:gridCol w:w="427"/>
        <w:gridCol w:w="182"/>
        <w:gridCol w:w="109"/>
        <w:gridCol w:w="109"/>
        <w:gridCol w:w="109"/>
        <w:gridCol w:w="322"/>
        <w:gridCol w:w="621"/>
        <w:gridCol w:w="168"/>
        <w:gridCol w:w="109"/>
        <w:gridCol w:w="109"/>
        <w:gridCol w:w="109"/>
        <w:gridCol w:w="279"/>
        <w:gridCol w:w="477"/>
        <w:gridCol w:w="145"/>
        <w:gridCol w:w="109"/>
        <w:gridCol w:w="109"/>
        <w:gridCol w:w="109"/>
        <w:gridCol w:w="211"/>
        <w:gridCol w:w="361"/>
        <w:gridCol w:w="154"/>
      </w:tblGrid>
      <w:tr>
        <w:trPr/>
        <w:tc>
          <w:tcPr>
            <w:tcW w:w="40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Vacation</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Ownership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Exchange &amp;</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Third-Party</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Corporate</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Vacation</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Ownership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Exchange &amp;</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Third-Party</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Corporate</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SBO initiatives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Facility related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November 2024, we announced the creation of a Strategic Business Operations (“SBO”) office focused on accelerating our growth and driving operating efficiencies in all areas of our business while increasing organizational agility. We intend to: modernize and optimize our processes and systems, including through advanced technology and automation; increase sales efficiency and inventory optimization; and capture significant savings from initiatives related to procurement and corporate overhead. We expect to incur up to approximately $200 million in total restructuring and related charges by the end of 2026 primarily related to advisory services and non-recurring charges resulting from process redesign and implementation, as well as systems development, design, and implementation.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table below shows the composition of our restructuring costs related to SBO initiatives.</w:t>
      </w:r>
    </w:p>
    <w:tbl>
      <w:tblPr>
        <w:tblW w:w="7748" w:type="dxa"/>
        <w:jc w:val="center"/>
        <w:tblInd w:w="0" w:type="dxa"/>
        <w:tblLayout w:type="fixed"/>
        <w:tblCellMar>
          <w:top w:w="28" w:type="dxa"/>
          <w:left w:w="28" w:type="dxa"/>
          <w:bottom w:w="28" w:type="dxa"/>
          <w:right w:w="28" w:type="dxa"/>
        </w:tblCellMar>
      </w:tblPr>
      <w:tblGrid>
        <w:gridCol w:w="565"/>
        <w:gridCol w:w="496"/>
        <w:gridCol w:w="498"/>
        <w:gridCol w:w="109"/>
        <w:gridCol w:w="109"/>
        <w:gridCol w:w="109"/>
        <w:gridCol w:w="880"/>
        <w:gridCol w:w="1510"/>
        <w:gridCol w:w="460"/>
        <w:gridCol w:w="109"/>
        <w:gridCol w:w="109"/>
        <w:gridCol w:w="109"/>
        <w:gridCol w:w="779"/>
        <w:gridCol w:w="1334"/>
        <w:gridCol w:w="572"/>
      </w:tblGrid>
      <w:tr>
        <w:trPr/>
        <w:tc>
          <w:tcPr>
            <w:tcW w:w="5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Advisory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Severance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5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2025, the total amount accrued for restructuring charges on our Balance Sheet was $20 million, $19 million of which related to our SBO initiatives. The following table presents the activity for this accrual on our Balance Sheet related to these restructuring charges.</w:t>
      </w:r>
    </w:p>
    <w:tbl>
      <w:tblPr>
        <w:tblW w:w="4241" w:type="dxa"/>
        <w:jc w:val="center"/>
        <w:tblInd w:w="0" w:type="dxa"/>
        <w:tblLayout w:type="fixed"/>
        <w:tblCellMar>
          <w:top w:w="28" w:type="dxa"/>
          <w:left w:w="28" w:type="dxa"/>
          <w:bottom w:w="28" w:type="dxa"/>
          <w:right w:w="28" w:type="dxa"/>
        </w:tblCellMar>
      </w:tblPr>
      <w:tblGrid>
        <w:gridCol w:w="940"/>
        <w:gridCol w:w="824"/>
        <w:gridCol w:w="830"/>
        <w:gridCol w:w="109"/>
        <w:gridCol w:w="109"/>
        <w:gridCol w:w="109"/>
        <w:gridCol w:w="383"/>
        <w:gridCol w:w="656"/>
        <w:gridCol w:w="281"/>
      </w:tblGrid>
      <w:tr>
        <w:trPr/>
        <w:tc>
          <w:tcPr>
            <w:tcW w:w="9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SBO Initiatives</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addition, during the first half of 2025, we recorded a $2 million impairment charge related to an operating lease and related assets.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second quarter and first half of 2024, we incurred $1 million and $3 million, respectively, of restructuring charges associated with the elimination of certain positions as a result of the realignment of our management structure and headcount reductions in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make forward-looking statements throughout this Management’s Discussion and Analysis of Financial Condition and Results of Operations, and elsewhere in this Quarterly Report on Form 10-Q (this “Quarterly Report”), based on our management’s beliefs and assumptions and on information currently available to our management. Forward-looking statements include, among other things, the information concerning: our possible or assumed future results of operations and growth opportunities, revenues, financial condition, leverage, liquidity, returns on investments, margins and related financing, development and rental profits; dividend payments; business strategies; financing plans and the adequacy of capital to meet short-term and long-term liquidity requirements; our competitive position; our plans to pursue growth opportunities; our expectations regarding average consumer financing interest rates and our financing profit margin; our expectations regarding the objectives, costs and benefits of our Strategic Business Operations office including revenue growth, operational efficiencies and savings, and benefits for our owners; our ability to reduce our corporate debt, net of cash and equivalents, to Adjusted EBITDA ratio; our expectations regarding inventory spending in 2025, the impact of inventory repurchases and timing of payments for inventory; taxes; our ability to securitize consumer loans; and expectations related to sales reserves, delinquencies and default rates. 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 </w:t>
      </w:r>
    </w:p>
    <w:p>
      <w:pPr>
        <w:pStyle w:val="TextBody"/>
        <w:bidi w:val="0"/>
        <w:spacing w:lineRule="auto" w:line="288" w:before="120" w:after="283"/>
        <w:jc w:val="left"/>
        <w:rPr/>
      </w:pPr>
      <w:r>
        <w:rPr>
          <w:rFonts w:ascii="Times New Roman;serif" w:hAnsi="Times New Roman;serif"/>
          <w:b w:val="false"/>
          <w:color w:val="000000"/>
          <w:sz w:val="20"/>
        </w:rPr>
        <w:t>Forward-looking statements involve risks, uncertainties and assumptions. Actual results may differ materially from those expressed in these forward-looking statements. We caution you that these statements are not guarantees of future performance and are subject to numerous and evolving risks and uncertainties that we may not be able to predict or assess, such as: uncertainty in the current global macroeconomic environment created by rapid governmental policy and regulatory changes, including those affecting international trade;</w:t>
      </w:r>
      <w:r>
        <w:rPr>
          <w:color w:val="000000"/>
        </w:rPr>
        <w:t xml:space="preserve"> </w:t>
      </w:r>
      <w:r>
        <w:rPr>
          <w:rFonts w:ascii="Times New Roman;serif" w:hAnsi="Times New Roman;serif"/>
          <w:b w:val="false"/>
          <w:color w:val="000000"/>
          <w:sz w:val="20"/>
        </w:rPr>
        <w:t xml:space="preserve">a future health crisis and responses to a health crisis, including possible quarantines or other government imposed travel or health-related restrictions and the effects of a health crisis, including the short and longer-term impact on consumer confidence and demand for travel and the pace of recovery following a health crisis; variations in demand for vacation ownership and exchange products and services; failure of vendors and other third parties to timely comply with their contractual obligations; worker absenteeism; price inflation; difficulties associated with implementing new or maintaining existing technology; the ability to use artificial intelligence (“AI”) technologies successfully and potential business, compliance, or reputational risks associated with the use of AI technologies; changes in privacy laws; the impact of a future banking crisis; impacts from natural or man-made disasters and wildfires, including the Maui and Los Angeles area wildfires; delinquency and default rates; global supply chain disruptions; volatility in the international and national economy and credit markets, including as a result of the ongoing conflicts between Russia and Ukraine, Israel and Gaza, Israel and Iran, and elsewhere in the world and related sanctions and other measures; our ability to attract and retain our global workforce; competitive conditions; the availability of capital to finance growth; the impact of changes in interest rates; the effects of steps we have taken and may continue to take to reduce operating costs and accelerate growth and profitability; political or social strife; and other matters referred to under the heading “Risk Factors” contained herein and also in our 2024 Annual Report, and which may be updated in our future periodic filings with the U.S. Securities and Exchange Commission (the “SEC”).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All forward-looking statements in this Quarterly Report apply only as of the date of this Quarterly Report or as of the date they were made or as otherwise specified herein. We do not undertake any obligation to publicly update or revise any forward-looking statement, whether as a result of new information, future events, or otherwise, except as required by law. You should not put undue reliance on any forward-looking statements in this Quarterly Report.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risk factors discussed in “Risk Factors” in our 2024 Annual Report and under Item 1A of Part II of this Quarterly Report could cause actual results to differ materially from those expressed or implied in forward-looking statements in this Quarterly Report.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Financial Statements (as defined below), which we discuss below, reflect our historical financial condition, results of operations and cash flows. The financial information discussed below and included in this Quarterly Report may not, however, necessarily reflect what our financial condition, results of operations or cash flows may be in the future.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order to make this report easier to read, we refer to (i) our Interim Consolidated Financial Statements as our “Financial Statements,” (ii) our Interim Consolidated Statements of Income as our “Income Statements,” (iii) our Interim Consolidated Balance Sheets as our “Balance Sheets” and (iv) our Interim Consolidated Statements of Cash Flows as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color w:val="000000"/>
        </w:rPr>
      </w:pPr>
      <w:r>
        <w:rPr>
          <w:color w:val="000000"/>
        </w:rPr>
        <w:t>“</w:t>
      </w:r>
      <w:r>
        <w:rPr>
          <w:rFonts w:ascii="Times New Roman;serif" w:hAnsi="Times New Roman;serif"/>
          <w:b w:val="false"/>
          <w:color w:val="000000"/>
          <w:sz w:val="20"/>
        </w:rPr>
        <w:t>Cash Flows.” References throughout to numbered “Footnotes” refer to the numbered Notes in the Interim Condensed Notes to Consolidated Financial Statements included in this Quarterly Report.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routinely post important information, including news releases, announcements and other statements about our business and results of operations, that may be deemed material to investors on the Investor Relations section of our website, www.marriottvacationsworldwide.com. We use our website as a means of disclosing material, nonpublic information and for complying with our disclosure obligations under Regulation FD. Investors should monitor the Investor Relations section of our website in addition to following our press releases, filings with the SEC, public conference calls and webcasts. The information on our website is not part of, and is not incorporated by reference into,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are a leading global vacation company that offers vacation ownership, exchange, rental and resort and property management, along with related businesses, products and services. Our business operates in two reportable segments: Vacation Ownership and Exchange &amp; Third-Party Management.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Vacation Ownership segment includes a diverse portfolio of resorts that includes some of the world’s most iconic brands licensed under exclusive long-term relationships. We are the exclusive worldwide developer, marketer, seller and manager of vacation ownership and related products under the Marriott Vacation Club, Grand Residences by Marriott, Sheraton Vacation Club, Westin Vacation Club, and Hyatt Vacation Club brands. We are also the exclusive worldwide developer, marketer and seller of vacation ownership and related products under The Ritz-Carlton Club brand, and we have the non-exclusive right to develop, market and sell whole ownership residential products under The Ritz-Carlton Residences brand. We also have a license to use the St. Regis brand for specified fractional ownership products.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Vacation Ownership segment generates most of its revenues from four primary sources: selling vacation ownership products; managing vacation ownership resorts, clubs and owners’ associations; financing consumer purchases of vacation ownership products; and renting vacation ownership inventory.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Exchange &amp; Third-Party Management segment includes an exchange network and membership programs, as well as the provision of management services to other resorts and lodging properties. Exchange &amp; Third-Party Management revenue generally is fee-based and derived from membership, exchange and rental transactions, property and owners’ association management, and other related products and services. We provide these services through our Interval International and Aqua-Aston businesses.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 represents that portion of our results that are not allocable to our segments, including those relating to consolidated property owners’ associations (“Consolidated Property Owners’ Associations”).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Strategic Business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the fourth quarter of 2024, we announced the creation of a Strategic Business Operations office focused on accelerating our growth and driving operating efficiencies in all areas of our business while increasing organizational agility. We intend to: modernize and optimize our processes and systems, including through advanced technology and automation; increase sales efficiency and inventory optimization; and capture significant savings from initiatives related to procurement and corporate overhead. We believe that we can drive $150 million to $200 million of annualized benefits from these initiatives by the end of 2026, with approximately half of these benefits coming from cost savings and efficiencies and the balance from accelerating revenue growth. We also expect to realize additional savings that will benefit our owners’ maintenance fees. We expect to incur non-recurring cash costs related to these modernization initiatives of approximately $100 million in each of 2025 and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Performance Measures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measure operating performance using the key metrics described below:</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Contract sales from the sale of vacation ownership products</w:t>
      </w:r>
      <w:r>
        <w:rPr>
          <w:color w:val="000000"/>
        </w:rPr>
        <w:t xml:space="preserve"> </w:t>
      </w:r>
      <w:r>
        <w:rPr>
          <w:rFonts w:ascii="Times New Roman;serif" w:hAnsi="Times New Roman;serif"/>
          <w:b w:val="false"/>
          <w:color w:val="000000"/>
          <w:sz w:val="20"/>
        </w:rPr>
        <w:t>is considered to be an important operating measure because it reflects the pace of sales in our business.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Total contract sales include contract sales from the sale of vacation ownership products, including non-consolidated joint ventures.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Consolidated contract sales exclude contract sales from the sale of vacation ownership products for non-consolidated joint ventures.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Volume per guest</w:t>
      </w:r>
      <w:r>
        <w:rPr>
          <w:color w:val="000000"/>
        </w:rPr>
        <w:t xml:space="preserve"> </w:t>
      </w:r>
      <w:r>
        <w:rPr>
          <w:rFonts w:ascii="Times New Roman;serif" w:hAnsi="Times New Roman;serif"/>
          <w:b w:val="false"/>
          <w:color w:val="000000"/>
          <w:sz w:val="20"/>
        </w:rPr>
        <w:t xml:space="preserve">(“VPG”) is calculated by dividing consolidated vacation ownership contract sales, excluding fractional sales, telesales, resales, and other sales that are not attributed to a sales tour (referred to as </w:t>
      </w:r>
      <w:r>
        <w:rPr>
          <w:rFonts w:ascii="Times New Roman;serif" w:hAnsi="Times New Roman;serif"/>
          <w:b w:val="false"/>
          <w:i/>
          <w:color w:val="000000"/>
          <w:sz w:val="20"/>
        </w:rPr>
        <w:t>Tours</w:t>
      </w:r>
      <w:r>
        <w:rPr>
          <w:rFonts w:ascii="Times New Roman;serif" w:hAnsi="Times New Roman;serif"/>
          <w:b w:val="false"/>
          <w:color w:val="000000"/>
          <w:sz w:val="20"/>
        </w:rPr>
        <w:t>, see below), by the number of tours in a given period. We believe that VPG is valuable in evaluating the effectiveness of the sales process as it combines the impact of average contract price with the number of touring guests who make a purchase.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Tours</w:t>
      </w:r>
      <w:r>
        <w:rPr>
          <w:color w:val="000000"/>
        </w:rPr>
        <w:t xml:space="preserve"> </w:t>
      </w:r>
      <w:r>
        <w:rPr>
          <w:rFonts w:ascii="Times New Roman;serif" w:hAnsi="Times New Roman;serif"/>
          <w:b w:val="false"/>
          <w:color w:val="000000"/>
          <w:sz w:val="20"/>
        </w:rPr>
        <w:t>is the number of sales tours performed during the applicable period, and generally includes virtual and offsite sales tours, and excludes telesales. We believe that Tours is a valuable metric because it represents the volume of touring guests.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 xml:space="preserve">Development profit margin </w:t>
      </w:r>
      <w:r>
        <w:rPr>
          <w:rFonts w:ascii="Times New Roman;serif" w:hAnsi="Times New Roman;serif"/>
          <w:b w:val="false"/>
          <w:color w:val="000000"/>
          <w:sz w:val="20"/>
        </w:rPr>
        <w:t>is calculated by dividing Development profit by revenues from the sale of vacation ownership products. We refer to revenues from the sale of vacation ownership products less the cost of vacation ownership products and marketing and sales costs as Development profit. We believe that Development profit margin is an important measure of the profitability of our development and subsequent marketing and sales of VOIs.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Total active members</w:t>
      </w:r>
      <w:r>
        <w:rPr>
          <w:color w:val="000000"/>
        </w:rPr>
        <w:t xml:space="preserve"> </w:t>
      </w:r>
      <w:r>
        <w:rPr>
          <w:rFonts w:ascii="Times New Roman;serif" w:hAnsi="Times New Roman;serif"/>
          <w:b w:val="false"/>
          <w:color w:val="000000"/>
          <w:sz w:val="20"/>
        </w:rPr>
        <w:t>is the number of Interval Network active members at the end of the applicable period. We consider active members to be an important metric because it represents the population of owners eligible to book transactions using the Interval Network.</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Average revenue per member</w:t>
      </w:r>
      <w:r>
        <w:rPr>
          <w:color w:val="000000"/>
        </w:rPr>
        <w:t xml:space="preserve"> </w:t>
      </w:r>
      <w:r>
        <w:rPr>
          <w:rFonts w:ascii="Times New Roman;serif" w:hAnsi="Times New Roman;serif"/>
          <w:b w:val="false"/>
          <w:color w:val="000000"/>
          <w:sz w:val="20"/>
        </w:rPr>
        <w:t>is calculated by dividing membership fee revenue, transaction revenue, rental revenue, and other member revenue for the Interval Network by the monthly weighted average number of Interval Network active members during the applicable period. We believe this metric is valuable in measuring the overall engagement of our Interval Network active members.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Segment financial results attributable to common stockholders</w:t>
      </w:r>
      <w:r>
        <w:rPr>
          <w:color w:val="000000"/>
        </w:rPr>
        <w:t xml:space="preserve"> </w:t>
      </w:r>
      <w:r>
        <w:rPr>
          <w:rFonts w:ascii="Times New Roman;serif" w:hAnsi="Times New Roman;serif"/>
          <w:b w:val="false"/>
          <w:color w:val="000000"/>
          <w:sz w:val="20"/>
        </w:rPr>
        <w:t xml:space="preserve">represents revenues less expenses directly attributable to each applicable reportable business segment (Vacation Ownership and Exchange &amp; Third-Party Management). We consider this measure to be important in evaluating the performance of our reportable business segments. See Footnote 16 “Business Segments” to our Financial Statements for further information about our reportable business segments.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Adjusted EBITDA margin</w:t>
      </w:r>
      <w:r>
        <w:rPr>
          <w:color w:val="000000"/>
        </w:rPr>
        <w:t xml:space="preserve"> </w:t>
      </w:r>
      <w:r>
        <w:rPr>
          <w:rFonts w:ascii="Times New Roman;serif" w:hAnsi="Times New Roman;serif"/>
          <w:b w:val="false"/>
          <w:color w:val="000000"/>
          <w:sz w:val="20"/>
        </w:rPr>
        <w:t>represents Adjusted EBITDA divided by the Company’s total revenues less cost reimbursements revenues.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i/>
          <w:color w:val="000000"/>
          <w:sz w:val="20"/>
        </w:rPr>
        <w:t>Segment Adjusted EBITDA</w:t>
      </w:r>
      <w:r>
        <w:rPr>
          <w:color w:val="000000"/>
        </w:rPr>
        <w:t xml:space="preserve"> </w:t>
      </w:r>
      <w:r>
        <w:rPr>
          <w:rFonts w:ascii="Times New Roman;serif" w:hAnsi="Times New Roman;serif"/>
          <w:b w:val="false"/>
          <w:i/>
          <w:color w:val="000000"/>
          <w:sz w:val="20"/>
        </w:rPr>
        <w:t>margin</w:t>
      </w:r>
      <w:r>
        <w:rPr>
          <w:color w:val="000000"/>
        </w:rPr>
        <w:t xml:space="preserve"> </w:t>
      </w:r>
      <w:r>
        <w:rPr>
          <w:rFonts w:ascii="Times New Roman;serif" w:hAnsi="Times New Roman;serif"/>
          <w:b w:val="false"/>
          <w:color w:val="000000"/>
          <w:sz w:val="20"/>
        </w:rPr>
        <w:t xml:space="preserve">represents Segment Adjusted EBITDA divided by the applicable segment’s total revenues less cost reimbursements revenues.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Consolidated Results</w:t>
      </w:r>
    </w:p>
    <w:tbl>
      <w:tblPr>
        <w:tblW w:w="10205" w:type="dxa"/>
        <w:jc w:val="center"/>
        <w:tblInd w:w="0" w:type="dxa"/>
        <w:tblLayout w:type="fixed"/>
        <w:tblCellMar>
          <w:top w:w="28" w:type="dxa"/>
          <w:left w:w="28" w:type="dxa"/>
          <w:bottom w:w="28" w:type="dxa"/>
          <w:right w:w="28" w:type="dxa"/>
        </w:tblCellMar>
      </w:tblPr>
      <w:tblGrid>
        <w:gridCol w:w="2040"/>
        <w:gridCol w:w="1521"/>
        <w:gridCol w:w="1533"/>
        <w:gridCol w:w="274"/>
        <w:gridCol w:w="605"/>
        <w:gridCol w:w="141"/>
        <w:gridCol w:w="109"/>
        <w:gridCol w:w="109"/>
        <w:gridCol w:w="109"/>
        <w:gridCol w:w="274"/>
        <w:gridCol w:w="605"/>
        <w:gridCol w:w="141"/>
        <w:gridCol w:w="109"/>
        <w:gridCol w:w="109"/>
        <w:gridCol w:w="109"/>
        <w:gridCol w:w="274"/>
        <w:gridCol w:w="605"/>
        <w:gridCol w:w="141"/>
        <w:gridCol w:w="109"/>
        <w:gridCol w:w="109"/>
        <w:gridCol w:w="109"/>
        <w:gridCol w:w="270"/>
        <w:gridCol w:w="597"/>
        <w:gridCol w:w="203"/>
      </w:tblGrid>
      <w:tr>
        <w:trPr/>
        <w:tc>
          <w:tcPr>
            <w:tcW w:w="2040"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5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0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vacation ownership products</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and exchange</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reimbursements</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0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vacation ownership products</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sales</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and exchange</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charges</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fee</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reimbursements</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EXPENSES</w:t>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and other income (expense), net</w:t>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 AND NONCONTROLLING INTERESTS</w:t>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COMMON STOCKHOLDERS</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Operating Statistics</w:t>
      </w:r>
    </w:p>
    <w:tbl>
      <w:tblPr>
        <w:tblW w:w="10205" w:type="dxa"/>
        <w:jc w:val="center"/>
        <w:tblInd w:w="0" w:type="dxa"/>
        <w:tblLayout w:type="fixed"/>
        <w:tblCellMar>
          <w:top w:w="28" w:type="dxa"/>
          <w:left w:w="28" w:type="dxa"/>
          <w:bottom w:w="28" w:type="dxa"/>
          <w:right w:w="28" w:type="dxa"/>
        </w:tblCellMar>
      </w:tblPr>
      <w:tblGrid>
        <w:gridCol w:w="909"/>
        <w:gridCol w:w="364"/>
        <w:gridCol w:w="354"/>
        <w:gridCol w:w="216"/>
        <w:gridCol w:w="631"/>
        <w:gridCol w:w="111"/>
        <w:gridCol w:w="109"/>
        <w:gridCol w:w="109"/>
        <w:gridCol w:w="109"/>
        <w:gridCol w:w="216"/>
        <w:gridCol w:w="631"/>
        <w:gridCol w:w="111"/>
        <w:gridCol w:w="109"/>
        <w:gridCol w:w="109"/>
        <w:gridCol w:w="109"/>
        <w:gridCol w:w="211"/>
        <w:gridCol w:w="532"/>
        <w:gridCol w:w="109"/>
        <w:gridCol w:w="109"/>
        <w:gridCol w:w="109"/>
        <w:gridCol w:w="109"/>
        <w:gridCol w:w="115"/>
        <w:gridCol w:w="115"/>
        <w:gridCol w:w="117"/>
        <w:gridCol w:w="109"/>
        <w:gridCol w:w="109"/>
        <w:gridCol w:w="109"/>
        <w:gridCol w:w="216"/>
        <w:gridCol w:w="631"/>
        <w:gridCol w:w="111"/>
        <w:gridCol w:w="109"/>
        <w:gridCol w:w="109"/>
        <w:gridCol w:w="109"/>
        <w:gridCol w:w="216"/>
        <w:gridCol w:w="631"/>
        <w:gridCol w:w="111"/>
        <w:gridCol w:w="109"/>
        <w:gridCol w:w="109"/>
        <w:gridCol w:w="109"/>
        <w:gridCol w:w="211"/>
        <w:gridCol w:w="532"/>
        <w:gridCol w:w="109"/>
        <w:gridCol w:w="109"/>
        <w:gridCol w:w="109"/>
        <w:gridCol w:w="109"/>
        <w:gridCol w:w="115"/>
        <w:gridCol w:w="115"/>
        <w:gridCol w:w="176"/>
      </w:tblGrid>
      <w:tr>
        <w:trPr/>
        <w:tc>
          <w:tcPr>
            <w:tcW w:w="9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(Contract sales $ in millions)</w:t>
            </w:r>
          </w:p>
        </w:tc>
        <w:tc>
          <w:tcPr>
            <w:tcW w:w="9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Vacation Ownership</w:t>
            </w:r>
          </w:p>
        </w:tc>
        <w:tc>
          <w:tcPr>
            <w:tcW w:w="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 sales</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contract sales</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Joint venture contract sales</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VPG</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Tours</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114,402 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Exchange &amp; Third-Party Management</w:t>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active members at end of period (000's)</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revenue per member</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Revenues</w:t>
      </w:r>
    </w:p>
    <w:tbl>
      <w:tblPr>
        <w:tblW w:w="10205" w:type="dxa"/>
        <w:jc w:val="center"/>
        <w:tblInd w:w="0" w:type="dxa"/>
        <w:tblLayout w:type="fixed"/>
        <w:tblCellMar>
          <w:top w:w="28" w:type="dxa"/>
          <w:left w:w="28" w:type="dxa"/>
          <w:bottom w:w="28" w:type="dxa"/>
          <w:right w:w="28" w:type="dxa"/>
        </w:tblCellMar>
      </w:tblPr>
      <w:tblGrid>
        <w:gridCol w:w="765"/>
        <w:gridCol w:w="512"/>
        <w:gridCol w:w="403"/>
        <w:gridCol w:w="219"/>
        <w:gridCol w:w="641"/>
        <w:gridCol w:w="113"/>
        <w:gridCol w:w="109"/>
        <w:gridCol w:w="109"/>
        <w:gridCol w:w="109"/>
        <w:gridCol w:w="219"/>
        <w:gridCol w:w="641"/>
        <w:gridCol w:w="113"/>
        <w:gridCol w:w="109"/>
        <w:gridCol w:w="109"/>
        <w:gridCol w:w="109"/>
        <w:gridCol w:w="211"/>
        <w:gridCol w:w="466"/>
        <w:gridCol w:w="109"/>
        <w:gridCol w:w="109"/>
        <w:gridCol w:w="109"/>
        <w:gridCol w:w="109"/>
        <w:gridCol w:w="160"/>
        <w:gridCol w:w="153"/>
        <w:gridCol w:w="117"/>
        <w:gridCol w:w="109"/>
        <w:gridCol w:w="109"/>
        <w:gridCol w:w="109"/>
        <w:gridCol w:w="219"/>
        <w:gridCol w:w="641"/>
        <w:gridCol w:w="113"/>
        <w:gridCol w:w="109"/>
        <w:gridCol w:w="109"/>
        <w:gridCol w:w="109"/>
        <w:gridCol w:w="384"/>
        <w:gridCol w:w="258"/>
        <w:gridCol w:w="200"/>
        <w:gridCol w:w="109"/>
        <w:gridCol w:w="109"/>
        <w:gridCol w:w="109"/>
        <w:gridCol w:w="211"/>
        <w:gridCol w:w="466"/>
        <w:gridCol w:w="109"/>
        <w:gridCol w:w="109"/>
        <w:gridCol w:w="109"/>
        <w:gridCol w:w="109"/>
        <w:gridCol w:w="136"/>
        <w:gridCol w:w="136"/>
        <w:gridCol w:w="201"/>
      </w:tblGrid>
      <w:tr>
        <w:trPr/>
        <w:tc>
          <w:tcPr>
            <w:tcW w:w="765"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Vacation Ownership</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&amp; Third-Party Management</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Revenues</w:t>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Property Owners’ Associations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Earnings Before Interest Expense, Taxes, Depreciation and Amortization (“EBITDA”) and Adjusted EBITDA</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EBITDA, a financial measure that is not prescribed by GAAP, is defined as earnings, or net income attributable to common stockholders, before interest expense, net (excluding consumer financing interest expense associated with term securitization transactions), income taxes, depreciation and amortization. Adjusted EBITDA reflects additional adjustments for certain items, and excludes share-based compensation expense and amortization of cloud computing software implementation costs. Share-based compensation expense is excluded to address considerable variability among companies in recording compensation expense because companies use share-based payment awards differently, both in the type and quantity of awards granted. During the first quarter of 2025, we began excluding Amortization of cloud computing software implementation costs, which are not included in depreciation and amortization, from Adjusted EBITDA for comparability purposes to address the considerable variability among companies in the utilization of productive assets, and have reclassified prior year amounts to conform with our current year presentation.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purposes of our EBITDA, Adjusted EBITDA, and Adjusted EBITDA margin calculations, we do not adjust for consumer financing interest expense associated with term securitization transactions because we consider it to be an operating expense of our business. We consider Adjusted EBITDA to be an indicator of operating performance, which we use to measure our ability to service debt, fund capital expenditures, expand our business, and return cash to stockholders. We consider Adjusted EBITDA margin to be an indicator of our operating profitability.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also use Adjusted EBITDA and Adjusted EBITDA margin, as do analysts, lenders, investors, and others, because these measures exclude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provisions for income taxes can vary considerably among companies. EBITDA, Adjusted EBITDA, and Adjusted EBITDA margin also exclude depreciation and amortization, as well as amortization of cloud computing software implementation costs because companies utilize productive assets of different ages and use different methods of both acquiring and depreciating or amortizing productive assets. These differences can result in considerable variability in the relative costs of productive assets and the depreciation and amortization expense among companies.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believe Adjusted EBITDA and Adjusted EBITDA margin are useful as indicators of operating performance and profitability, respectively, because they allow for period-over-period comparisons of our ongoing core operations before the impact of the excluded items. Adjusted EBITDA and Adjusted EBITDA margin also facilitate comparisons by us, analysts, investors, and others of results from our ongoing core operations before the impact of these items with results from other companies.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EBITDA, Adjusted EBITDA, and Adjusted EBITDA margin have limitations and should not be considered in isolation or as a substitute for performance measures calculated in accordance with GAAP. In addition, other companies in our industry may calculate EBITDA, Adjusted EBITDA, and Adjusted EBITDA margin differently than we do or may not calculate them at all, limiting their usefulness as comparative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table below shows our EBITDA and Adjusted EBITDA calculation and reconciles these measures with net income attributable to common stockholders, which is the most directly comparable GAAP financial measure.</w:t>
      </w:r>
    </w:p>
    <w:tbl>
      <w:tblPr>
        <w:tblW w:w="10205" w:type="dxa"/>
        <w:jc w:val="center"/>
        <w:tblInd w:w="0" w:type="dxa"/>
        <w:tblLayout w:type="fixed"/>
        <w:tblCellMar>
          <w:top w:w="28" w:type="dxa"/>
          <w:left w:w="28" w:type="dxa"/>
          <w:bottom w:w="28" w:type="dxa"/>
          <w:right w:w="28" w:type="dxa"/>
        </w:tblCellMar>
      </w:tblPr>
      <w:tblGrid>
        <w:gridCol w:w="925"/>
        <w:gridCol w:w="633"/>
        <w:gridCol w:w="640"/>
        <w:gridCol w:w="230"/>
        <w:gridCol w:w="509"/>
        <w:gridCol w:w="119"/>
        <w:gridCol w:w="109"/>
        <w:gridCol w:w="109"/>
        <w:gridCol w:w="109"/>
        <w:gridCol w:w="230"/>
        <w:gridCol w:w="509"/>
        <w:gridCol w:w="119"/>
        <w:gridCol w:w="109"/>
        <w:gridCol w:w="109"/>
        <w:gridCol w:w="109"/>
        <w:gridCol w:w="211"/>
        <w:gridCol w:w="361"/>
        <w:gridCol w:w="109"/>
        <w:gridCol w:w="109"/>
        <w:gridCol w:w="109"/>
        <w:gridCol w:w="109"/>
        <w:gridCol w:w="165"/>
        <w:gridCol w:w="150"/>
        <w:gridCol w:w="120"/>
        <w:gridCol w:w="109"/>
        <w:gridCol w:w="109"/>
        <w:gridCol w:w="109"/>
        <w:gridCol w:w="230"/>
        <w:gridCol w:w="509"/>
        <w:gridCol w:w="119"/>
        <w:gridCol w:w="109"/>
        <w:gridCol w:w="109"/>
        <w:gridCol w:w="109"/>
        <w:gridCol w:w="230"/>
        <w:gridCol w:w="509"/>
        <w:gridCol w:w="119"/>
        <w:gridCol w:w="109"/>
        <w:gridCol w:w="109"/>
        <w:gridCol w:w="109"/>
        <w:gridCol w:w="211"/>
        <w:gridCol w:w="361"/>
        <w:gridCol w:w="109"/>
        <w:gridCol w:w="109"/>
        <w:gridCol w:w="109"/>
        <w:gridCol w:w="109"/>
        <w:gridCol w:w="158"/>
        <w:gridCol w:w="154"/>
        <w:gridCol w:w="177"/>
      </w:tblGrid>
      <w:tr>
        <w:trPr/>
        <w:tc>
          <w:tcPr>
            <w:tcW w:w="925"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1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2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2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r>
      <w:tr>
        <w:trPr/>
        <w:tc>
          <w:tcPr>
            <w:tcW w:w="2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2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7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2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2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cloud computing software implementation costs</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Certain items</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2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Margin</w:t>
            </w:r>
          </w:p>
        </w:tc>
        <w:tc>
          <w:tcPr>
            <w:tcW w:w="85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9"/>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360.0 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9"/>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 pts</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first quarter of 2025, we began excluding Amortization of cloud computing software implementation costs, which are not included in Depreciation and amortization, from Adjusted EBITDA, and have reclassified prior year amounts to conform with our current year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table below details the components of Certain items for the periods presented.</w:t>
      </w:r>
    </w:p>
    <w:tbl>
      <w:tblPr>
        <w:tblW w:w="10205" w:type="dxa"/>
        <w:jc w:val="center"/>
        <w:tblInd w:w="0" w:type="dxa"/>
        <w:tblLayout w:type="fixed"/>
        <w:tblCellMar>
          <w:top w:w="28" w:type="dxa"/>
          <w:left w:w="28" w:type="dxa"/>
          <w:bottom w:w="28" w:type="dxa"/>
          <w:right w:w="28" w:type="dxa"/>
        </w:tblCellMar>
      </w:tblPr>
      <w:tblGrid>
        <w:gridCol w:w="1744"/>
        <w:gridCol w:w="1497"/>
        <w:gridCol w:w="1494"/>
        <w:gridCol w:w="322"/>
        <w:gridCol w:w="623"/>
        <w:gridCol w:w="166"/>
        <w:gridCol w:w="109"/>
        <w:gridCol w:w="109"/>
        <w:gridCol w:w="109"/>
        <w:gridCol w:w="342"/>
        <w:gridCol w:w="588"/>
        <w:gridCol w:w="176"/>
        <w:gridCol w:w="109"/>
        <w:gridCol w:w="109"/>
        <w:gridCol w:w="109"/>
        <w:gridCol w:w="322"/>
        <w:gridCol w:w="622"/>
        <w:gridCol w:w="166"/>
        <w:gridCol w:w="109"/>
        <w:gridCol w:w="109"/>
        <w:gridCol w:w="109"/>
        <w:gridCol w:w="335"/>
        <w:gridCol w:w="573"/>
        <w:gridCol w:w="254"/>
      </w:tblGrid>
      <w:tr>
        <w:trPr/>
        <w:tc>
          <w:tcPr>
            <w:tcW w:w="1744"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4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r>
      <w:tr>
        <w:trPr/>
        <w:tc>
          <w:tcPr>
            <w:tcW w:w="4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disposition of hotel, land, and other</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proceeds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indemnification asset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estimates relating to pre-acquisition contingencies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and other (income) expense, net</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accounting adjustments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charges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Certain items</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2024, we discontinued classifying costs associated with the continued integration of Welk in Transaction and integration costs. Welk integration costs incurred after this period are reflected in the operating results of each of our segments and/or General and administrative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Segment Adjusted EBITDA</w:t>
      </w:r>
    </w:p>
    <w:tbl>
      <w:tblPr>
        <w:tblW w:w="10205" w:type="dxa"/>
        <w:jc w:val="center"/>
        <w:tblInd w:w="0" w:type="dxa"/>
        <w:tblLayout w:type="fixed"/>
        <w:tblCellMar>
          <w:top w:w="28" w:type="dxa"/>
          <w:left w:w="28" w:type="dxa"/>
          <w:bottom w:w="28" w:type="dxa"/>
          <w:right w:w="28" w:type="dxa"/>
        </w:tblCellMar>
      </w:tblPr>
      <w:tblGrid>
        <w:gridCol w:w="842"/>
        <w:gridCol w:w="583"/>
        <w:gridCol w:w="495"/>
        <w:gridCol w:w="243"/>
        <w:gridCol w:w="537"/>
        <w:gridCol w:w="125"/>
        <w:gridCol w:w="109"/>
        <w:gridCol w:w="109"/>
        <w:gridCol w:w="109"/>
        <w:gridCol w:w="243"/>
        <w:gridCol w:w="537"/>
        <w:gridCol w:w="125"/>
        <w:gridCol w:w="109"/>
        <w:gridCol w:w="109"/>
        <w:gridCol w:w="109"/>
        <w:gridCol w:w="211"/>
        <w:gridCol w:w="361"/>
        <w:gridCol w:w="109"/>
        <w:gridCol w:w="109"/>
        <w:gridCol w:w="109"/>
        <w:gridCol w:w="109"/>
        <w:gridCol w:w="200"/>
        <w:gridCol w:w="140"/>
        <w:gridCol w:w="138"/>
        <w:gridCol w:w="109"/>
        <w:gridCol w:w="109"/>
        <w:gridCol w:w="109"/>
        <w:gridCol w:w="243"/>
        <w:gridCol w:w="537"/>
        <w:gridCol w:w="125"/>
        <w:gridCol w:w="109"/>
        <w:gridCol w:w="109"/>
        <w:gridCol w:w="109"/>
        <w:gridCol w:w="243"/>
        <w:gridCol w:w="537"/>
        <w:gridCol w:w="125"/>
        <w:gridCol w:w="109"/>
        <w:gridCol w:w="109"/>
        <w:gridCol w:w="109"/>
        <w:gridCol w:w="211"/>
        <w:gridCol w:w="361"/>
        <w:gridCol w:w="109"/>
        <w:gridCol w:w="109"/>
        <w:gridCol w:w="109"/>
        <w:gridCol w:w="109"/>
        <w:gridCol w:w="189"/>
        <w:gridCol w:w="144"/>
        <w:gridCol w:w="203"/>
      </w:tblGrid>
      <w:tr>
        <w:trPr/>
        <w:tc>
          <w:tcPr>
            <w:tcW w:w="84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Vacation Ownership</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&amp; Third-Party Management</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adjusted EBITDA</w:t>
            </w:r>
          </w:p>
        </w:tc>
        <w:tc>
          <w:tcPr>
            <w:tcW w:w="7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segment financial results attributable to common stockholders reconciled to segment Adjusted EBITDA.</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Vacation Ownership</w:t>
      </w:r>
    </w:p>
    <w:tbl>
      <w:tblPr>
        <w:tblW w:w="10205" w:type="dxa"/>
        <w:jc w:val="center"/>
        <w:tblInd w:w="0" w:type="dxa"/>
        <w:tblLayout w:type="fixed"/>
        <w:tblCellMar>
          <w:top w:w="28" w:type="dxa"/>
          <w:left w:w="28" w:type="dxa"/>
          <w:bottom w:w="28" w:type="dxa"/>
          <w:right w:w="28" w:type="dxa"/>
        </w:tblCellMar>
      </w:tblPr>
      <w:tblGrid>
        <w:gridCol w:w="1166"/>
        <w:gridCol w:w="520"/>
        <w:gridCol w:w="515"/>
        <w:gridCol w:w="230"/>
        <w:gridCol w:w="509"/>
        <w:gridCol w:w="119"/>
        <w:gridCol w:w="109"/>
        <w:gridCol w:w="109"/>
        <w:gridCol w:w="109"/>
        <w:gridCol w:w="230"/>
        <w:gridCol w:w="509"/>
        <w:gridCol w:w="119"/>
        <w:gridCol w:w="109"/>
        <w:gridCol w:w="109"/>
        <w:gridCol w:w="109"/>
        <w:gridCol w:w="211"/>
        <w:gridCol w:w="361"/>
        <w:gridCol w:w="109"/>
        <w:gridCol w:w="109"/>
        <w:gridCol w:w="109"/>
        <w:gridCol w:w="109"/>
        <w:gridCol w:w="160"/>
        <w:gridCol w:w="153"/>
        <w:gridCol w:w="119"/>
        <w:gridCol w:w="109"/>
        <w:gridCol w:w="109"/>
        <w:gridCol w:w="109"/>
        <w:gridCol w:w="230"/>
        <w:gridCol w:w="509"/>
        <w:gridCol w:w="119"/>
        <w:gridCol w:w="109"/>
        <w:gridCol w:w="109"/>
        <w:gridCol w:w="109"/>
        <w:gridCol w:w="230"/>
        <w:gridCol w:w="509"/>
        <w:gridCol w:w="119"/>
        <w:gridCol w:w="109"/>
        <w:gridCol w:w="109"/>
        <w:gridCol w:w="109"/>
        <w:gridCol w:w="211"/>
        <w:gridCol w:w="361"/>
        <w:gridCol w:w="109"/>
        <w:gridCol w:w="109"/>
        <w:gridCol w:w="109"/>
        <w:gridCol w:w="109"/>
        <w:gridCol w:w="154"/>
        <w:gridCol w:w="154"/>
        <w:gridCol w:w="181"/>
      </w:tblGrid>
      <w:tr>
        <w:trPr/>
        <w:tc>
          <w:tcPr>
            <w:tcW w:w="116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financial results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2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2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2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cloud computing software implementation costs</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Certain items</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2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Adjusted EBITDA Margin</w:t>
            </w:r>
          </w:p>
        </w:tc>
        <w:tc>
          <w:tcPr>
            <w:tcW w:w="85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9"/>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29.5%</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9"/>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 pts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table below details the components of Certain items for Vacation Ownership segment financial results.</w:t>
      </w:r>
    </w:p>
    <w:tbl>
      <w:tblPr>
        <w:tblW w:w="10205" w:type="dxa"/>
        <w:jc w:val="center"/>
        <w:tblInd w:w="0" w:type="dxa"/>
        <w:tblLayout w:type="fixed"/>
        <w:tblCellMar>
          <w:top w:w="28" w:type="dxa"/>
          <w:left w:w="28" w:type="dxa"/>
          <w:bottom w:w="28" w:type="dxa"/>
          <w:right w:w="28" w:type="dxa"/>
        </w:tblCellMar>
      </w:tblPr>
      <w:tblGrid>
        <w:gridCol w:w="1739"/>
        <w:gridCol w:w="1500"/>
        <w:gridCol w:w="1496"/>
        <w:gridCol w:w="322"/>
        <w:gridCol w:w="622"/>
        <w:gridCol w:w="166"/>
        <w:gridCol w:w="111"/>
        <w:gridCol w:w="111"/>
        <w:gridCol w:w="111"/>
        <w:gridCol w:w="358"/>
        <w:gridCol w:w="557"/>
        <w:gridCol w:w="184"/>
        <w:gridCol w:w="109"/>
        <w:gridCol w:w="109"/>
        <w:gridCol w:w="109"/>
        <w:gridCol w:w="322"/>
        <w:gridCol w:w="622"/>
        <w:gridCol w:w="166"/>
        <w:gridCol w:w="109"/>
        <w:gridCol w:w="109"/>
        <w:gridCol w:w="109"/>
        <w:gridCol w:w="335"/>
        <w:gridCol w:w="574"/>
        <w:gridCol w:w="255"/>
      </w:tblGrid>
      <w:tr>
        <w:trPr/>
        <w:tc>
          <w:tcPr>
            <w:tcW w:w="1739"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4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r>
      <w:tr>
        <w:trPr/>
        <w:tc>
          <w:tcPr>
            <w:tcW w:w="4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disposition of hotel, land, and other</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4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proceeds</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4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estimates relating to pre-acquisition contingencies</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and other income, net</w:t>
            </w:r>
          </w:p>
        </w:tc>
        <w:tc>
          <w:tcPr>
            <w:tcW w:w="9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473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473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473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473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473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4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accounting adjustments</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charges</w:t>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4735"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4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Certain items</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Exchange &amp; Third-Party Management</w:t>
      </w:r>
    </w:p>
    <w:tbl>
      <w:tblPr>
        <w:tblW w:w="10205" w:type="dxa"/>
        <w:jc w:val="center"/>
        <w:tblInd w:w="0" w:type="dxa"/>
        <w:tblLayout w:type="fixed"/>
        <w:tblCellMar>
          <w:top w:w="28" w:type="dxa"/>
          <w:left w:w="28" w:type="dxa"/>
          <w:bottom w:w="28" w:type="dxa"/>
          <w:right w:w="28" w:type="dxa"/>
        </w:tblCellMar>
      </w:tblPr>
      <w:tblGrid>
        <w:gridCol w:w="945"/>
        <w:gridCol w:w="561"/>
        <w:gridCol w:w="559"/>
        <w:gridCol w:w="279"/>
        <w:gridCol w:w="477"/>
        <w:gridCol w:w="144"/>
        <w:gridCol w:w="109"/>
        <w:gridCol w:w="109"/>
        <w:gridCol w:w="109"/>
        <w:gridCol w:w="279"/>
        <w:gridCol w:w="477"/>
        <w:gridCol w:w="144"/>
        <w:gridCol w:w="109"/>
        <w:gridCol w:w="109"/>
        <w:gridCol w:w="109"/>
        <w:gridCol w:w="211"/>
        <w:gridCol w:w="298"/>
        <w:gridCol w:w="109"/>
        <w:gridCol w:w="109"/>
        <w:gridCol w:w="109"/>
        <w:gridCol w:w="109"/>
        <w:gridCol w:w="169"/>
        <w:gridCol w:w="151"/>
        <w:gridCol w:w="141"/>
        <w:gridCol w:w="109"/>
        <w:gridCol w:w="109"/>
        <w:gridCol w:w="109"/>
        <w:gridCol w:w="279"/>
        <w:gridCol w:w="477"/>
        <w:gridCol w:w="144"/>
        <w:gridCol w:w="109"/>
        <w:gridCol w:w="109"/>
        <w:gridCol w:w="109"/>
        <w:gridCol w:w="279"/>
        <w:gridCol w:w="477"/>
        <w:gridCol w:w="144"/>
        <w:gridCol w:w="109"/>
        <w:gridCol w:w="109"/>
        <w:gridCol w:w="109"/>
        <w:gridCol w:w="211"/>
        <w:gridCol w:w="298"/>
        <w:gridCol w:w="109"/>
        <w:gridCol w:w="109"/>
        <w:gridCol w:w="109"/>
        <w:gridCol w:w="109"/>
        <w:gridCol w:w="177"/>
        <w:gridCol w:w="153"/>
        <w:gridCol w:w="224"/>
      </w:tblGrid>
      <w:tr>
        <w:trPr/>
        <w:tc>
          <w:tcPr>
            <w:tcW w:w="94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2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financial results</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Certain items</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Adjusted EBITDA Margin</w:t>
            </w:r>
          </w:p>
        </w:tc>
        <w:tc>
          <w:tcPr>
            <w:tcW w:w="90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9"/>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 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47.5%</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9"/>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 pts)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table below details the components of Certain items for Exchange and Third-Party Management segment financial results.</w:t>
      </w:r>
    </w:p>
    <w:tbl>
      <w:tblPr>
        <w:tblW w:w="7545" w:type="dxa"/>
        <w:jc w:val="center"/>
        <w:tblInd w:w="0" w:type="dxa"/>
        <w:tblLayout w:type="fixed"/>
        <w:tblCellMar>
          <w:top w:w="28" w:type="dxa"/>
          <w:left w:w="28" w:type="dxa"/>
          <w:bottom w:w="28" w:type="dxa"/>
          <w:right w:w="28" w:type="dxa"/>
        </w:tblCellMar>
      </w:tblPr>
      <w:tblGrid>
        <w:gridCol w:w="685"/>
        <w:gridCol w:w="600"/>
        <w:gridCol w:w="605"/>
        <w:gridCol w:w="335"/>
        <w:gridCol w:w="646"/>
        <w:gridCol w:w="173"/>
        <w:gridCol w:w="109"/>
        <w:gridCol w:w="109"/>
        <w:gridCol w:w="109"/>
        <w:gridCol w:w="335"/>
        <w:gridCol w:w="646"/>
        <w:gridCol w:w="173"/>
        <w:gridCol w:w="109"/>
        <w:gridCol w:w="109"/>
        <w:gridCol w:w="109"/>
        <w:gridCol w:w="423"/>
        <w:gridCol w:w="514"/>
        <w:gridCol w:w="217"/>
        <w:gridCol w:w="113"/>
        <w:gridCol w:w="113"/>
        <w:gridCol w:w="113"/>
        <w:gridCol w:w="408"/>
        <w:gridCol w:w="495"/>
        <w:gridCol w:w="297"/>
      </w:tblGrid>
      <w:tr>
        <w:trPr/>
        <w:tc>
          <w:tcPr>
            <w:tcW w:w="68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Certain items</w:t>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Business Segments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business is grouped into two reportable business segments: Vacation Ownership and Exchange &amp; Third-Party Management. See Footnote 16 “Business Segments” to our Financial Statements for further information about our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Vacation Ownership</w:t>
      </w:r>
    </w:p>
    <w:tbl>
      <w:tblPr>
        <w:tblW w:w="10205" w:type="dxa"/>
        <w:jc w:val="center"/>
        <w:tblInd w:w="0" w:type="dxa"/>
        <w:tblLayout w:type="fixed"/>
        <w:tblCellMar>
          <w:top w:w="28" w:type="dxa"/>
          <w:left w:w="28" w:type="dxa"/>
          <w:bottom w:w="28" w:type="dxa"/>
          <w:right w:w="28" w:type="dxa"/>
        </w:tblCellMar>
      </w:tblPr>
      <w:tblGrid>
        <w:gridCol w:w="2032"/>
        <w:gridCol w:w="1569"/>
        <w:gridCol w:w="1583"/>
        <w:gridCol w:w="267"/>
        <w:gridCol w:w="592"/>
        <w:gridCol w:w="138"/>
        <w:gridCol w:w="109"/>
        <w:gridCol w:w="109"/>
        <w:gridCol w:w="109"/>
        <w:gridCol w:w="267"/>
        <w:gridCol w:w="592"/>
        <w:gridCol w:w="138"/>
        <w:gridCol w:w="109"/>
        <w:gridCol w:w="109"/>
        <w:gridCol w:w="109"/>
        <w:gridCol w:w="267"/>
        <w:gridCol w:w="592"/>
        <w:gridCol w:w="138"/>
        <w:gridCol w:w="109"/>
        <w:gridCol w:w="109"/>
        <w:gridCol w:w="109"/>
        <w:gridCol w:w="264"/>
        <w:gridCol w:w="585"/>
        <w:gridCol w:w="200"/>
      </w:tblGrid>
      <w:tr>
        <w:trPr/>
        <w:tc>
          <w:tcPr>
            <w:tcW w:w="2032"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9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vacation ownership products</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Resort management and other services</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reimbursements</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8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vacation ownership products</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sales</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Resort management and other services</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charges</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fee</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reimbursements</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EXPENSES</w:t>
            </w:r>
          </w:p>
        </w:tc>
        <w:tc>
          <w:tcPr>
            <w:tcW w:w="8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and other income, net</w:t>
            </w:r>
          </w:p>
        </w:tc>
        <w:tc>
          <w:tcPr>
            <w:tcW w:w="8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184"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184"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FINANCIAL RESULTS ATTRIBUTABLE TO COMMON STOCKHOLDERS</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Sale of Vacation Ownership Products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Second Quarter and First Half</w:t>
      </w:r>
    </w:p>
    <w:tbl>
      <w:tblPr>
        <w:tblW w:w="15115" w:type="dxa"/>
        <w:jc w:val="center"/>
        <w:tblInd w:w="0" w:type="dxa"/>
        <w:tblLayout w:type="fixed"/>
        <w:tblCellMar>
          <w:top w:w="28" w:type="dxa"/>
          <w:left w:w="28" w:type="dxa"/>
          <w:bottom w:w="28" w:type="dxa"/>
          <w:right w:w="28" w:type="dxa"/>
        </w:tblCellMar>
      </w:tblPr>
      <w:tblGrid>
        <w:gridCol w:w="440"/>
        <w:gridCol w:w="386"/>
        <w:gridCol w:w="390"/>
        <w:gridCol w:w="211"/>
        <w:gridCol w:w="616"/>
        <w:gridCol w:w="109"/>
        <w:gridCol w:w="109"/>
        <w:gridCol w:w="109"/>
        <w:gridCol w:w="109"/>
        <w:gridCol w:w="375"/>
        <w:gridCol w:w="375"/>
        <w:gridCol w:w="376"/>
        <w:gridCol w:w="109"/>
        <w:gridCol w:w="109"/>
        <w:gridCol w:w="109"/>
        <w:gridCol w:w="211"/>
        <w:gridCol w:w="616"/>
        <w:gridCol w:w="109"/>
        <w:gridCol w:w="109"/>
        <w:gridCol w:w="109"/>
        <w:gridCol w:w="109"/>
        <w:gridCol w:w="375"/>
        <w:gridCol w:w="375"/>
        <w:gridCol w:w="376"/>
        <w:gridCol w:w="109"/>
        <w:gridCol w:w="109"/>
        <w:gridCol w:w="109"/>
        <w:gridCol w:w="211"/>
        <w:gridCol w:w="361"/>
        <w:gridCol w:w="109"/>
        <w:gridCol w:w="109"/>
        <w:gridCol w:w="110"/>
        <w:gridCol w:w="110"/>
        <w:gridCol w:w="111"/>
        <w:gridCol w:w="160"/>
        <w:gridCol w:w="160"/>
        <w:gridCol w:w="161"/>
        <w:gridCol w:w="211"/>
        <w:gridCol w:w="616"/>
        <w:gridCol w:w="109"/>
        <w:gridCol w:w="375"/>
        <w:gridCol w:w="375"/>
        <w:gridCol w:w="376"/>
        <w:gridCol w:w="125"/>
        <w:gridCol w:w="125"/>
        <w:gridCol w:w="126"/>
        <w:gridCol w:w="160"/>
        <w:gridCol w:w="160"/>
        <w:gridCol w:w="161"/>
        <w:gridCol w:w="211"/>
        <w:gridCol w:w="616"/>
        <w:gridCol w:w="109"/>
        <w:gridCol w:w="375"/>
        <w:gridCol w:w="375"/>
        <w:gridCol w:w="376"/>
        <w:gridCol w:w="158"/>
        <w:gridCol w:w="109"/>
        <w:gridCol w:w="109"/>
        <w:gridCol w:w="109"/>
        <w:gridCol w:w="109"/>
        <w:gridCol w:w="109"/>
        <w:gridCol w:w="211"/>
        <w:gridCol w:w="376"/>
        <w:gridCol w:w="109"/>
        <w:gridCol w:w="109"/>
        <w:gridCol w:w="376"/>
      </w:tblGrid>
      <w:tr>
        <w:trPr/>
        <w:tc>
          <w:tcPr>
            <w:tcW w:w="44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2" w:type="dxa"/>
            <w:gridSpan w:val="2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1" w:type="dxa"/>
            <w:gridSpan w:val="30"/>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485" w:type="dxa"/>
            <w:gridSpan w:val="4"/>
            <w:tcBorders/>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Consolidated Contract Sales, Net of Resales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Consolidated Contract Sales, Net of Resales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4"/>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Change</w:t>
            </w:r>
          </w:p>
        </w:tc>
        <w:tc>
          <w:tcPr>
            <w:tcW w:w="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Consolidated Contract Sales, Net of Resales</w:t>
            </w:r>
          </w:p>
        </w:tc>
        <w:tc>
          <w:tcPr>
            <w:tcW w:w="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Consolidated Contract Sales, Net of Resales</w:t>
            </w:r>
          </w:p>
        </w:tc>
        <w:tc>
          <w:tcPr>
            <w:tcW w:w="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Change</w:t>
            </w:r>
          </w:p>
        </w:tc>
        <w:tc>
          <w:tcPr>
            <w:tcW w:w="485" w:type="dxa"/>
            <w:gridSpan w:val="4"/>
            <w:tcBorders/>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contract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Joint venture contract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 sales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Resales contract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Joint venture contract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contract sales, net of resales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Resales revenue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Reportability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reserve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2"/>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vacation ownership products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w:t>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VPG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$(110)</w:t>
            </w:r>
          </w:p>
        </w:tc>
        <w:tc>
          <w:tcPr>
            <w:tcW w:w="109" w:type="dxa"/>
            <w:tcBorders/>
            <w:vAlign w:val="center"/>
          </w:tcPr>
          <w:p>
            <w:pPr>
              <w:pStyle w:val="TableContents"/>
              <w:bidi w:val="0"/>
              <w:spacing w:before="0" w:after="283"/>
              <w:jc w:val="left"/>
              <w:rPr>
                <w:sz w:val="4"/>
                <w:szCs w:val="4"/>
              </w:rPr>
            </w:pPr>
            <w:r>
              <w:rPr>
                <w:sz w:val="4"/>
                <w:szCs w:val="4"/>
              </w:rPr>
            </w:r>
          </w:p>
        </w:tc>
        <w:tc>
          <w:tcPr>
            <w:tcW w:w="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$(130)</w:t>
            </w:r>
          </w:p>
        </w:tc>
        <w:tc>
          <w:tcPr>
            <w:tcW w:w="109" w:type="dxa"/>
            <w:tcBorders/>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Tours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2,650</w:t>
            </w:r>
          </w:p>
        </w:tc>
        <w:tc>
          <w:tcPr>
            <w:tcW w:w="109" w:type="dxa"/>
            <w:tcBorders/>
            <w:vAlign w:val="center"/>
          </w:tcPr>
          <w:p>
            <w:pPr>
              <w:pStyle w:val="TableContents"/>
              <w:bidi w:val="0"/>
              <w:spacing w:before="0" w:after="283"/>
              <w:jc w:val="left"/>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4,069</w:t>
            </w:r>
          </w:p>
        </w:tc>
        <w:tc>
          <w:tcPr>
            <w:tcW w:w="109" w:type="dxa"/>
            <w:tcBorders/>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propensity</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 pts</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55.2%</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54.0%</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 pts</w:t>
            </w:r>
          </w:p>
        </w:tc>
        <w:tc>
          <w:tcPr>
            <w:tcW w:w="485" w:type="dxa"/>
            <w:gridSpan w:val="4"/>
            <w:tcBorders/>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FICO Score</w:t>
            </w:r>
            <w:r>
              <w:rPr>
                <w:color w:val="000000"/>
              </w:rPr>
              <w:t xml:space="preserve"> </w:t>
            </w:r>
            <w:r>
              <w:rPr>
                <w:rFonts w:ascii="Times New Roman;serif" w:hAnsi="Times New Roman;serif"/>
                <w:b w:val="false"/>
                <w:color w:val="000000"/>
                <w:sz w:val="12"/>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Adjustment for sales incentives that will not be recognized as Sale of vacation ownership products revenue and other adjustments to Sale of vacation ownership products revenue.</w:t>
      </w:r>
    </w:p>
    <w:p>
      <w:pPr>
        <w:pStyle w:val="TextBody"/>
        <w:bidi w:val="0"/>
        <w:spacing w:lineRule="auto" w:line="288" w:before="12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For customers who financed a vacation ownership purchase and for whom a credit score was available, generally U.S. and Canadian residents.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Second Quarter and First Half</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increase in Sale of vacation ownership products was primarily due to a decrease in our sales reserve reflecting last year’s $70 million sales reserve adjustment (the “additional sales reserve”) recorded in the second quarter of 2024, partially offset by higher financing propensity and defaults in Asia Pacific in both the second quarter and first half of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Excluding the impact of last year’s additional sales reserve, our sales reserve as a percent of contract sales in the second quarter and first half of 2025 increased 140 basis points and 130 basis points, respectively, compared to the prior year comparative period.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Contract sales decreased during the second quarter and first half of 2025 due to a 3% decrease in VPG, partially offset by a 2% increase in tours, in each period. </w:t>
      </w:r>
    </w:p>
    <w:p>
      <w:pPr>
        <w:pStyle w:val="TextBody"/>
        <w:bidi w:val="0"/>
        <w:spacing w:lineRule="auto" w:line="288" w:before="120" w:after="283"/>
        <w:ind w:left="0" w:right="0" w:hanging="180"/>
        <w:jc w:val="left"/>
        <w:rPr/>
      </w:pPr>
      <w:r>
        <w:rPr>
          <w:color w:val="000000"/>
        </w:rPr>
        <w:t>•</w:t>
      </w:r>
      <w:r>
        <w:rPr>
          <w:rFonts w:ascii="Times New Roman;serif" w:hAnsi="Times New Roman;serif"/>
          <w:b w:val="false"/>
          <w:color w:val="000000"/>
          <w:sz w:val="20"/>
        </w:rPr>
        <w:t>The decreases in VPG in each period were due to a larger percentage mix of first time buyer and international tours, which carry a lower VPG than existing owner tours, and lower Owner VPG.</w:t>
      </w:r>
    </w:p>
    <w:p>
      <w:pPr>
        <w:pStyle w:val="TextBody"/>
        <w:bidi w:val="0"/>
        <w:spacing w:lineRule="auto" w:line="288" w:before="120" w:after="283"/>
        <w:ind w:left="0" w:right="0" w:hanging="180"/>
        <w:jc w:val="left"/>
        <w:rPr/>
      </w:pPr>
      <w:r>
        <w:rPr>
          <w:color w:val="000000"/>
        </w:rPr>
        <w:t>•</w:t>
      </w:r>
      <w:r>
        <w:rPr>
          <w:rFonts w:ascii="Times New Roman;serif" w:hAnsi="Times New Roman;serif"/>
          <w:b w:val="false"/>
          <w:color w:val="000000"/>
          <w:sz w:val="20"/>
        </w:rPr>
        <w:t>Second Quarter 2025 compared to Second Quarter 2024</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First time buyer contract sales increased 6% on higher VPG and tours</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Owner contract sales declined 4% on lower VPG and flat tours</w:t>
      </w:r>
    </w:p>
    <w:p>
      <w:pPr>
        <w:pStyle w:val="TextBody"/>
        <w:bidi w:val="0"/>
        <w:spacing w:lineRule="auto" w:line="288" w:before="120" w:after="283"/>
        <w:ind w:left="0" w:right="0" w:hanging="180"/>
        <w:jc w:val="left"/>
        <w:rPr/>
      </w:pPr>
      <w:r>
        <w:rPr>
          <w:color w:val="000000"/>
        </w:rPr>
        <w:t>•</w:t>
      </w:r>
      <w:r>
        <w:rPr>
          <w:rFonts w:ascii="Times New Roman;serif" w:hAnsi="Times New Roman;serif"/>
          <w:b w:val="false"/>
          <w:color w:val="000000"/>
          <w:sz w:val="20"/>
        </w:rPr>
        <w:t>First Half 2025 compared to First Half 2024</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First time buyer contract sales increased 6% on higher tours</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Owner contract sales declined 5% on lower VPG and tours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While delinquency rates have declined, we plan to continue to assume an increased sales reserve for new originations until we have sufficient evidence of continued improvement in delinquency and default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Development Profit</w:t>
      </w:r>
    </w:p>
    <w:p>
      <w:pPr>
        <w:pStyle w:val="TextBody"/>
        <w:bidi w:val="0"/>
        <w:spacing w:lineRule="auto" w:line="288" w:before="60" w:after="283"/>
        <w:jc w:val="left"/>
        <w:rPr>
          <w:rFonts w:ascii="Times New Roman;serif" w:hAnsi="Times New Roman;serif"/>
          <w:b w:val="false"/>
          <w:i/>
          <w:color w:val="000000"/>
          <w:sz w:val="20"/>
        </w:rPr>
      </w:pPr>
      <w:r>
        <w:rPr>
          <w:rFonts w:ascii="Times New Roman;serif" w:hAnsi="Times New Roman;serif"/>
          <w:b w:val="false"/>
          <w:i/>
          <w:color w:val="000000"/>
          <w:sz w:val="20"/>
        </w:rPr>
        <w:t>Second Quarter</w:t>
      </w:r>
    </w:p>
    <w:tbl>
      <w:tblPr>
        <w:tblW w:w="10205" w:type="dxa"/>
        <w:jc w:val="center"/>
        <w:tblInd w:w="0" w:type="dxa"/>
        <w:tblLayout w:type="fixed"/>
        <w:tblCellMar>
          <w:top w:w="28" w:type="dxa"/>
          <w:left w:w="28" w:type="dxa"/>
          <w:bottom w:w="28" w:type="dxa"/>
          <w:right w:w="28" w:type="dxa"/>
        </w:tblCellMar>
      </w:tblPr>
      <w:tblGrid>
        <w:gridCol w:w="1045"/>
        <w:gridCol w:w="880"/>
        <w:gridCol w:w="862"/>
        <w:gridCol w:w="294"/>
        <w:gridCol w:w="649"/>
        <w:gridCol w:w="151"/>
        <w:gridCol w:w="109"/>
        <w:gridCol w:w="109"/>
        <w:gridCol w:w="109"/>
        <w:gridCol w:w="371"/>
        <w:gridCol w:w="371"/>
        <w:gridCol w:w="373"/>
        <w:gridCol w:w="109"/>
        <w:gridCol w:w="109"/>
        <w:gridCol w:w="109"/>
        <w:gridCol w:w="294"/>
        <w:gridCol w:w="649"/>
        <w:gridCol w:w="151"/>
        <w:gridCol w:w="109"/>
        <w:gridCol w:w="109"/>
        <w:gridCol w:w="109"/>
        <w:gridCol w:w="371"/>
        <w:gridCol w:w="371"/>
        <w:gridCol w:w="373"/>
        <w:gridCol w:w="109"/>
        <w:gridCol w:w="109"/>
        <w:gridCol w:w="109"/>
        <w:gridCol w:w="228"/>
        <w:gridCol w:w="392"/>
        <w:gridCol w:w="118"/>
        <w:gridCol w:w="109"/>
        <w:gridCol w:w="109"/>
        <w:gridCol w:w="109"/>
        <w:gridCol w:w="189"/>
        <w:gridCol w:w="178"/>
        <w:gridCol w:w="260"/>
      </w:tblGrid>
      <w:tr>
        <w:trPr/>
        <w:tc>
          <w:tcPr>
            <w:tcW w:w="1045"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2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vacation ownership products</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2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vacation ownership products</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2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sales</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2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profit</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r>
      <w:tr>
        <w:trPr/>
        <w:tc>
          <w:tcPr>
            <w:tcW w:w="2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profit margin</w:t>
            </w:r>
          </w:p>
        </w:tc>
        <w:tc>
          <w:tcPr>
            <w:tcW w:w="109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increase in Development profit was due to the following:</w:t>
      </w:r>
    </w:p>
    <w:p>
      <w:pPr>
        <w:pStyle w:val="TextBody"/>
        <w:bidi w:val="0"/>
        <w:spacing w:lineRule="auto" w:line="288" w:before="120" w:after="283"/>
        <w:ind w:left="0" w:right="0" w:hanging="180"/>
        <w:jc w:val="left"/>
        <w:rPr/>
      </w:pPr>
      <w:r>
        <w:rPr>
          <w:color w:val="000000"/>
        </w:rPr>
        <w:t>•</w:t>
      </w:r>
      <w:r>
        <w:rPr>
          <w:rFonts w:ascii="Times New Roman;serif" w:hAnsi="Times New Roman;serif"/>
          <w:b w:val="false"/>
          <w:color w:val="000000"/>
          <w:sz w:val="20"/>
        </w:rPr>
        <w:t>higher sales of vacation ownership products (discussed above), partially offset by:</w:t>
      </w:r>
    </w:p>
    <w:p>
      <w:pPr>
        <w:pStyle w:val="TextBody"/>
        <w:bidi w:val="0"/>
        <w:spacing w:lineRule="auto" w:line="288" w:before="120" w:after="283"/>
        <w:ind w:left="0" w:right="0" w:hanging="180"/>
        <w:jc w:val="left"/>
        <w:rPr/>
      </w:pPr>
      <w:r>
        <w:rPr>
          <w:color w:val="000000"/>
        </w:rPr>
        <w:t>•</w:t>
      </w:r>
      <w:r>
        <w:rPr>
          <w:rFonts w:ascii="Times New Roman;serif" w:hAnsi="Times New Roman;serif"/>
          <w:b w:val="false"/>
          <w:color w:val="000000"/>
          <w:sz w:val="20"/>
        </w:rPr>
        <w:t>higher cost of vacation ownership products due to the $13 million favorable impact of the additional sales reserve in the second quarter of 2024 and the sale of lower average cost inventory.</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Excluding the impact of the additional sales reserve, cost of vacation ownership products decreased $10 million and cost of vacation ownership products as a percentage of sales decreased approximately 230 basis points in the second quarter of 2025.</w:t>
      </w:r>
    </w:p>
    <w:p>
      <w:pPr>
        <w:pStyle w:val="TextBody"/>
        <w:bidi w:val="0"/>
        <w:spacing w:lineRule="auto" w:line="288" w:before="120" w:after="283"/>
        <w:ind w:left="0" w:right="0" w:hanging="180"/>
        <w:jc w:val="left"/>
        <w:rPr/>
      </w:pPr>
      <w:r>
        <w:rPr>
          <w:color w:val="000000"/>
        </w:rPr>
        <w:t>•</w:t>
      </w:r>
      <w:r>
        <w:rPr>
          <w:rFonts w:ascii="Times New Roman;serif" w:hAnsi="Times New Roman;serif"/>
          <w:b w:val="false"/>
          <w:color w:val="000000"/>
          <w:sz w:val="20"/>
        </w:rPr>
        <w:t>higher marketing and sales costs due to:</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 xml:space="preserve">$6 million of higher wages and benefits, including variable compensation; and </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$5 million of higher marketing costs.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Excluding the impact of the additional sales reserve, Development profit decreased $10 million and Development profit margin decreased approximately 230 basis points in the second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First Half</w:t>
      </w:r>
    </w:p>
    <w:tbl>
      <w:tblPr>
        <w:tblW w:w="10205" w:type="dxa"/>
        <w:jc w:val="center"/>
        <w:tblInd w:w="0" w:type="dxa"/>
        <w:tblLayout w:type="fixed"/>
        <w:tblCellMar>
          <w:top w:w="28" w:type="dxa"/>
          <w:left w:w="28" w:type="dxa"/>
          <w:bottom w:w="28" w:type="dxa"/>
          <w:right w:w="28" w:type="dxa"/>
        </w:tblCellMar>
      </w:tblPr>
      <w:tblGrid>
        <w:gridCol w:w="1066"/>
        <w:gridCol w:w="909"/>
        <w:gridCol w:w="897"/>
        <w:gridCol w:w="298"/>
        <w:gridCol w:w="659"/>
        <w:gridCol w:w="154"/>
        <w:gridCol w:w="109"/>
        <w:gridCol w:w="109"/>
        <w:gridCol w:w="109"/>
        <w:gridCol w:w="377"/>
        <w:gridCol w:w="377"/>
        <w:gridCol w:w="379"/>
        <w:gridCol w:w="109"/>
        <w:gridCol w:w="109"/>
        <w:gridCol w:w="109"/>
        <w:gridCol w:w="298"/>
        <w:gridCol w:w="659"/>
        <w:gridCol w:w="154"/>
        <w:gridCol w:w="109"/>
        <w:gridCol w:w="109"/>
        <w:gridCol w:w="109"/>
        <w:gridCol w:w="377"/>
        <w:gridCol w:w="377"/>
        <w:gridCol w:w="379"/>
        <w:gridCol w:w="109"/>
        <w:gridCol w:w="109"/>
        <w:gridCol w:w="109"/>
        <w:gridCol w:w="211"/>
        <w:gridCol w:w="361"/>
        <w:gridCol w:w="109"/>
        <w:gridCol w:w="109"/>
        <w:gridCol w:w="109"/>
        <w:gridCol w:w="109"/>
        <w:gridCol w:w="152"/>
        <w:gridCol w:w="152"/>
        <w:gridCol w:w="225"/>
      </w:tblGrid>
      <w:tr>
        <w:trPr/>
        <w:tc>
          <w:tcPr>
            <w:tcW w:w="106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vacation ownership products</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2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vacation ownership products</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2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sales</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2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profit</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2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profit margin</w:t>
            </w:r>
          </w:p>
        </w:tc>
        <w:tc>
          <w:tcPr>
            <w:tcW w:w="111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increase in Development profit was due to the following:</w:t>
      </w:r>
    </w:p>
    <w:p>
      <w:pPr>
        <w:pStyle w:val="TextBody"/>
        <w:bidi w:val="0"/>
        <w:spacing w:lineRule="auto" w:line="288" w:before="120" w:after="283"/>
        <w:ind w:left="0" w:right="0" w:hanging="180"/>
        <w:jc w:val="left"/>
        <w:rPr/>
      </w:pPr>
      <w:r>
        <w:rPr>
          <w:color w:val="000000"/>
        </w:rPr>
        <w:t>•</w:t>
      </w:r>
      <w:r>
        <w:rPr>
          <w:rFonts w:ascii="Times New Roman;serif" w:hAnsi="Times New Roman;serif"/>
          <w:b w:val="false"/>
          <w:color w:val="000000"/>
          <w:sz w:val="20"/>
        </w:rPr>
        <w:t>higher sales of vacation ownership products (discussed above), partially offset by:</w:t>
      </w:r>
    </w:p>
    <w:p>
      <w:pPr>
        <w:pStyle w:val="TextBody"/>
        <w:bidi w:val="0"/>
        <w:spacing w:lineRule="auto" w:line="288" w:before="120" w:after="283"/>
        <w:ind w:left="0" w:right="0" w:hanging="180"/>
        <w:jc w:val="left"/>
        <w:rPr/>
      </w:pPr>
      <w:r>
        <w:rPr>
          <w:color w:val="000000"/>
        </w:rPr>
        <w:t>•</w:t>
      </w:r>
      <w:r>
        <w:rPr>
          <w:rFonts w:ascii="Times New Roman;serif" w:hAnsi="Times New Roman;serif"/>
          <w:b w:val="false"/>
          <w:color w:val="000000"/>
          <w:sz w:val="20"/>
        </w:rPr>
        <w:t>lower cost of vacation ownership products due to the sale of lower average cost inventory, including $8 million of favorable product cost true-up activity, slightly offset by $2 million of higher revenue reportability.</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Excluding the favorable impact of the additional sales reserve in the first half of 2024, cost of vacation ownership products decreased $21 million and cost of vacation ownership products as a percentage of sales decreased approximately 280 basis points in the first half of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These were partially offset by:</w:t>
      </w:r>
    </w:p>
    <w:p>
      <w:pPr>
        <w:pStyle w:val="TextBody"/>
        <w:bidi w:val="0"/>
        <w:spacing w:lineRule="auto" w:line="288" w:before="120" w:after="283"/>
        <w:ind w:left="0" w:right="0" w:hanging="180"/>
        <w:jc w:val="left"/>
        <w:rPr/>
      </w:pPr>
      <w:r>
        <w:rPr>
          <w:color w:val="000000"/>
        </w:rPr>
        <w:t>•</w:t>
      </w:r>
      <w:r>
        <w:rPr>
          <w:rFonts w:ascii="Times New Roman;serif" w:hAnsi="Times New Roman;serif"/>
          <w:b w:val="false"/>
          <w:color w:val="000000"/>
          <w:sz w:val="20"/>
        </w:rPr>
        <w:t>higher marketing and sales costs due to:</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$9 million of higher wages and benefits, including variable compensation;</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$7 million of higher marketing costs; and</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$6 million of higher preview costs.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Excluding the impact of the additional sales reserve, Development profit decreased $7 million and Development profit margin decreased approximately 80 basis points.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Resort Management and Other Services Revenues, Expenses and Profit</w:t>
      </w:r>
    </w:p>
    <w:tbl>
      <w:tblPr>
        <w:tblW w:w="10205" w:type="dxa"/>
        <w:jc w:val="center"/>
        <w:tblInd w:w="0" w:type="dxa"/>
        <w:tblLayout w:type="fixed"/>
        <w:tblCellMar>
          <w:top w:w="28" w:type="dxa"/>
          <w:left w:w="28" w:type="dxa"/>
          <w:bottom w:w="28" w:type="dxa"/>
          <w:right w:w="28" w:type="dxa"/>
        </w:tblCellMar>
      </w:tblPr>
      <w:tblGrid>
        <w:gridCol w:w="832"/>
        <w:gridCol w:w="732"/>
        <w:gridCol w:w="738"/>
        <w:gridCol w:w="263"/>
        <w:gridCol w:w="450"/>
        <w:gridCol w:w="135"/>
        <w:gridCol w:w="109"/>
        <w:gridCol w:w="109"/>
        <w:gridCol w:w="109"/>
        <w:gridCol w:w="263"/>
        <w:gridCol w:w="450"/>
        <w:gridCol w:w="135"/>
        <w:gridCol w:w="109"/>
        <w:gridCol w:w="109"/>
        <w:gridCol w:w="109"/>
        <w:gridCol w:w="211"/>
        <w:gridCol w:w="256"/>
        <w:gridCol w:w="109"/>
        <w:gridCol w:w="109"/>
        <w:gridCol w:w="109"/>
        <w:gridCol w:w="109"/>
        <w:gridCol w:w="131"/>
        <w:gridCol w:w="128"/>
        <w:gridCol w:w="128"/>
        <w:gridCol w:w="109"/>
        <w:gridCol w:w="109"/>
        <w:gridCol w:w="109"/>
        <w:gridCol w:w="246"/>
        <w:gridCol w:w="543"/>
        <w:gridCol w:w="127"/>
        <w:gridCol w:w="109"/>
        <w:gridCol w:w="109"/>
        <w:gridCol w:w="109"/>
        <w:gridCol w:w="246"/>
        <w:gridCol w:w="543"/>
        <w:gridCol w:w="127"/>
        <w:gridCol w:w="109"/>
        <w:gridCol w:w="109"/>
        <w:gridCol w:w="109"/>
        <w:gridCol w:w="211"/>
        <w:gridCol w:w="361"/>
        <w:gridCol w:w="109"/>
        <w:gridCol w:w="109"/>
        <w:gridCol w:w="109"/>
        <w:gridCol w:w="109"/>
        <w:gridCol w:w="128"/>
        <w:gridCol w:w="126"/>
        <w:gridCol w:w="188"/>
      </w:tblGrid>
      <w:tr>
        <w:trPr/>
        <w:tc>
          <w:tcPr>
            <w:tcW w:w="8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 revenues</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2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Ancillary revenues</w:t>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2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management and exchange revenues</w:t>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2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Resort management and other services revenues</w:t>
            </w:r>
          </w:p>
        </w:tc>
        <w:tc>
          <w:tcPr>
            <w:tcW w:w="7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2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Resort management and other services expenses</w:t>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23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Resort management and other services profit</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23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Resort management and other services profit margin</w:t>
            </w:r>
          </w:p>
        </w:tc>
        <w:tc>
          <w:tcPr>
            <w:tcW w:w="84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9"/>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9"/>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 pts</w:t>
            </w:r>
          </w:p>
        </w:tc>
      </w:tr>
      <w:tr>
        <w:trPr/>
        <w:tc>
          <w:tcPr>
            <w:tcW w:w="23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Resort occupancy</w:t>
            </w:r>
            <w:r>
              <w:rPr>
                <w:color w:val="000000"/>
              </w:rPr>
              <w:t xml:space="preserve"> </w:t>
            </w:r>
            <w:r>
              <w:rPr>
                <w:rFonts w:ascii="Times New Roman;serif" w:hAnsi="Times New Roman;serif"/>
                <w:b w:val="false"/>
                <w:color w:val="000000"/>
                <w:sz w:val="13"/>
              </w:rPr>
              <w:t>(1)</w:t>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 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 pts)</w:t>
            </w:r>
          </w:p>
        </w:tc>
      </w:tr>
      <w:tr>
        <w:trPr/>
        <w:tc>
          <w:tcPr>
            <w:tcW w:w="2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8"/>
            <w:tcBorders/>
            <w:tcMar>
              <w:top w:w="0" w:type="dxa"/>
              <w:left w:w="0" w:type="dxa"/>
              <w:bottom w:w="0" w:type="dxa"/>
              <w:right w:w="0" w:type="dxa"/>
            </w:tcMar>
            <w:vAlign w:val="center"/>
          </w:tcPr>
          <w:p>
            <w:pPr>
              <w:pStyle w:val="TableContents"/>
              <w:bidi w:val="0"/>
              <w:spacing w:lineRule="auto" w:line="240" w:before="4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Resort occupancy represents all transient, preview, and owner keys divided by total keys available, net of keys out of service.</w:t>
            </w:r>
          </w:p>
        </w:tc>
      </w:tr>
    </w:tbl>
    <w:p>
      <w:pPr>
        <w:pStyle w:val="TextBody"/>
        <w:bidi w:val="0"/>
        <w:spacing w:lineRule="auto" w:line="288" w:before="60" w:after="283"/>
        <w:jc w:val="left"/>
        <w:rPr>
          <w:rFonts w:ascii="Times New Roman;serif" w:hAnsi="Times New Roman;serif"/>
          <w:b w:val="false"/>
          <w:i/>
          <w:color w:val="000000"/>
          <w:sz w:val="20"/>
        </w:rPr>
      </w:pPr>
      <w:r>
        <w:rPr>
          <w:rFonts w:ascii="Times New Roman;serif" w:hAnsi="Times New Roman;serif"/>
          <w:b w:val="false"/>
          <w:i/>
          <w:color w:val="000000"/>
          <w:sz w:val="20"/>
        </w:rPr>
        <w:t>Second Quarter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increase in Resort management and other services profit reflects $3 million of higher management profit and $2 million of higher ancillary profit.</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First Half</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increase in Resort management and other services profit reflects $7 million of higher management profit, $2 million of higher ancillary profit and $2 million of higher exchange profit.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Rental Revenues, Expenses and Profit</w:t>
      </w:r>
    </w:p>
    <w:tbl>
      <w:tblPr>
        <w:tblW w:w="10205" w:type="dxa"/>
        <w:jc w:val="center"/>
        <w:tblInd w:w="0" w:type="dxa"/>
        <w:tblLayout w:type="fixed"/>
        <w:tblCellMar>
          <w:top w:w="28" w:type="dxa"/>
          <w:left w:w="28" w:type="dxa"/>
          <w:bottom w:w="28" w:type="dxa"/>
          <w:right w:w="28" w:type="dxa"/>
        </w:tblCellMar>
      </w:tblPr>
      <w:tblGrid>
        <w:gridCol w:w="633"/>
        <w:gridCol w:w="300"/>
        <w:gridCol w:w="294"/>
        <w:gridCol w:w="310"/>
        <w:gridCol w:w="547"/>
        <w:gridCol w:w="118"/>
        <w:gridCol w:w="109"/>
        <w:gridCol w:w="109"/>
        <w:gridCol w:w="109"/>
        <w:gridCol w:w="310"/>
        <w:gridCol w:w="547"/>
        <w:gridCol w:w="118"/>
        <w:gridCol w:w="109"/>
        <w:gridCol w:w="109"/>
        <w:gridCol w:w="109"/>
        <w:gridCol w:w="265"/>
        <w:gridCol w:w="456"/>
        <w:gridCol w:w="109"/>
        <w:gridCol w:w="109"/>
        <w:gridCol w:w="109"/>
        <w:gridCol w:w="109"/>
        <w:gridCol w:w="138"/>
        <w:gridCol w:w="138"/>
        <w:gridCol w:w="139"/>
        <w:gridCol w:w="109"/>
        <w:gridCol w:w="109"/>
        <w:gridCol w:w="109"/>
        <w:gridCol w:w="310"/>
        <w:gridCol w:w="669"/>
        <w:gridCol w:w="118"/>
        <w:gridCol w:w="109"/>
        <w:gridCol w:w="109"/>
        <w:gridCol w:w="109"/>
        <w:gridCol w:w="310"/>
        <w:gridCol w:w="669"/>
        <w:gridCol w:w="118"/>
        <w:gridCol w:w="109"/>
        <w:gridCol w:w="109"/>
        <w:gridCol w:w="109"/>
        <w:gridCol w:w="259"/>
        <w:gridCol w:w="462"/>
        <w:gridCol w:w="109"/>
        <w:gridCol w:w="109"/>
        <w:gridCol w:w="109"/>
        <w:gridCol w:w="109"/>
        <w:gridCol w:w="135"/>
        <w:gridCol w:w="135"/>
        <w:gridCol w:w="200"/>
      </w:tblGrid>
      <w:tr>
        <w:trPr/>
        <w:tc>
          <w:tcPr>
            <w:tcW w:w="63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revenues</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1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expenses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1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profit</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1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profit margin</w:t>
            </w:r>
          </w:p>
        </w:tc>
        <w:tc>
          <w:tcPr>
            <w:tcW w:w="97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9"/>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 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9"/>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 pts)</w:t>
            </w:r>
          </w:p>
        </w:tc>
      </w:tr>
      <w:tr>
        <w:trPr/>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Transient keys rented</w:t>
            </w:r>
            <w:r>
              <w:rPr>
                <w:rFonts w:ascii="Times New Roman;serif" w:hAnsi="Times New Roman;serif"/>
                <w:b w:val="false"/>
                <w:color w:val="000000"/>
                <w:sz w:val="12"/>
              </w:rPr>
              <w:t>(1)</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587,670 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575,704 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1,157,140 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1,118,674 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1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transient rate</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12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Rental occupancy</w:t>
            </w:r>
            <w:r>
              <w:rPr>
                <w:rFonts w:ascii="Times New Roman;serif" w:hAnsi="Times New Roman;serif"/>
                <w:b w:val="false"/>
                <w:color w:val="000000"/>
                <w:sz w:val="12"/>
              </w:rPr>
              <w:t>(2)</w:t>
            </w:r>
          </w:p>
        </w:tc>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 pts</w:t>
            </w:r>
          </w:p>
        </w:tc>
      </w:tr>
    </w:tbl>
    <w:p>
      <w:pPr>
        <w:pStyle w:val="TextBody"/>
        <w:bidi w:val="0"/>
        <w:spacing w:lineRule="auto" w:line="288" w:before="6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Transient keys rented exclude plus points and preview stays.</w:t>
      </w:r>
    </w:p>
    <w:p>
      <w:pPr>
        <w:pStyle w:val="TextBody"/>
        <w:bidi w:val="0"/>
        <w:spacing w:lineRule="auto" w:line="288" w:before="6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Rental occupancy represents transient and preview keys divided by keys available to rent, which is total available keys excluding owner usage.</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Second Quarter and First Half</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Rental profit, excluding profit from owned hotels, declined due to lower plus points revenue attributed to the non-recurring impact of sales incentive programs put in place during COVID, which increased the amount of plus points issued and lengthened the use period in the prior year comparable period, and higher marketing, variable and other costs, partially offset by an increase in costs allocated to marketing and sales expense for occupancy used for previews. Rental profit for our owned hotels remained in-line with the prior year comparable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Financing Revenues, Expenses and Profit</w:t>
      </w:r>
    </w:p>
    <w:tbl>
      <w:tblPr>
        <w:tblW w:w="10205" w:type="dxa"/>
        <w:jc w:val="center"/>
        <w:tblInd w:w="0" w:type="dxa"/>
        <w:tblLayout w:type="fixed"/>
        <w:tblCellMar>
          <w:top w:w="28" w:type="dxa"/>
          <w:left w:w="28" w:type="dxa"/>
          <w:bottom w:w="28" w:type="dxa"/>
          <w:right w:w="28" w:type="dxa"/>
        </w:tblCellMar>
      </w:tblPr>
      <w:tblGrid>
        <w:gridCol w:w="775"/>
        <w:gridCol w:w="647"/>
        <w:gridCol w:w="591"/>
        <w:gridCol w:w="281"/>
        <w:gridCol w:w="481"/>
        <w:gridCol w:w="145"/>
        <w:gridCol w:w="109"/>
        <w:gridCol w:w="109"/>
        <w:gridCol w:w="109"/>
        <w:gridCol w:w="281"/>
        <w:gridCol w:w="481"/>
        <w:gridCol w:w="145"/>
        <w:gridCol w:w="109"/>
        <w:gridCol w:w="109"/>
        <w:gridCol w:w="109"/>
        <w:gridCol w:w="211"/>
        <w:gridCol w:w="256"/>
        <w:gridCol w:w="109"/>
        <w:gridCol w:w="109"/>
        <w:gridCol w:w="109"/>
        <w:gridCol w:w="109"/>
        <w:gridCol w:w="183"/>
        <w:gridCol w:w="160"/>
        <w:gridCol w:w="162"/>
        <w:gridCol w:w="109"/>
        <w:gridCol w:w="109"/>
        <w:gridCol w:w="109"/>
        <w:gridCol w:w="258"/>
        <w:gridCol w:w="571"/>
        <w:gridCol w:w="133"/>
        <w:gridCol w:w="109"/>
        <w:gridCol w:w="109"/>
        <w:gridCol w:w="109"/>
        <w:gridCol w:w="281"/>
        <w:gridCol w:w="481"/>
        <w:gridCol w:w="145"/>
        <w:gridCol w:w="109"/>
        <w:gridCol w:w="109"/>
        <w:gridCol w:w="109"/>
        <w:gridCol w:w="211"/>
        <w:gridCol w:w="256"/>
        <w:gridCol w:w="109"/>
        <w:gridCol w:w="109"/>
        <w:gridCol w:w="109"/>
        <w:gridCol w:w="109"/>
        <w:gridCol w:w="177"/>
        <w:gridCol w:w="154"/>
        <w:gridCol w:w="232"/>
      </w:tblGrid>
      <w:tr>
        <w:trPr/>
        <w:tc>
          <w:tcPr>
            <w:tcW w:w="77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revenues</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2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expenses</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2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financing interest expense</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profit</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2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profit margin</w:t>
            </w:r>
          </w:p>
        </w:tc>
        <w:tc>
          <w:tcPr>
            <w:tcW w:w="90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9"/>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 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9"/>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0.3 pts</w:t>
            </w:r>
          </w:p>
        </w:tc>
      </w:tr>
      <w:tr>
        <w:trPr/>
        <w:tc>
          <w:tcPr>
            <w:tcW w:w="2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propensity</w:t>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 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 pts</w:t>
            </w:r>
          </w:p>
        </w:tc>
      </w:tr>
    </w:tbl>
    <w:p>
      <w:pPr>
        <w:pStyle w:val="TextBody"/>
        <w:bidi w:val="0"/>
        <w:spacing w:lineRule="auto" w:line="288" w:before="60" w:after="283"/>
        <w:jc w:val="left"/>
        <w:rPr>
          <w:rFonts w:ascii="Times New Roman;serif" w:hAnsi="Times New Roman;serif"/>
          <w:b w:val="false"/>
          <w:i/>
          <w:color w:val="000000"/>
          <w:sz w:val="20"/>
        </w:rPr>
      </w:pPr>
      <w:r>
        <w:rPr>
          <w:rFonts w:ascii="Times New Roman;serif" w:hAnsi="Times New Roman;serif"/>
          <w:b w:val="false"/>
          <w:i/>
          <w:color w:val="000000"/>
          <w:sz w:val="20"/>
        </w:rPr>
        <w:t>Second Quarter and First Half</w:t>
      </w:r>
    </w:p>
    <w:p>
      <w:pPr>
        <w:pStyle w:val="TextBody"/>
        <w:bidi w:val="0"/>
        <w:spacing w:lineRule="auto" w:line="288" w:before="120" w:after="283"/>
        <w:ind w:left="0" w:right="0" w:hanging="180"/>
        <w:jc w:val="left"/>
        <w:rPr/>
      </w:pPr>
      <w:r>
        <w:rPr>
          <w:color w:val="000000"/>
        </w:rPr>
        <w:t>•</w:t>
      </w:r>
      <w:r>
        <w:rPr>
          <w:rFonts w:ascii="Times New Roman;serif" w:hAnsi="Times New Roman;serif"/>
          <w:b w:val="false"/>
          <w:color w:val="000000"/>
          <w:sz w:val="20"/>
        </w:rPr>
        <w:t>Financing revenues reflect higher interest income as a result of a higher average notes receivable balance, partially offset by a slightly lower average interest rate for the three and six months ended June 30, 2025.</w:t>
      </w:r>
    </w:p>
    <w:p>
      <w:pPr>
        <w:pStyle w:val="TextBody"/>
        <w:bidi w:val="0"/>
        <w:spacing w:lineRule="auto" w:line="288" w:before="120" w:after="283"/>
        <w:ind w:left="0" w:right="0" w:hanging="180"/>
        <w:jc w:val="left"/>
        <w:rPr/>
      </w:pPr>
      <w:r>
        <w:rPr>
          <w:color w:val="000000"/>
        </w:rPr>
        <w:t>•</w:t>
      </w:r>
      <w:r>
        <w:rPr>
          <w:rFonts w:ascii="Times New Roman;serif" w:hAnsi="Times New Roman;serif"/>
          <w:b w:val="false"/>
          <w:color w:val="000000"/>
          <w:sz w:val="20"/>
        </w:rPr>
        <w:t>The increase in financing expense is primarily attributed to higher credit card fees and other operating costs.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expect our average interest rate to continue to increase as the current interest rate environment for new securitization transactions exceeds the average interest rate on our existing securitized debt. We do not adjust interest rates on consumer financing offerings at the same pace as, or in lock-step with, broader market interest rates; as a result, we expect our financing profit margin to continue to decrease in 2025, as we repay existing securitization transactions with proceeds from newer securitization transactions with lower interest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Litigation Charges</w:t>
      </w:r>
    </w:p>
    <w:tbl>
      <w:tblPr>
        <w:tblW w:w="10205" w:type="dxa"/>
        <w:jc w:val="center"/>
        <w:tblInd w:w="0" w:type="dxa"/>
        <w:tblLayout w:type="fixed"/>
        <w:tblCellMar>
          <w:top w:w="28" w:type="dxa"/>
          <w:left w:w="28" w:type="dxa"/>
          <w:bottom w:w="28" w:type="dxa"/>
          <w:right w:w="28" w:type="dxa"/>
        </w:tblCellMar>
      </w:tblPr>
      <w:tblGrid>
        <w:gridCol w:w="551"/>
        <w:gridCol w:w="479"/>
        <w:gridCol w:w="461"/>
        <w:gridCol w:w="386"/>
        <w:gridCol w:w="468"/>
        <w:gridCol w:w="199"/>
        <w:gridCol w:w="109"/>
        <w:gridCol w:w="109"/>
        <w:gridCol w:w="109"/>
        <w:gridCol w:w="332"/>
        <w:gridCol w:w="568"/>
        <w:gridCol w:w="171"/>
        <w:gridCol w:w="109"/>
        <w:gridCol w:w="109"/>
        <w:gridCol w:w="109"/>
        <w:gridCol w:w="211"/>
        <w:gridCol w:w="320"/>
        <w:gridCol w:w="109"/>
        <w:gridCol w:w="109"/>
        <w:gridCol w:w="109"/>
        <w:gridCol w:w="109"/>
        <w:gridCol w:w="140"/>
        <w:gridCol w:w="140"/>
        <w:gridCol w:w="141"/>
        <w:gridCol w:w="109"/>
        <w:gridCol w:w="109"/>
        <w:gridCol w:w="109"/>
        <w:gridCol w:w="386"/>
        <w:gridCol w:w="468"/>
        <w:gridCol w:w="199"/>
        <w:gridCol w:w="109"/>
        <w:gridCol w:w="109"/>
        <w:gridCol w:w="109"/>
        <w:gridCol w:w="332"/>
        <w:gridCol w:w="568"/>
        <w:gridCol w:w="171"/>
        <w:gridCol w:w="109"/>
        <w:gridCol w:w="109"/>
        <w:gridCol w:w="109"/>
        <w:gridCol w:w="211"/>
        <w:gridCol w:w="320"/>
        <w:gridCol w:w="109"/>
        <w:gridCol w:w="109"/>
        <w:gridCol w:w="109"/>
        <w:gridCol w:w="109"/>
        <w:gridCol w:w="136"/>
        <w:gridCol w:w="136"/>
        <w:gridCol w:w="204"/>
      </w:tblGrid>
      <w:tr>
        <w:trPr/>
        <w:tc>
          <w:tcPr>
            <w:tcW w:w="55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charges</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60" w:after="283"/>
        <w:jc w:val="left"/>
        <w:rPr>
          <w:rFonts w:ascii="Times New Roman;serif" w:hAnsi="Times New Roman;serif"/>
          <w:b w:val="false"/>
          <w:i/>
          <w:color w:val="000000"/>
          <w:sz w:val="20"/>
        </w:rPr>
      </w:pPr>
      <w:r>
        <w:rPr>
          <w:rFonts w:ascii="Times New Roman;serif" w:hAnsi="Times New Roman;serif"/>
          <w:b w:val="false"/>
          <w:i/>
          <w:color w:val="000000"/>
          <w:sz w:val="20"/>
        </w:rPr>
        <w:t>Second Quarter and First Half</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Litigation charges during the second quarters of 2025 and 2024, as well as the first halves of 2025 and 2024, relate primarily to certain resorts in Europe.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Gains and Other Income</w:t>
      </w:r>
    </w:p>
    <w:tbl>
      <w:tblPr>
        <w:tblW w:w="10205" w:type="dxa"/>
        <w:jc w:val="center"/>
        <w:tblInd w:w="0" w:type="dxa"/>
        <w:tblLayout w:type="fixed"/>
        <w:tblCellMar>
          <w:top w:w="28" w:type="dxa"/>
          <w:left w:w="28" w:type="dxa"/>
          <w:bottom w:w="28" w:type="dxa"/>
          <w:right w:w="28" w:type="dxa"/>
        </w:tblCellMar>
      </w:tblPr>
      <w:tblGrid>
        <w:gridCol w:w="687"/>
        <w:gridCol w:w="577"/>
        <w:gridCol w:w="579"/>
        <w:gridCol w:w="352"/>
        <w:gridCol w:w="427"/>
        <w:gridCol w:w="181"/>
        <w:gridCol w:w="109"/>
        <w:gridCol w:w="109"/>
        <w:gridCol w:w="109"/>
        <w:gridCol w:w="352"/>
        <w:gridCol w:w="427"/>
        <w:gridCol w:w="181"/>
        <w:gridCol w:w="109"/>
        <w:gridCol w:w="109"/>
        <w:gridCol w:w="109"/>
        <w:gridCol w:w="211"/>
        <w:gridCol w:w="406"/>
        <w:gridCol w:w="109"/>
        <w:gridCol w:w="109"/>
        <w:gridCol w:w="109"/>
        <w:gridCol w:w="109"/>
        <w:gridCol w:w="140"/>
        <w:gridCol w:w="140"/>
        <w:gridCol w:w="141"/>
        <w:gridCol w:w="109"/>
        <w:gridCol w:w="109"/>
        <w:gridCol w:w="109"/>
        <w:gridCol w:w="309"/>
        <w:gridCol w:w="528"/>
        <w:gridCol w:w="159"/>
        <w:gridCol w:w="109"/>
        <w:gridCol w:w="109"/>
        <w:gridCol w:w="109"/>
        <w:gridCol w:w="352"/>
        <w:gridCol w:w="427"/>
        <w:gridCol w:w="181"/>
        <w:gridCol w:w="109"/>
        <w:gridCol w:w="109"/>
        <w:gridCol w:w="109"/>
        <w:gridCol w:w="211"/>
        <w:gridCol w:w="256"/>
        <w:gridCol w:w="109"/>
        <w:gridCol w:w="109"/>
        <w:gridCol w:w="109"/>
        <w:gridCol w:w="109"/>
        <w:gridCol w:w="136"/>
        <w:gridCol w:w="136"/>
        <w:gridCol w:w="202"/>
      </w:tblGrid>
      <w:tr>
        <w:trPr/>
        <w:tc>
          <w:tcPr>
            <w:tcW w:w="68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and other income, net</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60" w:after="283"/>
        <w:jc w:val="left"/>
        <w:rPr>
          <w:rFonts w:ascii="Times New Roman;serif" w:hAnsi="Times New Roman;serif"/>
          <w:b w:val="false"/>
          <w:i/>
          <w:color w:val="000000"/>
          <w:sz w:val="20"/>
        </w:rPr>
      </w:pPr>
      <w:r>
        <w:rPr>
          <w:rFonts w:ascii="Times New Roman;serif" w:hAnsi="Times New Roman;serif"/>
          <w:b w:val="false"/>
          <w:i/>
          <w:color w:val="000000"/>
          <w:sz w:val="20"/>
        </w:rPr>
        <w:t>First Half</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first half of 2025, we recorded $7 million related to the receipt of service interruption insurance proceeds from the Maui wildfires, a $2 million reduction in certain pre-acquisition contingencies associated with the ILG Acquisition, and $1 million of other gains.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Exchange &amp; Third-Party Management</w:t>
      </w:r>
    </w:p>
    <w:tbl>
      <w:tblPr>
        <w:tblW w:w="10205" w:type="dxa"/>
        <w:jc w:val="center"/>
        <w:tblInd w:w="0" w:type="dxa"/>
        <w:tblLayout w:type="fixed"/>
        <w:tblCellMar>
          <w:top w:w="28" w:type="dxa"/>
          <w:left w:w="28" w:type="dxa"/>
          <w:bottom w:w="28" w:type="dxa"/>
          <w:right w:w="28" w:type="dxa"/>
        </w:tblCellMar>
      </w:tblPr>
      <w:tblGrid>
        <w:gridCol w:w="2048"/>
        <w:gridCol w:w="1631"/>
        <w:gridCol w:w="1635"/>
        <w:gridCol w:w="298"/>
        <w:gridCol w:w="511"/>
        <w:gridCol w:w="153"/>
        <w:gridCol w:w="111"/>
        <w:gridCol w:w="111"/>
        <w:gridCol w:w="111"/>
        <w:gridCol w:w="298"/>
        <w:gridCol w:w="511"/>
        <w:gridCol w:w="153"/>
        <w:gridCol w:w="109"/>
        <w:gridCol w:w="109"/>
        <w:gridCol w:w="109"/>
        <w:gridCol w:w="298"/>
        <w:gridCol w:w="510"/>
        <w:gridCol w:w="154"/>
        <w:gridCol w:w="109"/>
        <w:gridCol w:w="109"/>
        <w:gridCol w:w="109"/>
        <w:gridCol w:w="293"/>
        <w:gridCol w:w="501"/>
        <w:gridCol w:w="224"/>
      </w:tblGrid>
      <w:tr>
        <w:trPr/>
        <w:tc>
          <w:tcPr>
            <w:tcW w:w="2048"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5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9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r>
      <w:tr>
        <w:trPr/>
        <w:tc>
          <w:tcPr>
            <w:tcW w:w="5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and exchange</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w:t>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4"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5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reimbursements</w:t>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8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9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4"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5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and exchange</w:t>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4"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5314"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5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reimbursements</w:t>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EXPENSES</w:t>
            </w:r>
          </w:p>
        </w:tc>
        <w:tc>
          <w:tcPr>
            <w:tcW w:w="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4"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5314"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5314"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5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FINANCIAL RESULTS ATTRIBUTABLE TO COMMON STOCKHOLDERS</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Management and Exchange Profit</w:t>
      </w:r>
    </w:p>
    <w:tbl>
      <w:tblPr>
        <w:tblW w:w="10205" w:type="dxa"/>
        <w:jc w:val="center"/>
        <w:tblInd w:w="0" w:type="dxa"/>
        <w:tblLayout w:type="fixed"/>
        <w:tblCellMar>
          <w:top w:w="28" w:type="dxa"/>
          <w:left w:w="28" w:type="dxa"/>
          <w:bottom w:w="28" w:type="dxa"/>
          <w:right w:w="28" w:type="dxa"/>
        </w:tblCellMar>
      </w:tblPr>
      <w:tblGrid>
        <w:gridCol w:w="763"/>
        <w:gridCol w:w="670"/>
        <w:gridCol w:w="675"/>
        <w:gridCol w:w="270"/>
        <w:gridCol w:w="462"/>
        <w:gridCol w:w="139"/>
        <w:gridCol w:w="109"/>
        <w:gridCol w:w="109"/>
        <w:gridCol w:w="109"/>
        <w:gridCol w:w="270"/>
        <w:gridCol w:w="462"/>
        <w:gridCol w:w="139"/>
        <w:gridCol w:w="109"/>
        <w:gridCol w:w="109"/>
        <w:gridCol w:w="109"/>
        <w:gridCol w:w="211"/>
        <w:gridCol w:w="295"/>
        <w:gridCol w:w="109"/>
        <w:gridCol w:w="109"/>
        <w:gridCol w:w="109"/>
        <w:gridCol w:w="109"/>
        <w:gridCol w:w="154"/>
        <w:gridCol w:w="154"/>
        <w:gridCol w:w="156"/>
        <w:gridCol w:w="109"/>
        <w:gridCol w:w="109"/>
        <w:gridCol w:w="109"/>
        <w:gridCol w:w="270"/>
        <w:gridCol w:w="462"/>
        <w:gridCol w:w="139"/>
        <w:gridCol w:w="109"/>
        <w:gridCol w:w="109"/>
        <w:gridCol w:w="109"/>
        <w:gridCol w:w="270"/>
        <w:gridCol w:w="462"/>
        <w:gridCol w:w="139"/>
        <w:gridCol w:w="109"/>
        <w:gridCol w:w="109"/>
        <w:gridCol w:w="109"/>
        <w:gridCol w:w="211"/>
        <w:gridCol w:w="400"/>
        <w:gridCol w:w="109"/>
        <w:gridCol w:w="109"/>
        <w:gridCol w:w="109"/>
        <w:gridCol w:w="109"/>
        <w:gridCol w:w="149"/>
        <w:gridCol w:w="149"/>
        <w:gridCol w:w="227"/>
      </w:tblGrid>
      <w:tr>
        <w:trPr/>
        <w:tc>
          <w:tcPr>
            <w:tcW w:w="76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2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and exchange revenue</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2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and exchange expense</w:t>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2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and exchange profit</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2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and exchange profit margin</w:t>
            </w:r>
          </w:p>
        </w:tc>
        <w:tc>
          <w:tcPr>
            <w:tcW w:w="87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9"/>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 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9"/>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 pts)</w:t>
            </w:r>
          </w:p>
        </w:tc>
      </w:tr>
    </w:tbl>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Second Quarter</w:t>
      </w:r>
    </w:p>
    <w:p>
      <w:pPr>
        <w:pStyle w:val="TextBody"/>
        <w:bidi w:val="0"/>
        <w:spacing w:lineRule="auto" w:line="288" w:before="120" w:after="283"/>
        <w:ind w:left="0" w:right="0" w:hanging="180"/>
        <w:jc w:val="left"/>
        <w:rPr/>
      </w:pPr>
      <w:r>
        <w:rPr>
          <w:color w:val="000000"/>
        </w:rPr>
        <w:t>•</w:t>
      </w:r>
      <w:r>
        <w:rPr>
          <w:rFonts w:ascii="Times New Roman;serif" w:hAnsi="Times New Roman;serif"/>
          <w:b w:val="false"/>
          <w:color w:val="000000"/>
          <w:sz w:val="20"/>
        </w:rPr>
        <w:t>Interval International management and exchange revenues</w:t>
      </w:r>
      <w:r>
        <w:rPr>
          <w:color w:val="EE2724"/>
        </w:rPr>
        <w:t xml:space="preserve"> </w:t>
      </w:r>
      <w:r>
        <w:rPr>
          <w:rFonts w:ascii="Times New Roman;serif" w:hAnsi="Times New Roman;serif"/>
          <w:b w:val="false"/>
          <w:color w:val="000000"/>
          <w:sz w:val="20"/>
        </w:rPr>
        <w:t>declined $1 million, or 4%, primarily due to 8% lower exchange transaction volume, partially offset by a 5% increase in average exchange fees.</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 xml:space="preserve">Management and exchange revenue reflects a $2 million decline in Aqua-Aston management revenues resulting from fewer available nights for rent, lower occupancy, and a lower average daily rate in the Hawaii market. </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Management and exchange revenue declined $1 million, attributed to the sale of an immaterial subsidiary in the second quarter of 2024.</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The remaining decrease in management and exchange profit was primarily attributable to</w:t>
      </w:r>
      <w:r>
        <w:rPr>
          <w:color w:val="EE2724"/>
        </w:rPr>
        <w:t xml:space="preserve"> </w:t>
      </w:r>
      <w:r>
        <w:rPr>
          <w:rFonts w:ascii="Times New Roman;serif" w:hAnsi="Times New Roman;serif"/>
          <w:b w:val="false"/>
          <w:color w:val="000000"/>
          <w:sz w:val="20"/>
        </w:rPr>
        <w:t>lower wages and benefits and other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First Half</w:t>
      </w:r>
    </w:p>
    <w:p>
      <w:pPr>
        <w:pStyle w:val="TextBody"/>
        <w:bidi w:val="0"/>
        <w:spacing w:lineRule="auto" w:line="288" w:before="120" w:after="283"/>
        <w:ind w:left="0" w:right="0" w:hanging="180"/>
        <w:jc w:val="left"/>
        <w:rPr/>
      </w:pPr>
      <w:r>
        <w:rPr>
          <w:color w:val="000000"/>
        </w:rPr>
        <w:t>•</w:t>
      </w:r>
      <w:r>
        <w:rPr>
          <w:rFonts w:ascii="Times New Roman;serif" w:hAnsi="Times New Roman;serif"/>
          <w:b w:val="false"/>
          <w:color w:val="000000"/>
          <w:sz w:val="20"/>
        </w:rPr>
        <w:t>Interval International management and exchange revenues declined $4 million, or 5%, primarily due to 10% lower exchange transaction volume, partially offset by a 4% increase in average exchange fees.</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 xml:space="preserve">Management and exchange revenue reflects a $4 million decline in Aqua-Aston management revenues resulting from fewer available nights for rent, lower occupancy, and a lower average daily rate in the Hawaii market. </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Management and exchange revenue declined $2 million, attributed to the sale of an immaterial subsidiary in the second quarter of 2024.</w:t>
      </w:r>
    </w:p>
    <w:p>
      <w:pPr>
        <w:pStyle w:val="TextBody"/>
        <w:bidi w:val="0"/>
        <w:spacing w:lineRule="auto" w:line="288" w:before="60" w:after="283"/>
        <w:ind w:left="0" w:right="0" w:hanging="180"/>
        <w:jc w:val="left"/>
        <w:rPr/>
      </w:pPr>
      <w:r>
        <w:rPr>
          <w:color w:val="000000"/>
        </w:rPr>
        <w:t>•</w:t>
      </w:r>
      <w:r>
        <w:rPr>
          <w:rFonts w:ascii="Times New Roman;serif" w:hAnsi="Times New Roman;serif"/>
          <w:b w:val="false"/>
          <w:color w:val="000000"/>
          <w:sz w:val="20"/>
        </w:rPr>
        <w:t>The remaining decrease in management and exchange profit was primarily attributable to</w:t>
      </w:r>
      <w:r>
        <w:rPr>
          <w:color w:val="EE2724"/>
        </w:rPr>
        <w:t xml:space="preserve"> </w:t>
      </w:r>
      <w:r>
        <w:rPr>
          <w:rFonts w:ascii="Times New Roman;serif" w:hAnsi="Times New Roman;serif"/>
          <w:b w:val="false"/>
          <w:color w:val="000000"/>
          <w:sz w:val="20"/>
        </w:rPr>
        <w:t>lower wages and benefits and other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Restructuring</w:t>
      </w:r>
    </w:p>
    <w:tbl>
      <w:tblPr>
        <w:tblW w:w="10205" w:type="dxa"/>
        <w:jc w:val="center"/>
        <w:tblInd w:w="0" w:type="dxa"/>
        <w:tblLayout w:type="fixed"/>
        <w:tblCellMar>
          <w:top w:w="28" w:type="dxa"/>
          <w:left w:w="28" w:type="dxa"/>
          <w:bottom w:w="28" w:type="dxa"/>
          <w:right w:w="28" w:type="dxa"/>
        </w:tblCellMar>
      </w:tblPr>
      <w:tblGrid>
        <w:gridCol w:w="446"/>
        <w:gridCol w:w="391"/>
        <w:gridCol w:w="394"/>
        <w:gridCol w:w="327"/>
        <w:gridCol w:w="630"/>
        <w:gridCol w:w="168"/>
        <w:gridCol w:w="109"/>
        <w:gridCol w:w="109"/>
        <w:gridCol w:w="109"/>
        <w:gridCol w:w="327"/>
        <w:gridCol w:w="630"/>
        <w:gridCol w:w="168"/>
        <w:gridCol w:w="109"/>
        <w:gridCol w:w="109"/>
        <w:gridCol w:w="109"/>
        <w:gridCol w:w="211"/>
        <w:gridCol w:w="406"/>
        <w:gridCol w:w="109"/>
        <w:gridCol w:w="109"/>
        <w:gridCol w:w="109"/>
        <w:gridCol w:w="109"/>
        <w:gridCol w:w="140"/>
        <w:gridCol w:w="140"/>
        <w:gridCol w:w="141"/>
        <w:gridCol w:w="109"/>
        <w:gridCol w:w="109"/>
        <w:gridCol w:w="109"/>
        <w:gridCol w:w="409"/>
        <w:gridCol w:w="496"/>
        <w:gridCol w:w="210"/>
        <w:gridCol w:w="109"/>
        <w:gridCol w:w="109"/>
        <w:gridCol w:w="109"/>
        <w:gridCol w:w="327"/>
        <w:gridCol w:w="630"/>
        <w:gridCol w:w="168"/>
        <w:gridCol w:w="109"/>
        <w:gridCol w:w="109"/>
        <w:gridCol w:w="109"/>
        <w:gridCol w:w="211"/>
        <w:gridCol w:w="256"/>
        <w:gridCol w:w="109"/>
        <w:gridCol w:w="109"/>
        <w:gridCol w:w="109"/>
        <w:gridCol w:w="109"/>
        <w:gridCol w:w="136"/>
        <w:gridCol w:w="136"/>
        <w:gridCol w:w="200"/>
      </w:tblGrid>
      <w:tr>
        <w:trPr/>
        <w:tc>
          <w:tcPr>
            <w:tcW w:w="4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60" w:after="283"/>
        <w:jc w:val="left"/>
        <w:rPr>
          <w:rFonts w:ascii="Times New Roman;serif" w:hAnsi="Times New Roman;serif"/>
          <w:b w:val="false"/>
          <w:i/>
          <w:color w:val="000000"/>
          <w:sz w:val="20"/>
        </w:rPr>
      </w:pPr>
      <w:r>
        <w:rPr>
          <w:rFonts w:ascii="Times New Roman;serif" w:hAnsi="Times New Roman;serif"/>
          <w:b w:val="false"/>
          <w:i/>
          <w:color w:val="000000"/>
          <w:sz w:val="20"/>
        </w:rPr>
        <w:t>Second Quarter and First Half</w:t>
      </w:r>
    </w:p>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During the first half of 2025, we recorded a $2 million impairment related to an operating lease and related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Corporate and Other</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 consists of results that are not allocable to our segments, including company-wide general and administrative costs, corporate interest expense, transaction and integration costs, and income taxes. In addition, Corporate and Other includes the revenues and expenses from Consolidated Property Owners’ Associations.</w:t>
      </w:r>
    </w:p>
    <w:tbl>
      <w:tblPr>
        <w:tblW w:w="10205" w:type="dxa"/>
        <w:jc w:val="center"/>
        <w:tblInd w:w="0" w:type="dxa"/>
        <w:tblLayout w:type="fixed"/>
        <w:tblCellMar>
          <w:top w:w="28" w:type="dxa"/>
          <w:left w:w="28" w:type="dxa"/>
          <w:bottom w:w="28" w:type="dxa"/>
          <w:right w:w="28" w:type="dxa"/>
        </w:tblCellMar>
      </w:tblPr>
      <w:tblGrid>
        <w:gridCol w:w="2142"/>
        <w:gridCol w:w="1533"/>
        <w:gridCol w:w="1546"/>
        <w:gridCol w:w="249"/>
        <w:gridCol w:w="611"/>
        <w:gridCol w:w="128"/>
        <w:gridCol w:w="109"/>
        <w:gridCol w:w="109"/>
        <w:gridCol w:w="109"/>
        <w:gridCol w:w="249"/>
        <w:gridCol w:w="611"/>
        <w:gridCol w:w="128"/>
        <w:gridCol w:w="109"/>
        <w:gridCol w:w="109"/>
        <w:gridCol w:w="109"/>
        <w:gridCol w:w="249"/>
        <w:gridCol w:w="611"/>
        <w:gridCol w:w="128"/>
        <w:gridCol w:w="109"/>
        <w:gridCol w:w="109"/>
        <w:gridCol w:w="109"/>
        <w:gridCol w:w="247"/>
        <w:gridCol w:w="606"/>
        <w:gridCol w:w="186"/>
      </w:tblGrid>
      <w:tr>
        <w:trPr/>
        <w:tc>
          <w:tcPr>
            <w:tcW w:w="2142"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5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9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Resort management and other services</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5221"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reimbursements</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Resort management and other services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charges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reimbursements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EXPENSES</w:t>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and other income (expense), net</w:t>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RESULTS BEFORE INCOME TAXES AND NONCONTROLLING INTERESTS</w:t>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RESULTS ATTRIBUTABLE TO COMMON STOCKHOLDERS</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General and Administrative</w:t>
      </w:r>
    </w:p>
    <w:tbl>
      <w:tblPr>
        <w:tblW w:w="10205" w:type="dxa"/>
        <w:jc w:val="center"/>
        <w:tblInd w:w="0" w:type="dxa"/>
        <w:tblLayout w:type="fixed"/>
        <w:tblCellMar>
          <w:top w:w="28" w:type="dxa"/>
          <w:left w:w="28" w:type="dxa"/>
          <w:bottom w:w="28" w:type="dxa"/>
          <w:right w:w="28" w:type="dxa"/>
        </w:tblCellMar>
      </w:tblPr>
      <w:tblGrid>
        <w:gridCol w:w="700"/>
        <w:gridCol w:w="614"/>
        <w:gridCol w:w="621"/>
        <w:gridCol w:w="304"/>
        <w:gridCol w:w="519"/>
        <w:gridCol w:w="157"/>
        <w:gridCol w:w="109"/>
        <w:gridCol w:w="109"/>
        <w:gridCol w:w="109"/>
        <w:gridCol w:w="304"/>
        <w:gridCol w:w="519"/>
        <w:gridCol w:w="157"/>
        <w:gridCol w:w="109"/>
        <w:gridCol w:w="109"/>
        <w:gridCol w:w="109"/>
        <w:gridCol w:w="211"/>
        <w:gridCol w:w="256"/>
        <w:gridCol w:w="109"/>
        <w:gridCol w:w="109"/>
        <w:gridCol w:w="109"/>
        <w:gridCol w:w="109"/>
        <w:gridCol w:w="141"/>
        <w:gridCol w:w="141"/>
        <w:gridCol w:w="141"/>
        <w:gridCol w:w="109"/>
        <w:gridCol w:w="109"/>
        <w:gridCol w:w="109"/>
        <w:gridCol w:w="273"/>
        <w:gridCol w:w="604"/>
        <w:gridCol w:w="141"/>
        <w:gridCol w:w="109"/>
        <w:gridCol w:w="109"/>
        <w:gridCol w:w="109"/>
        <w:gridCol w:w="273"/>
        <w:gridCol w:w="604"/>
        <w:gridCol w:w="141"/>
        <w:gridCol w:w="109"/>
        <w:gridCol w:w="109"/>
        <w:gridCol w:w="109"/>
        <w:gridCol w:w="211"/>
        <w:gridCol w:w="256"/>
        <w:gridCol w:w="109"/>
        <w:gridCol w:w="109"/>
        <w:gridCol w:w="109"/>
        <w:gridCol w:w="109"/>
        <w:gridCol w:w="117"/>
        <w:gridCol w:w="117"/>
        <w:gridCol w:w="176"/>
      </w:tblGrid>
      <w:tr>
        <w:trPr/>
        <w:tc>
          <w:tcPr>
            <w:tcW w:w="70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bl>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Second Quarter</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for the second quarter of 2025 increased primarily due to $14 million of higher compensation and benefits expense, driven by lower variable compensation expense due to the sales reserve adjustment in the prior year comparable period, partially offset by $4 million of lower insurance expense and $3 million of lower other costs.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First Half</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for the first half of 2025 increased primarily due to $14 million of higher compensation and benefits expense, driven by lower variable compensation expense due to the sales reserve adjustment in the prior year comparable period, partially offset by $3 million of lower insurance expense, $3 million of lower consulting and $3 million of lower other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Litigation Charges</w:t>
      </w:r>
    </w:p>
    <w:tbl>
      <w:tblPr>
        <w:tblW w:w="10205" w:type="dxa"/>
        <w:jc w:val="center"/>
        <w:tblInd w:w="0" w:type="dxa"/>
        <w:tblLayout w:type="fixed"/>
        <w:tblCellMar>
          <w:top w:w="28" w:type="dxa"/>
          <w:left w:w="28" w:type="dxa"/>
          <w:bottom w:w="28" w:type="dxa"/>
          <w:right w:w="28" w:type="dxa"/>
        </w:tblCellMar>
      </w:tblPr>
      <w:tblGrid>
        <w:gridCol w:w="558"/>
        <w:gridCol w:w="487"/>
        <w:gridCol w:w="473"/>
        <w:gridCol w:w="395"/>
        <w:gridCol w:w="479"/>
        <w:gridCol w:w="203"/>
        <w:gridCol w:w="109"/>
        <w:gridCol w:w="109"/>
        <w:gridCol w:w="109"/>
        <w:gridCol w:w="319"/>
        <w:gridCol w:w="615"/>
        <w:gridCol w:w="164"/>
        <w:gridCol w:w="109"/>
        <w:gridCol w:w="109"/>
        <w:gridCol w:w="109"/>
        <w:gridCol w:w="211"/>
        <w:gridCol w:w="256"/>
        <w:gridCol w:w="109"/>
        <w:gridCol w:w="109"/>
        <w:gridCol w:w="109"/>
        <w:gridCol w:w="109"/>
        <w:gridCol w:w="140"/>
        <w:gridCol w:w="140"/>
        <w:gridCol w:w="141"/>
        <w:gridCol w:w="109"/>
        <w:gridCol w:w="109"/>
        <w:gridCol w:w="109"/>
        <w:gridCol w:w="395"/>
        <w:gridCol w:w="479"/>
        <w:gridCol w:w="203"/>
        <w:gridCol w:w="109"/>
        <w:gridCol w:w="109"/>
        <w:gridCol w:w="109"/>
        <w:gridCol w:w="319"/>
        <w:gridCol w:w="615"/>
        <w:gridCol w:w="164"/>
        <w:gridCol w:w="109"/>
        <w:gridCol w:w="109"/>
        <w:gridCol w:w="109"/>
        <w:gridCol w:w="211"/>
        <w:gridCol w:w="256"/>
        <w:gridCol w:w="109"/>
        <w:gridCol w:w="109"/>
        <w:gridCol w:w="109"/>
        <w:gridCol w:w="109"/>
        <w:gridCol w:w="136"/>
        <w:gridCol w:w="136"/>
        <w:gridCol w:w="203"/>
      </w:tblGrid>
      <w:tr>
        <w:trPr/>
        <w:tc>
          <w:tcPr>
            <w:tcW w:w="558"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charges</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Second Quarter and First Half</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Litigation charges during the second quarter and first half of 2025 relate to a dispute with a service provider.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Restructuring</w:t>
      </w:r>
    </w:p>
    <w:tbl>
      <w:tblPr>
        <w:tblW w:w="10205" w:type="dxa"/>
        <w:jc w:val="center"/>
        <w:tblInd w:w="0" w:type="dxa"/>
        <w:tblLayout w:type="fixed"/>
        <w:tblCellMar>
          <w:top w:w="28" w:type="dxa"/>
          <w:left w:w="28" w:type="dxa"/>
          <w:bottom w:w="28" w:type="dxa"/>
          <w:right w:w="28" w:type="dxa"/>
        </w:tblCellMar>
      </w:tblPr>
      <w:tblGrid>
        <w:gridCol w:w="446"/>
        <w:gridCol w:w="391"/>
        <w:gridCol w:w="394"/>
        <w:gridCol w:w="345"/>
        <w:gridCol w:w="590"/>
        <w:gridCol w:w="178"/>
        <w:gridCol w:w="109"/>
        <w:gridCol w:w="109"/>
        <w:gridCol w:w="109"/>
        <w:gridCol w:w="404"/>
        <w:gridCol w:w="490"/>
        <w:gridCol w:w="208"/>
        <w:gridCol w:w="109"/>
        <w:gridCol w:w="109"/>
        <w:gridCol w:w="109"/>
        <w:gridCol w:w="211"/>
        <w:gridCol w:w="361"/>
        <w:gridCol w:w="109"/>
        <w:gridCol w:w="109"/>
        <w:gridCol w:w="109"/>
        <w:gridCol w:w="109"/>
        <w:gridCol w:w="140"/>
        <w:gridCol w:w="140"/>
        <w:gridCol w:w="141"/>
        <w:gridCol w:w="109"/>
        <w:gridCol w:w="109"/>
        <w:gridCol w:w="109"/>
        <w:gridCol w:w="345"/>
        <w:gridCol w:w="590"/>
        <w:gridCol w:w="178"/>
        <w:gridCol w:w="109"/>
        <w:gridCol w:w="109"/>
        <w:gridCol w:w="109"/>
        <w:gridCol w:w="404"/>
        <w:gridCol w:w="490"/>
        <w:gridCol w:w="208"/>
        <w:gridCol w:w="109"/>
        <w:gridCol w:w="109"/>
        <w:gridCol w:w="109"/>
        <w:gridCol w:w="211"/>
        <w:gridCol w:w="361"/>
        <w:gridCol w:w="109"/>
        <w:gridCol w:w="109"/>
        <w:gridCol w:w="109"/>
        <w:gridCol w:w="109"/>
        <w:gridCol w:w="136"/>
        <w:gridCol w:w="136"/>
        <w:gridCol w:w="200"/>
      </w:tblGrid>
      <w:tr>
        <w:trPr/>
        <w:tc>
          <w:tcPr>
            <w:tcW w:w="4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Second Quarter and First Half</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2024, we announced the creation of a Strategic Business Operations office focused on accelerating our growth and driving operating efficiencies in all areas of our business while increasing organizational agility. We intend to: modernize and optimize our processes and systems, including through advanced technology and automation; increase sales efficiency and inventory optimization; and capture significant savings from initiatives related to procurement and corporate overhead. See “Strategic Business Operations” section above for further information.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second quarter and first half of 2025, we incurred $32 million and $43 million, respectively, of restructuring charges associated with these efforts, the majority of which related to advisory services. See Footnote 17 “Restructuring” to our Financial Statements for further information related to our restructuring charges.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second quarter and first half of 2024, we incurred $1 million and $3 million, respectively, of restructuring charges associated with the elimination of certain positions as a result of the realignment of our management structure and headcount reductions in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Gains (Losses) and Other Income (Expense)</w:t>
      </w:r>
    </w:p>
    <w:tbl>
      <w:tblPr>
        <w:tblW w:w="10205" w:type="dxa"/>
        <w:jc w:val="center"/>
        <w:tblInd w:w="0" w:type="dxa"/>
        <w:tblLayout w:type="fixed"/>
        <w:tblCellMar>
          <w:top w:w="28" w:type="dxa"/>
          <w:left w:w="28" w:type="dxa"/>
          <w:bottom w:w="28" w:type="dxa"/>
          <w:right w:w="28" w:type="dxa"/>
        </w:tblCellMar>
      </w:tblPr>
      <w:tblGrid>
        <w:gridCol w:w="841"/>
        <w:gridCol w:w="700"/>
        <w:gridCol w:w="664"/>
        <w:gridCol w:w="275"/>
        <w:gridCol w:w="471"/>
        <w:gridCol w:w="142"/>
        <w:gridCol w:w="109"/>
        <w:gridCol w:w="109"/>
        <w:gridCol w:w="109"/>
        <w:gridCol w:w="283"/>
        <w:gridCol w:w="410"/>
        <w:gridCol w:w="146"/>
        <w:gridCol w:w="109"/>
        <w:gridCol w:w="109"/>
        <w:gridCol w:w="109"/>
        <w:gridCol w:w="211"/>
        <w:gridCol w:w="361"/>
        <w:gridCol w:w="109"/>
        <w:gridCol w:w="109"/>
        <w:gridCol w:w="109"/>
        <w:gridCol w:w="109"/>
        <w:gridCol w:w="140"/>
        <w:gridCol w:w="140"/>
        <w:gridCol w:w="141"/>
        <w:gridCol w:w="109"/>
        <w:gridCol w:w="109"/>
        <w:gridCol w:w="109"/>
        <w:gridCol w:w="275"/>
        <w:gridCol w:w="471"/>
        <w:gridCol w:w="142"/>
        <w:gridCol w:w="109"/>
        <w:gridCol w:w="109"/>
        <w:gridCol w:w="109"/>
        <w:gridCol w:w="283"/>
        <w:gridCol w:w="410"/>
        <w:gridCol w:w="146"/>
        <w:gridCol w:w="109"/>
        <w:gridCol w:w="109"/>
        <w:gridCol w:w="109"/>
        <w:gridCol w:w="211"/>
        <w:gridCol w:w="361"/>
        <w:gridCol w:w="109"/>
        <w:gridCol w:w="109"/>
        <w:gridCol w:w="109"/>
        <w:gridCol w:w="109"/>
        <w:gridCol w:w="136"/>
        <w:gridCol w:w="136"/>
        <w:gridCol w:w="202"/>
      </w:tblGrid>
      <w:tr>
        <w:trPr/>
        <w:tc>
          <w:tcPr>
            <w:tcW w:w="841"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and other income (expense), net</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Second Quarter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the second quarter of 2025, we recorded $18 million of foreign currency translation gains, $3 million of tax related adjustments to the receivable from Marriott International for indemnified tax matters, $1 million of insurance proceeds, and $1 million of other gains.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the second quarter of 2024, we recorded $4 million of foreign currency translation losses and $4 million of tax related adjustments to the receivable from Marriott International for indemnified tax matters.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First Half</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the first half of 2025, we recorded $21 million of foreign currency translation gains, $3 million of tax related adjustments to the receivable from Marriott International for indemnified tax matters, $2 million of other gains, and $1 million of insurance proceeds.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the first half of 2024, we recorded $6 million of foreign currency translation losses and $2 million net of tax related adjustments to the receivable from Marriott International for indemnified tax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Income Tax</w:t>
      </w:r>
    </w:p>
    <w:tbl>
      <w:tblPr>
        <w:tblW w:w="10205" w:type="dxa"/>
        <w:jc w:val="center"/>
        <w:tblInd w:w="0" w:type="dxa"/>
        <w:tblLayout w:type="fixed"/>
        <w:tblCellMar>
          <w:top w:w="28" w:type="dxa"/>
          <w:left w:w="28" w:type="dxa"/>
          <w:bottom w:w="28" w:type="dxa"/>
          <w:right w:w="28" w:type="dxa"/>
        </w:tblCellMar>
      </w:tblPr>
      <w:tblGrid>
        <w:gridCol w:w="640"/>
        <w:gridCol w:w="531"/>
        <w:gridCol w:w="503"/>
        <w:gridCol w:w="273"/>
        <w:gridCol w:w="538"/>
        <w:gridCol w:w="141"/>
        <w:gridCol w:w="109"/>
        <w:gridCol w:w="109"/>
        <w:gridCol w:w="109"/>
        <w:gridCol w:w="273"/>
        <w:gridCol w:w="538"/>
        <w:gridCol w:w="141"/>
        <w:gridCol w:w="109"/>
        <w:gridCol w:w="109"/>
        <w:gridCol w:w="109"/>
        <w:gridCol w:w="211"/>
        <w:gridCol w:w="409"/>
        <w:gridCol w:w="109"/>
        <w:gridCol w:w="109"/>
        <w:gridCol w:w="109"/>
        <w:gridCol w:w="109"/>
        <w:gridCol w:w="140"/>
        <w:gridCol w:w="140"/>
        <w:gridCol w:w="141"/>
        <w:gridCol w:w="109"/>
        <w:gridCol w:w="109"/>
        <w:gridCol w:w="109"/>
        <w:gridCol w:w="273"/>
        <w:gridCol w:w="538"/>
        <w:gridCol w:w="141"/>
        <w:gridCol w:w="109"/>
        <w:gridCol w:w="109"/>
        <w:gridCol w:w="109"/>
        <w:gridCol w:w="273"/>
        <w:gridCol w:w="538"/>
        <w:gridCol w:w="141"/>
        <w:gridCol w:w="109"/>
        <w:gridCol w:w="109"/>
        <w:gridCol w:w="109"/>
        <w:gridCol w:w="211"/>
        <w:gridCol w:w="409"/>
        <w:gridCol w:w="109"/>
        <w:gridCol w:w="109"/>
        <w:gridCol w:w="109"/>
        <w:gridCol w:w="109"/>
        <w:gridCol w:w="159"/>
        <w:gridCol w:w="159"/>
        <w:gridCol w:w="237"/>
      </w:tblGrid>
      <w:tr>
        <w:trPr/>
        <w:tc>
          <w:tcPr>
            <w:tcW w:w="64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r>
    </w:tbl>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Second Quarter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effective tax rate was 26.8% and 22.0% for the three months ended June 30, 2025 and June 30, 2024, respectively.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effective tax rate for the three months ended June 30, 2025 was generally consistent with the blended U.S. federal and state statutory tax rate, with no significant variances.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effective tax rate for the three months ended June 30, 2024 differed from the blended U.S. federal and state statutory tax rate primarily due to discrete income tax adjustments. These included a $13 million decrease as a result of the expiration of statutes of limitation on certain unrecognized tax benefits, partially offset by a $4 million increase related to prior year true-up adjustments in non-U.S. jurisdictions.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First Half</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effective tax rate was 35.5% and 35.2% for the six months ended June 30, 2025 and June 30, 2024, respectively.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effective tax rate for the six months ended June 30, 2025 differed from the blended U.S. federal and state statutory tax rate primarily due to the effect of losses incurred in certain non-U.S. jurisdictions for which no tax benefit was recognized. Additionally, permanent differences between the book and tax treatment further contributed to the variance from the statutory rate.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effective tax rate for the six months ended June 30, 2024 differed from the blended U.S. federal and state statutory tax rate primarily due to discrete income tax adjustments. These adjustments included a $20 million increase related to the removal of the permanent reinvestment assertion for certain non-U.S. entities and a $5 million increase from prior year true-up adjustments in non-U.S. jurisdictions. These impacts were partially offset by a $22 million decrease as a result of the expiration of statutes of limitation on certain unrecognized tax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Consolidated Property Owners’ Associations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illustrates the impact of certain Consolidated Property Owners’ Associations under the relevant accounting guidance.</w:t>
      </w:r>
    </w:p>
    <w:tbl>
      <w:tblPr>
        <w:tblW w:w="10205" w:type="dxa"/>
        <w:jc w:val="center"/>
        <w:tblInd w:w="0" w:type="dxa"/>
        <w:tblLayout w:type="fixed"/>
        <w:tblCellMar>
          <w:top w:w="28" w:type="dxa"/>
          <w:left w:w="28" w:type="dxa"/>
          <w:bottom w:w="28" w:type="dxa"/>
          <w:right w:w="28" w:type="dxa"/>
        </w:tblCellMar>
      </w:tblPr>
      <w:tblGrid>
        <w:gridCol w:w="2133"/>
        <w:gridCol w:w="1621"/>
        <w:gridCol w:w="1592"/>
        <w:gridCol w:w="279"/>
        <w:gridCol w:w="539"/>
        <w:gridCol w:w="144"/>
        <w:gridCol w:w="109"/>
        <w:gridCol w:w="109"/>
        <w:gridCol w:w="109"/>
        <w:gridCol w:w="291"/>
        <w:gridCol w:w="500"/>
        <w:gridCol w:w="150"/>
        <w:gridCol w:w="109"/>
        <w:gridCol w:w="109"/>
        <w:gridCol w:w="109"/>
        <w:gridCol w:w="279"/>
        <w:gridCol w:w="538"/>
        <w:gridCol w:w="144"/>
        <w:gridCol w:w="109"/>
        <w:gridCol w:w="109"/>
        <w:gridCol w:w="109"/>
        <w:gridCol w:w="275"/>
        <w:gridCol w:w="530"/>
        <w:gridCol w:w="209"/>
      </w:tblGrid>
      <w:tr>
        <w:trPr/>
        <w:tc>
          <w:tcPr>
            <w:tcW w:w="2133"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5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9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r>
      <w:tr>
        <w:trPr/>
        <w:tc>
          <w:tcPr>
            <w:tcW w:w="5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Resort management and other services</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5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reimbursements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Resort management and other services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reimbursements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EXPENSES</w:t>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r>
      <w:tr>
        <w:trPr/>
        <w:tc>
          <w:tcPr>
            <w:tcW w:w="5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RESULTS BEFORE INCOME TAXES AND NONCONTROLLING INTERESTS</w:t>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RESULTS ATTRIBUTABLE TO COMMON STOCKHOLDERS</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Typically, our capital needs are supported by cash on hand, cash generated from operations, our ability to access funds under the Warehouse Credit Facility and the Revolving Corporate Credit Facility, our ability to raise capital through securitizations in the ABS market, and, to the extent necessary, our ability to issue new debt and refinance existing debt. We believe these sources of capital will be adequate to meet our short-term and long-term liquidity requirements, finance our long-term growth plans, satisfy debt service requirements, fulfill other cash requirements, and return capital to stockholders. We continuously monitor the capital markets to evaluate the effect that changes in market conditions may have on our ability to fund our liquidity needs.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At June 30, 2025, our corporate debt, net of cash and equivalents, to Adjusted EBITDA ratio was 3.9, above our targeted range of 2.5 to 3.0, and we remain focused on reducing this ratio over time.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have no material principal payment obligations for the remainder of 2025. See Footnote 12 “Debt” to our Financial Statements for further information related to maturities of our debt.</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Sources of Liquidity</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Cash from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primary sources of funds from operations are (1) cash sales and down payments on financed sales, (2) cash from our financing operations, including principal and interest payments received on outstanding vacation ownership notes receivable, (3) cash from fee-based membership, exchange and rental transactions, and (4) cash generated from our rental and resort management and other services operations.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Vacation Ownership Notes Receivable Securitizations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periodically securitize, without recourse through bankruptcy remote special purpose entities, the majority of the notes receivable originated in connection with the sale of vacation ownership products to institutional investors in the ABS term securitization market. These vacation ownership notes receivable securitizations provide liquidity for general corporate purposes. In a vacation ownership notes receivable term securitization, several classes of debt securities issued by a special purpose entity are collateralized by a single pool of transferred vacation ownership notes receivable. In connection with each vacation ownership notes receivable securitization, we may retain all or a portion of the securities that are issued.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Typically, we receive cash at inception of the term securitization transaction for the amount of notes issued less fees and monies held in reserve and we receive cash during the life of the transaction in amounts reflecting the excess spread of interest received on the related vacation ownership notes receivable less the interest payable on the ABS securities, less administrative fees and amounts from related vacation ownership notes receivable that default. Loan defaults under securitizations offset a portion of the excess spread we receive, on a monthly basis.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Each of the securitized vacation ownership notes receivable transactions contains various triggers relating to the performance of the underlying vacation ownership notes receivable. If a pool of securitized vacation ownership notes receivable fails to perform within the pool’s parameters (default or delinquency thresholds vary by transaction), transaction provisions effectively redirect the monthly excess spread of interest accruing on the related vacation ownership notes receivable less the interest accruing on the ABS securities and fees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At the recent level of defaults, there is no impact to cash whether we repurchase defaulted vacation ownership notes receivable from a securitization VIE and pursue foreclosure or foreclose on behalf of a securitization VIE. During the second quarter of 2025, and as of June 30, 2025, no securitized vacation ownership notes receivable pools were out of compliance with their respective required parameters. As of June 30, 2025, we had 11 term securitization transactions outstanding. Since 2000, we have issued approximately $10.3 billion of debt securities in securitization transactions in the term ABS market, excluding amounts securitized through warehouse credit facilities or private bank transactions.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an ongoing basis, we have the ability to use our Warehouse Credit Facility to securitize, on a revolving non-recourse basis, eligible consumer loans derived from certain vacation ownership sales. Those loans may later be transferred to term securitization transactions in the ABS market, which typically occur twice a year. During the second quarter of 2025, we amended certain agreements associated with our Warehouse Credit Facility, which, among other things, extended the revolving period from June 11, 2026 to June 11, 2027. At June 30, 2025, we had $158 million of borrowings outstanding on our Warehouse Credit Facility. See Footnote 11 “Securitized Debt’ to our Financial Statement for further information on our Warehouse Amendment.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2025, $55 million of gross vacation ownership notes receivable were eligible for securitization.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Corporate Credit Facility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first quarter of 2025, we entered into an amendment to the Corporate Credit Facility, which, among other things, increased the borrowing capacity on our Revolving Corporate Credit Facility from $750 million to $800 million of aggregate borrowings for general corporate needs, including working capital, capital expenditures, letters of credit, and acquisitions. The Amendment also extended the termination date from March 31, 2027 to March 24, 2030, reduced certain fees and interest costs, and increased the letter of credit sub-facility of the Revolving Corporate Credit Facility from $75 million to $150 million. At June 30, 2025, $235 million of borrowings and $26 million of letters of credit were outstanding under our Revolving Corporate Credit Facility.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Additionally, the Amendment provided for a new $450 million senior secured Delayed-Draw Term Loan with a maturity date of December 31, 2027. The Delayed-Draw Term Loan is only available to finance the redemption or repurchase of our 2026 Convertible Notes, which are due January 15, 2026. As of June 30, 2025, there were no outstanding borrowings on the Delayed-Draw Term Loan.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See Footnote 12 “Debt” to our Financial Statements for further information.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Uses of Cash</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minimize our working capital needs through cash management, strict credit-granting policies, and disciplined collection efforts. Our working capital needs fluctuate throughout the year given the timing of annual maintenance fees on unsold inventory we pay to owners’ associations and certain annual compensation-related outflows. In addition, our cash from operations varies due to the timing of repayment by owners of vacation ownership notes receivable, timing and amount of voluntary repurchases of defaulted vacation ownership notes receivable, the closing or recording of sales contracts for vacation ownership products, financing propensity, and cash outlays for inventory acquisitions and development.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Seasonality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cash flow from operations fluctuates during the year due to the timing of certain receipts and contractual and compensation-related payments. Significant changes in cash flow can result from the timing of our collection of maintenance fees, club dues, and other customer payments, which typically occurs in either the fourth quarter or the first quarter of each year. Generally, cash outflows related to our payment of maintenance fees associated with unsold inventory occurs in the fourth quarter for our points-based products, and in the first quarter for our weeks-based products. In addition, during the first quarter of each year, we generally have variable compensation-related cash outflows associated with payment of annual bonuses.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Timing of Estimated Tax Payments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part of the federal tax relief provided by the Internal Revenue Service for businesses in areas of Florida affected by hurricanes during the third and fourth quarters of 2024, we were permitted to defer certain federal income tax payments without incurring interest or penalties. As a result, we deferred $38 million of estimated tax payments from the third and fourth quarters of 2024 to the second quarter of 2025. Similarly, in the prior year, under comparable relief measures related to hurricanes in 2023, we deferred $32 million of estimated tax payments from the third and fourth quarters of 2023 to the first quarter of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addition to net income and adjustments for non-cash items, the following are key drivers of our cash flow from operating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Inventory Spending (In Excess of) Less Than Cost of Sales</w:t>
      </w:r>
    </w:p>
    <w:tbl>
      <w:tblPr>
        <w:tblW w:w="8409" w:type="dxa"/>
        <w:jc w:val="center"/>
        <w:tblInd w:w="0" w:type="dxa"/>
        <w:tblLayout w:type="fixed"/>
        <w:tblCellMar>
          <w:top w:w="28" w:type="dxa"/>
          <w:left w:w="28" w:type="dxa"/>
          <w:bottom w:w="28" w:type="dxa"/>
          <w:right w:w="28" w:type="dxa"/>
        </w:tblCellMar>
      </w:tblPr>
      <w:tblGrid>
        <w:gridCol w:w="2077"/>
        <w:gridCol w:w="1823"/>
        <w:gridCol w:w="1829"/>
        <w:gridCol w:w="322"/>
        <w:gridCol w:w="666"/>
        <w:gridCol w:w="166"/>
        <w:gridCol w:w="109"/>
        <w:gridCol w:w="109"/>
        <w:gridCol w:w="109"/>
        <w:gridCol w:w="316"/>
        <w:gridCol w:w="653"/>
        <w:gridCol w:w="230"/>
      </w:tblGrid>
      <w:tr>
        <w:trPr/>
        <w:tc>
          <w:tcPr>
            <w:tcW w:w="2077"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1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spending</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and development of property for future transfer to inventory</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costs</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spending (in excess of) less than cost of sales</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Although we have adequate inventory on hand, we intend to continue selectively pursuing growth opportunities by targeting high-quality inventory that allows us to add desirable new destinations to our systems with new on-site sales locations to support anticipated future contract sales growth. Where possible, we will structure transactions to limit our up-front capital investment and allow us to purchase finished inventory closer to the time it is needed for sale. These capital efficient vacation ownership transaction structures may consist of the development of new inventory, or the conversion of previously built units, by third parties. In addition, we may develop inventory on our balance sheet in key markets where we believe the opportunities will generate acceptable risk adjusted returns.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Through our existing VOI repurchase program, we proactively acquire previously sold VOIs from owners’ associations and individual owners at lower costs than would be required to develop new inventory. Among other reasons for repurchasing inventory, we expect these repurchases will help stabilize the future cost of our vacation ownership products.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expect inventory spending to continue to exceed cost of sales for the remainder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Vacation Ownership Notes Receivable Collections Less Than Originations</w:t>
      </w:r>
    </w:p>
    <w:tbl>
      <w:tblPr>
        <w:tblW w:w="8516" w:type="dxa"/>
        <w:jc w:val="center"/>
        <w:tblInd w:w="0" w:type="dxa"/>
        <w:tblLayout w:type="fixed"/>
        <w:tblCellMar>
          <w:top w:w="28" w:type="dxa"/>
          <w:left w:w="28" w:type="dxa"/>
          <w:bottom w:w="28" w:type="dxa"/>
          <w:right w:w="28" w:type="dxa"/>
        </w:tblCellMar>
      </w:tblPr>
      <w:tblGrid>
        <w:gridCol w:w="2113"/>
        <w:gridCol w:w="1853"/>
        <w:gridCol w:w="1868"/>
        <w:gridCol w:w="283"/>
        <w:gridCol w:w="726"/>
        <w:gridCol w:w="146"/>
        <w:gridCol w:w="109"/>
        <w:gridCol w:w="109"/>
        <w:gridCol w:w="109"/>
        <w:gridCol w:w="279"/>
        <w:gridCol w:w="717"/>
        <w:gridCol w:w="204"/>
      </w:tblGrid>
      <w:tr>
        <w:trPr/>
        <w:tc>
          <w:tcPr>
            <w:tcW w:w="2113"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Vacation ownership notes receivable collections — non-securitized</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Vacation ownership notes receivable collections — securitized</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Vacation ownership notes receivable originations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Vacation ownership notes receivable collections less than originations</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Vacation ownership notes receivable collections were less than originations in the first half of 2025 and 2024 due to the growth of our vacation ownership notes receivable portfolio.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Repurchase of Common Stock</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share repurchase activity under our Share Repurchase Program:</w:t>
      </w:r>
    </w:p>
    <w:tbl>
      <w:tblPr>
        <w:tblW w:w="10205" w:type="dxa"/>
        <w:jc w:val="center"/>
        <w:tblInd w:w="0" w:type="dxa"/>
        <w:tblLayout w:type="fixed"/>
        <w:tblCellMar>
          <w:top w:w="28" w:type="dxa"/>
          <w:left w:w="28" w:type="dxa"/>
          <w:bottom w:w="28" w:type="dxa"/>
          <w:right w:w="28" w:type="dxa"/>
        </w:tblCellMar>
      </w:tblPr>
      <w:tblGrid>
        <w:gridCol w:w="1074"/>
        <w:gridCol w:w="941"/>
        <w:gridCol w:w="949"/>
        <w:gridCol w:w="857"/>
        <w:gridCol w:w="854"/>
        <w:gridCol w:w="856"/>
        <w:gridCol w:w="109"/>
        <w:gridCol w:w="109"/>
        <w:gridCol w:w="109"/>
        <w:gridCol w:w="612"/>
        <w:gridCol w:w="1797"/>
        <w:gridCol w:w="319"/>
        <w:gridCol w:w="109"/>
        <w:gridCol w:w="109"/>
        <w:gridCol w:w="109"/>
        <w:gridCol w:w="276"/>
        <w:gridCol w:w="808"/>
        <w:gridCol w:w="208"/>
      </w:tblGrid>
      <w:tr>
        <w:trPr/>
        <w:tc>
          <w:tcPr>
            <w:tcW w:w="107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2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 except per share amounts)</w:t>
            </w:r>
          </w:p>
        </w:tc>
        <w:tc>
          <w:tcPr>
            <w:tcW w:w="2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 Basis of 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Price</w:t>
              <w:br/>
              <w:t>Paid per Share</w:t>
            </w:r>
          </w:p>
        </w:tc>
      </w:tr>
      <w:tr>
        <w:trPr/>
        <w:tc>
          <w:tcPr>
            <w:tcW w:w="2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2024</w:t>
            </w:r>
          </w:p>
        </w:tc>
        <w:tc>
          <w:tcPr>
            <w:tcW w:w="17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25,790,550 </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95.40 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the first half of 2025</w:t>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496,484 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2025</w:t>
            </w:r>
          </w:p>
        </w:tc>
        <w:tc>
          <w:tcPr>
            <w:tcW w:w="17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26,287,034 </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2,497 </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See Footnote 13 “Stockholders' Equity” to our Financial Statements for further information related to our current share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Payment of Dividends to Common Stockholders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distributed cash dividends to holders of common stock during the first half of 2025 as follows:</w:t>
      </w:r>
    </w:p>
    <w:tbl>
      <w:tblPr>
        <w:tblW w:w="7729" w:type="dxa"/>
        <w:jc w:val="center"/>
        <w:tblInd w:w="0" w:type="dxa"/>
        <w:tblLayout w:type="fixed"/>
        <w:tblCellMar>
          <w:top w:w="28" w:type="dxa"/>
          <w:left w:w="28" w:type="dxa"/>
          <w:bottom w:w="28" w:type="dxa"/>
          <w:right w:w="28" w:type="dxa"/>
        </w:tblCellMar>
      </w:tblPr>
      <w:tblGrid>
        <w:gridCol w:w="581"/>
        <w:gridCol w:w="510"/>
        <w:gridCol w:w="514"/>
        <w:gridCol w:w="109"/>
        <w:gridCol w:w="109"/>
        <w:gridCol w:w="109"/>
        <w:gridCol w:w="679"/>
        <w:gridCol w:w="679"/>
        <w:gridCol w:w="681"/>
        <w:gridCol w:w="109"/>
        <w:gridCol w:w="109"/>
        <w:gridCol w:w="109"/>
        <w:gridCol w:w="484"/>
        <w:gridCol w:w="484"/>
        <w:gridCol w:w="486"/>
        <w:gridCol w:w="109"/>
        <w:gridCol w:w="109"/>
        <w:gridCol w:w="109"/>
        <w:gridCol w:w="482"/>
        <w:gridCol w:w="482"/>
        <w:gridCol w:w="686"/>
      </w:tblGrid>
      <w:tr>
        <w:trP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Declaration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Stockholder 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Distribution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Dividend per Share</w:t>
            </w:r>
          </w:p>
        </w:tc>
      </w:tr>
      <w:tr>
        <w:trPr/>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6,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19,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$0.79</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$0.79</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12,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6,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$0.79</w:t>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currently expect to pay quarterly dividends in the future, but any future dividend payments will be subject to the approval of our Board of Directors, which will depend on our financial condition, results of operations and capital requirements at the time, as well as applicable law, regulatory constraints, industry practice, and other business considerations that our Board of Directors considers relevant. In addition, our Corporate Credit Facility and the indentures governing our senior notes contain restrictions on our ability to pay dividends, and the terms of agreements governing debt that we may incur in the future may also limit or prohibit the payment of dividends. The payment of certain cash dividends may also result in an adjustment to the conversion rate of our convertible notes in a manner adverse to us. Accordingly, there can be no assurance that we will pay dividends in the future at any particular rate or at 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Material Cash Requirements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future material cash requirements from known contractual or other obligations as of June 30, 2025:</w:t>
      </w:r>
    </w:p>
    <w:tbl>
      <w:tblPr>
        <w:tblW w:w="10205" w:type="dxa"/>
        <w:jc w:val="center"/>
        <w:tblInd w:w="0" w:type="dxa"/>
        <w:tblLayout w:type="fixed"/>
        <w:tblCellMar>
          <w:top w:w="28" w:type="dxa"/>
          <w:left w:w="28" w:type="dxa"/>
          <w:bottom w:w="28" w:type="dxa"/>
          <w:right w:w="28" w:type="dxa"/>
        </w:tblCellMar>
      </w:tblPr>
      <w:tblGrid>
        <w:gridCol w:w="619"/>
        <w:gridCol w:w="510"/>
        <w:gridCol w:w="464"/>
        <w:gridCol w:w="109"/>
        <w:gridCol w:w="109"/>
        <w:gridCol w:w="109"/>
        <w:gridCol w:w="211"/>
        <w:gridCol w:w="616"/>
        <w:gridCol w:w="109"/>
        <w:gridCol w:w="109"/>
        <w:gridCol w:w="109"/>
        <w:gridCol w:w="109"/>
        <w:gridCol w:w="257"/>
        <w:gridCol w:w="569"/>
        <w:gridCol w:w="135"/>
        <w:gridCol w:w="109"/>
        <w:gridCol w:w="109"/>
        <w:gridCol w:w="109"/>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211"/>
        <w:gridCol w:w="466"/>
        <w:gridCol w:w="109"/>
        <w:gridCol w:w="109"/>
        <w:gridCol w:w="109"/>
        <w:gridCol w:w="109"/>
        <w:gridCol w:w="211"/>
        <w:gridCol w:w="616"/>
        <w:gridCol w:w="155"/>
      </w:tblGrid>
      <w:tr>
        <w:trPr/>
        <w:tc>
          <w:tcPr>
            <w:tcW w:w="61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Payments Due by Period</w:t>
            </w:r>
          </w:p>
        </w:tc>
      </w:tr>
      <w:tr>
        <w:trPr/>
        <w:tc>
          <w:tcPr>
            <w:tcW w:w="1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Remainder</w:t>
              <w:br/>
              <w:t>of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Thereafter</w:t>
            </w:r>
          </w:p>
        </w:tc>
      </w:tr>
      <w:tr>
        <w:trPr/>
        <w:tc>
          <w:tcPr>
            <w:tcW w:w="1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15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Debt</w:t>
            </w: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Securitized debt</w:t>
            </w:r>
            <w:r>
              <w:rPr>
                <w:rFonts w:ascii="Times New Roman;serif" w:hAnsi="Times New Roman;serif"/>
                <w:b w:val="false"/>
                <w:color w:val="000000"/>
                <w:sz w:val="13"/>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Purchase obligations</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lease obligations</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Finance lease obligations</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Includes principal as well as interest payments and excludes unamortized debt discount and issuance costs. </w:t>
      </w:r>
    </w:p>
    <w:p>
      <w:pPr>
        <w:pStyle w:val="TextBody"/>
        <w:bidi w:val="0"/>
        <w:spacing w:lineRule="auto" w:line="288" w:before="120" w:after="283"/>
        <w:ind w:left="0" w:right="0" w:hanging="180"/>
        <w:jc w:val="left"/>
        <w:rPr/>
      </w:pPr>
      <w:r>
        <w:rPr>
          <w:rFonts w:ascii="Times New Roman;serif" w:hAnsi="Times New Roman;serif"/>
          <w:b w:val="false"/>
          <w:color w:val="000000"/>
          <w:sz w:val="13"/>
        </w:rPr>
        <w:t>(2)</w:t>
      </w:r>
      <w:r>
        <w:rPr>
          <w:rFonts w:ascii="Times New Roman;serif" w:hAnsi="Times New Roman;serif"/>
          <w:b w:val="false"/>
          <w:color w:val="000000"/>
          <w:sz w:val="20"/>
        </w:rPr>
        <w:t>Excludes the Delayed-Draw Term Loan as there were no outstanding borrowings at June 30, 2025. See Footnote 12 “Debt” to our Financial Statements for further information.</w:t>
      </w:r>
    </w:p>
    <w:p>
      <w:pPr>
        <w:pStyle w:val="TextBody"/>
        <w:bidi w:val="0"/>
        <w:spacing w:lineRule="auto" w:line="288" w:before="120" w:after="283"/>
        <w:ind w:left="0" w:right="0" w:hanging="180"/>
        <w:jc w:val="left"/>
        <w:rPr/>
      </w:pPr>
      <w:r>
        <w:rPr>
          <w:rFonts w:ascii="Times New Roman;serif" w:hAnsi="Times New Roman;serif"/>
          <w:b w:val="false"/>
          <w:color w:val="000000"/>
          <w:sz w:val="13"/>
        </w:rPr>
        <w:t>(3)</w:t>
      </w:r>
      <w:r>
        <w:rPr>
          <w:rFonts w:ascii="Times New Roman;serif" w:hAnsi="Times New Roman;serif"/>
          <w:b w:val="false"/>
          <w:color w:val="000000"/>
          <w:sz w:val="20"/>
        </w:rPr>
        <w:t>Payments based on estimated timing of cash flow associated with securitized notes receivable.</w:t>
      </w:r>
    </w:p>
    <w:p>
      <w:pPr>
        <w:pStyle w:val="TextBody"/>
        <w:bidi w:val="0"/>
        <w:spacing w:lineRule="auto" w:line="288" w:before="120" w:after="283"/>
        <w:ind w:left="0" w:right="0" w:hanging="180"/>
        <w:jc w:val="left"/>
        <w:rPr/>
      </w:pPr>
      <w:r>
        <w:rPr>
          <w:rFonts w:ascii="Times New Roman;serif" w:hAnsi="Times New Roman;serif"/>
          <w:b w:val="false"/>
          <w:color w:val="000000"/>
          <w:sz w:val="13"/>
        </w:rPr>
        <w:t>(4)</w:t>
      </w:r>
      <w:r>
        <w:rPr>
          <w:rFonts w:ascii="Times New Roman;serif" w:hAnsi="Times New Roman;serif"/>
          <w:b w:val="false"/>
          <w:color w:val="000000"/>
          <w:sz w:val="20"/>
        </w:rPr>
        <w:t>Arrangements are considered purchase obligations if a contract specifies all significant terms, including fixed or minimum quantities to be purchased, a pricing structure, and approximate timing of the transaction. Amounts reflected herein represent expected funding requirements under such contracts and primarily relate to future purchases of property and vacation ownership units and information technology assets (hardware and software). Amounts reflected on the consolidated balance sheet as accounts payable and accrued liabilities are excluded from the table above.</w:t>
      </w:r>
    </w:p>
    <w:p>
      <w:pPr>
        <w:pStyle w:val="TextBody"/>
        <w:bidi w:val="0"/>
        <w:spacing w:lineRule="auto" w:line="288" w:before="120" w:after="283"/>
        <w:ind w:left="0" w:right="0" w:hanging="180"/>
        <w:jc w:val="left"/>
        <w:rPr/>
      </w:pPr>
      <w:r>
        <w:rPr>
          <w:rFonts w:ascii="Times New Roman;serif" w:hAnsi="Times New Roman;serif"/>
          <w:b w:val="false"/>
          <w:color w:val="000000"/>
          <w:sz w:val="13"/>
        </w:rPr>
        <w:t>(5)</w:t>
      </w:r>
      <w:r>
        <w:rPr>
          <w:rFonts w:ascii="Times New Roman;serif" w:hAnsi="Times New Roman;serif"/>
          <w:b w:val="false"/>
          <w:color w:val="000000"/>
          <w:sz w:val="20"/>
        </w:rPr>
        <w:t>Includes interest.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In the normal course of our resort management business, we enter into purchase commitments on behalf of owners’ associations to manage the daily operating needs of our resorts. Since we are reimbursed for these commitments from the cash flows of the owners’ associations, these obligations have minimal impact on our net income and cash flow. These purchase commitments are excluded from the table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Supplemental Guarantor Information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2028 Notes are guaranteed by MVWC, Marriott Ownership Resorts, Inc. (“MORI”), and certain other subsidiaries whose voting securities are wholly owned directly or indirectly by MORI (such subsidiaries collectively, the “Senior Notes Guarantors”). These guarantees are full and unconditional and joint and several. The guarantees of the Senior Notes Guarantors are subject to release in limited circumstances only upon the occurrence of certain customary conditions.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consolidating financial information as of June 30, 2025 and December 31, 2024, and for the six months ended June 30, 2025 for MVWC and MORI on a stand-alone basis (collectively, the “Issuers”), the Senior Notes Guarantors, the combined non-guarantor subsidiaries of MVWC, and MVW on a consolidated basis.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Condensed Consolidating Statement of Income </w:t>
      </w:r>
    </w:p>
    <w:tbl>
      <w:tblPr>
        <w:tblW w:w="10205" w:type="dxa"/>
        <w:jc w:val="center"/>
        <w:tblInd w:w="0" w:type="dxa"/>
        <w:tblLayout w:type="fixed"/>
        <w:tblCellMar>
          <w:top w:w="28" w:type="dxa"/>
          <w:left w:w="28" w:type="dxa"/>
          <w:bottom w:w="28" w:type="dxa"/>
          <w:right w:w="28" w:type="dxa"/>
        </w:tblCellMar>
      </w:tblPr>
      <w:tblGrid>
        <w:gridCol w:w="900"/>
        <w:gridCol w:w="488"/>
        <w:gridCol w:w="380"/>
        <w:gridCol w:w="211"/>
        <w:gridCol w:w="466"/>
        <w:gridCol w:w="109"/>
        <w:gridCol w:w="109"/>
        <w:gridCol w:w="109"/>
        <w:gridCol w:w="109"/>
        <w:gridCol w:w="211"/>
        <w:gridCol w:w="466"/>
        <w:gridCol w:w="109"/>
        <w:gridCol w:w="109"/>
        <w:gridCol w:w="109"/>
        <w:gridCol w:w="109"/>
        <w:gridCol w:w="109"/>
        <w:gridCol w:w="109"/>
        <w:gridCol w:w="259"/>
        <w:gridCol w:w="759"/>
        <w:gridCol w:w="135"/>
        <w:gridCol w:w="109"/>
        <w:gridCol w:w="109"/>
        <w:gridCol w:w="109"/>
        <w:gridCol w:w="392"/>
        <w:gridCol w:w="867"/>
        <w:gridCol w:w="203"/>
        <w:gridCol w:w="109"/>
        <w:gridCol w:w="109"/>
        <w:gridCol w:w="109"/>
        <w:gridCol w:w="301"/>
        <w:gridCol w:w="688"/>
        <w:gridCol w:w="156"/>
        <w:gridCol w:w="109"/>
        <w:gridCol w:w="109"/>
        <w:gridCol w:w="109"/>
        <w:gridCol w:w="267"/>
        <w:gridCol w:w="782"/>
        <w:gridCol w:w="203"/>
      </w:tblGrid>
      <w:tr>
        <w:trPr/>
        <w:tc>
          <w:tcPr>
            <w:tcW w:w="90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1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8"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c>
          <w:tcPr>
            <w:tcW w:w="1579" w:type="dxa"/>
            <w:gridSpan w:val="6"/>
            <w:tcBorders/>
          </w:tcPr>
          <w:p>
            <w:pPr>
              <w:pStyle w:val="TableContents"/>
              <w:bidi w:val="0"/>
              <w:spacing w:before="0" w:after="283"/>
              <w:jc w:val="left"/>
              <w:rPr>
                <w:sz w:val="4"/>
                <w:szCs w:val="4"/>
              </w:rPr>
            </w:pPr>
            <w:r>
              <w:rPr>
                <w:sz w:val="4"/>
                <w:szCs w:val="4"/>
              </w:rPr>
            </w:r>
          </w:p>
        </w:tc>
      </w:tr>
      <w:tr>
        <w:trPr/>
        <w:tc>
          <w:tcPr>
            <w:tcW w:w="1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Issuers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Senior Notes Guarantors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Non-Guarantor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MVW Consolidated</w:t>
            </w:r>
          </w:p>
        </w:tc>
      </w:tr>
      <w:tr>
        <w:trPr/>
        <w:tc>
          <w:tcPr>
            <w:tcW w:w="1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millions)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MVWC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MORI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(provision for) income taxes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net income of subsidiaries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Condensed Consolidating Balance Sheet</w:t>
      </w:r>
    </w:p>
    <w:tbl>
      <w:tblPr>
        <w:tblW w:w="17835" w:type="dxa"/>
        <w:jc w:val="center"/>
        <w:tblInd w:w="0" w:type="dxa"/>
        <w:tblLayout w:type="fixed"/>
        <w:tblCellMar>
          <w:top w:w="28" w:type="dxa"/>
          <w:left w:w="28" w:type="dxa"/>
          <w:bottom w:w="28" w:type="dxa"/>
          <w:right w:w="28" w:type="dxa"/>
        </w:tblCellMar>
      </w:tblPr>
      <w:tblGrid>
        <w:gridCol w:w="717"/>
        <w:gridCol w:w="353"/>
        <w:gridCol w:w="311"/>
        <w:gridCol w:w="211"/>
        <w:gridCol w:w="616"/>
        <w:gridCol w:w="109"/>
        <w:gridCol w:w="109"/>
        <w:gridCol w:w="109"/>
        <w:gridCol w:w="109"/>
        <w:gridCol w:w="211"/>
        <w:gridCol w:w="616"/>
        <w:gridCol w:w="109"/>
        <w:gridCol w:w="109"/>
        <w:gridCol w:w="109"/>
        <w:gridCol w:w="109"/>
        <w:gridCol w:w="226"/>
        <w:gridCol w:w="662"/>
        <w:gridCol w:w="118"/>
        <w:gridCol w:w="109"/>
        <w:gridCol w:w="109"/>
        <w:gridCol w:w="109"/>
        <w:gridCol w:w="297"/>
        <w:gridCol w:w="869"/>
        <w:gridCol w:w="155"/>
        <w:gridCol w:w="109"/>
        <w:gridCol w:w="109"/>
        <w:gridCol w:w="109"/>
        <w:gridCol w:w="239"/>
        <w:gridCol w:w="717"/>
        <w:gridCol w:w="125"/>
        <w:gridCol w:w="109"/>
        <w:gridCol w:w="109"/>
        <w:gridCol w:w="109"/>
        <w:gridCol w:w="253"/>
        <w:gridCol w:w="741"/>
        <w:gridCol w:w="132"/>
        <w:gridCol w:w="109"/>
        <w:gridCol w:w="109"/>
        <w:gridCol w:w="109"/>
        <w:gridCol w:w="211"/>
        <w:gridCol w:w="616"/>
        <w:gridCol w:w="109"/>
        <w:gridCol w:w="109"/>
        <w:gridCol w:w="109"/>
        <w:gridCol w:w="109"/>
        <w:gridCol w:w="211"/>
        <w:gridCol w:w="616"/>
        <w:gridCol w:w="109"/>
        <w:gridCol w:w="109"/>
        <w:gridCol w:w="109"/>
        <w:gridCol w:w="109"/>
        <w:gridCol w:w="226"/>
        <w:gridCol w:w="662"/>
        <w:gridCol w:w="118"/>
        <w:gridCol w:w="109"/>
        <w:gridCol w:w="109"/>
        <w:gridCol w:w="109"/>
        <w:gridCol w:w="297"/>
        <w:gridCol w:w="869"/>
        <w:gridCol w:w="155"/>
        <w:gridCol w:w="109"/>
        <w:gridCol w:w="109"/>
        <w:gridCol w:w="109"/>
        <w:gridCol w:w="239"/>
        <w:gridCol w:w="717"/>
        <w:gridCol w:w="125"/>
        <w:gridCol w:w="327"/>
        <w:gridCol w:w="251"/>
        <w:gridCol w:w="735"/>
        <w:gridCol w:w="185"/>
      </w:tblGrid>
      <w:tr>
        <w:trPr/>
        <w:tc>
          <w:tcPr>
            <w:tcW w:w="71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2024</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Issuers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Senior Notes Guarantors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Non-Guarantor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MVW 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Issuers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Senior Notes Guarantors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Non-Guarantor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MVW Consolidated</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MVWC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MORI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MVWC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MORI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contracts receivable,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Vacation ownership notes receivable,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subsidiaries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(7,343)</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(7,284)</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 deposits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benefits liability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liability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Securitized debt,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MVW stockholders' equity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5,506 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(7,343)</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9,887 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5,610 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(7,284)</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9,808 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See Footnote 2 “Significant Accounting Policies and Recent Accounting Standards” to our Financial Statements for a discussion of recently issued accounting pronouncements, including information about new accounting standards and the future adoption of such standards.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preparation of financial statements in accordance with GAAP requires management to make estimates and assumptions that affect reported amounts and related disclosures. We have discussed those policies and estimates that we believe are critical and require the use of complex judgment in their application in our 2024 Annual Report. Since the date of our 2024 Annual Report, there have been no material changes to our critical accounting policies or the methodologies or assumptions we apply under them.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exposure to market risk has not changed materially from that disclosed in Part I, Item 7A of the 2024 Annual Report, other than as set forth below.</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manage the interest rate risk on our corporate debt through the use of a combination of fixed-rate debt and interest rate swaps that fix a portion of our variable-rate debt. At June 30, 2025, after considering the impact of our interest rate swap agreement and excluding finance leases, the interest rate applicable to 76% (approximately $2.3 billion) of our total corporate debt was effectively fixed and the interest rate applicable to the remaining 24% (approximately $727 million) was variable. Assuming no outstanding balance on our Revolving Corporate Credit Facility, a 100 basis point increase in the underlying benchmark rate on our variable-rate debt at June 30, 2025 would result in an increase of approximately $5 million in annual cash interest due to the impact of our hedging arrangements discussed in Footnote 12 “Debt” to our Financial Statements. Assuming we had no outstanding hedging arrangements and no outstanding balance on our Revolving Corporate Credit Facility, a 100 basis point increase in the underlying benchmark rate on our variable-rate debt at June 30, 2025 would result in an annual increase in cash interest of approximately $8 million.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scheduled maturities and the total fair value as of June 30, 2025 for our financial instruments that are impacted by market risks:</w:t>
      </w:r>
    </w:p>
    <w:tbl>
      <w:tblPr>
        <w:tblW w:w="11961" w:type="dxa"/>
        <w:jc w:val="center"/>
        <w:tblInd w:w="0" w:type="dxa"/>
        <w:tblLayout w:type="fixed"/>
        <w:tblCellMar>
          <w:top w:w="28" w:type="dxa"/>
          <w:left w:w="28" w:type="dxa"/>
          <w:bottom w:w="28" w:type="dxa"/>
          <w:right w:w="28" w:type="dxa"/>
        </w:tblCellMar>
      </w:tblPr>
      <w:tblGrid>
        <w:gridCol w:w="587"/>
        <w:gridCol w:w="515"/>
        <w:gridCol w:w="519"/>
        <w:gridCol w:w="240"/>
        <w:gridCol w:w="240"/>
        <w:gridCol w:w="241"/>
        <w:gridCol w:w="109"/>
        <w:gridCol w:w="109"/>
        <w:gridCol w:w="109"/>
        <w:gridCol w:w="261"/>
        <w:gridCol w:w="503"/>
        <w:gridCol w:w="137"/>
        <w:gridCol w:w="109"/>
        <w:gridCol w:w="109"/>
        <w:gridCol w:w="109"/>
        <w:gridCol w:w="211"/>
        <w:gridCol w:w="481"/>
        <w:gridCol w:w="109"/>
        <w:gridCol w:w="109"/>
        <w:gridCol w:w="109"/>
        <w:gridCol w:w="109"/>
        <w:gridCol w:w="211"/>
        <w:gridCol w:w="481"/>
        <w:gridCol w:w="109"/>
        <w:gridCol w:w="109"/>
        <w:gridCol w:w="109"/>
        <w:gridCol w:w="109"/>
        <w:gridCol w:w="211"/>
        <w:gridCol w:w="481"/>
        <w:gridCol w:w="109"/>
        <w:gridCol w:w="109"/>
        <w:gridCol w:w="109"/>
        <w:gridCol w:w="109"/>
        <w:gridCol w:w="211"/>
        <w:gridCol w:w="48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54"/>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millions)</w:t>
            </w:r>
          </w:p>
        </w:tc>
        <w:tc>
          <w:tcPr>
            <w:tcW w:w="7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Interest</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Maturities by Period</w:t>
            </w:r>
          </w:p>
        </w:tc>
      </w:tr>
      <w:tr>
        <w:trPr/>
        <w:tc>
          <w:tcPr>
            <w:tcW w:w="1621" w:type="dxa"/>
            <w:gridSpan w:val="3"/>
            <w:vMerge w:val="continue"/>
            <w:tcBorders/>
            <w:tcMar>
              <w:top w:w="0" w:type="dxa"/>
              <w:left w:w="0" w:type="dxa"/>
              <w:bottom w:w="0" w:type="dxa"/>
              <w:right w:w="0" w:type="dxa"/>
            </w:tcMar>
            <w:vAlign w:val="center"/>
          </w:tcPr>
          <w:p>
            <w:pPr>
              <w:pStyle w:val="Normal"/>
              <w:bidi w:val="0"/>
              <w:jc w:val="left"/>
              <w:rPr/>
            </w:pPr>
            <w:r>
              <w:rPr/>
            </w:r>
          </w:p>
        </w:tc>
        <w:tc>
          <w:tcPr>
            <w:tcW w:w="7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Remainder of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Thereafter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Fair</w:t>
              <w:br/>
              <w:t>Value</w:t>
            </w:r>
          </w:p>
        </w:tc>
      </w:tr>
      <w:tr>
        <w:trPr/>
        <w:tc>
          <w:tcPr>
            <w:tcW w:w="11961" w:type="dxa"/>
            <w:gridSpan w:val="54"/>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 – Maturities represent expected principal receipts; fair values represent assets</w:t>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Vacation ownership notes receivable — non-securitized</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Vacation ownership notes receivable — securitized</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Contracts receivable for financed VOI sales, net</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61" w:type="dxa"/>
            <w:gridSpan w:val="54"/>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Liabilities</w:t>
            </w:r>
            <w:r>
              <w:rPr>
                <w:rFonts w:ascii="Times New Roman;serif" w:hAnsi="Times New Roman;serif"/>
                <w:b/>
                <w:color w:val="000000"/>
                <w:sz w:val="13"/>
              </w:rPr>
              <w:t>(1)</w:t>
            </w:r>
            <w:r>
              <w:rPr>
                <w:color w:val="000000"/>
              </w:rPr>
              <w:t xml:space="preserve"> – </w:t>
            </w:r>
            <w:r>
              <w:rPr>
                <w:rFonts w:ascii="Times New Roman;serif" w:hAnsi="Times New Roman;serif"/>
                <w:b/>
                <w:color w:val="000000"/>
                <w:sz w:val="20"/>
              </w:rPr>
              <w:t>Maturities represent expected principal payments; fair values represent liabilities</w:t>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Securitized Debt</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Corporate Credit Facility</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Notes</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Notes</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Convertible Notes</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Convertible Notes</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During the first quarter of 2025, we amended the Corporate Credit Facility to provide for a Delayed-Draw Term Loan that is only available to finance the redemption or repurchase of our 2026 Convertible Notes, which are due January 15, 2026. As of June 30, 2025, there were no outstanding borrowings on the Delayed-Draw Term Loan. See Footnote 12 “Debt” to our Financial Statements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Disclosure Controls and Procedures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Quarterly Report,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Securities Exchange Act of 1934, as amended (the “Exchange Act”)), and management necessarily applied its judgment in assessing the costs and benefits of such controls and procedures, which by their nature, can provide only reasonable assurance about management’s control objectives. Our disclosure controls and procedures have been designed to provide reasonable assurance of achieving the desired control objectives. However,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as of June 30, 2025,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made no changes in our internal control over financial reporting during the period covered by this Quarterly Report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Currently, and from time to time, we are subject to claims in legal proceedings arising in the normal course of business. See “Loss Contingencies” in Footnote 10 “Contingencies and Commitments” to our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the aggregate, have a material adverse effect on our business, financial condition, or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set forth in Item 1A of Part 1 of our 2024 Annual Report and in Item 1A of Part II of our Quarterly Report for the quarter ended March 31, 2025, except as set forth below or to the extent factual information disclosed elsewhere in this Quarterly Report relates to such risk factors, which is incorporated herein by reference.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Uncertainty in the current global macroeconomic environment created by rapid governmental policy and regulatory changes could negatively impact our business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business operations and financial performance are significantly influenced by governmental policies, the regulatory environment and consumers' willingness to travel to our resorts. Recent and rapid changes to governmental policies worldwide and rapidly evolving governmental regulations regarding international trade and other matters have introduced substantial uncertainty and volatility into the financial markets which can negatively impact consumer sentiment. These changes could negatively impact our supply chain, cost structure, market access and consumers' willingness to travel to our resorts and purchase our products and services. Additionally, recent and future policy and regulatory changes could disrupt our strategic planning, investments, increase maintenance fees and negatively impact owners’ ability to pay such fees, decrease consumers' disposable income and impact our ability to originate, and the payment of, vacation ownership notes receivable, among other consequences. These factors may also adversely impair our ability to execute strategies to mitigate negative impacts of the current environment.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are actively monitoring these developments and assessing their potential impact on our business. However, the unpredictable nature of the current global macroeconomic environment makes it challenging to anticipate and address all possible material risks. This uncertainty and its effects could have a material adverse effect on our financial condition,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120" w:after="283"/>
        <w:jc w:val="left"/>
        <w:rPr/>
      </w:pPr>
      <w:hyperlink w:anchor="iae36c5a97f104319b927f2873a9a80b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If vendors or third-party service providers do not comply with contractual obligations our financial condition, results of operations, internal controls over financial reporting and stock price could be materially and adversely affected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have implemented and may continue to implement workforce transformation initiatives designed to enhance operational efficiency, reduce costs, and align our organizational structure with our long-term strategic objectives. These initiatives have included and may in the future include the consolidation, offshoring, or outsourcing of aspects of certain corporate functions, including global technology, finance and accounting, and human resources functions, to third-party service providers and shared service centers. While these actions are intended to streamline operations and improve scalability, they may result in, and previous initiatives have resulted in, disruptions, increased transition costs, delays in service delivery and disputes with vendors. Additionally, such initiatives may lead to the loss of institutional knowledge, reduced employee morale, or increased attrition, including among key personnel. We rely or will rely on third-party providers to deliver critical services in these areas, and any failure by these providers to perform in accordance with contractual obligations, or any disruption in our ability to manage or transition these services effectively, could adversely affect our internal controls, compliance functions, or overall business operations. Furthermore, these initiatives may expose us to additional risks, including data security vulnerabilities, regulatory compliance challenges across jurisdictions and reputational harm. If we are unable to successfully execute and manage these workforce transformation initiatives, our financial condition, results of operations, internal controls over financial reporting and stock price could be materially and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Issuer Purchases of Equity Securities</w:t>
      </w:r>
    </w:p>
    <w:tbl>
      <w:tblPr>
        <w:tblW w:w="10205" w:type="dxa"/>
        <w:jc w:val="center"/>
        <w:tblInd w:w="0" w:type="dxa"/>
        <w:tblLayout w:type="fixed"/>
        <w:tblCellMar>
          <w:top w:w="28" w:type="dxa"/>
          <w:left w:w="28" w:type="dxa"/>
          <w:bottom w:w="28" w:type="dxa"/>
          <w:right w:w="28" w:type="dxa"/>
        </w:tblCellMar>
      </w:tblPr>
      <w:tblGrid>
        <w:gridCol w:w="424"/>
        <w:gridCol w:w="372"/>
        <w:gridCol w:w="377"/>
        <w:gridCol w:w="467"/>
        <w:gridCol w:w="467"/>
        <w:gridCol w:w="468"/>
        <w:gridCol w:w="109"/>
        <w:gridCol w:w="109"/>
        <w:gridCol w:w="109"/>
        <w:gridCol w:w="292"/>
        <w:gridCol w:w="565"/>
        <w:gridCol w:w="154"/>
        <w:gridCol w:w="109"/>
        <w:gridCol w:w="109"/>
        <w:gridCol w:w="109"/>
        <w:gridCol w:w="831"/>
        <w:gridCol w:w="831"/>
        <w:gridCol w:w="833"/>
        <w:gridCol w:w="109"/>
        <w:gridCol w:w="109"/>
        <w:gridCol w:w="109"/>
        <w:gridCol w:w="426"/>
        <w:gridCol w:w="2398"/>
        <w:gridCol w:w="319"/>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39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Period</w:t>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Average</w:t>
            </w:r>
          </w:p>
          <w:p>
            <w:pPr>
              <w:pStyle w:val="TableContents"/>
              <w:bidi w:val="0"/>
              <w:spacing w:lineRule="auto" w:line="240" w:before="0" w:after="0"/>
              <w:jc w:val="center"/>
              <w:rPr/>
            </w:pPr>
            <w:r>
              <w:rPr>
                <w:rFonts w:ascii="Times New Roman;serif" w:hAnsi="Times New Roman;serif"/>
                <w:b/>
                <w:color w:val="000000"/>
                <w:sz w:val="18"/>
              </w:rPr>
              <w:t>Price Paid per Share</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Total Number of Shares Purchased as Part of Publicly Announced Plans or Programs</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Maximum Dollar Amount of Shares That May Yet Be Purchased Under the Plans or Programs</w:t>
            </w:r>
            <w:r>
              <w:rPr>
                <w:rFonts w:ascii="Times New Roman;serif" w:hAnsi="Times New Roman;serif"/>
                <w:b/>
                <w:color w:val="000000"/>
                <w:sz w:val="12"/>
              </w:rPr>
              <w:t>(1)(2)</w:t>
            </w:r>
          </w:p>
        </w:tc>
      </w:tr>
      <w:tr>
        <w:trPr/>
        <w:tc>
          <w:tcPr>
            <w:tcW w:w="11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April 1, 2025 – April 30, 2025</w:t>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347,132,547 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May 1, 2025 – May 31, 2025</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347,132,547 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June 1, 2025 – June 30, 2025</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347,132,547 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3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347,132,547 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262"/>
        <w:gridCol w:w="2874"/>
        <w:gridCol w:w="4069"/>
      </w:tblGrid>
      <w:tr>
        <w:trPr/>
        <w:tc>
          <w:tcPr>
            <w:tcW w:w="3262"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4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On May 11, 2023, we announced that our Board of Directors increased the then-remaining authorization under our share repurchase program (which was first announced on September 13, 2021) to authorize purchases of up to $600 million of our common stock and extended the term of our share repurchase program to December 31, 2024. On December 19, 2024, we announced that our Board of Directors extended the term of our share repurchase program to December 31, 2025.</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6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All dollar amounts presented exclude the nondeductible 1% excise tax on the net value of certain stock repurchases that was imposed by the Inflation Reduction Act of 2022.</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Frequency of Future Advisory Proposals on Named Executive Compensation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At our Annual Meeting of Stockholders on May 13, 2025, our stockholders voted to approve, consistent with our Board of Directors’ recommendation and on a non-binding advisory basis, that we conduct future advisory votes to approve the compensation of our named executive officers every year. In light of the recommendation and vote, we plan to hold future advisory votes approving the compensation of our named executive officers annually until the next required vote on the frequency of such advisory votes.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 Trading Plans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quarter ended June 30, 2025, no director or Section 16 officer adopted or terminated any Rule 10b5-1 trading arrangements or non-Rule 10b5-1 trading arrangements (in each case, as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ae36c5a97f104319b927f2873a9a80b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All documents referenced below are being filed as a part of this Quarterly Report, unless otherwise noted.</w:t>
      </w:r>
    </w:p>
    <w:tbl>
      <w:tblPr>
        <w:tblW w:w="10205" w:type="dxa"/>
        <w:jc w:val="center"/>
        <w:tblInd w:w="0" w:type="dxa"/>
        <w:tblLayout w:type="fixed"/>
        <w:tblCellMar>
          <w:top w:w="28" w:type="dxa"/>
          <w:left w:w="28" w:type="dxa"/>
          <w:bottom w:w="28" w:type="dxa"/>
          <w:right w:w="28" w:type="dxa"/>
        </w:tblCellMar>
      </w:tblPr>
      <w:tblGrid>
        <w:gridCol w:w="285"/>
        <w:gridCol w:w="252"/>
        <w:gridCol w:w="253"/>
        <w:gridCol w:w="109"/>
        <w:gridCol w:w="109"/>
        <w:gridCol w:w="109"/>
        <w:gridCol w:w="1744"/>
        <w:gridCol w:w="1693"/>
        <w:gridCol w:w="1710"/>
        <w:gridCol w:w="109"/>
        <w:gridCol w:w="109"/>
        <w:gridCol w:w="109"/>
        <w:gridCol w:w="260"/>
        <w:gridCol w:w="260"/>
        <w:gridCol w:w="261"/>
        <w:gridCol w:w="109"/>
        <w:gridCol w:w="109"/>
        <w:gridCol w:w="109"/>
        <w:gridCol w:w="170"/>
        <w:gridCol w:w="170"/>
        <w:gridCol w:w="171"/>
        <w:gridCol w:w="118"/>
        <w:gridCol w:w="118"/>
        <w:gridCol w:w="118"/>
        <w:gridCol w:w="210"/>
        <w:gridCol w:w="210"/>
        <w:gridCol w:w="211"/>
        <w:gridCol w:w="118"/>
        <w:gridCol w:w="118"/>
        <w:gridCol w:w="118"/>
        <w:gridCol w:w="244"/>
        <w:gridCol w:w="193"/>
        <w:gridCol w:w="219"/>
      </w:tblGrid>
      <w:tr>
        <w:trPr/>
        <w:tc>
          <w:tcPr>
            <w:tcW w:w="28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79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Filed</w:t>
              <w:br/>
              <w:t>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Incorporation By Reference From</w:t>
            </w:r>
          </w:p>
        </w:tc>
      </w:tr>
      <w:tr>
        <w:trPr/>
        <w:tc>
          <w:tcPr>
            <w:tcW w:w="79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Form</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Exhibit</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Date Filed</w:t>
            </w:r>
          </w:p>
        </w:tc>
      </w:tr>
      <w:tr>
        <w:trPr/>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Second Restated Certificate of Incorporation of Marriott Vacations Worldwide 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5/15/2023</w:t>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r:id="rId3">
              <w:r>
                <w:rPr>
                  <w:rStyle w:val="InternetLink"/>
                  <w:rFonts w:ascii="Times New Roman;serif" w:hAnsi="Times New Roman;serif"/>
                  <w:b w:val="false"/>
                  <w:color w:val="0000FF"/>
                  <w:sz w:val="20"/>
                  <w:u w:val="single"/>
                </w:rPr>
                <w:t>Restated Bylaws of Marriott Vacations Worldwide Corporation (effective May 12,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8/4/2023</w:t>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lineRule="auto" w:line="288" w:before="60" w:after="60"/>
              <w:jc w:val="left"/>
              <w:rPr/>
            </w:pPr>
            <w:hyperlink r:id="rId4">
              <w:r>
                <w:rPr>
                  <w:rStyle w:val="InternetLink"/>
                  <w:rFonts w:ascii="Times New Roman;serif" w:hAnsi="Times New Roman;serif"/>
                  <w:b w:val="false"/>
                  <w:color w:val="0000FF"/>
                  <w:sz w:val="20"/>
                  <w:u w:val="single"/>
                </w:rPr>
                <w:t>Form of certificate representing shares of common stock, par value $0.01 per share, of Marriott Vacations Worldwide 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10/14/2011</w:t>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Indenture, dated as of October 1, 2019, by and among Marriott Ownership Resorts, Inc., Marriott Vacations Worldwide Corporation, as guarantor, the other guarantors party thereto and The Bank of New York Mellon Trust Company, N.A.,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10/1/2019</w:t>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20"/>
                  <w:u w:val="single"/>
                </w:rPr>
                <w:t>Form of 4.750% Senior Notes due 2028</w:t>
              </w:r>
            </w:hyperlink>
            <w:r>
              <w:rPr>
                <w:color w:val="000000"/>
              </w:rPr>
              <w:t xml:space="preserve"> </w:t>
            </w:r>
            <w:r>
              <w:rPr>
                <w:rFonts w:ascii="Times New Roman;serif" w:hAnsi="Times New Roman;serif"/>
                <w:b w:val="false"/>
                <w:color w:val="000000"/>
                <w:sz w:val="20"/>
              </w:rPr>
              <w:t>(included as Exhibit A to Exhibit 4.2 above)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10/1/2019</w:t>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FF"/>
                  <w:sz w:val="20"/>
                  <w:u w:val="single"/>
                </w:rPr>
                <w:t>Registration Rights Agreement, dated as of October 1, 2019, by and among Marriott Ownership Resorts, Inc., Marriott Vacations Worldwide Corporation, as guarantor, the other guarantors party thereto and J.P. Morgan Securities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10/1/2019</w:t>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erif" w:hAnsi="Times New Roman;serif"/>
                  <w:b w:val="false"/>
                  <w:color w:val="0000FF"/>
                  <w:sz w:val="20"/>
                  <w:u w:val="single"/>
                </w:rPr>
                <w:t>Indenture, dated as of February 2, 2021, by and among Marriott Vacations Worldwide Corporation, Marriott Ownership Resorts, Inc. and the other guarantors party thereto and The Bank of New York Mellon Trust Company, N.A.,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2/3/2021</w:t>
            </w:r>
          </w:p>
        </w:tc>
      </w:tr>
      <w:tr>
        <w:trPr/>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"https://www.sec.gov/Archives/edgar/data/0001524358/000119312521027303/d41256dex41.htm" \l "exa"</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Form of 0.00% Convertible Senior Note due 2026</w:t>
            </w:r>
            <w:r>
              <w:rPr>
                <w:rStyle w:val="InternetLink"/>
                <w:sz w:val="20"/>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color w:val="000000"/>
                <w:sz w:val="20"/>
              </w:rPr>
              <w:t>(included as Exhibit A to Exhibit 4.5 above)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2/3/2021</w:t>
            </w:r>
          </w:p>
        </w:tc>
      </w:tr>
      <w:tr>
        <w:trPr/>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erif" w:hAnsi="Times New Roman;serif"/>
                  <w:b w:val="false"/>
                  <w:color w:val="0000FF"/>
                  <w:sz w:val="20"/>
                  <w:u w:val="single"/>
                </w:rPr>
                <w:t>Indenture, dated as of June 21, 2021, by and among Marriott Ownership Resorts, Inc., Marriott Vacations Worldwide Corporation, as guarantor, the other guarantors party thereto and The Bank of New York Mellon Trust Company, N.A.,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6/22/2021</w:t>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"https://www.sec.gov/Archives/edgar/data/0001524358/000119312521195243/d158882dex41.htm" \l "tx158882_515"</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Form of 4.500% Senior Notes due 2029</w:t>
            </w:r>
            <w:r>
              <w:rPr>
                <w:rStyle w:val="InternetLink"/>
                <w:sz w:val="20"/>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color w:val="000000"/>
                <w:sz w:val="20"/>
              </w:rPr>
              <w:t>(included at Exhibit A to Exhibit 4.7 above)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6/22/2021</w:t>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erif" w:hAnsi="Times New Roman;serif"/>
                  <w:b w:val="false"/>
                  <w:color w:val="0000FF"/>
                  <w:sz w:val="20"/>
                  <w:u w:val="single"/>
                </w:rPr>
                <w:t>Indenture, dated as of December 8, 2022, by and among Marriott Vacations Worldwide Corporation, as issuer, Marriott Ownership Resorts, Inc. and the other guarantors party thereto from time to time and The New York Bank of Mellon Trust Company, N.A.,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12/8/2022</w:t>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"https://www.sec.gov/Archives/edgar/data/1524358/000119312522301061/d433395dex41.htm" \l "tx433395_1"</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Form of 3.25% Convertible Senior Notes due 2027</w:t>
            </w:r>
            <w:r>
              <w:rPr>
                <w:rStyle w:val="InternetLink"/>
                <w:sz w:val="20"/>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color w:val="000000"/>
                <w:sz w:val="20"/>
              </w:rPr>
              <w:t>(included as Exhibit A to Exhibit 4.9 above)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12/8/2022</w:t>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erif" w:hAnsi="Times New Roman;serif"/>
                  <w:b w:val="false"/>
                  <w:color w:val="0000FF"/>
                  <w:sz w:val="20"/>
                  <w:u w:val="single"/>
                </w:rPr>
                <w:t>Description of Registered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4.16</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3/2/2020</w:t>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erif" w:hAnsi="Times New Roman;serif"/>
                  <w:b w:val="false"/>
                  <w:color w:val="0000FF"/>
                  <w:sz w:val="20"/>
                  <w:u w:val="single"/>
                </w:rPr>
                <w:t>Marriott Vacations Worldwide Corporation Change in Control Severance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10.18</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2/28/2025</w:t>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erif" w:hAnsi="Times New Roman;serif"/>
                  <w:b w:val="false"/>
                  <w:color w:val="0000FF"/>
                  <w:sz w:val="20"/>
                  <w:u w:val="single"/>
                </w:rPr>
                <w:t>Incremental Facility Amendment and Amendment No. 4, dated as of March 24, 2025, by and among Marriott Vacations Worldwide Corporation, Marriott Ownership Resorts, Inc., as borrower, the subsidiary guarantors party thereto, JPMorgan Chase Bank, N.A., as administrative agent and collateral agent, and the lenders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3/27/2025</w:t>
            </w:r>
          </w:p>
        </w:tc>
      </w:tr>
      <w:tr>
        <w:trPr/>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ae36c5a97f104319b927f2873a9a80b6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78"/>
        <w:gridCol w:w="245"/>
        <w:gridCol w:w="247"/>
        <w:gridCol w:w="109"/>
        <w:gridCol w:w="109"/>
        <w:gridCol w:w="109"/>
        <w:gridCol w:w="1661"/>
        <w:gridCol w:w="1409"/>
        <w:gridCol w:w="1425"/>
        <w:gridCol w:w="125"/>
        <w:gridCol w:w="125"/>
        <w:gridCol w:w="125"/>
        <w:gridCol w:w="300"/>
        <w:gridCol w:w="300"/>
        <w:gridCol w:w="301"/>
        <w:gridCol w:w="125"/>
        <w:gridCol w:w="125"/>
        <w:gridCol w:w="125"/>
        <w:gridCol w:w="196"/>
        <w:gridCol w:w="196"/>
        <w:gridCol w:w="197"/>
        <w:gridCol w:w="142"/>
        <w:gridCol w:w="142"/>
        <w:gridCol w:w="142"/>
        <w:gridCol w:w="242"/>
        <w:gridCol w:w="242"/>
        <w:gridCol w:w="243"/>
        <w:gridCol w:w="142"/>
        <w:gridCol w:w="142"/>
        <w:gridCol w:w="142"/>
        <w:gridCol w:w="283"/>
        <w:gridCol w:w="230"/>
        <w:gridCol w:w="281"/>
      </w:tblGrid>
      <w:tr>
        <w:trPr/>
        <w:tc>
          <w:tcPr>
            <w:tcW w:w="27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77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Description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Filed</w:t>
              <w:br/>
              <w:t>Herewith</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Incorporation By Reference From</w:t>
            </w:r>
          </w:p>
        </w:tc>
      </w:tr>
      <w:tr>
        <w:trPr/>
        <w:tc>
          <w:tcPr>
            <w:tcW w:w="77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Form</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Exhibit</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Date Filed</w:t>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erif" w:hAnsi="Times New Roman;serif"/>
                  <w:b w:val="false"/>
                  <w:color w:val="0000FF"/>
                  <w:sz w:val="20"/>
                  <w:u w:val="single"/>
                </w:rPr>
                <w:t>Support Agreement, dated May 27, 2025, between Impactive Capital LP and Marriott Vacations Worldwide Corporation</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5/27/2025</w:t>
            </w:r>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erif" w:hAnsi="Times New Roman;serif"/>
                  <w:b w:val="false"/>
                  <w:color w:val="0000FF"/>
                  <w:sz w:val="20"/>
                  <w:u w:val="single"/>
                </w:rPr>
                <w:t>List of the Issuer and its Guarantor Subsidiaries</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22.1</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2/27/2024</w:t>
            </w:r>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5q2ex311xceocertificat.htm">
              <w:r>
                <w:rPr>
                  <w:rStyle w:val="InternetLink"/>
                  <w:rFonts w:ascii="Times New Roman;serif" w:hAnsi="Times New Roman;serif"/>
                  <w:b w:val="false"/>
                  <w:color w:val="0000FF"/>
                  <w:sz w:val="20"/>
                  <w:u w:val="single"/>
                </w:rPr>
                <w:t>Certification by Chief Executive Officer Pursuant to Rule 13a-14(a) of the Securities Exchange Act of 1934</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5q2ex312xcfocertificat.htm">
              <w:r>
                <w:rPr>
                  <w:rStyle w:val="InternetLink"/>
                  <w:rFonts w:ascii="Times New Roman;serif" w:hAnsi="Times New Roman;serif"/>
                  <w:b w:val="false"/>
                  <w:color w:val="0000FF"/>
                  <w:sz w:val="20"/>
                  <w:u w:val="single"/>
                </w:rPr>
                <w:t>Certification by Chief Financial Officer Pursuant to Rule 13a-14(a) of the Securities Exchange Act of 1934</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5q2ex321xceo404certifi.htm">
              <w:r>
                <w:rPr>
                  <w:rStyle w:val="InternetLink"/>
                  <w:rFonts w:ascii="Times New Roman;serif" w:hAnsi="Times New Roman;serif"/>
                  <w:b w:val="false"/>
                  <w:color w:val="0000FF"/>
                  <w:sz w:val="20"/>
                  <w:u w:val="single"/>
                </w:rPr>
                <w:t>Certification by Chief Executive Officer Pursuant to 18 U.S.C. Section 1350, as Adopted Pursuant to Section 906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Furnished</w:t>
            </w:r>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5q2ex322xcfo404certifi.htm">
              <w:r>
                <w:rPr>
                  <w:rStyle w:val="InternetLink"/>
                  <w:rFonts w:ascii="Times New Roman;serif" w:hAnsi="Times New Roman;serif"/>
                  <w:b w:val="false"/>
                  <w:color w:val="0000FF"/>
                  <w:sz w:val="20"/>
                  <w:u w:val="single"/>
                </w:rPr>
                <w:t>Certification by Chief Financial Officer Pursuant to 18 U.S.C. Section 1350, as Adopted Pursuant to Section 906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Furnished</w:t>
            </w:r>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27"/>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statements from the Company’s Quarterly Report on Form 10-Q for the quarter ended June 30, 2025, formatted in Inline XBRL: (i) Interim Consolidated Statements of Income, (ii) Interim Consolidated Statements of Comprehensive Income, (iii) Interim Consolidated Balance Sheets, (iv) Interim Consolidated Statements of Cash Flows, (v) Interim Consolidated Statements of Stockholders’ Equity, and (vi) Notes to Interim Consolidated Financial Statements</w:t>
            </w:r>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27"/>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cover page from the Company’s Quarterly Report on Form 10-Q for the quarter ended June 30, 2025, formatted in Inline XBRL and contained in Exhibit 101</w:t>
            </w:r>
          </w:p>
        </w:tc>
      </w:tr>
    </w:tbl>
    <w:tbl>
      <w:tblPr>
        <w:tblW w:w="5686"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83"/>
        <w:gridCol w:w="183"/>
        <w:gridCol w:w="183"/>
        <w:gridCol w:w="183"/>
        <w:gridCol w:w="183"/>
        <w:gridCol w:w="183"/>
        <w:gridCol w:w="183"/>
        <w:gridCol w:w="183"/>
        <w:gridCol w:w="183"/>
        <w:gridCol w:w="183"/>
        <w:gridCol w:w="183"/>
        <w:gridCol w:w="183"/>
        <w:gridCol w:w="183"/>
        <w:gridCol w:w="183"/>
        <w:gridCol w:w="183"/>
        <w:gridCol w:w="183"/>
        <w:gridCol w:w="183"/>
        <w:gridCol w:w="183"/>
        <w:gridCol w:w="183"/>
        <w:gridCol w:w="183"/>
        <w:gridCol w:w="183"/>
        <w:gridCol w:w="183"/>
        <w:gridCol w:w="183"/>
        <w:gridCol w:w="183"/>
        <w:gridCol w:w="183"/>
        <w:gridCol w:w="183"/>
        <w:gridCol w:w="2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9" w:type="dxa"/>
            <w:gridSpan w:val="3"/>
            <w:tcBorders/>
            <w:vAlign w:val="center"/>
          </w:tcPr>
          <w:p>
            <w:pPr>
              <w:pStyle w:val="TableContents"/>
              <w:bidi w:val="0"/>
              <w:spacing w:before="0" w:after="283"/>
              <w:jc w:val="left"/>
              <w:rPr>
                <w:sz w:val="4"/>
                <w:szCs w:val="4"/>
              </w:rPr>
            </w:pPr>
            <w:r>
              <w:rPr>
                <w:sz w:val="4"/>
                <w:szCs w:val="4"/>
              </w:rPr>
            </w:r>
          </w:p>
        </w:tc>
        <w:tc>
          <w:tcPr>
            <w:tcW w:w="4468"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7"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contract or compensatory plan or arrangement.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120" w:after="283"/>
        <w:ind w:left="0" w:right="0" w:firstLine="720"/>
        <w:jc w:val="left"/>
        <w:rPr/>
      </w:pPr>
      <w:r>
        <w:rPr/>
      </w:r>
    </w:p>
    <w:p>
      <w:pPr>
        <w:pStyle w:val="TextBody"/>
        <w:bidi w:val="0"/>
        <w:spacing w:lineRule="auto" w:line="288" w:before="120" w:after="283"/>
        <w:ind w:left="0" w:right="0" w:firstLine="7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196" w:type="dxa"/>
        <w:jc w:val="center"/>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454"/>
        <w:gridCol w:w="1454"/>
        <w:gridCol w:w="205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MARRIOTT VACATIONS WORLDWIDE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E. Geller, Jr.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E. Geller, Jr.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Jason P. Marino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Jason P. Marino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by Chief Executive Officer</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Pursuant to Rule 13a-14(a) of the Securities Exchange Act of 1934</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 John E. Geller, Jr., certify that:</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Marriott Vacations Worldwide Corporation;</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2025</w:t>
      </w:r>
    </w:p>
    <w:tbl>
      <w:tblPr>
        <w:tblW w:w="3552" w:type="dxa"/>
        <w:jc w:val="left"/>
        <w:tblInd w:w="0" w:type="dxa"/>
        <w:tblLayout w:type="fixed"/>
        <w:tblCellMar>
          <w:top w:w="28" w:type="dxa"/>
          <w:left w:w="28" w:type="dxa"/>
          <w:bottom w:w="28" w:type="dxa"/>
          <w:right w:w="28" w:type="dxa"/>
        </w:tblCellMar>
      </w:tblPr>
      <w:tblGrid>
        <w:gridCol w:w="124"/>
        <w:gridCol w:w="109"/>
        <w:gridCol w:w="109"/>
        <w:gridCol w:w="938"/>
        <w:gridCol w:w="938"/>
        <w:gridCol w:w="13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E. Geller, Jr.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E. Geller, Jr.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by Chief Financial Officer</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Pursuant to Rule 13a-14(a) of the Securities Exchange Act of 1934</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 Jason P. Marino, certify that:</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Marriott Vacations Worldwide Corporation;</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2025</w:t>
      </w:r>
    </w:p>
    <w:tbl>
      <w:tblPr>
        <w:tblW w:w="4781" w:type="dxa"/>
        <w:jc w:val="center"/>
        <w:tblInd w:w="0" w:type="dxa"/>
        <w:tblLayout w:type="fixed"/>
        <w:tblCellMar>
          <w:top w:w="28" w:type="dxa"/>
          <w:left w:w="28" w:type="dxa"/>
          <w:bottom w:w="28" w:type="dxa"/>
          <w:right w:w="28" w:type="dxa"/>
        </w:tblCellMar>
      </w:tblPr>
      <w:tblGrid>
        <w:gridCol w:w="124"/>
        <w:gridCol w:w="109"/>
        <w:gridCol w:w="109"/>
        <w:gridCol w:w="1300"/>
        <w:gridCol w:w="1300"/>
        <w:gridCol w:w="1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Jason P. Marino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Jason P. Marino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by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 Section 906 of the Sarbanes-Oxley Act of 2002</w:t>
      </w:r>
    </w:p>
    <w:p>
      <w:pPr>
        <w:pStyle w:val="TextBody"/>
        <w:bidi w:val="0"/>
        <w:spacing w:before="0" w:after="240"/>
        <w:jc w:val="center"/>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 John E. Geller, Jr., President and Chief Executive Officer of Marriott Vacations Worldwide Corporation (the “Company”) certify that:</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period ended June 30, 2025 (the “Quarterly Report”), fully complies with the requirements of section 13(a) or 15(d) of the Securities Exchange Act of 1934 (15 U.S.C. 78m or 78o(d)); and</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2.the information contained in the Quarterly Report fairly presents, in all material respects, the financial condition and results of operations of the Company.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Dated: </w:t>
      </w:r>
      <w:bookmarkStart w:id="0" w:name="i0ac56bac71cf48f795f8f2009d834d73_707"/>
      <w:bookmarkEnd w:id="0"/>
      <w:r>
        <w:rPr>
          <w:rFonts w:ascii="Times New Roman;serif" w:hAnsi="Times New Roman;serif"/>
          <w:b w:val="false"/>
          <w:color w:val="000000"/>
          <w:sz w:val="20"/>
        </w:rPr>
        <w:t>August 6, 2025</w:t>
      </w:r>
    </w:p>
    <w:tbl>
      <w:tblPr>
        <w:tblW w:w="3552" w:type="dxa"/>
        <w:jc w:val="center"/>
        <w:tblInd w:w="0" w:type="dxa"/>
        <w:tblLayout w:type="fixed"/>
        <w:tblCellMar>
          <w:top w:w="28" w:type="dxa"/>
          <w:left w:w="28" w:type="dxa"/>
          <w:bottom w:w="28" w:type="dxa"/>
          <w:right w:w="28" w:type="dxa"/>
        </w:tblCellMar>
      </w:tblPr>
      <w:tblGrid>
        <w:gridCol w:w="124"/>
        <w:gridCol w:w="109"/>
        <w:gridCol w:w="109"/>
        <w:gridCol w:w="938"/>
        <w:gridCol w:w="938"/>
        <w:gridCol w:w="13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E. Geller, Jr.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E. Geller, Jr.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by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 Section 906 of the Sarbanes-Oxley Act of 2002</w:t>
      </w:r>
    </w:p>
    <w:p>
      <w:pPr>
        <w:pStyle w:val="TextBody"/>
        <w:bidi w:val="0"/>
        <w:spacing w:before="0" w:after="240"/>
        <w:jc w:val="center"/>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 Jason P. Marino, Executive Vice President and Chief Financial Officer of Marriott Vacations Worldwide Corporation (the “Company”) certify that:</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period ended June 30, 2025 (the “Quarterly Report”), fully complies with the requirements of section 13(a) or 15(d) of the Securities Exchange Act of 1934 (15 U.S.C. 78m or 78o(d)); and</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Quarterly Report fairly presents, in all material respects, the financial condition and results of operations of the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6, 2025</w:t>
      </w:r>
    </w:p>
    <w:tbl>
      <w:tblPr>
        <w:tblW w:w="4781" w:type="dxa"/>
        <w:jc w:val="center"/>
        <w:tblInd w:w="0" w:type="dxa"/>
        <w:tblLayout w:type="fixed"/>
        <w:tblCellMar>
          <w:top w:w="28" w:type="dxa"/>
          <w:left w:w="28" w:type="dxa"/>
          <w:bottom w:w="28" w:type="dxa"/>
          <w:right w:w="28" w:type="dxa"/>
        </w:tblCellMar>
      </w:tblPr>
      <w:tblGrid>
        <w:gridCol w:w="124"/>
        <w:gridCol w:w="109"/>
        <w:gridCol w:w="109"/>
        <w:gridCol w:w="1300"/>
        <w:gridCol w:w="1300"/>
        <w:gridCol w:w="1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Jason P. Marino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Jason P. Marino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24358/000152435823000022/exhibit32secondrestatedcer.htm" TargetMode="External"/><Relationship Id="rId3" Type="http://schemas.openxmlformats.org/officeDocument/2006/relationships/hyperlink" Target="https://www.sec.gov/Archives/edgar/data/1524358/000152435823000031/a2023q2ex33restatedbylawso.htm" TargetMode="External"/><Relationship Id="rId4" Type="http://schemas.openxmlformats.org/officeDocument/2006/relationships/hyperlink" Target="https://www.sec.gov/Archives/edgar/data/1524358/000119312511271851/d197736dex41.htm" TargetMode="External"/><Relationship Id="rId5" Type="http://schemas.openxmlformats.org/officeDocument/2006/relationships/hyperlink" Target="https://www.sec.gov/Archives/edgar/data/1524358/000119312519259964/d812229dex41.htm" TargetMode="External"/><Relationship Id="rId6" Type="http://schemas.openxmlformats.org/officeDocument/2006/relationships/hyperlink" Target="https://www.sec.gov/Archives/edgar/data/1524358/000119312519259964/d812229dex41.htm" TargetMode="External"/><Relationship Id="rId7" Type="http://schemas.openxmlformats.org/officeDocument/2006/relationships/hyperlink" Target="https://www.sec.gov/Archives/edgar/data/1524358/000119312519259964/d812229dex43.htm" TargetMode="External"/><Relationship Id="rId8" Type="http://schemas.openxmlformats.org/officeDocument/2006/relationships/hyperlink" Target="https://www.sec.gov/Archives/edgar/data/0001524358/000119312521027303/d41256dex41.htm" TargetMode="External"/><Relationship Id="rId9" Type="http://schemas.openxmlformats.org/officeDocument/2006/relationships/hyperlink" Target="https://www.sec.gov/Archives/edgar/data/0001524358/000119312521195243/d158882dex41.htm" TargetMode="External"/><Relationship Id="rId10" Type="http://schemas.openxmlformats.org/officeDocument/2006/relationships/hyperlink" Target="https://www.sec.gov/Archives/edgar/data/1524358/000119312522301061/d433395dex41.htm" TargetMode="External"/><Relationship Id="rId11" Type="http://schemas.openxmlformats.org/officeDocument/2006/relationships/hyperlink" Target="https://www.sec.gov/Archives/edgar/data/1524358/000152435820000011/a201910-kex416descript.htm" TargetMode="External"/><Relationship Id="rId12" Type="http://schemas.openxmlformats.org/officeDocument/2006/relationships/hyperlink" Target="https://www.sec.gov/Archives/edgar/data/1524358/000152435825000044/a2024ex1018changeinctrlsev.htm" TargetMode="External"/><Relationship Id="rId13" Type="http://schemas.openxmlformats.org/officeDocument/2006/relationships/hyperlink" Target="https://www.sec.gov/Archives/edgar/data/1524358/000152435825000093/ex101-incrementalfacilitya.htm" TargetMode="External"/><Relationship Id="rId14" Type="http://schemas.openxmlformats.org/officeDocument/2006/relationships/hyperlink" Target="https://www.sec.gov/Archives/edgar/data/1524358/000152435825000126/ex101-supportagreementmay2.htm" TargetMode="External"/><Relationship Id="rId15" Type="http://schemas.openxmlformats.org/officeDocument/2006/relationships/hyperlink" Target="https://www.sec.gov/Archives/edgar/data/1524358/000152435824000006/a2023ex221xlistoftheissuer.htm"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29280</Words>
  <Characters>156112</Characters>
  <CharactersWithSpaces>181917</CharactersWithSpaces>
  <Paragraphs>6676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