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20,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4"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45-2598330</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37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6649 Westwood Blvd.</w:t>
            </w:r>
          </w:p>
        </w:tc>
        <w:tc>
          <w:tcPr>
            <w:tcW w:w="5140" w:type="dxa"/>
            <w:vAlign w:val="bottom"/>
          </w:tcPr>
          <w:p>
            <w:pPr>
              <w:spacing w:after="0"/>
              <w:rPr>
                <w:sz w:val="24"/>
                <w:szCs w:val="24"/>
                <w:color w:val="auto"/>
              </w:rPr>
            </w:pPr>
          </w:p>
        </w:tc>
      </w:tr>
      <w:tr>
        <w:trPr>
          <w:trHeight w:val="22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6"/>
              </w:rPr>
              <w:t>Orlando, FL</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32821</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2380" w:type="dxa"/>
            <w:vAlign w:val="bottom"/>
          </w:tcPr>
          <w:p>
            <w:pPr>
              <w:spacing w:after="0"/>
              <w:rPr>
                <w:sz w:val="24"/>
                <w:szCs w:val="24"/>
                <w:color w:val="auto"/>
              </w:rPr>
            </w:pPr>
          </w:p>
        </w:tc>
        <w:tc>
          <w:tcPr>
            <w:tcW w:w="5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(407) 206-6000</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65"/>
        </w:trPr>
        <w:tc>
          <w:tcPr>
            <w:tcW w:w="7520" w:type="dxa"/>
            <w:vAlign w:val="bottom"/>
            <w:gridSpan w:val="2"/>
          </w:tcPr>
          <w:p>
            <w:pPr>
              <w:jc w:val="center"/>
              <w:ind w:left="420"/>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102235</wp:posOffset>
            </wp:positionV>
            <wp:extent cx="1672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94"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60" w:firstLine="45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60"/>
            <w:col w:w="600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49" w:lineRule="exact"/>
        <w:rPr>
          <w:sz w:val="24"/>
          <w:szCs w:val="24"/>
          <w:color w:val="auto"/>
        </w:rPr>
      </w:pPr>
    </w:p>
    <w:p>
      <w:pPr>
        <w:sectPr>
          <w:pgSz w:w="11900" w:h="16838" w:orient="portrait"/>
          <w:cols w:equalWidth="0" w:num="4">
            <w:col w:w="8640" w:space="180"/>
            <w:col w:w="260" w:space="80"/>
            <w:col w:w="160" w:space="180"/>
            <w:col w:w="192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number of shares outstanding of the issuer’s common stock, par value $0.01 per share, as of July 18, 2014 was 33,422,418.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2"/>
          </w:tcPr>
          <w:p>
            <w:pPr>
              <w:ind w:left="60"/>
              <w:spacing w:after="0"/>
              <w:rPr>
                <w:sz w:val="20"/>
                <w:szCs w:val="20"/>
                <w:color w:val="auto"/>
              </w:rPr>
            </w:pPr>
            <w:r>
              <w:rPr>
                <w:rFonts w:ascii="Arial" w:cs="Arial" w:eastAsia="Arial" w:hAnsi="Arial"/>
                <w:sz w:val="18"/>
                <w:szCs w:val="18"/>
                <w:b w:val="1"/>
                <w:bCs w:val="1"/>
                <w:color w:val="auto"/>
              </w:rPr>
              <w:t>INDEX</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820" w:type="dxa"/>
            <w:vAlign w:val="bottom"/>
            <w:gridSpan w:val="2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 (UNAUDITED)</w:t>
              </w:r>
            </w:hyperlink>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9820" w:type="dxa"/>
            <w:vAlign w:val="bottom"/>
            <w:gridSpan w:val="20"/>
            <w:vMerge w:val="continue"/>
          </w:tcPr>
          <w:p>
            <w:pPr>
              <w:spacing w:after="0"/>
              <w:rPr>
                <w:sz w:val="14"/>
                <w:szCs w:val="14"/>
                <w:color w:val="auto"/>
              </w:rPr>
            </w:pPr>
          </w:p>
        </w:tc>
        <w:tc>
          <w:tcPr>
            <w:tcW w:w="600" w:type="dxa"/>
            <w:vAlign w:val="bottom"/>
          </w:tcPr>
          <w:p>
            <w:pPr>
              <w:jc w:val="center"/>
              <w:spacing w:after="0" w:line="170"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2140" w:type="dxa"/>
            <w:vAlign w:val="bottom"/>
            <w:tcBorders>
              <w:top w:val="single" w:sz="8" w:color="0000EE"/>
            </w:tcBorders>
            <w:gridSpan w:val="8"/>
          </w:tcPr>
          <w:p>
            <w:pPr>
              <w:spacing w:after="0"/>
              <w:rPr>
                <w:sz w:val="17"/>
                <w:szCs w:val="17"/>
                <w:color w:val="auto"/>
              </w:rPr>
            </w:pPr>
          </w:p>
        </w:tc>
        <w:tc>
          <w:tcPr>
            <w:tcW w:w="6180" w:type="dxa"/>
            <w:vAlign w:val="bottom"/>
            <w:gridSpan w:val="6"/>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Interim Consolidated Statements of Operations</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Interim Consolidated Statements of Comprehensive Income</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Interim Consolidated Balance Sheets</w:t>
              </w:r>
            </w:hyperlink>
          </w:p>
        </w:tc>
        <w:tc>
          <w:tcPr>
            <w:tcW w:w="1640" w:type="dxa"/>
            <w:vAlign w:val="bottom"/>
            <w:tcBorders>
              <w:top w:val="single" w:sz="8" w:color="0000EE"/>
            </w:tcBorders>
            <w:gridSpan w:val="5"/>
          </w:tcPr>
          <w:p>
            <w:pPr>
              <w:spacing w:after="0"/>
              <w:rPr>
                <w:sz w:val="17"/>
                <w:szCs w:val="17"/>
                <w:color w:val="auto"/>
              </w:rPr>
            </w:pPr>
          </w:p>
        </w:tc>
        <w:tc>
          <w:tcPr>
            <w:tcW w:w="5520" w:type="dxa"/>
            <w:vAlign w:val="bottom"/>
            <w:gridSpan w:val="4"/>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4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Interim Consolidated Statements of Cash Flows</w:t>
              </w:r>
            </w:hyperlink>
          </w:p>
        </w:tc>
        <w:tc>
          <w:tcPr>
            <w:tcW w:w="6380" w:type="dxa"/>
            <w:vAlign w:val="bottom"/>
            <w:gridSpan w:val="7"/>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7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Interim Consolidated Financial Statements</w:t>
              </w:r>
            </w:hyperlink>
          </w:p>
        </w:tc>
        <w:tc>
          <w:tcPr>
            <w:tcW w:w="6100" w:type="dxa"/>
            <w:vAlign w:val="bottom"/>
            <w:gridSpan w:val="5"/>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336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Quantitative and Qualitative Disclosures About Market Risk</w:t>
              </w:r>
            </w:hyperlink>
          </w:p>
        </w:tc>
        <w:tc>
          <w:tcPr>
            <w:tcW w:w="5460" w:type="dxa"/>
            <w:vAlign w:val="bottom"/>
            <w:gridSpan w:val="2"/>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Controls and Procedures</w:t>
              </w:r>
            </w:hyperlink>
          </w:p>
        </w:tc>
        <w:tc>
          <w:tcPr>
            <w:tcW w:w="8040" w:type="dxa"/>
            <w:vAlign w:val="bottom"/>
            <w:gridSpan w:val="12"/>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OTHER INFORMATION</w:t>
              </w:r>
            </w:hyperlink>
          </w:p>
        </w:tc>
        <w:tc>
          <w:tcPr>
            <w:tcW w:w="7800" w:type="dxa"/>
            <w:vAlign w:val="bottom"/>
            <w:gridSpan w:val="11"/>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820" w:type="dxa"/>
            <w:vAlign w:val="bottom"/>
            <w:gridSpan w:val="2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Risk Factors</w:t>
              </w:r>
            </w:hyperlink>
          </w:p>
        </w:tc>
        <w:tc>
          <w:tcPr>
            <w:tcW w:w="420" w:type="dxa"/>
            <w:vAlign w:val="bottom"/>
            <w:tcBorders>
              <w:top w:val="single" w:sz="8" w:color="0000EE"/>
            </w:tcBorders>
            <w:gridSpan w:val="3"/>
          </w:tcPr>
          <w:p>
            <w:pPr>
              <w:spacing w:after="0"/>
              <w:rPr>
                <w:sz w:val="17"/>
                <w:szCs w:val="17"/>
                <w:color w:val="auto"/>
              </w:rPr>
            </w:pPr>
          </w:p>
        </w:tc>
        <w:tc>
          <w:tcPr>
            <w:tcW w:w="8500" w:type="dxa"/>
            <w:vAlign w:val="bottom"/>
            <w:gridSpan w:val="15"/>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820" w:type="dxa"/>
            <w:vAlign w:val="bottom"/>
            <w:gridSpan w:val="2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7"/>
          </w:tcPr>
          <w:p>
            <w:pPr>
              <w:spacing w:after="0"/>
              <w:rPr>
                <w:sz w:val="17"/>
                <w:szCs w:val="17"/>
                <w:color w:val="auto"/>
              </w:rPr>
            </w:pPr>
          </w:p>
        </w:tc>
        <w:tc>
          <w:tcPr>
            <w:tcW w:w="5480" w:type="dxa"/>
            <w:vAlign w:val="bottom"/>
            <w:gridSpan w:val="3"/>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820" w:type="dxa"/>
            <w:vAlign w:val="bottom"/>
            <w:gridSpan w:val="2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8060" w:type="dxa"/>
            <w:vAlign w:val="bottom"/>
            <w:gridSpan w:val="13"/>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17"/>
                <w:szCs w:val="17"/>
                <w:color w:val="auto"/>
              </w:rPr>
            </w:pPr>
          </w:p>
        </w:tc>
        <w:tc>
          <w:tcPr>
            <w:tcW w:w="8520" w:type="dxa"/>
            <w:vAlign w:val="bottom"/>
            <w:gridSpan w:val="16"/>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SIGNATURES</w:t>
              </w:r>
            </w:hyperlink>
          </w:p>
        </w:tc>
        <w:tc>
          <w:tcPr>
            <w:tcW w:w="8720" w:type="dxa"/>
            <w:vAlign w:val="bottom"/>
            <w:gridSpan w:val="17"/>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8"/>
              </w:rPr>
              <w:t>Twenty-Four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June 20, 2014</w:t>
            </w: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June 14, 2013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Borders>
              <w:top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w w:val="96"/>
              </w:rPr>
              <w:t>June 20, 2014</w:t>
            </w: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June 14,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520"/>
              <w:spacing w:after="0"/>
              <w:rPr>
                <w:sz w:val="20"/>
                <w:szCs w:val="20"/>
                <w:color w:val="auto"/>
              </w:rPr>
            </w:pPr>
            <w:r>
              <w:rPr>
                <w:rFonts w:ascii="Arial" w:cs="Arial" w:eastAsia="Arial" w:hAnsi="Arial"/>
                <w:sz w:val="18"/>
                <w:szCs w:val="18"/>
                <w:color w:val="auto"/>
              </w:rPr>
              <w:t>Sale of vacation ownership products</w:t>
            </w:r>
          </w:p>
        </w:tc>
        <w:tc>
          <w:tcPr>
            <w:tcW w:w="160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18"/>
                <w:szCs w:val="18"/>
                <w:color w:val="auto"/>
              </w:rPr>
            </w:pPr>
          </w:p>
        </w:tc>
        <w:tc>
          <w:tcPr>
            <w:tcW w:w="540" w:type="dxa"/>
            <w:vAlign w:val="bottom"/>
          </w:tcPr>
          <w:p>
            <w:pPr>
              <w:jc w:val="right"/>
              <w:ind w:right="38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297</w:t>
            </w:r>
          </w:p>
        </w:tc>
        <w:tc>
          <w:tcPr>
            <w:tcW w:w="340" w:type="dxa"/>
            <w:vAlign w:val="bottom"/>
          </w:tcPr>
          <w:p>
            <w:pPr>
              <w:spacing w:after="0"/>
              <w:rPr>
                <w:sz w:val="18"/>
                <w:szCs w:val="18"/>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Resort management and other services</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520"/>
              <w:spacing w:after="0"/>
              <w:rPr>
                <w:sz w:val="20"/>
                <w:szCs w:val="20"/>
                <w:color w:val="auto"/>
              </w:rPr>
            </w:pPr>
            <w:r>
              <w:rPr>
                <w:rFonts w:ascii="Arial" w:cs="Arial" w:eastAsia="Arial" w:hAnsi="Arial"/>
                <w:sz w:val="18"/>
                <w:szCs w:val="18"/>
                <w:color w:val="auto"/>
              </w:rPr>
              <w:t>Financing</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Rental</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520"/>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 reimbursements</w:t>
            </w:r>
          </w:p>
        </w:tc>
        <w:tc>
          <w:tcPr>
            <w:tcW w:w="1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880"/>
              <w:spacing w:after="0"/>
              <w:rPr>
                <w:sz w:val="20"/>
                <w:szCs w:val="20"/>
                <w:color w:val="auto"/>
              </w:rPr>
            </w:pPr>
            <w:r>
              <w:rPr>
                <w:rFonts w:ascii="Arial" w:cs="Arial" w:eastAsia="Arial" w:hAnsi="Arial"/>
                <w:sz w:val="18"/>
                <w:szCs w:val="18"/>
                <w:b w:val="1"/>
                <w:bCs w:val="1"/>
                <w:color w:val="auto"/>
              </w:rPr>
              <w:t>TOTAL REVENUES</w:t>
            </w:r>
          </w:p>
        </w:tc>
        <w:tc>
          <w:tcPr>
            <w:tcW w:w="1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520"/>
              <w:spacing w:after="0"/>
              <w:rPr>
                <w:sz w:val="20"/>
                <w:szCs w:val="20"/>
                <w:color w:val="auto"/>
              </w:rPr>
            </w:pPr>
            <w:r>
              <w:rPr>
                <w:rFonts w:ascii="Arial" w:cs="Arial" w:eastAsia="Arial" w:hAnsi="Arial"/>
                <w:sz w:val="18"/>
                <w:szCs w:val="18"/>
                <w:color w:val="auto"/>
              </w:rPr>
              <w:t>Cost of vacation ownership products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Marketing and sales</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520"/>
              <w:spacing w:after="0"/>
              <w:rPr>
                <w:sz w:val="20"/>
                <w:szCs w:val="20"/>
                <w:color w:val="auto"/>
              </w:rPr>
            </w:pPr>
            <w:r>
              <w:rPr>
                <w:rFonts w:ascii="Arial" w:cs="Arial" w:eastAsia="Arial" w:hAnsi="Arial"/>
                <w:sz w:val="18"/>
                <w:szCs w:val="18"/>
                <w:color w:val="auto"/>
              </w:rPr>
              <w:t>Resort management and other services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Financing</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520"/>
              <w:spacing w:after="0"/>
              <w:rPr>
                <w:sz w:val="20"/>
                <w:szCs w:val="20"/>
                <w:color w:val="auto"/>
              </w:rPr>
            </w:pPr>
            <w:r>
              <w:rPr>
                <w:rFonts w:ascii="Arial" w:cs="Arial" w:eastAsia="Arial" w:hAnsi="Arial"/>
                <w:sz w:val="18"/>
                <w:szCs w:val="18"/>
                <w:color w:val="auto"/>
              </w:rPr>
              <w:t>Rental</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520"/>
              <w:spacing w:after="0"/>
              <w:rPr>
                <w:sz w:val="20"/>
                <w:szCs w:val="20"/>
                <w:color w:val="auto"/>
              </w:rPr>
            </w:pPr>
            <w:r>
              <w:rPr>
                <w:rFonts w:ascii="Arial" w:cs="Arial" w:eastAsia="Arial" w:hAnsi="Arial"/>
                <w:sz w:val="18"/>
                <w:szCs w:val="18"/>
                <w:color w:val="auto"/>
              </w:rPr>
              <w:t>General and administrative</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Litigation settlement</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520"/>
              <w:spacing w:after="0"/>
              <w:rPr>
                <w:sz w:val="20"/>
                <w:szCs w:val="20"/>
                <w:color w:val="auto"/>
              </w:rPr>
            </w:pPr>
            <w:r>
              <w:rPr>
                <w:rFonts w:ascii="Arial" w:cs="Arial" w:eastAsia="Arial" w:hAnsi="Arial"/>
                <w:sz w:val="18"/>
                <w:szCs w:val="18"/>
                <w:color w:val="auto"/>
              </w:rPr>
              <w:t>Organizational and separation related</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Consumer financing interest</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520"/>
              <w:spacing w:after="0"/>
              <w:rPr>
                <w:sz w:val="20"/>
                <w:szCs w:val="20"/>
                <w:color w:val="auto"/>
              </w:rPr>
            </w:pPr>
            <w:r>
              <w:rPr>
                <w:rFonts w:ascii="Arial" w:cs="Arial" w:eastAsia="Arial" w:hAnsi="Arial"/>
                <w:sz w:val="18"/>
                <w:szCs w:val="18"/>
                <w:color w:val="auto"/>
              </w:rPr>
              <w:t>Royalty fee</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Impairment</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520"/>
              <w:spacing w:after="0"/>
              <w:rPr>
                <w:sz w:val="20"/>
                <w:szCs w:val="20"/>
                <w:color w:val="auto"/>
              </w:rPr>
            </w:pPr>
            <w:r>
              <w:rPr>
                <w:rFonts w:ascii="Arial" w:cs="Arial" w:eastAsia="Arial" w:hAnsi="Arial"/>
                <w:sz w:val="18"/>
                <w:szCs w:val="18"/>
                <w:color w:val="auto"/>
              </w:rPr>
              <w:t>Cost reimbursements</w:t>
            </w:r>
          </w:p>
        </w:tc>
        <w:tc>
          <w:tcPr>
            <w:tcW w:w="1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EXPENSES</w:t>
            </w:r>
          </w:p>
        </w:tc>
        <w:tc>
          <w:tcPr>
            <w:tcW w:w="1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520"/>
              <w:spacing w:after="0"/>
              <w:rPr>
                <w:sz w:val="20"/>
                <w:szCs w:val="20"/>
                <w:color w:val="auto"/>
              </w:rPr>
            </w:pPr>
            <w:r>
              <w:rPr>
                <w:rFonts w:ascii="Arial" w:cs="Arial" w:eastAsia="Arial" w:hAnsi="Arial"/>
                <w:sz w:val="18"/>
                <w:szCs w:val="18"/>
                <w:color w:val="auto"/>
              </w:rPr>
              <w:t>Gains and other income</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 expense</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520"/>
              <w:spacing w:after="0"/>
              <w:rPr>
                <w:sz w:val="20"/>
                <w:szCs w:val="20"/>
                <w:color w:val="auto"/>
              </w:rPr>
            </w:pPr>
            <w:r>
              <w:rPr>
                <w:rFonts w:ascii="Arial" w:cs="Arial" w:eastAsia="Arial" w:hAnsi="Arial"/>
                <w:sz w:val="18"/>
                <w:szCs w:val="18"/>
                <w:color w:val="auto"/>
              </w:rPr>
              <w:t>Impairment reversals on equity investment</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3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60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540" w:type="dxa"/>
            <w:vAlign w:val="bottom"/>
          </w:tcPr>
          <w:p>
            <w:pPr>
              <w:jc w:val="right"/>
              <w:ind w:right="38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0.87</w:t>
            </w:r>
          </w:p>
        </w:tc>
        <w:tc>
          <w:tcPr>
            <w:tcW w:w="160" w:type="dxa"/>
            <w:vAlign w:val="bottom"/>
          </w:tcPr>
          <w:p>
            <w:pPr>
              <w:spacing w:after="0"/>
              <w:rPr>
                <w:sz w:val="24"/>
                <w:szCs w:val="24"/>
                <w:color w:val="auto"/>
              </w:rPr>
            </w:pP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24"/>
                <w:szCs w:val="24"/>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earnings per share</w:t>
            </w:r>
          </w:p>
        </w:tc>
        <w:tc>
          <w:tcPr>
            <w:tcW w:w="1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3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0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60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4"/>
                <w:szCs w:val="24"/>
                <w:color w:val="auto"/>
              </w:rPr>
            </w:pPr>
          </w:p>
        </w:tc>
        <w:tc>
          <w:tcPr>
            <w:tcW w:w="540" w:type="dxa"/>
            <w:vAlign w:val="bottom"/>
          </w:tcPr>
          <w:p>
            <w:pPr>
              <w:jc w:val="right"/>
              <w:ind w:right="38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0.85</w:t>
            </w:r>
          </w:p>
        </w:tc>
        <w:tc>
          <w:tcPr>
            <w:tcW w:w="160" w:type="dxa"/>
            <w:vAlign w:val="bottom"/>
          </w:tcPr>
          <w:p>
            <w:pPr>
              <w:spacing w:after="0"/>
              <w:rPr>
                <w:sz w:val="24"/>
                <w:szCs w:val="24"/>
                <w:color w:val="auto"/>
              </w:rPr>
            </w:pP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24"/>
                <w:szCs w:val="24"/>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earnings per share</w:t>
            </w:r>
          </w:p>
        </w:tc>
        <w:tc>
          <w:tcPr>
            <w:tcW w:w="1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Twelve Weeks Ended</w:t>
            </w:r>
          </w:p>
        </w:tc>
        <w:tc>
          <w:tcPr>
            <w:tcW w:w="3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Twenty-Four Weeks Ended</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June 20, 2014</w:t>
            </w:r>
          </w:p>
        </w:tc>
        <w:tc>
          <w:tcPr>
            <w:tcW w:w="3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June 14, 2013</w:t>
            </w:r>
          </w:p>
        </w:tc>
        <w:tc>
          <w:tcPr>
            <w:tcW w:w="3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June 20, 2014</w:t>
            </w:r>
          </w:p>
        </w:tc>
        <w:tc>
          <w:tcPr>
            <w:tcW w:w="3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June 14, 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w:t>
            </w: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 net of tax</w:t>
            </w:r>
          </w:p>
        </w:tc>
        <w:tc>
          <w:tcPr>
            <w:tcW w:w="13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1"/>
              </w:rPr>
              <w:t>(1)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6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96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6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48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(Unaudited)</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880" w:type="dxa"/>
            <w:vAlign w:val="bottom"/>
          </w:tcPr>
          <w:p>
            <w:pPr>
              <w:spacing w:after="0"/>
              <w:rPr>
                <w:sz w:val="16"/>
                <w:szCs w:val="16"/>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June 20, 2014</w:t>
            </w:r>
          </w:p>
        </w:tc>
        <w:tc>
          <w:tcPr>
            <w:tcW w:w="12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January 3,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8"/>
                <w:szCs w:val="18"/>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(including $21 and $34 from VIEs, respectively)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Accounts and contracts receivable, net (including $4 and $5 from VIEs, respectively)</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net (including $621 and $719 from VIEs, respectively)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Advance deposits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(including $0 and $1 from VIEs, respectively)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liability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Debt (including $566 and $674 from VIEs, respectively)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 (Note 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Preferred stock — $.01 par value; 2,000,000 shares authorized; none issued or outstanding</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 $.01 par value; 100,000,000 shares authorized; 35,878,433 and 35,637,765 shares issued,</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Treasury stock — at cost; 2,175,224 and 505,023 shares, respectively</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52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abbreviation VIEs above means Variable Interest Entities.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9"/>
              </w:rPr>
              <w:t>Twenty-Four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tcBorders>
              <w:top w:val="single" w:sz="8" w:color="auto"/>
            </w:tcBorders>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98"/>
              </w:rPr>
              <w:t>June 20, 2014</w:t>
            </w: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June 14,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520"/>
              <w:spacing w:after="0"/>
              <w:rPr>
                <w:sz w:val="20"/>
                <w:szCs w:val="20"/>
                <w:color w:val="auto"/>
              </w:rPr>
            </w:pPr>
            <w:r>
              <w:rPr>
                <w:rFonts w:ascii="Arial" w:cs="Arial" w:eastAsia="Arial" w:hAnsi="Arial"/>
                <w:sz w:val="18"/>
                <w:szCs w:val="18"/>
                <w:color w:val="auto"/>
              </w:rPr>
              <w:t>Depreciation</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Amortization of debt issuance costs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520"/>
              <w:spacing w:after="0"/>
              <w:rPr>
                <w:sz w:val="20"/>
                <w:szCs w:val="20"/>
                <w:color w:val="auto"/>
              </w:rPr>
            </w:pPr>
            <w:r>
              <w:rPr>
                <w:rFonts w:ascii="Arial" w:cs="Arial" w:eastAsia="Arial" w:hAnsi="Arial"/>
                <w:sz w:val="18"/>
                <w:szCs w:val="18"/>
                <w:color w:val="auto"/>
              </w:rPr>
              <w:t>Provision for loan losses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Share-based compensation</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520"/>
              <w:spacing w:after="0"/>
              <w:rPr>
                <w:sz w:val="20"/>
                <w:szCs w:val="20"/>
                <w:color w:val="auto"/>
              </w:rPr>
            </w:pPr>
            <w:r>
              <w:rPr>
                <w:rFonts w:ascii="Arial" w:cs="Arial" w:eastAsia="Arial" w:hAnsi="Arial"/>
                <w:sz w:val="18"/>
                <w:szCs w:val="18"/>
                <w:color w:val="auto"/>
              </w:rPr>
              <w:t>Deferred income taxes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Impairment charges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520"/>
              <w:spacing w:after="0"/>
              <w:rPr>
                <w:sz w:val="20"/>
                <w:szCs w:val="20"/>
                <w:color w:val="auto"/>
              </w:rPr>
            </w:pPr>
            <w:r>
              <w:rPr>
                <w:rFonts w:ascii="Arial" w:cs="Arial" w:eastAsia="Arial" w:hAnsi="Arial"/>
                <w:sz w:val="18"/>
                <w:szCs w:val="18"/>
                <w:color w:val="auto"/>
              </w:rPr>
              <w:t>Gain on disposal of property and equipment, net</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change in assets and liabilities: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060"/>
              <w:spacing w:after="0"/>
              <w:rPr>
                <w:sz w:val="20"/>
                <w:szCs w:val="20"/>
                <w:color w:val="auto"/>
              </w:rPr>
            </w:pPr>
            <w:r>
              <w:rPr>
                <w:rFonts w:ascii="Arial" w:cs="Arial" w:eastAsia="Arial" w:hAnsi="Arial"/>
                <w:sz w:val="18"/>
                <w:szCs w:val="18"/>
                <w:color w:val="auto"/>
              </w:rPr>
              <w:t>Accounts and contracts receivable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Notes receivable originations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060"/>
              <w:spacing w:after="0"/>
              <w:rPr>
                <w:sz w:val="20"/>
                <w:szCs w:val="20"/>
                <w:color w:val="auto"/>
              </w:rPr>
            </w:pPr>
            <w:r>
              <w:rPr>
                <w:rFonts w:ascii="Arial" w:cs="Arial" w:eastAsia="Arial" w:hAnsi="Arial"/>
                <w:sz w:val="18"/>
                <w:szCs w:val="18"/>
                <w:color w:val="auto"/>
              </w:rPr>
              <w:t>Notes receivable collections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Inventory</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advance deposits and accrued liabilities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060"/>
              <w:spacing w:after="0"/>
              <w:rPr>
                <w:sz w:val="20"/>
                <w:szCs w:val="20"/>
                <w:color w:val="auto"/>
              </w:rPr>
            </w:pPr>
            <w:r>
              <w:rPr>
                <w:rFonts w:ascii="Arial" w:cs="Arial" w:eastAsia="Arial" w:hAnsi="Arial"/>
                <w:sz w:val="18"/>
                <w:szCs w:val="18"/>
                <w:color w:val="auto"/>
              </w:rPr>
              <w:t>Liability for Marriott Rewards customer loyalty program</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060"/>
              <w:spacing w:after="0"/>
              <w:rPr>
                <w:sz w:val="20"/>
                <w:szCs w:val="20"/>
                <w:color w:val="auto"/>
              </w:rPr>
            </w:pPr>
            <w:r>
              <w:rPr>
                <w:rFonts w:ascii="Arial" w:cs="Arial" w:eastAsia="Arial" w:hAnsi="Arial"/>
                <w:sz w:val="18"/>
                <w:szCs w:val="18"/>
                <w:color w:val="auto"/>
              </w:rPr>
              <w:t>Payroll and benefit liabilities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compensation liability</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060"/>
              <w:spacing w:after="0"/>
              <w:rPr>
                <w:sz w:val="20"/>
                <w:szCs w:val="20"/>
                <w:color w:val="auto"/>
              </w:rPr>
            </w:pPr>
            <w:r>
              <w:rPr>
                <w:rFonts w:ascii="Arial" w:cs="Arial" w:eastAsia="Arial" w:hAnsi="Arial"/>
                <w:sz w:val="18"/>
                <w:szCs w:val="18"/>
                <w:color w:val="auto"/>
              </w:rPr>
              <w:t>Other liabilities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160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52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Decrease in restricted cash</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520"/>
              <w:spacing w:after="0"/>
              <w:rPr>
                <w:sz w:val="20"/>
                <w:szCs w:val="20"/>
                <w:color w:val="auto"/>
              </w:rPr>
            </w:pPr>
            <w:r>
              <w:rPr>
                <w:rFonts w:ascii="Arial" w:cs="Arial" w:eastAsia="Arial" w:hAnsi="Arial"/>
                <w:sz w:val="18"/>
                <w:szCs w:val="18"/>
                <w:color w:val="auto"/>
              </w:rPr>
              <w:t>Dispositions, net</w:t>
            </w:r>
          </w:p>
        </w:tc>
        <w:tc>
          <w:tcPr>
            <w:tcW w:w="1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Net cash provided by investing activities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Borrowings from securitization transactions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520"/>
              <w:spacing w:after="0"/>
              <w:rPr>
                <w:sz w:val="20"/>
                <w:szCs w:val="20"/>
                <w:color w:val="auto"/>
              </w:rPr>
            </w:pPr>
            <w:r>
              <w:rPr>
                <w:rFonts w:ascii="Arial" w:cs="Arial" w:eastAsia="Arial" w:hAnsi="Arial"/>
                <w:sz w:val="18"/>
                <w:szCs w:val="18"/>
                <w:color w:val="auto"/>
              </w:rPr>
              <w:t>Repayment of debt related to securitization transactions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Borrowings on Revolving Corporate Credit Facility</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520"/>
              <w:spacing w:after="0"/>
              <w:rPr>
                <w:sz w:val="20"/>
                <w:szCs w:val="20"/>
                <w:color w:val="auto"/>
              </w:rPr>
            </w:pPr>
            <w:r>
              <w:rPr>
                <w:rFonts w:ascii="Arial" w:cs="Arial" w:eastAsia="Arial" w:hAnsi="Arial"/>
                <w:sz w:val="18"/>
                <w:szCs w:val="18"/>
                <w:color w:val="auto"/>
              </w:rPr>
              <w:t>Repayments on Revolving Corporate Credit Facility</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Repurchase of common stock</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520"/>
              <w:spacing w:after="0"/>
              <w:rPr>
                <w:sz w:val="20"/>
                <w:szCs w:val="20"/>
                <w:color w:val="auto"/>
              </w:rPr>
            </w:pPr>
            <w:r>
              <w:rPr>
                <w:rFonts w:ascii="Arial" w:cs="Arial" w:eastAsia="Arial" w:hAnsi="Arial"/>
                <w:sz w:val="18"/>
                <w:szCs w:val="18"/>
                <w:color w:val="auto"/>
              </w:rPr>
              <w:t>Proceeds from stock option exercises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160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4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8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NON-CASH FINANCING ACTIVITIES</w:t>
            </w:r>
          </w:p>
        </w:tc>
        <w:tc>
          <w:tcPr>
            <w:tcW w:w="1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90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Non-cash reduction of Additional paid-in capital for decrease in Deferred tax liabilities</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distributed to Marriott Vacations Worldwide at Spin-Off</w:t>
            </w:r>
          </w:p>
        </w:tc>
        <w:tc>
          <w:tcPr>
            <w:tcW w:w="1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(“The Ritz-Carlton Hotel Company”), a subsidiary of Marriott International, Inc. (“Marriott International”), generally provides on-site management for Ritz-Carlton branded properties.</w:t>
      </w:r>
    </w:p>
    <w:p>
      <w:pPr>
        <w:spacing w:after="0" w:line="16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business is grouped into three reportable segments: North America, Europe and Asia Pacific. As of June 20, 2014, we operated 62 properties in the United States and nine other countries and territories. We generate most of our revenues from four primary sources: selling vacation ownership products; managing our resorts; financing consumer purchases; and renting vacation ownership inventory.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Spin-Off from Marriott International, Inc.</w:t>
      </w:r>
    </w:p>
    <w:p>
      <w:pPr>
        <w:spacing w:after="0" w:line="22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On November 21, 2011, the spin-off of Marriott Vacations Worldwide from Marriott International (the “Spin-Off”) was completed. As a result of the Spin-Off, we became an independent public company, and our common stock is listed on the New York Stock Exchange under the symbol “VAC.” Following the Spin-Off, we and Marriott International have operated independently, and neither company has any ownership interest in the other.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225" w:lineRule="exact"/>
        <w:rPr>
          <w:sz w:val="20"/>
          <w:szCs w:val="20"/>
          <w:color w:val="auto"/>
        </w:rPr>
      </w:pPr>
    </w:p>
    <w:p>
      <w:pPr>
        <w:jc w:val="both"/>
        <w:ind w:right="300" w:firstLine="456"/>
        <w:spacing w:after="0" w:line="288" w:lineRule="auto"/>
        <w:rPr>
          <w:sz w:val="20"/>
          <w:szCs w:val="20"/>
          <w:color w:val="auto"/>
        </w:rPr>
      </w:pPr>
      <w:r>
        <w:rPr>
          <w:rFonts w:ascii="Arial" w:cs="Arial" w:eastAsia="Arial" w:hAnsi="Arial"/>
          <w:sz w:val="16"/>
          <w:szCs w:val="16"/>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w:t>
      </w:r>
    </w:p>
    <w:p>
      <w:pPr>
        <w:ind w:right="260"/>
        <w:spacing w:after="0" w:line="255" w:lineRule="auto"/>
        <w:rPr>
          <w:sz w:val="20"/>
          <w:szCs w:val="20"/>
          <w:color w:val="auto"/>
        </w:rPr>
      </w:pPr>
      <w:r>
        <w:rPr>
          <w:rFonts w:ascii="Arial" w:cs="Arial" w:eastAsia="Arial" w:hAnsi="Arial"/>
          <w:sz w:val="18"/>
          <w:szCs w:val="18"/>
          <w:color w:val="auto"/>
        </w:rPr>
        <w:t>Intercompany accounts and transactions between consolidated companies have been eliminated in consolidation. The interim consolidated financial statements reflect our financial position, results of operations and cash flows as prepared in conformity with United States Generally Accepted Accounting Principles (“GAAP”).</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order to make this report easier to read, we refer throughout to (i) our Interim Consolidated Financial Statements as our “Financial Statements,”</w:t>
      </w:r>
    </w:p>
    <w:p>
      <w:pPr>
        <w:spacing w:after="0" w:line="35" w:lineRule="exact"/>
        <w:rPr>
          <w:sz w:val="20"/>
          <w:szCs w:val="20"/>
          <w:color w:val="auto"/>
        </w:rPr>
      </w:pPr>
    </w:p>
    <w:p>
      <w:pPr>
        <w:ind w:right="120" w:firstLine="8"/>
        <w:spacing w:after="0" w:line="255"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Interim Consolidated Statements of Operations as our “Statements of Operations,”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w:t>
      </w:r>
    </w:p>
    <w:p>
      <w:pPr>
        <w:spacing w:after="0" w:line="19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otherwise specified, each reference to a particular quarter in these Financial Statements means the twelve weeks ended on the date shown in the following table, rather than the corresponding calendar quarter:</w:t>
      </w:r>
    </w:p>
    <w:p>
      <w:pPr>
        <w:spacing w:after="0" w:line="189" w:lineRule="exact"/>
        <w:rPr>
          <w:sz w:val="20"/>
          <w:szCs w:val="20"/>
          <w:color w:val="auto"/>
        </w:rPr>
      </w:pPr>
    </w:p>
    <w:tbl>
      <w:tblPr>
        <w:tblLayout w:type="fixed"/>
        <w:tblInd w:w="3140" w:type="dxa"/>
        <w:tblCellMar>
          <w:top w:w="0" w:type="dxa"/>
          <w:left w:w="0" w:type="dxa"/>
          <w:bottom w:w="0" w:type="dxa"/>
          <w:right w:w="0" w:type="dxa"/>
        </w:tblCellMar>
      </w:tblPr>
      <w:tr>
        <w:trPr>
          <w:trHeight w:val="185"/>
        </w:trPr>
        <w:tc>
          <w:tcPr>
            <w:tcW w:w="242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6"/>
                <w:szCs w:val="16"/>
                <w:color w:val="auto"/>
              </w:rPr>
            </w:pPr>
          </w:p>
        </w:tc>
        <w:tc>
          <w:tcPr>
            <w:tcW w:w="258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Quarter-End Date</w:t>
            </w:r>
          </w:p>
        </w:tc>
      </w:tr>
      <w:tr>
        <w:trPr>
          <w:trHeight w:val="182"/>
        </w:trPr>
        <w:tc>
          <w:tcPr>
            <w:tcW w:w="2420" w:type="dxa"/>
            <w:vAlign w:val="bottom"/>
          </w:tcPr>
          <w:p>
            <w:pPr>
              <w:jc w:val="center"/>
              <w:spacing w:after="0" w:line="182" w:lineRule="exact"/>
              <w:rPr>
                <w:sz w:val="20"/>
                <w:szCs w:val="20"/>
                <w:color w:val="auto"/>
              </w:rPr>
            </w:pPr>
            <w:r>
              <w:rPr>
                <w:rFonts w:ascii="Arial" w:cs="Arial" w:eastAsia="Arial" w:hAnsi="Arial"/>
                <w:sz w:val="18"/>
                <w:szCs w:val="18"/>
                <w:color w:val="auto"/>
                <w:w w:val="89"/>
              </w:rPr>
              <w:t>2014 Second Quarter</w:t>
            </w:r>
          </w:p>
        </w:tc>
        <w:tc>
          <w:tcPr>
            <w:tcW w:w="260" w:type="dxa"/>
            <w:vAlign w:val="bottom"/>
          </w:tcPr>
          <w:p>
            <w:pPr>
              <w:spacing w:after="0"/>
              <w:rPr>
                <w:sz w:val="15"/>
                <w:szCs w:val="15"/>
                <w:color w:val="auto"/>
              </w:rPr>
            </w:pPr>
          </w:p>
        </w:tc>
        <w:tc>
          <w:tcPr>
            <w:tcW w:w="2580" w:type="dxa"/>
            <w:vAlign w:val="bottom"/>
          </w:tcPr>
          <w:p>
            <w:pPr>
              <w:jc w:val="center"/>
              <w:spacing w:after="0" w:line="182" w:lineRule="exact"/>
              <w:rPr>
                <w:sz w:val="20"/>
                <w:szCs w:val="20"/>
                <w:color w:val="auto"/>
              </w:rPr>
            </w:pPr>
            <w:r>
              <w:rPr>
                <w:rFonts w:ascii="Arial" w:cs="Arial" w:eastAsia="Arial" w:hAnsi="Arial"/>
                <w:sz w:val="18"/>
                <w:szCs w:val="18"/>
                <w:color w:val="auto"/>
                <w:w w:val="89"/>
              </w:rPr>
              <w:t>June 20, 2014</w:t>
            </w:r>
          </w:p>
        </w:tc>
      </w:tr>
      <w:tr>
        <w:trPr>
          <w:trHeight w:val="216"/>
        </w:trPr>
        <w:tc>
          <w:tcPr>
            <w:tcW w:w="2420" w:type="dxa"/>
            <w:vAlign w:val="bottom"/>
          </w:tcPr>
          <w:p>
            <w:pPr>
              <w:jc w:val="center"/>
              <w:spacing w:after="0"/>
              <w:rPr>
                <w:sz w:val="20"/>
                <w:szCs w:val="20"/>
                <w:color w:val="auto"/>
              </w:rPr>
            </w:pPr>
            <w:r>
              <w:rPr>
                <w:rFonts w:ascii="Arial" w:cs="Arial" w:eastAsia="Arial" w:hAnsi="Arial"/>
                <w:sz w:val="18"/>
                <w:szCs w:val="18"/>
                <w:color w:val="auto"/>
                <w:w w:val="91"/>
              </w:rPr>
              <w:t>2014 First Quarter</w:t>
            </w:r>
          </w:p>
        </w:tc>
        <w:tc>
          <w:tcPr>
            <w:tcW w:w="26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28, 2014</w:t>
            </w:r>
          </w:p>
        </w:tc>
      </w:tr>
      <w:tr>
        <w:trPr>
          <w:trHeight w:val="216"/>
        </w:trPr>
        <w:tc>
          <w:tcPr>
            <w:tcW w:w="2420" w:type="dxa"/>
            <w:vAlign w:val="bottom"/>
          </w:tcPr>
          <w:p>
            <w:pPr>
              <w:jc w:val="center"/>
              <w:spacing w:after="0"/>
              <w:rPr>
                <w:sz w:val="20"/>
                <w:szCs w:val="20"/>
                <w:color w:val="auto"/>
              </w:rPr>
            </w:pPr>
            <w:r>
              <w:rPr>
                <w:rFonts w:ascii="Arial" w:cs="Arial" w:eastAsia="Arial" w:hAnsi="Arial"/>
                <w:sz w:val="18"/>
                <w:szCs w:val="18"/>
                <w:color w:val="auto"/>
                <w:w w:val="89"/>
              </w:rPr>
              <w:t>2013 Second Quarter</w:t>
            </w:r>
          </w:p>
        </w:tc>
        <w:tc>
          <w:tcPr>
            <w:tcW w:w="26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June 14, 2013</w:t>
            </w:r>
          </w:p>
        </w:tc>
      </w:tr>
      <w:tr>
        <w:trPr>
          <w:trHeight w:val="230"/>
        </w:trPr>
        <w:tc>
          <w:tcPr>
            <w:tcW w:w="2420" w:type="dxa"/>
            <w:vAlign w:val="bottom"/>
          </w:tcPr>
          <w:p>
            <w:pPr>
              <w:jc w:val="center"/>
              <w:spacing w:after="0"/>
              <w:rPr>
                <w:sz w:val="20"/>
                <w:szCs w:val="20"/>
                <w:color w:val="auto"/>
              </w:rPr>
            </w:pPr>
            <w:r>
              <w:rPr>
                <w:rFonts w:ascii="Arial" w:cs="Arial" w:eastAsia="Arial" w:hAnsi="Arial"/>
                <w:sz w:val="18"/>
                <w:szCs w:val="18"/>
                <w:color w:val="auto"/>
                <w:w w:val="91"/>
              </w:rPr>
              <w:t>2013 First Quarter</w:t>
            </w:r>
          </w:p>
        </w:tc>
        <w:tc>
          <w:tcPr>
            <w:tcW w:w="26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22, 2013</w:t>
            </w:r>
          </w:p>
        </w:tc>
      </w:tr>
    </w:tbl>
    <w:p>
      <w:pPr>
        <w:spacing w:after="0" w:line="20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w:t>
      </w:r>
    </w:p>
    <w:p>
      <w:pPr>
        <w:spacing w:after="0" w:line="181" w:lineRule="exact"/>
        <w:rPr>
          <w:sz w:val="20"/>
          <w:szCs w:val="20"/>
          <w:color w:val="auto"/>
        </w:rPr>
      </w:pPr>
    </w:p>
    <w:p>
      <w:pPr>
        <w:jc w:val="both"/>
        <w:ind w:right="220" w:firstLine="456"/>
        <w:spacing w:after="0" w:line="279" w:lineRule="auto"/>
        <w:rPr>
          <w:sz w:val="20"/>
          <w:szCs w:val="20"/>
          <w:color w:val="auto"/>
        </w:rPr>
      </w:pPr>
      <w:r>
        <w:rPr>
          <w:rFonts w:ascii="Arial" w:cs="Arial" w:eastAsia="Arial" w:hAnsi="Arial"/>
          <w:sz w:val="17"/>
          <w:szCs w:val="17"/>
          <w:color w:val="auto"/>
        </w:rPr>
        <w:t>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you should read these Financial Statements in conjunction with the consolidated financial statements and notes to those consolidated financial statements included in our Annual Report on Form 10-K for the fiscal year ended January 3, 2014.</w:t>
      </w:r>
    </w:p>
    <w:p>
      <w:pPr>
        <w:spacing w:after="0" w:line="17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Marriott Rewards customer loyalty program liability, self-insured medical plan reserves, equity-based compensation, income taxes, loss contingencies and exit and disposal activities reserves. Accordingly, actual amounts may differ from these estimated amounts.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reclassified certain prior year amounts to conform to our 2014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225"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u w:val="single" w:color="auto"/>
          <w:color w:val="auto"/>
        </w:rPr>
        <w:t>Accounting Standards Update No. 2013-11 – “</w:t>
      </w:r>
      <w:r>
        <w:rPr>
          <w:rFonts w:ascii="Arial" w:cs="Arial" w:eastAsia="Arial" w:hAnsi="Arial"/>
          <w:sz w:val="18"/>
          <w:szCs w:val="18"/>
          <w:i w:val="1"/>
          <w:iCs w:val="1"/>
          <w:u w:val="single" w:color="auto"/>
          <w:color w:val="auto"/>
        </w:rPr>
        <w:t>Presentation of an Unrecognized Tax Benefit When a Net Operating Loss Carryforward, a Similar Tax</w:t>
      </w:r>
      <w:r>
        <w:rPr>
          <w:rFonts w:ascii="Arial" w:cs="Arial" w:eastAsia="Arial" w:hAnsi="Arial"/>
          <w:sz w:val="18"/>
          <w:szCs w:val="18"/>
          <w:u w:val="single" w:color="auto"/>
          <w:color w:val="auto"/>
        </w:rPr>
        <w:t xml:space="preserve"> </w:t>
      </w:r>
      <w:r>
        <w:rPr>
          <w:rFonts w:ascii="Arial" w:cs="Arial" w:eastAsia="Arial" w:hAnsi="Arial"/>
          <w:sz w:val="18"/>
          <w:szCs w:val="18"/>
          <w:i w:val="1"/>
          <w:iCs w:val="1"/>
          <w:u w:val="single" w:color="auto"/>
          <w:color w:val="auto"/>
        </w:rPr>
        <w:t>Loss, or a Tax Credit Carryforward Exists</w:t>
      </w:r>
      <w:r>
        <w:rPr>
          <w:rFonts w:ascii="Arial" w:cs="Arial" w:eastAsia="Arial" w:hAnsi="Arial"/>
          <w:sz w:val="18"/>
          <w:szCs w:val="18"/>
          <w:u w:val="single" w:color="auto"/>
          <w:color w:val="auto"/>
        </w:rPr>
        <w:t>” (“ASU No. 2013-11”)</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ASU No. 2013-11, which we adopted in the first quarter of 2014, provides financial statement presentation guidance on whether an unrecognized tax benefit must be presented as either a reduction to a deferred tax asset or separately as a liability. Our adoption of this update did not have a material impact on our Financial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Accounting Standards Update No. 2014-08 – “</w:t>
      </w:r>
      <w:r>
        <w:rPr>
          <w:rFonts w:ascii="Arial" w:cs="Arial" w:eastAsia="Arial" w:hAnsi="Arial"/>
          <w:sz w:val="17"/>
          <w:szCs w:val="17"/>
          <w:i w:val="1"/>
          <w:iCs w:val="1"/>
          <w:u w:val="single" w:color="auto"/>
          <w:color w:val="auto"/>
        </w:rPr>
        <w:t>Presentation of Financial Statements (Topic 205) and Property, Plant, and Equipment (Topic 360):</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Reporting Discontinued Operations and Disclosures of Disposals of Components of an Entity</w:t>
      </w:r>
      <w:r>
        <w:rPr>
          <w:rFonts w:ascii="Arial" w:cs="Arial" w:eastAsia="Arial" w:hAnsi="Arial"/>
          <w:sz w:val="18"/>
          <w:szCs w:val="18"/>
          <w:u w:val="single" w:color="auto"/>
          <w:color w:val="auto"/>
        </w:rPr>
        <w:t>” (“ASU No. 2014-08”)</w:t>
      </w:r>
    </w:p>
    <w:p>
      <w:pPr>
        <w:spacing w:after="0" w:line="21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ASU No. 2014-08, which we adopted in the first quarter of 2014, raises the threshold for a disposal to qualify as a discontinued operation and requires new disclosures of both discontinued operations and certain other disposals that do not meet the definition of a discontinued operation. ASU No. 2014-08 is effective for annual periods beginning after December 15, 2014, and interim periods within annual periods beginning on or after December 15, 2015, with early adoption permitted. Our adoption of this update did not have a material impact on our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Accounting Standards Update No. 2014-09 – “</w:t>
      </w:r>
      <w:r>
        <w:rPr>
          <w:rFonts w:ascii="Arial" w:cs="Arial" w:eastAsia="Arial" w:hAnsi="Arial"/>
          <w:sz w:val="18"/>
          <w:szCs w:val="18"/>
          <w:i w:val="1"/>
          <w:iCs w:val="1"/>
          <w:u w:val="single" w:color="auto"/>
          <w:color w:val="auto"/>
        </w:rPr>
        <w:t>Revenue from Contracts with Customers (Topic 606)</w:t>
      </w:r>
      <w:r>
        <w:rPr>
          <w:rFonts w:ascii="Arial" w:cs="Arial" w:eastAsia="Arial" w:hAnsi="Arial"/>
          <w:sz w:val="18"/>
          <w:szCs w:val="18"/>
          <w:u w:val="single" w:color="auto"/>
          <w:color w:val="auto"/>
        </w:rPr>
        <w:t>” (“ASU No. 2014-09”)</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May 2014, the Financial Accounting Standards Board issued ASU No. 2014-09, which specifies how and when to recognize revenue and requires informative, relevant disclosures. ASU 2014-09 will be effective for financial statements issued for the first interim period within annual reporting periods beginning after December 15, 2016, and does not permit early adoption. We will adopt ASU 2014-09 in the first quarter of 2017 and are currently evaluating the impact it will have on our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file U.S. consolidated federal and state tax returns, as well as separate tax filings for non-U.S. jurisdictions. We entered into a Tax Sharing and Indemnification Agreement with Marriott International, effective November 21, 2011 (as subsequently amended, the “Tax Sharing and Indemnification Agreement”), which governs the allocation of responsibility for federal, state, local and foreign income and other taxes related to taxable periods prior to and subsequent to the Spin-Off between Marriott International and Marriott Vacations Worldwide. Under this agreement, if any part of the Spin-Off fails to qualify for the tax treatment stated in the ruling Marriott International received from the U.S. Internal Revenue Service (the “IRS”) in connection with the Spin-Off, taxes imposed will be allocated between Marriott International and Marriott Vacations Worldwide as set forth in the agreement, and each will indemnify and hold harmless the other from and against the taxes so allocated. During the twenty-four weeks ended June 20, 2014, we increased our Deferred tax liabilities by $2 million for adjustments to the Deferred tax liabilities at the time of the Spin-Off with a corresponding reduction to Additional paid-in-capital.</w:t>
      </w:r>
    </w:p>
    <w:p>
      <w:pPr>
        <w:spacing w:after="0" w:line="19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total unrecognized tax benefit balance that, if recognized, would impact our effective tax rate was less than $1 million at both June 20, 2014 and January 3, 2014.</w:t>
      </w:r>
    </w:p>
    <w:p>
      <w:pPr>
        <w:spacing w:after="0" w:line="170"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We have joined in the Marriott International U.S. federal tax consolidated filing for periods up to the date of the Spin-Off. The IRS has examined Marriott International’s federal income tax returns, and it has settled all issues related to the timeshare business for the tax years through the Spin-Off. Although we do not anticipate that a significant impact to our unrecognized tax benefit balance will occur during the next fiscal year as a result of audits by other tax jurisdictions, the amount of our liability for unrecognized tax benefits could change as a result of these audits. Pursuant to the Tax Sharing and Indemnification Agreement, Marriott International is liable and shall pay the relevant tax authority for all taxes related to our taxable income prior to the Spin-Off. Our tax years subsequent to the Spin-Off are subject to examination by relevant tax authorities.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VACATION OWNERSHIP NOTES RECEIVABLE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June 20, 2014</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 2014</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 securitized</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Vacation ownership notes receivable — non-securitized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xml:space="preserve">Eligible for securitization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23"/>
        </w:trPr>
        <w:tc>
          <w:tcPr>
            <w:tcW w:w="5820" w:type="dxa"/>
            <w:vAlign w:val="bottom"/>
          </w:tcPr>
          <w:p>
            <w:pPr>
              <w:ind w:left="540"/>
              <w:spacing w:after="0"/>
              <w:rPr>
                <w:sz w:val="20"/>
                <w:szCs w:val="20"/>
                <w:color w:val="auto"/>
              </w:rPr>
            </w:pPr>
            <w:r>
              <w:rPr>
                <w:rFonts w:ascii="Arial" w:cs="Arial" w:eastAsia="Arial" w:hAnsi="Arial"/>
                <w:sz w:val="18"/>
                <w:szCs w:val="18"/>
                <w:color w:val="auto"/>
              </w:rPr>
              <w:t xml:space="preserve">Not eligible for securitization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r>
      <w:tr>
        <w:trPr>
          <w:trHeight w:val="216"/>
        </w:trPr>
        <w:tc>
          <w:tcPr>
            <w:tcW w:w="5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890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8"/>
          <w:szCs w:val="18"/>
          <w:color w:val="auto"/>
        </w:rPr>
        <w:t>Refer to Footnote No. 4, “Financial Instruments,” for discussion of eligibility of our vacation ownership notes receivable.</w:t>
      </w:r>
    </w:p>
    <w:p>
      <w:pPr>
        <w:spacing w:after="0" w:line="22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securitized and non-securitized vacation ownership notes receivable:</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Non-Securitized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54"/>
              <w:spacing w:after="0"/>
              <w:rPr>
                <w:sz w:val="20"/>
                <w:szCs w:val="20"/>
                <w:color w:val="auto"/>
              </w:rPr>
            </w:pPr>
            <w:r>
              <w:rPr>
                <w:rFonts w:ascii="Arial" w:cs="Arial" w:eastAsia="Arial" w:hAnsi="Arial"/>
                <w:sz w:val="14"/>
                <w:szCs w:val="14"/>
                <w:b w:val="1"/>
                <w:bCs w:val="1"/>
                <w:color w:val="auto"/>
                <w:w w:val="90"/>
              </w:rPr>
              <w:t>Securitized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2"/>
              </w:rPr>
              <w:t>Vacation Ownership</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4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Notes Receivable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Notes Receivable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20, 2014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Weighted average stated interest rate at June 20, 2014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394"/>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94"/>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Range of stated interest rates at June 20, 2014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0.0% to 19.5%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4.9% to 19.5%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0.0% to 19.5%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on our Statements of Operations in the Financing revenues caption. The following table summarizes interest income associated with vacation ownership notes receivable: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Twelve Weeks Ended</w:t>
            </w:r>
          </w:p>
        </w:tc>
        <w:tc>
          <w:tcPr>
            <w:tcW w:w="3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Twenty-Four Weeks Ended</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gridSpan w:val="2"/>
            <w:vMerge w:val="continue"/>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June 20, 2014</w:t>
            </w:r>
          </w:p>
        </w:tc>
        <w:tc>
          <w:tcPr>
            <w:tcW w:w="32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June 14, 2013</w:t>
            </w:r>
          </w:p>
        </w:tc>
        <w:tc>
          <w:tcPr>
            <w:tcW w:w="34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June 20, 2014</w:t>
            </w:r>
          </w:p>
        </w:tc>
        <w:tc>
          <w:tcPr>
            <w:tcW w:w="32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June 14,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Interest income associated with vacation ownership notes receivable —</w:t>
            </w:r>
          </w:p>
        </w:tc>
        <w:tc>
          <w:tcPr>
            <w:tcW w:w="2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securitized</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spacing w:after="0" w:line="201" w:lineRule="exact"/>
              <w:rPr>
                <w:sz w:val="20"/>
                <w:szCs w:val="20"/>
                <w:color w:val="auto"/>
              </w:rPr>
            </w:pPr>
            <w:r>
              <w:rPr>
                <w:rFonts w:ascii="Arial" w:cs="Arial" w:eastAsia="Arial" w:hAnsi="Arial"/>
                <w:sz w:val="18"/>
                <w:szCs w:val="18"/>
                <w:color w:val="auto"/>
                <w:w w:val="95"/>
              </w:rPr>
              <w:t>Interest income associated with vacation ownership notes receivable —</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non-securitized</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interest income associated with vacation ownership notes</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related to our vacation ownership notes receivable reserve for the twenty-four weeks ended June 20, 2014:</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Non-Securitized</w:t>
            </w:r>
          </w:p>
        </w:tc>
        <w:tc>
          <w:tcPr>
            <w:tcW w:w="140" w:type="dxa"/>
            <w:vAlign w:val="bottom"/>
          </w:tcPr>
          <w:p>
            <w:pPr>
              <w:spacing w:after="0"/>
              <w:rPr>
                <w:sz w:val="14"/>
                <w:szCs w:val="14"/>
                <w:color w:val="auto"/>
              </w:rPr>
            </w:pPr>
          </w:p>
        </w:tc>
        <w:tc>
          <w:tcPr>
            <w:tcW w:w="17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Securitized</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40" w:type="dxa"/>
            <w:vAlign w:val="bottom"/>
          </w:tcPr>
          <w:p>
            <w:pPr>
              <w:spacing w:after="0"/>
              <w:rPr>
                <w:sz w:val="12"/>
                <w:szCs w:val="12"/>
                <w:color w:val="auto"/>
              </w:rPr>
            </w:pPr>
          </w:p>
        </w:tc>
        <w:tc>
          <w:tcPr>
            <w:tcW w:w="17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Vacation Ownership</w:t>
            </w:r>
          </w:p>
        </w:tc>
        <w:tc>
          <w:tcPr>
            <w:tcW w:w="340" w:type="dxa"/>
            <w:vAlign w:val="bottom"/>
          </w:tcPr>
          <w:p>
            <w:pPr>
              <w:spacing w:after="0"/>
              <w:rPr>
                <w:sz w:val="12"/>
                <w:szCs w:val="12"/>
                <w:color w:val="auto"/>
              </w:rPr>
            </w:pPr>
          </w:p>
        </w:tc>
        <w:tc>
          <w:tcPr>
            <w:tcW w:w="9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40" w:type="dxa"/>
            <w:vAlign w:val="bottom"/>
          </w:tcPr>
          <w:p>
            <w:pPr>
              <w:spacing w:after="0"/>
              <w:rPr>
                <w:sz w:val="12"/>
                <w:szCs w:val="12"/>
                <w:color w:val="auto"/>
              </w:rPr>
            </w:pPr>
          </w:p>
        </w:tc>
        <w:tc>
          <w:tcPr>
            <w:tcW w:w="17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3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4"/>
                <w:szCs w:val="14"/>
                <w:color w:val="auto"/>
              </w:rPr>
            </w:pPr>
          </w:p>
        </w:tc>
        <w:tc>
          <w:tcPr>
            <w:tcW w:w="17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Reserve</w:t>
            </w:r>
          </w:p>
        </w:tc>
        <w:tc>
          <w:tcPr>
            <w:tcW w:w="140" w:type="dxa"/>
            <w:vAlign w:val="bottom"/>
          </w:tcPr>
          <w:p>
            <w:pPr>
              <w:spacing w:after="0"/>
              <w:rPr>
                <w:sz w:val="14"/>
                <w:szCs w:val="14"/>
                <w:color w:val="auto"/>
              </w:rPr>
            </w:pPr>
          </w:p>
        </w:tc>
        <w:tc>
          <w:tcPr>
            <w:tcW w:w="17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Reserve</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3, 2014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Securitizations</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 xml:space="preserve">Clean-up calls </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rPr>
              <w:t>Defaulted vacation ownership notes receivable</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40" w:type="dxa"/>
            <w:vAlign w:val="bottom"/>
          </w:tcPr>
          <w:p>
            <w:pPr>
              <w:ind w:left="180"/>
              <w:spacing w:after="0"/>
              <w:rPr>
                <w:sz w:val="20"/>
                <w:szCs w:val="20"/>
                <w:color w:val="auto"/>
              </w:rPr>
            </w:pPr>
            <w:r>
              <w:rPr>
                <w:rFonts w:ascii="Arial" w:cs="Arial" w:eastAsia="Arial" w:hAnsi="Arial"/>
                <w:sz w:val="18"/>
                <w:szCs w:val="18"/>
                <w:color w:val="auto"/>
              </w:rPr>
              <w:t xml:space="preserve">repurchase activity </w:t>
            </w:r>
            <w:r>
              <w:rPr>
                <w:rFonts w:ascii="Arial" w:cs="Arial" w:eastAsia="Arial" w:hAnsi="Arial"/>
                <w:sz w:val="15"/>
                <w:szCs w:val="15"/>
                <w:color w:val="auto"/>
              </w:rPr>
              <w:t>(2)</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20, 2014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89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ind w:left="580" w:right="600" w:hanging="572"/>
        <w:spacing w:after="0" w:line="277"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8"/>
          <w:szCs w:val="18"/>
          <w:color w:val="auto"/>
        </w:rPr>
        <w:t>Refers to our voluntary repurchase of previously securitized non-defaulted vacation ownership notes receivable to retire outstanding vacation ownership notes receivable securitizations.</w:t>
      </w:r>
    </w:p>
    <w:p>
      <w:pPr>
        <w:spacing w:after="0" w:line="75" w:lineRule="exact"/>
        <w:rPr>
          <w:rFonts w:ascii="Arial" w:cs="Arial" w:eastAsia="Arial" w:hAnsi="Arial"/>
          <w:sz w:val="15"/>
          <w:szCs w:val="15"/>
          <w:color w:val="auto"/>
        </w:rPr>
      </w:pPr>
    </w:p>
    <w:p>
      <w:pPr>
        <w:ind w:left="580" w:right="60" w:hanging="572"/>
        <w:spacing w:after="0" w:line="308"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7"/>
          <w:szCs w:val="17"/>
          <w:color w:val="auto"/>
        </w:rPr>
        <w:t>Decrease in securitized vacation ownership notes receivable reserve and increase in non-securitized vacation ownership notes receivable reserve was attributable to the transfer of the reserve when we voluntarily repurchased the securitized vacation ownership notes receivable.</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to the vacation ownership products through the foreclosure or deed-in-lieu process or, in Europe or Asia Pacific, when revocation is complete. For both non-securitized and securitized vacation ownership notes receivable, we estimated average remaining default rates of 6.96 percent and 7.13 percent as of June 20, 2014 and January 3, 2014, respectively. A 0.5 percentage point increase in the estimated default rate would have resulted in an increase in our allowance for loan losses of $5 million as of both June 20, 2014 and January 3, 2014.</w:t>
      </w:r>
    </w:p>
    <w:p>
      <w:pPr>
        <w:spacing w:after="0" w:line="16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3"/>
              </w:rPr>
              <w:t>Non-Securitized</w:t>
            </w:r>
          </w:p>
        </w:tc>
        <w:tc>
          <w:tcPr>
            <w:tcW w:w="240" w:type="dxa"/>
            <w:vAlign w:val="bottom"/>
          </w:tcPr>
          <w:p>
            <w:pPr>
              <w:spacing w:after="0"/>
              <w:rPr>
                <w:sz w:val="14"/>
                <w:szCs w:val="14"/>
                <w:color w:val="auto"/>
              </w:rPr>
            </w:pPr>
          </w:p>
        </w:tc>
        <w:tc>
          <w:tcPr>
            <w:tcW w:w="16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Securitized</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Vacation Ownership</w:t>
            </w:r>
          </w:p>
        </w:tc>
        <w:tc>
          <w:tcPr>
            <w:tcW w:w="18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2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780" w:type="dxa"/>
            <w:vAlign w:val="bottom"/>
          </w:tcPr>
          <w:p>
            <w:pPr>
              <w:spacing w:after="0"/>
              <w:rPr>
                <w:sz w:val="14"/>
                <w:szCs w:val="14"/>
                <w:color w:val="auto"/>
              </w:rPr>
            </w:pPr>
          </w:p>
        </w:tc>
        <w:tc>
          <w:tcPr>
            <w:tcW w:w="1840" w:type="dxa"/>
            <w:vAlign w:val="bottom"/>
            <w:gridSpan w:val="3"/>
          </w:tcPr>
          <w:p>
            <w:pPr>
              <w:ind w:left="100"/>
              <w:spacing w:after="0"/>
              <w:rPr>
                <w:sz w:val="20"/>
                <w:szCs w:val="20"/>
                <w:color w:val="auto"/>
              </w:rPr>
            </w:pPr>
            <w:r>
              <w:rPr>
                <w:rFonts w:ascii="Arial" w:cs="Arial" w:eastAsia="Arial" w:hAnsi="Arial"/>
                <w:sz w:val="14"/>
                <w:szCs w:val="14"/>
                <w:b w:val="1"/>
                <w:bCs w:val="1"/>
                <w:color w:val="auto"/>
              </w:rPr>
              <w:t>Notes Receivable</w:t>
            </w:r>
          </w:p>
        </w:tc>
        <w:tc>
          <w:tcPr>
            <w:tcW w:w="1860" w:type="dxa"/>
            <w:vAlign w:val="bottom"/>
            <w:gridSpan w:val="3"/>
          </w:tcPr>
          <w:p>
            <w:pPr>
              <w:ind w:left="120"/>
              <w:spacing w:after="0"/>
              <w:rPr>
                <w:sz w:val="20"/>
                <w:szCs w:val="20"/>
                <w:color w:val="auto"/>
              </w:rPr>
            </w:pPr>
            <w:r>
              <w:rPr>
                <w:rFonts w:ascii="Arial" w:cs="Arial" w:eastAsia="Arial" w:hAnsi="Arial"/>
                <w:sz w:val="14"/>
                <w:szCs w:val="14"/>
                <w:b w:val="1"/>
                <w:bCs w:val="1"/>
                <w:color w:val="auto"/>
              </w:rPr>
              <w:t>Notes Receivable</w:t>
            </w: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Investment in vacation ownership notes receivable on non-</w:t>
            </w:r>
          </w:p>
        </w:tc>
        <w:tc>
          <w:tcPr>
            <w:tcW w:w="7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 status at June 20, 2014</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40" w:type="dxa"/>
            <w:vAlign w:val="bottom"/>
          </w:tcPr>
          <w:p>
            <w:pPr>
              <w:spacing w:after="0" w:line="201" w:lineRule="exact"/>
              <w:rPr>
                <w:sz w:val="20"/>
                <w:szCs w:val="20"/>
                <w:color w:val="auto"/>
              </w:rPr>
            </w:pPr>
            <w:r>
              <w:rPr>
                <w:rFonts w:ascii="Arial" w:cs="Arial" w:eastAsia="Arial" w:hAnsi="Arial"/>
                <w:sz w:val="18"/>
                <w:szCs w:val="18"/>
                <w:color w:val="auto"/>
              </w:rPr>
              <w:t>Investment in vacation ownership notes receivable on non-</w:t>
            </w: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accrual status at January 3, 2014</w:t>
            </w:r>
          </w:p>
        </w:tc>
        <w:tc>
          <w:tcPr>
            <w:tcW w:w="13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20"/>
                <w:szCs w:val="20"/>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Average investment in vacation ownership notes receivable on non-</w:t>
            </w: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accrual status during the twenty-four weeks ended June 20, 2014</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40" w:type="dxa"/>
            <w:vAlign w:val="bottom"/>
          </w:tcPr>
          <w:p>
            <w:pPr>
              <w:spacing w:after="0" w:line="201" w:lineRule="exact"/>
              <w:rPr>
                <w:sz w:val="20"/>
                <w:szCs w:val="20"/>
                <w:color w:val="auto"/>
              </w:rPr>
            </w:pPr>
            <w:r>
              <w:rPr>
                <w:rFonts w:ascii="Arial" w:cs="Arial" w:eastAsia="Arial" w:hAnsi="Arial"/>
                <w:sz w:val="18"/>
                <w:szCs w:val="18"/>
                <w:color w:val="auto"/>
                <w:w w:val="93"/>
              </w:rPr>
              <w:t>Average investment in vacation ownership notes receivable on non-</w:t>
            </w: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w w:val="93"/>
              </w:rPr>
              <w:t>accrual status during the twenty-four weeks ended June 14, 2013</w:t>
            </w:r>
          </w:p>
        </w:tc>
        <w:tc>
          <w:tcPr>
            <w:tcW w:w="13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580" w:type="dxa"/>
            <w:vAlign w:val="bottom"/>
          </w:tcPr>
          <w:p>
            <w:pPr>
              <w:spacing w:after="0"/>
              <w:rPr>
                <w:sz w:val="20"/>
                <w:szCs w:val="20"/>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040" w:type="dxa"/>
            <w:vAlign w:val="bottom"/>
          </w:tcPr>
          <w:p>
            <w:pPr>
              <w:spacing w:after="0"/>
              <w:rPr>
                <w:sz w:val="24"/>
                <w:szCs w:val="24"/>
                <w:color w:val="auto"/>
              </w:rPr>
            </w:pPr>
          </w:p>
        </w:tc>
        <w:tc>
          <w:tcPr>
            <w:tcW w:w="780" w:type="dxa"/>
            <w:vAlign w:val="bottom"/>
          </w:tcPr>
          <w:p>
            <w:pPr>
              <w:jc w:val="right"/>
              <w:ind w:right="43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June 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Non-Securitized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34"/>
              <w:spacing w:after="0"/>
              <w:rPr>
                <w:sz w:val="20"/>
                <w:szCs w:val="20"/>
                <w:color w:val="auto"/>
              </w:rPr>
            </w:pPr>
            <w:r>
              <w:rPr>
                <w:rFonts w:ascii="Arial" w:cs="Arial" w:eastAsia="Arial" w:hAnsi="Arial"/>
                <w:sz w:val="14"/>
                <w:szCs w:val="14"/>
                <w:b w:val="1"/>
                <w:bCs w:val="1"/>
                <w:color w:val="auto"/>
                <w:w w:val="90"/>
              </w:rPr>
              <w:t>Securitized</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44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4"/>
                <w:szCs w:val="14"/>
                <w:color w:val="auto"/>
              </w:rPr>
            </w:pPr>
          </w:p>
        </w:tc>
        <w:tc>
          <w:tcPr>
            <w:tcW w:w="132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Notes Receivable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Notes Receivable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31</w:t>
            </w:r>
          </w:p>
        </w:tc>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90 days past due</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91</w:t>
            </w:r>
          </w:p>
        </w:tc>
        <w:tc>
          <w:tcPr>
            <w:tcW w:w="5260" w:type="dxa"/>
            <w:vAlign w:val="bottom"/>
          </w:tcPr>
          <w:p>
            <w:pPr>
              <w:ind w:left="40"/>
              <w:spacing w:after="0"/>
              <w:rPr>
                <w:sz w:val="20"/>
                <w:szCs w:val="20"/>
                <w:color w:val="auto"/>
              </w:rPr>
            </w:pPr>
            <w:r>
              <w:rPr>
                <w:rFonts w:ascii="Arial" w:cs="Arial" w:eastAsia="Arial" w:hAnsi="Arial"/>
                <w:sz w:val="18"/>
                <w:szCs w:val="18"/>
                <w:color w:val="auto"/>
              </w:rPr>
              <w:t>– 150 days past due</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Total past due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Total vacation ownership notes receivable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4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4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January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34"/>
              <w:spacing w:after="0"/>
              <w:rPr>
                <w:sz w:val="20"/>
                <w:szCs w:val="20"/>
                <w:color w:val="auto"/>
              </w:rPr>
            </w:pPr>
            <w:r>
              <w:rPr>
                <w:rFonts w:ascii="Arial" w:cs="Arial" w:eastAsia="Arial" w:hAnsi="Arial"/>
                <w:sz w:val="14"/>
                <w:szCs w:val="14"/>
                <w:b w:val="1"/>
                <w:bCs w:val="1"/>
                <w:color w:val="auto"/>
                <w:w w:val="91"/>
              </w:rPr>
              <w:t>Non-Securitized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rPr>
              <w:t>Securitized</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4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8"/>
              </w:rPr>
              <w:t>Vacation Ownership</w:t>
            </w:r>
          </w:p>
        </w:tc>
        <w:tc>
          <w:tcPr>
            <w:tcW w:w="420" w:type="dxa"/>
            <w:vAlign w:val="bottom"/>
          </w:tcPr>
          <w:p>
            <w:pPr>
              <w:spacing w:after="0"/>
              <w:rPr>
                <w:sz w:val="12"/>
                <w:szCs w:val="12"/>
                <w:color w:val="auto"/>
              </w:rPr>
            </w:pPr>
          </w:p>
        </w:tc>
        <w:tc>
          <w:tcPr>
            <w:tcW w:w="14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8"/>
              </w:rPr>
              <w:t>Vacation Ownership</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1220" w:type="dxa"/>
            <w:vAlign w:val="bottom"/>
          </w:tcPr>
          <w:p>
            <w:pPr>
              <w:jc w:val="right"/>
              <w:ind w:right="94"/>
              <w:spacing w:after="0"/>
              <w:rPr>
                <w:sz w:val="20"/>
                <w:szCs w:val="20"/>
                <w:color w:val="auto"/>
              </w:rPr>
            </w:pPr>
            <w:r>
              <w:rPr>
                <w:rFonts w:ascii="Arial" w:cs="Arial" w:eastAsia="Arial" w:hAnsi="Arial"/>
                <w:sz w:val="14"/>
                <w:szCs w:val="14"/>
                <w:b w:val="1"/>
                <w:bCs w:val="1"/>
                <w:color w:val="auto"/>
                <w:w w:val="87"/>
              </w:rPr>
              <w:t>Notes Receivable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Notes Receivable</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31</w:t>
            </w:r>
          </w:p>
        </w:tc>
        <w:tc>
          <w:tcPr>
            <w:tcW w:w="5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90 days past due</w:t>
            </w:r>
          </w:p>
        </w:tc>
        <w:tc>
          <w:tcPr>
            <w:tcW w:w="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91</w:t>
            </w:r>
          </w:p>
        </w:tc>
        <w:tc>
          <w:tcPr>
            <w:tcW w:w="5340" w:type="dxa"/>
            <w:vAlign w:val="bottom"/>
          </w:tcPr>
          <w:p>
            <w:pPr>
              <w:ind w:left="40"/>
              <w:spacing w:after="0"/>
              <w:rPr>
                <w:sz w:val="20"/>
                <w:szCs w:val="20"/>
                <w:color w:val="auto"/>
              </w:rPr>
            </w:pPr>
            <w:r>
              <w:rPr>
                <w:rFonts w:ascii="Arial" w:cs="Arial" w:eastAsia="Arial" w:hAnsi="Arial"/>
                <w:sz w:val="18"/>
                <w:szCs w:val="18"/>
                <w:color w:val="auto"/>
              </w:rPr>
              <w:t>– 150 days past due</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Total past due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Total vacation ownership notes receivable</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420" w:type="dxa"/>
            <w:vAlign w:val="bottom"/>
          </w:tcPr>
          <w:p>
            <w:pPr>
              <w:spacing w:after="0"/>
              <w:rPr>
                <w:sz w:val="19"/>
                <w:szCs w:val="19"/>
                <w:color w:val="auto"/>
              </w:rPr>
            </w:pP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following table shows the carrying values and the estimated fair values of financial assets and liabilities that qualify as financial instruments, determined in accordance with the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Accounts payable and Accrued liabilities, which had fair values approximating their carrying amounts due to the short maturities and liquidity of these instruments.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At June 20, 2014</w:t>
            </w:r>
          </w:p>
        </w:tc>
        <w:tc>
          <w:tcPr>
            <w:tcW w:w="120" w:type="dxa"/>
            <w:vAlign w:val="bottom"/>
          </w:tcPr>
          <w:p>
            <w:pPr>
              <w:spacing w:after="0"/>
              <w:rPr>
                <w:sz w:val="14"/>
                <w:szCs w:val="14"/>
                <w:color w:val="auto"/>
              </w:rPr>
            </w:pPr>
          </w:p>
        </w:tc>
        <w:tc>
          <w:tcPr>
            <w:tcW w:w="20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At January 3,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94"/>
              <w:spacing w:after="0" w:line="119" w:lineRule="exact"/>
              <w:rPr>
                <w:sz w:val="20"/>
                <w:szCs w:val="20"/>
                <w:color w:val="auto"/>
              </w:rPr>
            </w:pPr>
            <w:r>
              <w:rPr>
                <w:rFonts w:ascii="Arial" w:cs="Arial" w:eastAsia="Arial" w:hAnsi="Arial"/>
                <w:sz w:val="13"/>
                <w:szCs w:val="13"/>
                <w:b w:val="1"/>
                <w:bCs w:val="1"/>
                <w:color w:val="auto"/>
              </w:rPr>
              <w:t>Fair</w:t>
            </w: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74"/>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(1)</w:t>
            </w:r>
          </w:p>
        </w:tc>
        <w:tc>
          <w:tcPr>
            <w:tcW w:w="12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Vacation ownership notes receivable — securitized</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Arial" w:cs="Arial" w:eastAsia="Arial" w:hAnsi="Arial"/>
                <w:sz w:val="18"/>
                <w:szCs w:val="18"/>
                <w:color w:val="auto"/>
              </w:rPr>
              <w:t>Vacation ownership notes receivable — non-securitized</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gridSpan w:val="3"/>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60" w:type="dxa"/>
            <w:vAlign w:val="bottom"/>
            <w:gridSpan w:val="4"/>
          </w:tcPr>
          <w:p>
            <w:pPr>
              <w:spacing w:after="0"/>
              <w:rPr>
                <w:sz w:val="20"/>
                <w:szCs w:val="20"/>
                <w:color w:val="auto"/>
              </w:rPr>
            </w:pPr>
            <w:r>
              <w:rPr>
                <w:rFonts w:ascii="Arial" w:cs="Arial" w:eastAsia="Arial" w:hAnsi="Arial"/>
                <w:sz w:val="18"/>
                <w:szCs w:val="18"/>
                <w:color w:val="auto"/>
                <w:w w:val="94"/>
              </w:rPr>
              <w:t>Non-recourse debt associated with vacation ownership notes receivable securitizations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debt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4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320" w:type="dxa"/>
            <w:vAlign w:val="bottom"/>
            <w:gridSpan w:val="2"/>
          </w:tcPr>
          <w:p>
            <w:pPr>
              <w:spacing w:after="0"/>
              <w:rPr>
                <w:sz w:val="20"/>
                <w:szCs w:val="20"/>
                <w:color w:val="auto"/>
              </w:rPr>
            </w:pPr>
            <w:r>
              <w:rPr>
                <w:rFonts w:ascii="Arial" w:cs="Arial" w:eastAsia="Arial" w:hAnsi="Arial"/>
                <w:sz w:val="15"/>
                <w:szCs w:val="15"/>
                <w:color w:val="auto"/>
              </w:rPr>
              <w:t>(1)</w:t>
            </w:r>
          </w:p>
        </w:tc>
        <w:tc>
          <w:tcPr>
            <w:tcW w:w="624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Fair value of financial instruments has been determined using Level 3 inputs.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40" w:type="dxa"/>
            <w:vAlign w:val="bottom"/>
            <w:gridSpan w:val="2"/>
          </w:tcPr>
          <w:p>
            <w:pPr>
              <w:jc w:val="right"/>
              <w:ind w:right="80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18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Europe or Asia.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 The following table shows the bifurcation of our non-securitized vacation ownership notes receivable into those eligible and not eligible for securitization based upon the aforementioned eligibility criteria:</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At June 20, 2014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ind w:left="200"/>
              <w:spacing w:after="0"/>
              <w:rPr>
                <w:sz w:val="20"/>
                <w:szCs w:val="20"/>
                <w:color w:val="auto"/>
              </w:rPr>
            </w:pPr>
            <w:r>
              <w:rPr>
                <w:rFonts w:ascii="Arial" w:cs="Arial" w:eastAsia="Arial" w:hAnsi="Arial"/>
                <w:sz w:val="14"/>
                <w:szCs w:val="14"/>
                <w:b w:val="1"/>
                <w:bCs w:val="1"/>
                <w:color w:val="auto"/>
              </w:rPr>
              <w:t>At January 3,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58"/>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18"/>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 eligible for securitization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Vacation ownership notes receivable — not eligible for securitization</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vacation ownership notes receivable — non-securitized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and loan terms.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Mandatorily Redeemable Preferred Stock of Consolidated Subsidiary</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for Marriott Rewards Customer Loyalty Program</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determine the carrying value of the future redemption obligation of our liability for the Marriott Rewards customer loyalty program based on statistical formulas that project the timing of future redemption of Marriott Rewards Points based on historical levels, including estimates of the number of Marriott Rewards Points that will eventually be redeemed and the “breakage” for points that will never be redeemed. We estimate the fair value of the future redemption obligation by adjusting the contractual discount rate to an estimate of that of a market participant with similar nonperformance risk.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estimate the fair value of our other liabilities that are financial instruments using expected future payments discounted at risk-adjusted rates. These liabilities represent guarantee costs and reserves and other structured payments. The carrying values of our financial instruments within Other liabilities approximate their fair values.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DISPOSITIONS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second quarter of 2014, in furtherance of our initiative to dispose of excess undeveloped and partially developed land, we completed the sale of a parcel of undeveloped land on Singer Island, Florida for gross cash proceeds of $11 million. We accounted for the sale under the full accrual method in accordance with the guidance on accounting for sales of real estate and recorded a gain of less than $1 million, which is included in the Gains and other income line on the Statement of Operations for the twenty-four weeks ended June 20, 2014.</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During the second quarter of 2014, we entered into a purchase and sale agreement to dispose of undeveloped and partially developed land, an operating golf course and related assets, in Kauai, Hawaii for $60 million in gross cash proceeds. The transaction contemplated by the purchase and sale agreement is subject to a number of closing conditions, and we cannot be certain that the transaction will be completed in a timely manner, or at all. If the transaction is completed as contemplated in the purchase and sale agreement, we will account for the sale under the full accrual method in accordance with the guidance on accounting for sales of real estate.</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During the first quarter of 2014, we disposed of a golf course and adjacent undeveloped land in Orlando, Florida for $24 million in gross cash proceeds. As a condition of the sale, we will continue to operate the golf course until the end of the first quarter of 2015 at our own risk. We will utilize the performance of services method to record a gain from the sale, which we estimate will be between $2 million to $3 million over the period during which we will operate the golf course, of which approximately $2 million is included in the Gains and other income line on the Statement of Operations for the twenty-four weeks ended June 20,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table below illustrates the reconciliation of the earnings and number of shares used in our calculation of basic and diluted earnings per share.</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Twelve Weeks Ended</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Twenty-Four Weeks Ended</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5000" w:type="dxa"/>
            <w:vAlign w:val="bottom"/>
          </w:tcPr>
          <w:p>
            <w:pPr>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0" w:type="dxa"/>
            <w:vAlign w:val="bottom"/>
          </w:tcPr>
          <w:p>
            <w:pPr>
              <w:spacing w:after="0"/>
              <w:rPr>
                <w:sz w:val="17"/>
                <w:szCs w:val="17"/>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June 20, 2014 </w:t>
            </w:r>
            <w:r>
              <w:rPr>
                <w:rFonts w:ascii="Arial" w:cs="Arial" w:eastAsia="Arial" w:hAnsi="Arial"/>
                <w:sz w:val="12"/>
                <w:szCs w:val="12"/>
                <w:b w:val="1"/>
                <w:bCs w:val="1"/>
                <w:color w:val="auto"/>
              </w:rPr>
              <w:t>(1)</w:t>
            </w:r>
          </w:p>
        </w:tc>
        <w:tc>
          <w:tcPr>
            <w:tcW w:w="220" w:type="dxa"/>
            <w:vAlign w:val="bottom"/>
          </w:tcPr>
          <w:p>
            <w:pPr>
              <w:spacing w:after="0"/>
              <w:rPr>
                <w:sz w:val="17"/>
                <w:szCs w:val="17"/>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 xml:space="preserve">June 14, 2013 </w:t>
            </w:r>
            <w:r>
              <w:rPr>
                <w:rFonts w:ascii="Arial" w:cs="Arial" w:eastAsia="Arial" w:hAnsi="Arial"/>
                <w:sz w:val="12"/>
                <w:szCs w:val="12"/>
                <w:b w:val="1"/>
                <w:bCs w:val="1"/>
                <w:color w:val="auto"/>
              </w:rPr>
              <w:t>(2)</w:t>
            </w:r>
          </w:p>
        </w:tc>
        <w:tc>
          <w:tcPr>
            <w:tcW w:w="14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 xml:space="preserve">June 20, 2014 </w:t>
            </w:r>
            <w:r>
              <w:rPr>
                <w:rFonts w:ascii="Arial" w:cs="Arial" w:eastAsia="Arial" w:hAnsi="Arial"/>
                <w:sz w:val="12"/>
                <w:szCs w:val="12"/>
                <w:b w:val="1"/>
                <w:bCs w:val="1"/>
                <w:color w:val="auto"/>
                <w:w w:val="98"/>
              </w:rPr>
              <w:t>(1)</w:t>
            </w: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 xml:space="preserve">June 14, 2013 </w:t>
            </w:r>
            <w:r>
              <w:rPr>
                <w:rFonts w:ascii="Arial" w:cs="Arial" w:eastAsia="Arial" w:hAnsi="Arial"/>
                <w:sz w:val="12"/>
                <w:szCs w:val="12"/>
                <w:b w:val="1"/>
                <w:bCs w:val="1"/>
                <w:color w:val="auto"/>
              </w:rPr>
              <w:t>(2)</w:t>
            </w: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Computation of Basic Earnings Per Share</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22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920" w:type="dxa"/>
            <w:vAlign w:val="bottom"/>
            <w:gridSpan w:val="2"/>
          </w:tcPr>
          <w:p>
            <w:pPr>
              <w:jc w:val="right"/>
              <w:ind w:right="51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35.3</w:t>
            </w:r>
          </w:p>
        </w:tc>
        <w:tc>
          <w:tcPr>
            <w:tcW w:w="100" w:type="dxa"/>
            <w:vAlign w:val="bottom"/>
            <w:shd w:val="clear" w:color="auto" w:fill="CCEEFF"/>
          </w:tcPr>
          <w:p>
            <w:pPr>
              <w:spacing w:after="0"/>
              <w:rPr>
                <w:sz w:val="18"/>
                <w:szCs w:val="18"/>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1.40</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Computation of Diluted Earnings Per Share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22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920" w:type="dxa"/>
            <w:vAlign w:val="bottom"/>
            <w:gridSpan w:val="2"/>
          </w:tcPr>
          <w:p>
            <w:pPr>
              <w:jc w:val="right"/>
              <w:ind w:right="51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35.3</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Employee stock options and SARs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720"/>
              <w:spacing w:after="0"/>
              <w:rPr>
                <w:sz w:val="20"/>
                <w:szCs w:val="20"/>
                <w:color w:val="auto"/>
              </w:rPr>
            </w:pPr>
            <w:r>
              <w:rPr>
                <w:rFonts w:ascii="Arial" w:cs="Arial" w:eastAsia="Arial" w:hAnsi="Arial"/>
                <w:sz w:val="18"/>
                <w:szCs w:val="18"/>
                <w:color w:val="auto"/>
              </w:rPr>
              <w:t>Restricted stock units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r>
      <w:tr>
        <w:trPr>
          <w:trHeight w:val="27"/>
        </w:trPr>
        <w:tc>
          <w:tcPr>
            <w:tcW w:w="5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Shares for diluted earnings per share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36.6</w:t>
            </w:r>
          </w:p>
        </w:tc>
        <w:tc>
          <w:tcPr>
            <w:tcW w:w="100" w:type="dxa"/>
            <w:vAlign w:val="bottom"/>
            <w:shd w:val="clear" w:color="auto" w:fill="CCEEFF"/>
          </w:tcPr>
          <w:p>
            <w:pPr>
              <w:spacing w:after="0"/>
              <w:rPr>
                <w:sz w:val="18"/>
                <w:szCs w:val="18"/>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1.35</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890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ind w:left="460" w:right="20" w:hanging="452"/>
        <w:spacing w:after="0" w:line="264"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computations of diluted earnings per share exclude approximately 228,000 shares of common stock, the maximum number of shares issuable as of June 20, 2014 upon the vesting of certain performance-based awards, because the performance conditions required for the shares subject to such awards to vest were not achieved by the end of the reporting period.</w:t>
      </w:r>
    </w:p>
    <w:p>
      <w:pPr>
        <w:spacing w:after="0" w:line="86" w:lineRule="exact"/>
        <w:rPr>
          <w:rFonts w:ascii="Arial" w:cs="Arial" w:eastAsia="Arial" w:hAnsi="Arial"/>
          <w:sz w:val="15"/>
          <w:szCs w:val="15"/>
          <w:color w:val="auto"/>
        </w:rPr>
      </w:pPr>
    </w:p>
    <w:p>
      <w:pPr>
        <w:ind w:left="460" w:right="20" w:hanging="452"/>
        <w:spacing w:after="0" w:line="264"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computations of diluted earnings per share exclude approximately 229,000 shares of common stock, the maximum number of shares issuable as of June 14, 2013 upon the vesting of certain performance-based awards, because the performance conditions required for the shares subject to such awards to vest were not achieved by the end of the reporting period.</w:t>
      </w:r>
    </w:p>
    <w:p>
      <w:pPr>
        <w:spacing w:after="0" w:line="181"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For the twelve and twenty-four week periods ended June 20, 2014 and June 14, 2013, we have not excluded any shares underlying stock options or stock appreciation rights (“SARs”) that may be settled in shares of common stock from our calculation of diluted earnings per share as no exercise prices were greater than the average market prices for the applicable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At June 20,</w:t>
            </w:r>
          </w:p>
        </w:tc>
        <w:tc>
          <w:tcPr>
            <w:tcW w:w="38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January 3,</w:t>
            </w:r>
          </w:p>
        </w:tc>
      </w:tr>
      <w:tr>
        <w:trPr>
          <w:trHeight w:val="171"/>
        </w:trPr>
        <w:tc>
          <w:tcPr>
            <w:tcW w:w="63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Finished goods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Work-in-progress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Land and infrastructure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334</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Pr>
          <w:p>
            <w:pPr>
              <w:ind w:left="540"/>
              <w:spacing w:after="0"/>
              <w:rPr>
                <w:sz w:val="20"/>
                <w:szCs w:val="20"/>
                <w:color w:val="auto"/>
              </w:rPr>
            </w:pPr>
            <w:r>
              <w:rPr>
                <w:rFonts w:ascii="Arial" w:cs="Arial" w:eastAsia="Arial" w:hAnsi="Arial"/>
                <w:sz w:val="18"/>
                <w:szCs w:val="18"/>
                <w:color w:val="auto"/>
              </w:rPr>
              <w:t>Real estate inventory</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820</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supplies and retail inventory</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826</w:t>
            </w:r>
          </w:p>
        </w:tc>
        <w:tc>
          <w:tcPr>
            <w:tcW w:w="380" w:type="dxa"/>
            <w:vAlign w:val="bottom"/>
          </w:tcPr>
          <w:p>
            <w:pPr>
              <w:spacing w:after="0"/>
              <w:rPr>
                <w:sz w:val="19"/>
                <w:szCs w:val="19"/>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890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ind w:left="460" w:right="340" w:hanging="452"/>
        <w:spacing w:after="0" w:line="258"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Represents completed inventory that is either registered for sale as vacation ownership interests, or unregistered and available for sale in its current form.</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sales centers to be converted into vacation ownership products to be sold in the future.</w:t>
      </w:r>
    </w:p>
    <w:p>
      <w:pPr>
        <w:spacing w:after="0" w:line="211" w:lineRule="exact"/>
        <w:rPr>
          <w:sz w:val="20"/>
          <w:szCs w:val="20"/>
          <w:color w:val="auto"/>
        </w:rPr>
      </w:pPr>
    </w:p>
    <w:p>
      <w:pPr>
        <w:ind w:right="700" w:firstLine="456"/>
        <w:spacing w:after="0" w:line="308" w:lineRule="auto"/>
        <w:rPr>
          <w:sz w:val="20"/>
          <w:szCs w:val="20"/>
          <w:color w:val="auto"/>
        </w:rPr>
      </w:pPr>
      <w:r>
        <w:rPr>
          <w:rFonts w:ascii="Arial" w:cs="Arial" w:eastAsia="Arial" w:hAnsi="Arial"/>
          <w:sz w:val="17"/>
          <w:szCs w:val="17"/>
          <w:color w:val="auto"/>
        </w:rPr>
        <w:t>We value vacation ownership and residential products at the lower of cost or fair market value less costs to sell, in accordance with applicable accounting guidance, and we record operating supplies at the lower of cost (using the first-in, first-out method) or market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historically issued guarantees to certain lenders in connection with the provision of third-party financing for our sale of vacation ownership products for the North America and Asia Pacific segments. The terms of these guarantees generally require us to fund if the purchaser fails to pay under the term of its note payable. Prior to the Spin-Off, Marriott International guaranteed our performance under these arrangements, and following the Spin-Off continues to hold a standby letter of credit related to the Asia Pacific segment guarantee. If Marriott International is required to fund any draws by lenders under this letter of credit it would seek recourse from us. Marriott International no longer guarantees our performance with respect to third-party financing for sales of products in the North America segment. We are entitled to recover any funding to third-party lenders related to these guarantees through reacquisition and resale of the financed vacation ownership product. Our commitments under these guarantees expire as notes mature or are repaid. The terms of the underlying notes extend to 2022.</w:t>
      </w:r>
    </w:p>
    <w:p>
      <w:pPr>
        <w:spacing w:after="0" w:line="19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following table shows the maximum potential amount of future fundings for financing guarantees where we are the primary obligor and the carrying amount of the liability for expected future fundings.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ind w:right="137"/>
              <w:spacing w:after="0"/>
              <w:rPr>
                <w:sz w:val="20"/>
                <w:szCs w:val="20"/>
                <w:color w:val="auto"/>
              </w:rPr>
            </w:pPr>
            <w:r>
              <w:rPr>
                <w:rFonts w:ascii="Arial" w:cs="Arial" w:eastAsia="Arial" w:hAnsi="Arial"/>
                <w:sz w:val="14"/>
                <w:szCs w:val="14"/>
                <w:b w:val="1"/>
                <w:bCs w:val="1"/>
                <w:color w:val="auto"/>
                <w:w w:val="95"/>
              </w:rPr>
              <w:t>Maximum Potential</w:t>
            </w:r>
          </w:p>
        </w:tc>
        <w:tc>
          <w:tcPr>
            <w:tcW w:w="320" w:type="dxa"/>
            <w:vAlign w:val="bottom"/>
          </w:tcPr>
          <w:p>
            <w:pPr>
              <w:spacing w:after="0"/>
              <w:rPr>
                <w:sz w:val="14"/>
                <w:szCs w:val="14"/>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Liability for Expected</w:t>
            </w:r>
          </w:p>
        </w:tc>
      </w:tr>
      <w:tr>
        <w:trPr>
          <w:trHeight w:val="149"/>
        </w:trPr>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Amount of Future Fundings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Future Fundings</w:t>
            </w:r>
          </w:p>
        </w:tc>
      </w:tr>
      <w:tr>
        <w:trPr>
          <w:trHeight w:val="171"/>
        </w:trPr>
        <w:tc>
          <w:tcPr>
            <w:tcW w:w="48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At June 20, 2014</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20, 2014</w:t>
            </w: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Asia Pacific</w:t>
            </w:r>
          </w:p>
        </w:tc>
        <w:tc>
          <w:tcPr>
            <w:tcW w:w="200" w:type="dxa"/>
            <w:vAlign w:val="bottom"/>
            <w:gridSpan w:val="2"/>
          </w:tcPr>
          <w:p>
            <w:pPr>
              <w:jc w:val="right"/>
              <w:ind w:right="59"/>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w:t>
            </w: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Total guarantees where we are the primary obligor</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0"/>
                <w:szCs w:val="10"/>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included our liability of less than $1 million for expected future fundings for guarantees on our Balance Sheet at June 20, 2014 in the Other caption within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the guarantees we describe in the preceding paragraphs, as of June 20, 2014, we had the following commitments outstanding:</w:t>
      </w:r>
    </w:p>
    <w:p>
      <w:pPr>
        <w:spacing w:after="0" w:line="142" w:lineRule="exact"/>
        <w:rPr>
          <w:sz w:val="20"/>
          <w:szCs w:val="20"/>
          <w:color w:val="auto"/>
        </w:rPr>
      </w:pPr>
    </w:p>
    <w:p>
      <w:pPr>
        <w:ind w:left="900" w:right="42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commitments under these contracts were $41 million, of which we expect $5 million, $13 million, $8 million, $6 million, $3 million and $6 million will be paid in 2014, 2015, 2016, 2017, 2018 and thereafter, respectively.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Commitments to subsidize vacation ownership associations were $4 million, which we expect will be paid in 2014.</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Surety bonds issued as of June 20, 2014 totaled $76 million, the majority of which were requested by federal, state or local governments related to our operations.</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As of June 20, 2014, we had $3 million of letters of credit outstanding under our $200 million revolving credit facility (the “Revolving Corporate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2012, we agreed to settle two lawsuits in which certain of our subsidiaries were defendants. The plaintiffs in the lawsuits, residential unit owners at The Ritz-Carlton Club and Residences, San Francisco (the “RCC San Francisco”), a project within our North America segment, questioned the adequacy of disclosures made prior to 2008, when our business was part of Marriott International, regarding bonds issued for that project under California’s Mello-Roos Community Facilities Act of 1982 (the “Mello-Roos Act”) and their payment obligations with respect to such bonds. In 2013, we agreed to settle a third lawsuit in which another residential unit owner at the RCC San Francisco had asserted similar claims. As a result of these settlements, in 2013 we reversed $1 million of the $41 million previously recognized expense recorded in 2012 in connection with these matters.</w:t>
      </w:r>
    </w:p>
    <w:p>
      <w:pPr>
        <w:spacing w:after="0" w:line="17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December 21, 2012, Jon Benner, an owner of fractional interests in the RCC San Francisco, filed suit in Superior Court for the State of California, County of San Francisco against us and certain of our subsidiaries on behalf of a putative class consisting of all owners of fractional interests at the RCC San Francisco who allegedly did not receive proper notice of their payment obligations under the Mello-Roos Act. The plaintiff alleges that the disclosures made about bonds issued for the project under this Act and the payment obligations of fractional interest purchasers with respect to such bonds were inadequate, and this and other alleged statutory violations constitute intentional and negligent misrepresentation, fraud and fraudulent concealment. The relief sought includes damages in an unspecified amount, rescission of the purchases, restitution and disgorgement of profits. Thomas Wanless and Matthew Jenner, owners of another fractional interest at the RCC San Francisco, filed a complaint in San Francisco Superior Court on October 15, 2013, that contains similar allegations and seeks similar relief. The Wanless complaint has been consolidated with the Benner action and with a similar action previously filed by fractional interest owner Elisabeth Gani. These three lawsuits are distinct from the other lawsuits described above relating to the RCC San Francisco because the disclosure process for the sale of fractional interests differs from that applicable to the sale of whole-ownership units. We dispute the material allegations in these complaints and intend to defend against these actions vigorously. Given the early stages of these actions and the inherent uncertainties of litigation, we cannot estimate a range of the potential liability, if any, at this time.</w:t>
      </w:r>
    </w:p>
    <w:p>
      <w:pPr>
        <w:spacing w:after="0" w:line="169"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On December 11, 2012, Steven B. Hoyt and Bradley A. Hoyt, purchasers of fractional interests in two of The Ritz-Carlton Destination Club projects, filed suit in the United States District Court for the District of Minnesota against us, certain of our subsidiaries and The Ritz-Carlton Hotel Company on behalf of a putative class consisting of all purchasers of fractional interests at The Ritz-Carlton Destination Club projects. The plaintiffs allege that program changes beginning in 2009 caused an actionable decrease in the value of the fractional interests purchased. The relief sought includes declaratory and injunctive relief, damages in an unspecified amount, rescission of the purchases, restitution, disgorgement of profits, interest and attorneys’ fees. In response to our motion to dismiss the original complaint, plaintiffs filed an amended complaint. In response, we filed a renewed motion to dismiss. On February 7, 2014, the court issued an order granting that motion in part and denying it in part. We continue to dispute the material allegations remaining in the amended complaint and intend to continue to defend against this action vigorously. Given the early stages of the action and the inherent uncertainties of litigation, we cannot estimate a range of the potential liability, if any, at this time.</w:t>
      </w:r>
    </w:p>
    <w:p>
      <w:pPr>
        <w:spacing w:after="0" w:line="18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January 30, 2013, Krishna and Sherrie Narayan and other owners of 12 residential units at the resort formerly known as The Ritz-Carlton Residences, Kapalua Bay (“Kapalua Bay”) were granted leave by the Court to file, and subsequently did file, an amended complaint related to a suit originally filed in Circuit Court for Maui County, Hawaii in June 2012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dispute the material allegations in the amended complaint and continue to defend against this action vigorously. On August 23, 2013, the Hawaii Intermediate Court of Appeals reversed the Maui Circuit Court’s denial of our motion to compel arbitration of the claims asserted by plaintiffs. The Circuit Court subsequently granted our renewed motion to compel arbitration and referred the matter to arbitration. The Hawaii Supreme Court thereafter agreed to review the decision of the Intermediate Court of Appeals and heard oral argument in the case on April 3, 2014, but as of July 15, 2014 has taken no action to affirm or reverse that decision. Given the inherent uncertainties of litigation, we cannot estimate a range of the potential liability, if any, at this time. In the second quarter of 2014, we recorded a nominal charge as a result of the agreement by owners of two residential units to release their claims in this action.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fourth quarter of 2013, we reached an agreement with several parties involved in Kapalua Bay, including the foreclosure purchasers of the unsold interests in the project, other entities that have equity investments in the Joint Venture, the Kapalua Bay Association, and the Kapalua Bay Vacation Owners Association (the fractional owners’ association), to mutually settle pending and threatened claims relating to the project (the “Kapalua Bay Settlement”). In connection with the Kapalua Bay Settlement, owners of 132 of the 177 developer-sold fractional interests (including owners of two fractional interests who were plaintiffs in the Charles action described below) provided full releases to us and other parties associated with the project. In addition, one residential owner provided a full release to us and other parties associated with the project. As a result, we recorded a charge of $8 million in 2013, which was partially offset by $7 million of income recorded for partial repayment of our previously fully reserved receivables due from the Joint Venture. Both were included in Impairment charges on equity investment on the consolidated statement of operations for the year ended January 3, 2014.</w:t>
      </w:r>
    </w:p>
    <w:p>
      <w:pPr>
        <w:spacing w:after="0" w:line="166"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On June 19, 2013, Earl C. and Patricia A. Charles, owners of a fractional interest at Kapalua Bay, together with owners of 38 other fractional interests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amended complaint supersedes a prior complaint that was not served on any defendant.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granted our motion to compel arbitration of the claims asserted by the plaintiffs, and the parties are currently engaged in arbitration. We dispute the material allegations in the amended complaint and in the statement of claim filed in the arbitration, and intend to defend against this action vigorously. Given the early stages of the action and the inherent uncertainties of litigation and arbitration, we cannot estimate a range of the potential liability, if any, at this time. Additionally, owners of two fractional interests have since agreed to release their claims in this action in connection with the Kapalua Bay Settlement described above.</w:t>
      </w:r>
    </w:p>
    <w:p>
      <w:pPr>
        <w:spacing w:after="0" w:line="18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June 28, 2013, owners of 35 residences and lots at The Abaco Club on Winding Bay (“The Abaco Club”) filed a complaint in Orange County, Florida Circuit Court against us, one of our subsidiaries, certain subsidiaries of Marriott International and the resort’s owners’ association, alleging that the defendants failed to maintain the golf course, golf clubhouse, roads, water supply system, and other facilities and equipment in a manner commensurate with a five-star luxury resort, and certain deficiencies in the quality of services provided at the resort. Plaintiffs also allege that the defendants failed to honor an obligation to extend a right of first offer to club owners in connection with plans to sell the club property. Plaintiffs allege statutory and common law claims for breach of contract, breach of fiduciary duty, and fraud and seek compensatory and punitive damages. We have filed a motion to dismiss the complaint. We dispute the material allegations in this complaint and intend to defend against this action vigorously. In April 2014, this action was abated for a period of up to five months after we entered into a non-binding letter of intent to sell the golf course, spa and clubhouse and related facilities and certain developed and undeveloped lots at The Abaco Club to an entity to be comprised of certain members of The Abaco Club, including certain of the plaintiffs, and others. Although we cannot be certain that the sale will occur, if we complete a sale on terms contemplated by the letter of intent, we could incur a non-cash loss of up to $25 million, and all claims asserted against us in this matter would be dismissed with prejudice.</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On March 27, 2014, Salvatore DeSantis, an owner of a one-week vacation ownership interest at Marriott’s Harbour Lake, a project within our North America segment, filed a complaint in Orange County, Florida, Circuit Court against us and certain of our subsidiaries on behalf of himself and a putative class consisting of all owners of weeks-based Marriott Vacation Club vacation ownership interests on June 20, 2010, the date of the launch of our North America points-based program, Marriott Vacation Club Destinations </w:t>
      </w:r>
      <w:r>
        <w:rPr>
          <w:rFonts w:ascii="Arial" w:cs="Arial" w:eastAsia="Arial" w:hAnsi="Arial"/>
          <w:sz w:val="14"/>
          <w:szCs w:val="14"/>
          <w:color w:val="auto"/>
        </w:rPr>
        <w:t>TM</w:t>
      </w:r>
      <w:r>
        <w:rPr>
          <w:rFonts w:ascii="Arial" w:cs="Arial" w:eastAsia="Arial" w:hAnsi="Arial"/>
          <w:sz w:val="17"/>
          <w:szCs w:val="17"/>
          <w:color w:val="auto"/>
        </w:rPr>
        <w:t xml:space="preserve"> (“MVCD”). The plaintiff alleges that the introduction of the MVCD program caused an actionable decrease in the value of his vacation ownership interest. The relief sought includes compensatory and exemplary damages, restitution, injunctive relief, interest and attorneys’ fees pursuant to the Florida Unfair and Deceptive Trade Practices Act and common-law theories of breach of contract and breach of an implied covenant of good faith and fair dealing. We removed the matter to the United States District Court for the Middle District of Florida. On May 30, 2014, we filed a motion to dismiss. In response, plaintiffs filed an amended complaint, to which our response is due on July 31, 2014. We dispute the material allegations in this complaint and intend to defend against this action vigorously. Given the early stages of the action and the inherent uncertainties of litigation, we cannot estimate a range of the potential liability, if any, at this time.</w:t>
      </w:r>
    </w:p>
    <w:p>
      <w:pPr>
        <w:spacing w:after="0" w:line="17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On May 20, 2014, we received notices of intent to initiate litigation or arbitration from two owners of weeks-based Marriott Vacation Club vacation ownership products at two of our resorts in Hawaii, two owners of such products at one of our resorts in California, and one owner of such products at one of our resorts in Massachusetts. The claimants, all of whom are represented by a single law firm, make allegations similar to those alleged by Mr. DeSantis discussed above that the introduction of the MVCD program caused an actionable decrease in the value of their vacation ownership interests. The claimants state that, if a satisfactory resolution of their concerns cannot be achieved, they will pursue their claims through litigation or arbitration, each on behalf of a putative class consisting of themselves and all others similarly situated. The notices indicated that the relief that would be sought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would include compensatory and exemplary damages, restitution, injunctive relief, interest and attorneys’ fees pursuant to applicable timeshare and unfair trade practices acts and common-law theories of breach of contract and breach of an implied covenant of good faith and fair dealing. We dispute the material allegations in these notices and, if litigation or arbitration proceedings were commenced, we would defend against them vigorously. Given that these threatened claims are not yet the subject of pending litigation or arbitration, we cannot estimate a range of the potential liability, if any, at this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We estimate the cash outflow associated with completing the phases of our existing portfolio of vacation ownership projects currently under development will be approximately $24 million, of which $10 million is included within liabilities on our Balance Sheet at June 20, 2014. This estimate is based on our current development plans, which remain subject to change, and we expect the phases currently under development will be completed by 2017.</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second quarter of 2014, we agreed to settle a dispute with a service provider relating to services provided to us prior to 2011. In connection with the settlement, we received a one-time payment of $8 million after the end of the second quarter from the service provider, which no longer provides services to us. We recorded a gain of $8 million as a result of the settlement, which is included in the Litigation settlement line on the Statement of Operations for the twelve weeks ended June 20,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 on our debt balances: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4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At June 20, 2014</w:t>
            </w:r>
          </w:p>
        </w:tc>
        <w:tc>
          <w:tcPr>
            <w:tcW w:w="42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January 3, 2014</w:t>
            </w:r>
          </w:p>
        </w:tc>
      </w:tr>
      <w:tr>
        <w:trPr>
          <w:trHeight w:val="182"/>
        </w:trPr>
        <w:tc>
          <w:tcPr>
            <w:tcW w:w="7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Vacation ownership notes receivable securitizations, interest rates ranging from 2.2% to 7.2%</w:t>
            </w:r>
          </w:p>
        </w:tc>
        <w:tc>
          <w:tcPr>
            <w:tcW w:w="4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(weighted average interest rate of 3.5%) </w:t>
            </w:r>
            <w:r>
              <w:rPr>
                <w:rFonts w:ascii="Arial" w:cs="Arial" w:eastAsia="Arial" w:hAnsi="Arial"/>
                <w:sz w:val="15"/>
                <w:szCs w:val="15"/>
                <w:color w:val="auto"/>
              </w:rPr>
              <w:t>(1)</w:t>
            </w:r>
          </w:p>
        </w:tc>
        <w:tc>
          <w:tcPr>
            <w:tcW w:w="4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0"/>
                <w:szCs w:val="20"/>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74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890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Interest rates are as of June 20, 2014.</w:t>
      </w:r>
    </w:p>
    <w:p>
      <w:pPr>
        <w:spacing w:after="0" w:line="22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See Footnote No. 13, “Variable Interest Entities,” for a discussion of the collateral for the non-recourse debt associated with the securitized vacation ownership notes receivable and our non-recourse warehouse credit facility (the “Warehouse Credit Facility”). All of our other debt was, and to the extent currently outstanding is, recourse to us but unsecured. The Warehouse Credit Facility currently terminates on September 5, 2015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We generally expect to securitize our vacation ownership notes receivable, including any vacation ownership notes receivable held in the Warehouse Credit Facility, in the ABS market once a year.</w:t>
      </w:r>
    </w:p>
    <w:p>
      <w:pPr>
        <w:spacing w:after="0" w:line="17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During the second quarter of 2014, we completed the securitization of a pool of $24 million of primarily highly-seasoned vacation ownership notes receivable that we had previously classified as not being eligible for securitization (the “Loans”). In connection with the securitization, investors purchased in a private placement $23 million in vacation ownership loan backed notes from the Kyuka Owner Trust 2014-A (the “2014-A Trust”) with a per annum interest rate of 6.25 percent in a private placement. We received gross cash proceeds of $23 million, before transaction expenses and required reserves. In addition, we received a subordinated residual interest in the 2014-A Trust through which we expect to realize the remaining value of the Loans over time. Of the $23 million, less than $1 million was used to pay transaction expenses and fund required reserves. The remainder will be used for general corporate purposes. We accounted for the securitization as a secured borrowing and therefore did not recognize a gain or loss as a result of this transaction. The Loans had previously been classified as not being eligible for securitization using criteria applicable to then current securitization transactions in the ABS market because they did not meet certain representation criteria required in such securitizations, or because of other factors that may have reflected investor demand in a securitization transaction.</w:t>
      </w:r>
    </w:p>
    <w:p>
      <w:pPr>
        <w:spacing w:after="0" w:line="17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Although no cash borrowings were outstanding as of June 20, 2014 under our Revolving Corporate Credit Facility, any amounts that are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most of our entities that are organized in the U.S.), in each case including inventory, subject to certain exceptions.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scheduled future principal payments for our debt:</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Vacation</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2"/>
                <w:szCs w:val="12"/>
                <w:color w:val="auto"/>
              </w:rPr>
            </w:pPr>
          </w:p>
        </w:tc>
        <w:tc>
          <w:tcPr>
            <w:tcW w:w="104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3"/>
              </w:rPr>
              <w:t>Ownership</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0" w:type="dxa"/>
            <w:vAlign w:val="bottom"/>
            <w:vMerge w:val="continue"/>
          </w:tcPr>
          <w:p>
            <w:pPr>
              <w:spacing w:after="0"/>
              <w:rPr>
                <w:sz w:val="12"/>
                <w:szCs w:val="12"/>
                <w:color w:val="auto"/>
              </w:rPr>
            </w:pPr>
          </w:p>
        </w:tc>
        <w:tc>
          <w:tcPr>
            <w:tcW w:w="12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Notes Receivable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9"/>
              </w:rPr>
              <w:t>Other Debt</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Arial" w:cs="Arial" w:eastAsia="Arial" w:hAnsi="Arial"/>
                <w:sz w:val="14"/>
                <w:szCs w:val="14"/>
                <w:b w:val="1"/>
                <w:bCs w:val="1"/>
                <w:color w:val="auto"/>
              </w:rPr>
              <w:t>Debt Principal Payments Year</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 xml:space="preserve">Securitizations </w:t>
            </w:r>
            <w:r>
              <w:rPr>
                <w:rFonts w:ascii="Arial" w:cs="Arial" w:eastAsia="Arial" w:hAnsi="Arial"/>
                <w:sz w:val="12"/>
                <w:szCs w:val="12"/>
                <w:color w:val="auto"/>
                <w:w w:val="93"/>
              </w:rPr>
              <w:t>(1)</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194</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Balance at June 20, 2014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890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The debt associated with our vacation ownership notes receivable securitizations is non-recourse to us.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4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paid cash for interest, net of amounts capitalized, of $14 million in the twenty-four weeks ended June 20, 2014 and $17 million in the twenty-four weeks ended June 14,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Associated with Vacation Ownership Notes Receivable Securitizations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twenty-four weeks ended June 20, 2014, and as of June 20, 2014, no pools failed to perform within the established parameters. As of June 20, 2014, we had 7 securitized vacation ownership notes receivable pools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MANDATORILY REDEEMABLE PREFERRED STOCK OF CONSOLIDATED SUBSIDIARY</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October 2011, our subsidiary, MVW US Holdings, Inc. (“MVW US Holdings”) issued $40 million of its mandatorily redeemable Series A (non-voting) preferred stock to Marriott International as part of Marriott International’s internal reorganization prior to the Spin-Off. Subsequently Marriott International sold all of this preferred stock to third-party investors. For the first five years after issuance, the Series A preferred stock will pay an annual cash dividend equal to the five-year U.S. Treasury Rate as of October 19, 2011, plus a spread of 10.958 percent, for a total annual cash dividend rate of 12 percent. On the fifth anniversary of issuance, if we do not elect to redeem the preferred stock,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(i.e., beginning in October 2016) at par. The Series A preferred stock has an aggregate liquidation preference of $40 million plus any accrued and unpaid dividends and an additional premium if liquidation occurs during the first five years after the issuance of the preferred stock. As of June 20, 2014,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Marriott Vacations Worldwide has 100,000,000 authorized shares of common stock, par value of $.01 per share. At June 20, 2014, there were 35,878,433 shares of Marriott Vacations Worldwide common stock issued, of which 33,703,209 shares were outstanding and 2,175,224 shares were held as treasury stock. At January 3, 2014, there were 35,637,765 shares of Marriott Vacations Worldwide common stock issued, of which 35,132,742 shares were outstanding and 505,023 shares were held as treasury stock.</w:t>
      </w:r>
    </w:p>
    <w:p>
      <w:pPr>
        <w:spacing w:after="0" w:line="187"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Marriott Vacations Worldwide has 2,000,000 authorized shares of preferred stock, par value of $.01 per share, none of which were issued or outstanding as of June 20, 2014 or January 3, 2014.</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changes in shareholders’ equity during the twenty-four weeks ended June 20, 2014:</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2"/>
                <w:szCs w:val="12"/>
                <w:color w:val="auto"/>
              </w:rPr>
            </w:pPr>
          </w:p>
        </w:tc>
        <w:tc>
          <w:tcPr>
            <w:tcW w:w="76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8"/>
              </w:rPr>
              <w:t>Retained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20" w:type="dxa"/>
            <w:vAlign w:val="bottom"/>
            <w:gridSpan w:val="3"/>
            <w:vMerge w:val="continue"/>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Paid-In Capital</w:t>
            </w:r>
          </w:p>
        </w:tc>
        <w:tc>
          <w:tcPr>
            <w:tcW w:w="200" w:type="dxa"/>
            <w:vAlign w:val="bottom"/>
          </w:tcPr>
          <w:p>
            <w:pPr>
              <w:spacing w:after="0"/>
              <w:rPr>
                <w:sz w:val="14"/>
                <w:szCs w:val="14"/>
                <w:color w:val="auto"/>
              </w:rPr>
            </w:pPr>
          </w:p>
        </w:tc>
        <w:tc>
          <w:tcPr>
            <w:tcW w:w="76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Earnings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3, 2014</w:t>
            </w:r>
          </w:p>
        </w:tc>
        <w:tc>
          <w:tcPr>
            <w:tcW w:w="38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Amounts related to share-based compensation</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Adjustment to reclassification of Marriott International</w:t>
            </w: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investment to Additional paid-in capital</w:t>
            </w:r>
            <w:r>
              <w:rPr>
                <w:rFonts w:ascii="Arial" w:cs="Arial" w:eastAsia="Arial" w:hAnsi="Arial"/>
                <w:sz w:val="15"/>
                <w:szCs w:val="15"/>
                <w:color w:val="auto"/>
              </w:rPr>
              <w:t>(1)</w:t>
            </w:r>
          </w:p>
        </w:tc>
        <w:tc>
          <w:tcPr>
            <w:tcW w:w="3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Balance at June 20, 2014</w:t>
            </w: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890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7"/>
          <w:szCs w:val="17"/>
          <w:color w:val="auto"/>
        </w:rPr>
        <w:t>Consists of an adjustment to Deferred tax liabilities for changes in the valuation of Marriott Vacations Worldwide at the time of the Spin-Off.</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On October 8, 2013, our Board of Directors authorized a share repurchase program under which we may purchase up to 3,500,000 shares of our common stock prior to March 28, 2015.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plans pursuant to the provisions of Rule 10b5-1 under the Securities Exchange Act of 1934, as amended.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stock repurchase activity under our current stock repurchase program for the twenty-four weeks ended June 20, 2014:</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Cost of</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r>
      <w:tr>
        <w:trPr>
          <w:trHeight w:val="149"/>
        </w:trPr>
        <w:tc>
          <w:tcPr>
            <w:tcW w:w="5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Price Paid</w:t>
            </w:r>
          </w:p>
        </w:tc>
      </w:tr>
      <w:tr>
        <w:trPr>
          <w:trHeight w:val="171"/>
        </w:trPr>
        <w:tc>
          <w:tcPr>
            <w:tcW w:w="5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Repurchased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per Share</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January 3, 2014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505,023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center"/>
              <w:ind w:left="499"/>
              <w:spacing w:after="0"/>
              <w:rPr>
                <w:sz w:val="20"/>
                <w:szCs w:val="20"/>
                <w:color w:val="auto"/>
              </w:rPr>
            </w:pPr>
            <w:r>
              <w:rPr>
                <w:rFonts w:ascii="Arial" w:cs="Arial" w:eastAsia="Arial" w:hAnsi="Arial"/>
                <w:sz w:val="18"/>
                <w:szCs w:val="18"/>
                <w:color w:val="auto"/>
                <w:w w:val="89"/>
              </w:rPr>
              <w:t>26</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For the twenty-four weeks ended June 20, 2014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1,670,201</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99"/>
              <w:spacing w:after="0"/>
              <w:rPr>
                <w:sz w:val="20"/>
                <w:szCs w:val="20"/>
                <w:color w:val="auto"/>
              </w:rPr>
            </w:pPr>
            <w:r>
              <w:rPr>
                <w:rFonts w:ascii="Arial" w:cs="Arial" w:eastAsia="Arial" w:hAnsi="Arial"/>
                <w:sz w:val="18"/>
                <w:szCs w:val="18"/>
                <w:color w:val="auto"/>
                <w:w w:val="89"/>
              </w:rPr>
              <w:t>89</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Pr>
          <w:p>
            <w:pPr>
              <w:spacing w:after="0"/>
              <w:rPr>
                <w:sz w:val="19"/>
                <w:szCs w:val="19"/>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As of June 20, 2014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2,175,224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539"/>
              <w:spacing w:after="0"/>
              <w:rPr>
                <w:sz w:val="20"/>
                <w:szCs w:val="20"/>
                <w:color w:val="auto"/>
              </w:rPr>
            </w:pPr>
            <w:r>
              <w:rPr>
                <w:rFonts w:ascii="Arial" w:cs="Arial" w:eastAsia="Arial" w:hAnsi="Arial"/>
                <w:sz w:val="18"/>
                <w:szCs w:val="18"/>
                <w:color w:val="auto"/>
                <w:w w:val="86"/>
              </w:rPr>
              <w:t>115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100" w:type="dxa"/>
            <w:vAlign w:val="bottom"/>
            <w:shd w:val="clear" w:color="auto" w:fill="CCEEFF"/>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20, 2014, approximately 1.3 million shares remained available for repurchase under the authorization approved by our Board of Directors.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 total of 6 million shares were authorized for issuance under the Marriott Vacations Worldwide Corporation Stock and Cash Incentive Plan (the “Marriott Vacations Worldwide Stock Plan”). As of June 20, 2014, approximately 2 million shares were available for grants under the Marriott Vacations Worldwide Stock Plan.</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For share-based awards with service-only vesting conditions, we measure compensation expense related to share-based payment transactions with our employees and non-employee directors at fair value on the grant date. With respect to our employees, we recognize this expense on the Statements of Operations over the vesting period during which the employees provide service in exchange for the award; with respect to non-employee directors, we recognize this expense on the grant date. For share-based arrangements with performance vesting conditions, we recognize compensation expense once it is probable that the corresponding performance condition will be achieved.</w:t>
      </w:r>
    </w:p>
    <w:p>
      <w:pPr>
        <w:spacing w:after="0" w:line="18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recorded share-based compensation expense related to award grants to our officers, directors and employees of $4 million for each of the twelve weeks ended June 20, 2014 and June 14, 2013, and $6 million for each of the twenty-four weeks ended June 20, 2014 and June 14, 2013. Our deferred compensation liability related to unvested awards held by our employees totaled $19 million and $13 million at June 20, 2014 and January 3, 2014,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granted 163,091 RSUs, exclusive of RSUs with performance vesting conditions, to our employees and non-employee directors during the twenty-four weeks ended June 20, 2014. RSUs issued to our employees generally vest over four years in annual installments commencing one year after the date of grant. RSUs issued to our non-employee directors vest on the date of grant. RSUs granted during the twenty-four weeks ended June 20, 2014 had a weighted average grant-date fair value of $52.49.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twenty-four weeks ended June 20, 2014, we granted RSUs with performance vesting conditions to members of management. The number of RSUs earned, if any, will be determined following the end of a three-year performance period based upon our cumulative achievement over that period of specific quantitative operating financial measures. The maximum number of RSUs that may be earned under the RSUs with performance-based vesting criteria granted during the twenty-four weeks ended June 20, 2014 is approximately 62,000.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 (“SARs”)</w:t>
      </w:r>
    </w:p>
    <w:p>
      <w:pPr>
        <w:spacing w:after="0" w:line="22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We granted 57,906 SARs to members of management during the twenty-four weeks ended June 20, 2014. These SARs had a weighted average grant-date fair value of $27.98 and an exercise price of $52.09. SARs generally expire ten years after the date of grant and both vest and may be exercised in cumulative installments of one quarter of the grant at the end of each of the first four years following the date of grant.</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use the Black-Scholes model to estimate the fair value of the SARs granted. For SARs granted under the Marriott Vacations Worldwide Stock Plan during the twenty-four weeks ended June 20, 2014, the expected stock price volatility was calculated based on the historical volatility from the stock prices of a group of identified peer companies. The average expected life was calculated using the simplified method. The risk-free interest rate was calculated based on U.S. Treasury zero-coupon issues with a remaining term equal to the expected life assumed at the date of grant. The expected annual dividend per share was $0 based on our expected dividend rate.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outlines the assumptions used to estimate the fair value of grants during the twenty-four weeks ended June 20, 2014:</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Dividend yield</w:t>
            </w:r>
          </w:p>
        </w:tc>
        <w:tc>
          <w:tcPr>
            <w:tcW w:w="33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300" w:type="dxa"/>
            <w:vAlign w:val="bottom"/>
          </w:tcPr>
          <w:p>
            <w:pPr>
              <w:jc w:val="right"/>
              <w:ind w:right="130"/>
              <w:spacing w:after="0"/>
              <w:rPr>
                <w:sz w:val="20"/>
                <w:szCs w:val="20"/>
                <w:color w:val="auto"/>
              </w:rPr>
            </w:pPr>
            <w:r>
              <w:rPr>
                <w:rFonts w:ascii="Arial" w:cs="Arial" w:eastAsia="Arial" w:hAnsi="Arial"/>
                <w:sz w:val="18"/>
                <w:szCs w:val="18"/>
                <w:color w:val="auto"/>
              </w:rPr>
              <w:t>6.25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VARIABLE INTEREST ENTITIES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loans to third parties. In a vacation ownership notes receivable securitization, various classes of debt securities issued by the special purpose entities are generally collateralized by a single tranche of transferred assets, which consist of vacation ownership notes receivable. We service the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on our Balance Sheet at June 20, 2014:</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Vacation</w:t>
            </w:r>
          </w:p>
        </w:tc>
        <w:tc>
          <w:tcPr>
            <w:tcW w:w="260" w:type="dxa"/>
            <w:vAlign w:val="bottom"/>
          </w:tcPr>
          <w:p>
            <w:pPr>
              <w:spacing w:after="0"/>
              <w:rPr>
                <w:sz w:val="14"/>
                <w:szCs w:val="14"/>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Warehouse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Ownership</w:t>
            </w:r>
          </w:p>
        </w:tc>
        <w:tc>
          <w:tcPr>
            <w:tcW w:w="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8"/>
              </w:rPr>
              <w:t>Credit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Securitizations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Facility</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Assets</w:t>
            </w: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Vacation ownership notes receivable, net of reserves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621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5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566</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twelve weeks ended June 20, 2014:</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Vacation</w:t>
            </w:r>
          </w:p>
        </w:tc>
        <w:tc>
          <w:tcPr>
            <w:tcW w:w="11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Warehouse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Ownership</w:t>
            </w:r>
          </w:p>
        </w:tc>
        <w:tc>
          <w:tcPr>
            <w:tcW w:w="11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8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Credit</w:t>
            </w:r>
          </w:p>
        </w:tc>
        <w:tc>
          <w:tcPr>
            <w:tcW w:w="20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Securitizations</w:t>
            </w:r>
          </w:p>
        </w:tc>
        <w:tc>
          <w:tcPr>
            <w:tcW w:w="180" w:type="dxa"/>
            <w:vAlign w:val="bottom"/>
          </w:tcPr>
          <w:p>
            <w:pPr>
              <w:spacing w:after="0"/>
              <w:rPr>
                <w:sz w:val="14"/>
                <w:szCs w:val="1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Facility</w:t>
            </w: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twenty-four weeks ended June 20, 2014:</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Vacation</w:t>
            </w:r>
          </w:p>
        </w:tc>
        <w:tc>
          <w:tcPr>
            <w:tcW w:w="11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Warehouse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Ownership</w:t>
            </w:r>
          </w:p>
        </w:tc>
        <w:tc>
          <w:tcPr>
            <w:tcW w:w="11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3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Notes Receivable</w:t>
            </w:r>
          </w:p>
        </w:tc>
        <w:tc>
          <w:tcPr>
            <w:tcW w:w="18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Credit</w:t>
            </w:r>
          </w:p>
        </w:tc>
        <w:tc>
          <w:tcPr>
            <w:tcW w:w="20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0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Securitizations</w:t>
            </w:r>
          </w:p>
        </w:tc>
        <w:tc>
          <w:tcPr>
            <w:tcW w:w="180" w:type="dxa"/>
            <w:vAlign w:val="bottom"/>
          </w:tcPr>
          <w:p>
            <w:pPr>
              <w:spacing w:after="0"/>
              <w:rPr>
                <w:sz w:val="14"/>
                <w:szCs w:val="1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Facility</w:t>
            </w: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 during the twenty-four weeks ended June 20, 2014 and June 14, 2013:</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Twenty-Four Weeks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7"/>
                <w:szCs w:val="17"/>
                <w:color w:val="auto"/>
              </w:rPr>
            </w:pPr>
          </w:p>
        </w:tc>
        <w:tc>
          <w:tcPr>
            <w:tcW w:w="10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June 20, 2014</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June 14,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Net proceeds from vacation ownership notes receivable securitization</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Interest receipts</w:t>
            </w:r>
          </w:p>
        </w:tc>
        <w:tc>
          <w:tcPr>
            <w:tcW w:w="14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Reserve release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5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153</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Outflows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Principal to investors</w:t>
            </w:r>
          </w:p>
        </w:tc>
        <w:tc>
          <w:tcPr>
            <w:tcW w:w="14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Voluntary clean-up call</w:t>
            </w:r>
          </w:p>
        </w:tc>
        <w:tc>
          <w:tcPr>
            <w:tcW w:w="14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Interest to investors</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5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(142)</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jc w:val="right"/>
              <w:ind w:right="2270"/>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9" w:right="5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cash flows between us and the Warehouse Credit Facility variable interest entity during the twenty-four weeks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20, 2014 and June 14, 2013:</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Twenty-Four Weeks Ended</w:t>
            </w:r>
          </w:p>
        </w:tc>
        <w:tc>
          <w:tcPr>
            <w:tcW w:w="100" w:type="dxa"/>
            <w:vAlign w:val="bottom"/>
          </w:tcPr>
          <w:p>
            <w:pPr>
              <w:spacing w:after="0"/>
              <w:rPr>
                <w:sz w:val="14"/>
                <w:szCs w:val="14"/>
                <w:color w:val="auto"/>
              </w:rPr>
            </w:pPr>
          </w:p>
        </w:tc>
      </w:tr>
      <w:tr>
        <w:trPr>
          <w:trHeight w:val="196"/>
        </w:trPr>
        <w:tc>
          <w:tcPr>
            <w:tcW w:w="77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7"/>
                <w:szCs w:val="17"/>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June 20, 2014</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June 14, 2013</w:t>
            </w: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proceeds from vacation ownership notes receivable securitization</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Interest receipts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16"/>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b w:val="1"/>
                <w:bCs w:val="1"/>
                <w:color w:val="auto"/>
              </w:rPr>
              <w:t>Cash Outflows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Principal to investors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Interest to investors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16"/>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b w:val="1"/>
                <w:bCs w:val="1"/>
                <w:color w:val="auto"/>
              </w:rPr>
              <w:t>Net Cash Flows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Our maximum exposure to loss relating to the entities that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an equity investment in the Joint Venture, a variable interest entity that previously developed and marketed vacation ownership and residential products in Hawaii. We concluded that the Joint Venture is a variable interest entity because the equity investment at risk is not sufficient to permit it to finance its activities without additional support from other venture parties. We determined that we are not the primary beneficiary of the Joint Venture, as power to direct the activities that most significantly impact its economic performance is shared among the variable interest holders and, therefore, we do not consolidate the Joint Venture. In 2009, we fully impaired our equity investment in the Joint Venture and in certain notes receivable due from the Joint Venture. In 2010, the continued application of equity losses to our investment in the remaining outstanding notes receivable balance reduced its carrying value to zero. In addition, the Joint Venture was unable to pay promissory notes that matured on December 31, 2010 and August 1, 2011. Subsequently, the lenders issued a notice of default to the Joint Venture. The lenders initiated foreclosure proceedings with respect to unsold interests in the project. A foreclosure auction was held and, on January 31, 2013, a bid was accepted and confirmed. The sale was completed, and on June 13, 2013, we received $7 million of cash as a partial repayment of our previously fully reserved receivables due from the Joint Venture. As a result of the Kapalua Bay Settlement discussed in Footnote No. 8, “Contingencies and Commitments,” the Joint Venture’s obligations with respect to the remaining receivables were terminated.</w:t>
      </w:r>
    </w:p>
    <w:p>
      <w:pPr>
        <w:spacing w:after="0" w:line="17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gave notice of breach or termination of various agreements, including management agreements with the owners’ associations at the project, marketing and sales agreements with the Joint Venture, and other agreements pursuant to which we provided services to the Joint Venture and, as we were unable to reach agreement with the owners’ associations with respect to our continued provision of services, termination of these agreements was effective on December 31, 2012. During the first quarter of 2014, we recorded a $2 million charge to increase our accrual for remaining costs that were expected to be incurred relating to our interests in the Joint Venture. During the second quarter of 2014, we reversed the $2 million charge. At June 20, 2014, we have an accrual of $8 million for potential future funding obligations, representing our remaining expected exposure to loss related to our involvement with the Joint Venture exclusive of any future costs that may be incurred pursuant to outstanding litigation matters, including those discussed in Footnote No. 8, “Contingencies and Commitments.”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ORGANIZATIONAL AND SEPARATION RELATED CHARGES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Subsequent to the Spin-Off, Marriott International continued to provide us with certain information technology, payroll, human resources and other administrative services pursuant to transition services agreements, most of which we had ceased using as of the end of 2013. In connection with our continued organizational and separation related activities, we have incurred certain expenses to complete our separation from Marriott International. These costs primarily relate to establishing our own information technology systems and services, independent payroll and accounts payable functions and reorganizing existing human resources, information technology and related finance and accounting organizations to support our stand-alone public company needs. We expect these efforts to be substantially completed in 2014. Organizational and separation related charges as reflected on our Statements 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Operations were $1 million and $2 million for the twelve weeks ended June 20, 2014 and June 14, 2013, respectively, and $2 million and $3 million for the twenty-four weeks ended June 20, 2014 and June 14, 2013, respectively. In addition, less than $1 million and $2 million of additional separation related charges were capitalized to Property and equipment on our Balance Sheets during the twenty-four weeks ended June 20, 2014 and June 14, 2013,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29" w:lineRule="exact"/>
        <w:rPr>
          <w:sz w:val="20"/>
          <w:szCs w:val="20"/>
          <w:color w:val="auto"/>
        </w:rPr>
      </w:pPr>
    </w:p>
    <w:p>
      <w:pPr>
        <w:ind w:left="900" w:right="100" w:hanging="446"/>
        <w:spacing w:after="0" w:line="31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our North America segment, we develop, market, sell and manage vacation ownership and related products under the Marriott Vacation Club and Grand Residences by Marriott brands. We also develop, market and sell vacation ownership and related products under The Ritz-Carlton Destination Club brand, as well as whole ownership residential products under The Ritz-Carlton Residences brand.</w:t>
      </w:r>
    </w:p>
    <w:p>
      <w:pPr>
        <w:spacing w:after="0" w:line="52" w:lineRule="exact"/>
        <w:rPr>
          <w:rFonts w:ascii="Arial" w:cs="Arial" w:eastAsia="Arial" w:hAnsi="Arial"/>
          <w:sz w:val="16"/>
          <w:szCs w:val="16"/>
          <w:color w:val="auto"/>
        </w:rPr>
      </w:pPr>
    </w:p>
    <w:p>
      <w:pPr>
        <w:ind w:left="900" w:right="280" w:hanging="446"/>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our Europe segment, we develop, market, sell and manage vacation ownership products in several locations in Europe. We are focusing on selling our existing projects and managing existing resorts. We do not have any current plans for new development in this segment.</w:t>
      </w:r>
    </w:p>
    <w:p>
      <w:pPr>
        <w:spacing w:after="0" w:line="29" w:lineRule="exact"/>
        <w:rPr>
          <w:rFonts w:ascii="Arial" w:cs="Arial" w:eastAsia="Arial" w:hAnsi="Arial"/>
          <w:sz w:val="16"/>
          <w:szCs w:val="16"/>
          <w:color w:val="auto"/>
        </w:rPr>
      </w:pPr>
    </w:p>
    <w:p>
      <w:pPr>
        <w:ind w:left="900" w:hanging="446"/>
        <w:spacing w:after="0" w:line="308"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our Asia Pacific segment, we develop, market, sell and manage the Marriott Vacation Club, Asia Pacific, a right-to-use points program that we specifically designed to appeal to the vacation preferences of the Asian market, as well as a weeks-based right-to-use product.</w:t>
      </w:r>
    </w:p>
    <w:p>
      <w:pPr>
        <w:spacing w:after="0" w:line="14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equity in earnings or losses, and other gains or losses that are not allocable to our segments.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Twenty-Four Weeks Ended</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55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20, 2014</w:t>
            </w:r>
          </w:p>
        </w:tc>
        <w:tc>
          <w:tcPr>
            <w:tcW w:w="1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14, 2013</w:t>
            </w:r>
            <w:r>
              <w:rPr>
                <w:rFonts w:ascii="Arial" w:cs="Arial" w:eastAsia="Arial" w:hAnsi="Arial"/>
                <w:sz w:val="12"/>
                <w:szCs w:val="12"/>
                <w:b w:val="1"/>
                <w:bCs w:val="1"/>
                <w:color w:val="auto"/>
                <w:w w:val="96"/>
              </w:rPr>
              <w:t>(1)</w:t>
            </w:r>
          </w:p>
        </w:tc>
        <w:tc>
          <w:tcPr>
            <w:tcW w:w="1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June 20, 2014</w:t>
            </w:r>
            <w:r>
              <w:rPr>
                <w:rFonts w:ascii="Arial" w:cs="Arial" w:eastAsia="Arial" w:hAnsi="Arial"/>
                <w:sz w:val="12"/>
                <w:szCs w:val="12"/>
                <w:b w:val="1"/>
                <w:bCs w:val="1"/>
                <w:color w:val="auto"/>
                <w:w w:val="98"/>
              </w:rPr>
              <w:t>(1)</w:t>
            </w:r>
          </w:p>
        </w:tc>
        <w:tc>
          <w:tcPr>
            <w:tcW w:w="18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14, 2013</w:t>
            </w:r>
            <w:r>
              <w:rPr>
                <w:rFonts w:ascii="Arial" w:cs="Arial" w:eastAsia="Arial" w:hAnsi="Arial"/>
                <w:sz w:val="12"/>
                <w:szCs w:val="12"/>
                <w:b w:val="1"/>
                <w:bCs w:val="1"/>
                <w:color w:val="auto"/>
              </w:rPr>
              <w:t>(1)</w:t>
            </w: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363</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729</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23"/>
        </w:trPr>
        <w:tc>
          <w:tcPr>
            <w:tcW w:w="5500" w:type="dxa"/>
            <w:vAlign w:val="bottom"/>
          </w:tcPr>
          <w:p>
            <w:pPr>
              <w:ind w:left="540"/>
              <w:spacing w:after="0"/>
              <w:rPr>
                <w:sz w:val="20"/>
                <w:szCs w:val="20"/>
                <w:color w:val="auto"/>
              </w:rPr>
            </w:pPr>
            <w:r>
              <w:rPr>
                <w:rFonts w:ascii="Arial" w:cs="Arial" w:eastAsia="Arial" w:hAnsi="Arial"/>
                <w:sz w:val="18"/>
                <w:szCs w:val="18"/>
                <w:color w:val="auto"/>
              </w:rPr>
              <w:t>Total segment revenues</w:t>
            </w:r>
          </w:p>
        </w:tc>
        <w:tc>
          <w:tcPr>
            <w:tcW w:w="3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812</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811</w:t>
            </w:r>
          </w:p>
        </w:tc>
        <w:tc>
          <w:tcPr>
            <w:tcW w:w="100" w:type="dxa"/>
            <w:vAlign w:val="bottom"/>
          </w:tcPr>
          <w:p>
            <w:pPr>
              <w:spacing w:after="0"/>
              <w:rPr>
                <w:sz w:val="19"/>
                <w:szCs w:val="19"/>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812</w:t>
            </w:r>
          </w:p>
        </w:tc>
        <w:tc>
          <w:tcPr>
            <w:tcW w:w="1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811</w:t>
            </w: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890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ind w:left="580" w:right="60" w:hanging="572"/>
        <w:spacing w:after="0" w:line="259" w:lineRule="auto"/>
        <w:tabs>
          <w:tab w:leader="none" w:pos="580" w:val="left"/>
        </w:tabs>
        <w:numPr>
          <w:ilvl w:val="0"/>
          <w:numId w:val="12"/>
        </w:numPr>
        <w:rPr>
          <w:rFonts w:ascii="Arial" w:cs="Arial" w:eastAsia="Arial" w:hAnsi="Arial"/>
          <w:sz w:val="15"/>
          <w:szCs w:val="15"/>
          <w:color w:val="auto"/>
        </w:rPr>
      </w:pPr>
      <w:r>
        <w:rPr>
          <w:rFonts w:ascii="Arial" w:cs="Arial" w:eastAsia="Arial" w:hAnsi="Arial"/>
          <w:sz w:val="18"/>
          <w:szCs w:val="18"/>
          <w:color w:val="auto"/>
        </w:rPr>
        <w:t>Europe and Asia Pacific segment revenues have been restated to correct certain immaterial prior period errors. For the twenty-four weeks ended June 20, 2014, $1 million of cost reimbursements related to the twelve weeks ended March 28, 2014 were reclassified from the Asia Pacific segment to the Europe segment. For the twelve and twenty-four weeks ended June 14, 2013, $2 million and $3 million of cost reimbursements were reclassified from the Asia Pacific segment to the Europe segment,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w w:val="94"/>
              </w:rPr>
              <w:t>Twenty-Four Weeks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980" w:type="dxa"/>
            <w:vAlign w:val="bottom"/>
          </w:tcPr>
          <w:p>
            <w:pPr>
              <w:spacing w:after="0"/>
              <w:rPr>
                <w:sz w:val="17"/>
                <w:szCs w:val="17"/>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June 20, 2014</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June 14, 2013</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June 20, 2014</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June 14, 2013</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Europe</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9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540"/>
              <w:spacing w:after="0"/>
              <w:rPr>
                <w:sz w:val="20"/>
                <w:szCs w:val="20"/>
                <w:color w:val="auto"/>
              </w:rPr>
            </w:pPr>
            <w:r>
              <w:rPr>
                <w:rFonts w:ascii="Arial" w:cs="Arial" w:eastAsia="Arial" w:hAnsi="Arial"/>
                <w:sz w:val="18"/>
                <w:szCs w:val="18"/>
                <w:color w:val="auto"/>
              </w:rPr>
              <w:t>Total segment financial results</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980" w:type="dxa"/>
            <w:vAlign w:val="bottom"/>
            <w:vMerge w:val="restart"/>
          </w:tcPr>
          <w:p>
            <w:pPr>
              <w:jc w:val="right"/>
              <w:ind w:right="510"/>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w:t>
      </w:r>
    </w:p>
    <w:p>
      <w:pPr>
        <w:spacing w:after="0" w:line="122"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1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920" w:type="dxa"/>
            <w:vAlign w:val="bottom"/>
            <w:gridSpan w:val="3"/>
          </w:tcPr>
          <w:p>
            <w:pPr>
              <w:jc w:val="right"/>
              <w:spacing w:after="0"/>
              <w:rPr>
                <w:sz w:val="20"/>
                <w:szCs w:val="20"/>
                <w:color w:val="auto"/>
              </w:rPr>
            </w:pPr>
            <w:r>
              <w:rPr>
                <w:rFonts w:ascii="Arial" w:cs="Arial" w:eastAsia="Arial" w:hAnsi="Arial"/>
                <w:sz w:val="14"/>
                <w:szCs w:val="14"/>
                <w:b w:val="1"/>
                <w:bCs w:val="1"/>
                <w:color w:val="auto"/>
              </w:rPr>
              <w:t>At June 20, 2014</w:t>
            </w:r>
          </w:p>
        </w:tc>
        <w:tc>
          <w:tcPr>
            <w:tcW w:w="1640" w:type="dxa"/>
            <w:vAlign w:val="bottom"/>
            <w:gridSpan w:val="4"/>
          </w:tcPr>
          <w:p>
            <w:pPr>
              <w:ind w:left="360"/>
              <w:spacing w:after="0"/>
              <w:rPr>
                <w:sz w:val="20"/>
                <w:szCs w:val="20"/>
                <w:color w:val="auto"/>
              </w:rPr>
            </w:pPr>
            <w:r>
              <w:rPr>
                <w:rFonts w:ascii="Arial" w:cs="Arial" w:eastAsia="Arial" w:hAnsi="Arial"/>
                <w:sz w:val="14"/>
                <w:szCs w:val="14"/>
                <w:b w:val="1"/>
                <w:bCs w:val="1"/>
                <w:color w:val="auto"/>
              </w:rPr>
              <w:t>At January 3, 2014</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1,996</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Europe</w:t>
            </w: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9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540"/>
              <w:spacing w:after="0"/>
              <w:rPr>
                <w:sz w:val="20"/>
                <w:szCs w:val="20"/>
                <w:color w:val="auto"/>
              </w:rPr>
            </w:pPr>
            <w:r>
              <w:rPr>
                <w:rFonts w:ascii="Arial" w:cs="Arial" w:eastAsia="Arial" w:hAnsi="Arial"/>
                <w:sz w:val="18"/>
                <w:szCs w:val="18"/>
                <w:color w:val="auto"/>
              </w:rPr>
              <w:t>Total segment assets</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2,180</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9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230</w:t>
            </w:r>
          </w:p>
        </w:tc>
        <w:tc>
          <w:tcPr>
            <w:tcW w:w="3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2,410</w:t>
            </w:r>
          </w:p>
        </w:tc>
        <w:tc>
          <w:tcPr>
            <w:tcW w:w="360" w:type="dxa"/>
            <w:vAlign w:val="bottom"/>
          </w:tcPr>
          <w:p>
            <w:pPr>
              <w:spacing w:after="0"/>
              <w:rPr>
                <w:sz w:val="19"/>
                <w:szCs w:val="19"/>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900" w:type="dxa"/>
            <w:vAlign w:val="bottom"/>
            <w:vMerge w:val="restart"/>
          </w:tcPr>
          <w:p>
            <w:pPr>
              <w:jc w:val="right"/>
              <w:ind w:right="1519"/>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189"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risk factors discussed in “Risk Factors” in our most recent Annual Report on Form 10-K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8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Operations as our “Statements of Operations,”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section of this Quarterly Report on Form 10-Q.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November 21, 2011, Marriott International, Inc. (“Marriott International”) completed the spin-off of its vacation ownership division (the “Spin-Off”). As a result of the Spin-Off, we are an independent public company, and our common stock is listed on the New York Stock Exchange under the symbol “VAC.” Following the Spin-Off, we and Marriott International have operated independently, and neither company has any ownership interest in the other.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and Separation Related Efforts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Subsequent to the Spin-Off, Marriott International continued to provide us with certain information technology, payroll, human resources and other administrative services pursuant to transition services agreements, most of which we had ceased using as of the end of 2013. In connection with our continued organizational and separation related activities, we have incurred certain expenses to complete our separation from Marriott International. These costs primarily relate to establishing our own information technology systems and services, independent payroll and accounts payable functions and reorganizing existing human resources, information technology, and related finance and accounting organizations to support our stand-alone public company needs. We expect these efforts to be substantially completed in 2014.</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Organizational and separation related charges as reflected on our Statements of Operations, were $1 million and $2 million for the twelve weeks ended June 20, 2014 and June 14, 2013, respectively, and $2 million and $3 million for the twenty-four weeks ended June 20, 2014 and June 14, 2013, respectively. In addition, less than $1 million and $2 million of additional separation related charges were capitalized to Property and equipment on our Balance Sheets during the twenty-four weeks ended June 20, 2014 and June 14, 2013, respectively.</w:t>
      </w:r>
    </w:p>
    <w:p>
      <w:pPr>
        <w:spacing w:after="0" w:line="187"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We expect to incur an additional $4 million to $6 million in connection with these organizational and separation related efforts in 2014, of which we expect approximately $3 million to be capitalized and amortized over the useful lives of the related assets. Once completed, we expect these efforts will generate approximately $15 million to $20 million of annualized savings. In addition to the $10 million of annualized savings achieved through the end of 2013, $2 million of incremental savings are reflected in our financial results for the twenty-four weeks ended June 20, 2014.</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a subsidiary of Marriott International, generally provides on-site management for Ritz-Carlton branded properties. We are one of the world’s largest companies whose business is focused almost entirely on vacation ownership, based on number of owners, number of resorts and revenues.</w:t>
      </w:r>
    </w:p>
    <w:p>
      <w:pPr>
        <w:spacing w:after="0" w:line="19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business is grouped into three reportable segments: North America, Europe and Asia Pacific. As of June 20, 2014, we operated 62 properties in the United States and nine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significant accounting policies used in our business that will be used in describing our results of operations.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 revenues from the sale of vacation ownership products when all of the following conditions exist:</w:t>
      </w:r>
    </w:p>
    <w:p>
      <w:pPr>
        <w:spacing w:after="0" w:line="13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binding sales contract has been executed;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statutory rescission period has expired;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receivable is deemed collectible;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remainder of our obligations are substantially completed.</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generally within one to two years from the date of issuance. Sales incentives are only awarded if the sale is closed.</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As a result of the down 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166"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from vacation ownership purchases as a reduction of revenues from the sale of vacation ownership products at the time we recognize revenues from a sale.</w:t>
      </w:r>
    </w:p>
    <w:p>
      <w:pPr>
        <w:spacing w:after="0" w:line="181"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We report, on a supplemental basis, contract sales for each of our three segments. Contract sales represent the total amount of vacation ownership product sales under purchase agreements signed during the period where we have received a down payment of at least ten percent of the contract price, reduced by actual rescissions during the period. Contract sales differ from revenues from the sale of vacation ownership products that we report on our Statements of Operations due to the requirements for revenue recognition described above. We consider contract sales to be an important operating measure because it reflects the pace of sales in our business. We calculate volume per guest (“VPG”) by dividing contract sales, excluding fractional and residential sales, telesales and other sales that are not attributed to a tour at a sales location, by the number of tours in a given period. We believe that this operating metric is valuable in evaluating the effectiveness of our sales process as it combines the impact of average contract price with the number of touring guests who make a purchase.</w:t>
      </w:r>
    </w:p>
    <w:p>
      <w:pPr>
        <w:spacing w:after="0" w:line="179"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on our Statements of Operations to true-up revenues and costs in that period to those that would have been recorded historically if the revised estimates had been used. These true-ups, which we refer to as product cost true-ups, will have a positive or negative impact on our Statements of Operations.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22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resorts. We also receive annual fees, club dues and certain transaction-based fees from owners and other third parties, including our external exchange company, for services we provide.</w:t>
      </w:r>
    </w:p>
    <w:p>
      <w:pPr>
        <w:spacing w:after="0" w:line="147"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We provide day-to-day management services, including housekeeping services, operation of reservation systems, maintenance, and certain accounting and administrative services for property owners’ associations. We receive compensation for these management services; this compensation is generally based on either a percentage of total costs to operate the resorts or a fixed fee arrangement. We earn these fees regardless of usage or occupancy.</w:t>
      </w:r>
    </w:p>
    <w:p>
      <w:pPr>
        <w:spacing w:after="0" w:line="147"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Resort management and other services expenses include costs to operate the food and beverage and other ancillary operations and overall customer support services, including reservations, and certain transaction based expenses relating to our external exchange company.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34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Twenty-Four Weeks Ended</w:t>
            </w:r>
          </w:p>
        </w:tc>
      </w:tr>
      <w:tr>
        <w:trPr>
          <w:trHeight w:val="142"/>
        </w:trPr>
        <w:tc>
          <w:tcPr>
            <w:tcW w:w="5240" w:type="dxa"/>
            <w:vAlign w:val="bottom"/>
          </w:tcPr>
          <w:p>
            <w:pPr>
              <w:spacing w:after="0"/>
              <w:rPr>
                <w:sz w:val="12"/>
                <w:szCs w:val="12"/>
                <w:color w:val="auto"/>
              </w:rPr>
            </w:pPr>
          </w:p>
        </w:tc>
        <w:tc>
          <w:tcPr>
            <w:tcW w:w="18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2"/>
              </w:rPr>
              <w:t>June 20, 2014</w:t>
            </w: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June 14, 2013</w:t>
            </w: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FICO score</w:t>
            </w:r>
          </w:p>
        </w:tc>
        <w:tc>
          <w:tcPr>
            <w:tcW w:w="1580" w:type="dxa"/>
            <w:vAlign w:val="bottom"/>
            <w:tcBorders>
              <w:top w:val="single" w:sz="8" w:color="auto"/>
            </w:tcBorders>
            <w:shd w:val="clear" w:color="auto" w:fill="CCEEFF"/>
          </w:tcPr>
          <w:p>
            <w:pPr>
              <w:jc w:val="right"/>
              <w:ind w:right="582"/>
              <w:spacing w:after="0"/>
              <w:rPr>
                <w:sz w:val="20"/>
                <w:szCs w:val="20"/>
                <w:color w:val="auto"/>
              </w:rPr>
            </w:pPr>
            <w:r>
              <w:rPr>
                <w:rFonts w:ascii="Arial" w:cs="Arial" w:eastAsia="Arial" w:hAnsi="Arial"/>
                <w:sz w:val="18"/>
                <w:szCs w:val="18"/>
                <w:color w:val="auto"/>
              </w:rPr>
              <w:t>732</w:t>
            </w:r>
          </w:p>
        </w:tc>
        <w:tc>
          <w:tcPr>
            <w:tcW w:w="2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rPr>
              <w:t>733</w:t>
            </w: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Statements of Operations.</w:t>
      </w:r>
    </w:p>
    <w:p>
      <w:pPr>
        <w:spacing w:after="0" w:line="18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Due to weakened economic conditions and our elimination of financing incentive programs, the percentage of customers choosing to finance their vacation ownership purchase with us (which we refer to as “financing propensity”) declined significantly through 2009 and has stabilized since then. As a result, we expect that interest income will continue to decline in the near term until new originations outpace the decline in principal of the existing vacation ownership notes receivable portfolio.</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the event of a default, we generally have the right to foreclose on or revoke the mortgaged vacation ownership interest. We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on our Statements of Operations. Historical default rates, which represent defaults as a percentage of each year’s beginning gross vacation ownership notes receivable balance, were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33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Twenty-Four Weeks Ended</w:t>
            </w:r>
          </w:p>
        </w:tc>
      </w:tr>
      <w:tr>
        <w:trPr>
          <w:trHeight w:val="142"/>
        </w:trPr>
        <w:tc>
          <w:tcPr>
            <w:tcW w:w="5300" w:type="dxa"/>
            <w:vAlign w:val="bottom"/>
          </w:tcPr>
          <w:p>
            <w:pPr>
              <w:spacing w:after="0"/>
              <w:rPr>
                <w:sz w:val="12"/>
                <w:szCs w:val="12"/>
                <w:color w:val="auto"/>
              </w:rPr>
            </w:pPr>
          </w:p>
        </w:tc>
        <w:tc>
          <w:tcPr>
            <w:tcW w:w="18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2"/>
              </w:rPr>
              <w:t>June 20, 2014</w:t>
            </w: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June 14, 2013</w:t>
            </w: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Historical default rates</w:t>
            </w:r>
          </w:p>
        </w:tc>
        <w:tc>
          <w:tcPr>
            <w:tcW w:w="1560" w:type="dxa"/>
            <w:vAlign w:val="bottom"/>
            <w:tcBorders>
              <w:top w:val="single" w:sz="8" w:color="auto"/>
            </w:tcBorders>
            <w:shd w:val="clear" w:color="auto" w:fill="CCEEFF"/>
          </w:tcPr>
          <w:p>
            <w:pPr>
              <w:jc w:val="right"/>
              <w:ind w:right="522"/>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obtain rental inventory from:</w:t>
      </w:r>
    </w:p>
    <w:p>
      <w:pPr>
        <w:spacing w:after="0" w:line="13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Unsold inventory; and</w:t>
      </w:r>
    </w:p>
    <w:p>
      <w:pPr>
        <w:spacing w:after="0" w:line="130" w:lineRule="exact"/>
        <w:rPr>
          <w:rFonts w:ascii="Arial" w:cs="Arial" w:eastAsia="Arial" w:hAnsi="Arial"/>
          <w:sz w:val="18"/>
          <w:szCs w:val="18"/>
          <w:color w:val="auto"/>
        </w:rPr>
      </w:pPr>
    </w:p>
    <w:p>
      <w:pPr>
        <w:ind w:left="5620" w:right="1380" w:hanging="5045"/>
        <w:spacing w:after="0" w:line="449" w:lineRule="auto"/>
        <w:tabs>
          <w:tab w:leader="none" w:pos="8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Inventory we control because owners have elected alternative usage options offered through our vacation ownership programs. 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Rental revenues are primarily the revenues we earn from renting this inventory. We also recognize rental revenue from the utilization of plus points under the Marriott Vacation Club Destinations </w:t>
      </w:r>
      <w:r>
        <w:rPr>
          <w:rFonts w:ascii="Arial" w:cs="Arial" w:eastAsia="Arial" w:hAnsi="Arial"/>
          <w:sz w:val="15"/>
          <w:szCs w:val="15"/>
          <w:color w:val="auto"/>
        </w:rPr>
        <w:t>TM</w:t>
      </w:r>
      <w:r>
        <w:rPr>
          <w:rFonts w:ascii="Arial" w:cs="Arial" w:eastAsia="Arial" w:hAnsi="Arial"/>
          <w:sz w:val="18"/>
          <w:szCs w:val="18"/>
          <w:color w:val="auto"/>
        </w:rPr>
        <w:t xml:space="preserve"> (“MVCD”) program when those points are redeemed for rental stays at one of our resorts or upon expiration of the points.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Rental expenses include:</w:t>
      </w:r>
    </w:p>
    <w:p>
      <w:pPr>
        <w:spacing w:after="0" w:line="13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to provide alternate usage options, including Marriott Rewards Points and offerings available as part of the Explorer Collection, for owners who elect to exchange their inventory;</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Subsidy payments to property owners’ associations at resorts that are in the early phases of construction where maintenance fees collected from the owners are not sufficient to support operating costs of the resort;</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the MVCD program.</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also record other revenues and expenses which are primarily comprised of settlement fees and expenses from the sale of vacation ownership products.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Reimbursements</w:t>
      </w:r>
    </w:p>
    <w:p>
      <w:pPr>
        <w:spacing w:after="0" w:line="225"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Cost reimbursements include direct and indirect costs that property owners’ associations reimburse to us. In accordance with the accounting guidance for “gross versus net” presentation, we record these revenues and expenses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Consumer Financing Interest</w:t>
      </w:r>
    </w:p>
    <w:p>
      <w:pPr>
        <w:spacing w:after="0" w:line="225"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Consumer financing interest expense represents interest expense associated with the debt from our non-recourse warehouse credit facility (the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Items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25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VPG.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Rounding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changes presented in our public filings are calculated using whole dollars.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twelve and twenty-four weeks ended June 20, 2014 compared to the twelve and twenty-four weeks ended June 14,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Twelve Weeks Ended</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w w:val="92"/>
              </w:rPr>
              <w:t>Twenty-Four Weeks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4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1180" w:type="dxa"/>
            <w:vAlign w:val="bottom"/>
            <w:gridSpan w:val="5"/>
          </w:tcPr>
          <w:p>
            <w:pPr>
              <w:ind w:left="80"/>
              <w:spacing w:after="0"/>
              <w:rPr>
                <w:sz w:val="20"/>
                <w:szCs w:val="20"/>
                <w:color w:val="auto"/>
              </w:rPr>
            </w:pPr>
            <w:r>
              <w:rPr>
                <w:rFonts w:ascii="Arial" w:cs="Arial" w:eastAsia="Arial" w:hAnsi="Arial"/>
                <w:sz w:val="14"/>
                <w:szCs w:val="14"/>
                <w:b w:val="1"/>
                <w:bCs w:val="1"/>
                <w:color w:val="auto"/>
              </w:rPr>
              <w:t>June 20, 2014</w:t>
            </w:r>
          </w:p>
        </w:tc>
        <w:tc>
          <w:tcPr>
            <w:tcW w:w="1180" w:type="dxa"/>
            <w:vAlign w:val="bottom"/>
            <w:gridSpan w:val="5"/>
          </w:tcPr>
          <w:p>
            <w:pPr>
              <w:ind w:left="80"/>
              <w:spacing w:after="0"/>
              <w:rPr>
                <w:sz w:val="20"/>
                <w:szCs w:val="20"/>
                <w:color w:val="auto"/>
              </w:rPr>
            </w:pPr>
            <w:r>
              <w:rPr>
                <w:rFonts w:ascii="Arial" w:cs="Arial" w:eastAsia="Arial" w:hAnsi="Arial"/>
                <w:sz w:val="14"/>
                <w:szCs w:val="14"/>
                <w:b w:val="1"/>
                <w:bCs w:val="1"/>
                <w:color w:val="auto"/>
              </w:rPr>
              <w:t>June 14, 2013</w:t>
            </w:r>
          </w:p>
        </w:tc>
        <w:tc>
          <w:tcPr>
            <w:tcW w:w="11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6"/>
              </w:rPr>
              <w:t>June 20, 2014</w:t>
            </w: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June 14, 2013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32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580" w:type="dxa"/>
            <w:vAlign w:val="bottom"/>
            <w:gridSpan w:val="2"/>
          </w:tcPr>
          <w:p>
            <w:pPr>
              <w:jc w:val="right"/>
              <w:ind w:right="359"/>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297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reimbursements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8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Cost of vacation ownership products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sales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Resort management and other services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Rental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Organizational and separation related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financing interest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Royalty fee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Gains and other income</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Impairment reversals on equity investment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40" w:type="dxa"/>
            <w:vAlign w:val="bottom"/>
            <w:gridSpan w:val="2"/>
          </w:tcPr>
          <w:p>
            <w:pPr>
              <w:ind w:left="460"/>
              <w:spacing w:after="0"/>
              <w:rPr>
                <w:sz w:val="20"/>
                <w:szCs w:val="20"/>
                <w:color w:val="auto"/>
              </w:rPr>
            </w:pPr>
            <w:r>
              <w:rPr>
                <w:rFonts w:ascii="Arial" w:cs="Arial" w:eastAsia="Arial" w:hAnsi="Arial"/>
                <w:sz w:val="18"/>
                <w:szCs w:val="18"/>
                <w:i w:val="1"/>
                <w:iCs w:val="1"/>
                <w:color w:val="auto"/>
              </w:rPr>
              <w:t>Twelve Weeks Ended June 20, 2014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340" w:type="dxa"/>
            <w:vAlign w:val="bottom"/>
            <w:gridSpan w:val="2"/>
            <w:vMerge w:val="restart"/>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8"/>
          </w:tcPr>
          <w:p>
            <w:pPr>
              <w:ind w:left="200"/>
              <w:spacing w:after="0"/>
              <w:rPr>
                <w:sz w:val="20"/>
                <w:szCs w:val="20"/>
                <w:color w:val="auto"/>
              </w:rPr>
            </w:pPr>
            <w:r>
              <w:rPr>
                <w:rFonts w:ascii="Arial" w:cs="Arial" w:eastAsia="Arial" w:hAnsi="Arial"/>
                <w:sz w:val="14"/>
                <w:szCs w:val="14"/>
                <w:b w:val="1"/>
                <w:bCs w:val="1"/>
                <w:color w:val="auto"/>
              </w:rPr>
              <w:t>Twelve Weeks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24"/>
                <w:szCs w:val="24"/>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top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June 20, 2014</w:t>
            </w: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June 14, 2013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3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79"/>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products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Total contract sales</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164</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157</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NM = not meaningful</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$7 million increase in total contract sales was driven by $5 million of higher vacation ownership sales in our key North America segment and $4 million of higher contract sales in our Europe segment, partially offset by $1 million of lower residential contract sales in our North America segment and $1 million of lower contract sales in our Asia Pacific segment.</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increase in vacation ownership contract sales in our North America segment was driven by continued improvement at on-site sales locations, which resulted from a 5 percent increase in VPG to $3,383 in the twelve weeks ended June 20, 2014 from $3,211 in the prior year comparable period, partially offset by a 1 percent decline in the number of tours. Contract sales at off-site (non tour-based) sales locations were flat compared to the prior year comparable period. The increase in VPG was due to higher pricing and nominal increases in the average number of points purchased per contract and closing efficiency. The decline in the number of tours</w:t>
      </w:r>
    </w:p>
    <w:p>
      <w:pPr>
        <w:sectPr>
          <w:pgSz w:w="11900" w:h="16838" w:orient="portrait"/>
          <w:cols w:equalWidth="0" w:num="1">
            <w:col w:w="11340"/>
          </w:cols>
          <w:pgMar w:left="240" w:top="459" w:right="319" w:bottom="1440" w:gutter="0" w:footer="0" w:header="0"/>
        </w:sectPr>
      </w:pP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340"/>
          </w:cols>
          <w:pgMar w:left="240" w:top="459" w:right="31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continued to be driven by an increase in weeks-based owner utilization of the MVCD program, with owners taking advantage of the program’s flexibility to take vacations of shorter duration and exercise alternative usage options. This trend has reduced our existing owner tour flow because fewer owners are in our resorts, and their stays in our resorts are shorter, than in prior years. We implemented new programs aimed at generating existing owner tours and new marketing programs targeted toward first-time buyers, which we expect will increase tour flow in the next six to nine months.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w w:val="97"/>
              </w:rPr>
              <w:t>Twenty-Four Weeks Ended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54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20, 2014</w:t>
            </w:r>
          </w:p>
        </w:tc>
        <w:tc>
          <w:tcPr>
            <w:tcW w:w="3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14, 2013</w:t>
            </w:r>
          </w:p>
        </w:tc>
        <w:tc>
          <w:tcPr>
            <w:tcW w:w="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320</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312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3%</w:t>
            </w: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23"/>
        </w:trPr>
        <w:tc>
          <w:tcPr>
            <w:tcW w:w="5460" w:type="dxa"/>
            <w:vAlign w:val="bottom"/>
          </w:tcPr>
          <w:p>
            <w:pPr>
              <w:ind w:left="180"/>
              <w:spacing w:after="0"/>
              <w:rPr>
                <w:sz w:val="20"/>
                <w:szCs w:val="20"/>
                <w:color w:val="auto"/>
              </w:rPr>
            </w:pPr>
            <w:r>
              <w:rPr>
                <w:rFonts w:ascii="Arial" w:cs="Arial" w:eastAsia="Arial" w:hAnsi="Arial"/>
                <w:sz w:val="18"/>
                <w:szCs w:val="18"/>
                <w:color w:val="auto"/>
              </w:rPr>
              <w:t>Total contract sales</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19"/>
                <w:szCs w:val="19"/>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313</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13</w:t>
            </w:r>
          </w:p>
        </w:tc>
        <w:tc>
          <w:tcPr>
            <w:tcW w:w="140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4%</w:t>
            </w:r>
          </w:p>
        </w:tc>
      </w:tr>
      <w:tr>
        <w:trPr>
          <w:trHeight w:val="20"/>
        </w:trPr>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$13 million increase in total contract sales was driven by $9 million of higher contract sales in our Europe segment, $5 million of higher residential contract sales in our North America segment and $2 million of higher vacation ownership contract sales in our key North America segment, partially offset by $3 million of lower contract sales in our Asia Pacific segment.</w:t>
      </w:r>
    </w:p>
    <w:p>
      <w:pPr>
        <w:spacing w:after="0" w:line="18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increase in vacation ownership contract sales in our North America segment reflected a $6 million increase in sales at on-site sales locations, and a $4 million decline in sales at off-site (non tour-based) sales locations, due in part to the closure or downsizing of certain under-performing locations since the prior year comparable period. The increase in sales at on-site sales locations resulted from a 6 percent increase in VPG to $3,428 in the twenty-four weeks ended June 20, 2014 from $3,238 in the prior year comparable period, partially offset by a 3 percent decline in the number of tours. The increase in VPG was due to a 0.5 percentage point increase in closing efficiency and higher pricing, partially offset by a decline in the average number of points purchased per contract. The decline in the number of tours continued to be driven by an increase in weeks-based owner utilization of the MVCD program, with owners taking advantage of the program’s flexibility to take vacations of shorter duration and exercise alternative usage options. This trend has reduced our existing owner tour flow because fewer owners are in our resorts, and their stays in our resorts are shorter, than in prior years. We implemented new programs aimed at generating existing owner tours and new marketing programs targeted toward first-time buyers, which we expect will increase tour flow in the next six to nine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Twelve Weeks Ended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54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20, 2014</w:t>
            </w:r>
          </w:p>
        </w:tc>
        <w:tc>
          <w:tcPr>
            <w:tcW w:w="3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14, 2013</w:t>
            </w:r>
          </w:p>
        </w:tc>
        <w:tc>
          <w:tcPr>
            <w:tcW w:w="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32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1400" w:type="dxa"/>
            <w:vAlign w:val="bottom"/>
            <w:gridSpan w:val="2"/>
          </w:tcPr>
          <w:p>
            <w:pPr>
              <w:jc w:val="center"/>
              <w:ind w:left="210"/>
              <w:spacing w:after="0"/>
              <w:rPr>
                <w:sz w:val="20"/>
                <w:szCs w:val="20"/>
                <w:color w:val="auto"/>
              </w:rPr>
            </w:pPr>
            <w:r>
              <w:rPr>
                <w:rFonts w:ascii="Arial" w:cs="Arial" w:eastAsia="Arial" w:hAnsi="Arial"/>
                <w:sz w:val="18"/>
                <w:szCs w:val="18"/>
                <w:color w:val="auto"/>
                <w:w w:val="94"/>
              </w:rPr>
              <w:t>23%</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2%</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Development margin</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1400" w:type="dxa"/>
            <w:vAlign w:val="bottom"/>
            <w:gridSpan w:val="2"/>
          </w:tcPr>
          <w:p>
            <w:pPr>
              <w:jc w:val="center"/>
              <w:ind w:left="230"/>
              <w:spacing w:after="0"/>
              <w:rPr>
                <w:sz w:val="20"/>
                <w:szCs w:val="20"/>
                <w:color w:val="auto"/>
              </w:rPr>
            </w:pPr>
            <w:r>
              <w:rPr>
                <w:rFonts w:ascii="Arial" w:cs="Arial" w:eastAsia="Arial" w:hAnsi="Arial"/>
                <w:sz w:val="18"/>
                <w:szCs w:val="18"/>
                <w:color w:val="auto"/>
                <w:w w:val="94"/>
              </w:rPr>
              <w:t>(6%)</w:t>
            </w: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 pts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decrease in revenues from the sale of vacation ownership products was due to $25 million of lower revenue reportability compared to the prior year comparable period, partially offset by the $7 million increase in contract sales, net of sales reserve, and $1 million from lower vacation ownership notes receivable reserve activity due to a decrease in estimated default activity compared to the prior year comparable period. The $25 million of lower revenue reportability resulted from $25 million of higher revenue reportability in the prior year comparable period, compared to no impact from revenue reportability in the twelve weeks ended June 20, 2014. Revenue reportability was higher in the prior year quarter because the rescission period related to certain sales had expired, of which $17 million related to the impact of the extended rescission periods in our Europe segment.</w:t>
      </w:r>
    </w:p>
    <w:p>
      <w:pPr>
        <w:spacing w:after="0" w:line="16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decrease in development margin reflected $14 million from lower revenue reportability year-over-year (of which $9 million is related to the impact of the extended rescission periods in our Europe segment), partially offset by a $10 million net increase in vacation ownership contract sales volume net of lower direct variable expenses (i.e., cost of vacation ownership products and marketing and sales) driven by $6 million from a favorable mix of lower cost real estate inventory being sold, $3 million from more efficient marketing and sales spending and $1 million from the higher contract sales volume. In addition, the development margin reflects the $1 million decrease in vacation ownership notes receivable reserve activity, $1 million of higher favorable product cost true-ups and $1 million of severance related to the restructuring of sales locations in Europe in the prior year comparable period.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1.1 percentage point improvement in the development margin percentage reflected a 4 percentage point increase due to a favorable mix of lower cost vacation ownership real estate inventory being sold in the twelve weeks ended June 20, 2014, a 2 percentage point increase due to increased efficiency in marketing and sales spending and a 1 percentage point increase due to the higher favorable product cost true-up activity year-over-year. These increases were partially offset by a 6 percentage point decrease due to lower revenue reportability year-over-year.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w w:val="94"/>
              </w:rPr>
              <w:t>Twenty-Four Weeks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6"/>
        </w:trPr>
        <w:tc>
          <w:tcPr>
            <w:tcW w:w="6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20, 2014</w:t>
            </w:r>
          </w:p>
        </w:tc>
        <w:tc>
          <w:tcPr>
            <w:tcW w:w="1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14, 2013</w:t>
            </w:r>
          </w:p>
        </w:tc>
        <w:tc>
          <w:tcPr>
            <w:tcW w:w="1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4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12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10%</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3%</w:t>
            </w: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Development margin</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4%</w:t>
            </w: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 pts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decrease in revenues from the sale of vacation ownership products was due to $27 million of lower revenue reportability compared to the prior year comparable period and $1 million of higher plus points issued as sales incentives in the current period, partially offset by the $12 million increase in contract sales, net of sales reserve, and $3 million from lower vacation ownership notes receivable reserve activity due to a decrease in estimated default activity compared to the prior year comparable period. The $27 million of lower revenue reportability resulted from $4 million of lower revenue reportability in the twenty-four weeks ended June 20, 2014, compared to $23 million of higher revenue reportability in the prior year comparable period. Revenue reportability was higher in the prior year quarter because the rescission period related to certain sales had expired, of which $18 million related to the impact of the extended rescission periods in our Europe segment.</w:t>
      </w:r>
    </w:p>
    <w:p>
      <w:pPr>
        <w:spacing w:after="0" w:line="17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increase in development margin reflected an $18 million net increase from higher vacation ownership contract sales volume net of lower direct variable expenses (i.e., cost of vacation ownership products and marketing and sales) driven mainly by $12 million from a favorable mix of lower cost real estate inventory being sold and $5 million from more efficient marketing and sales spending, a $2 million impact from the decrease in vacation ownership notes receivable reserve activity, $2 million of severance related to the restructuring of sales locations in Europe in the prior year comparable period and a $1 million increase from the higher residential contract sales in the current period. These increases were partially offset by $16 million from lower revenue reportability year-over-year (of which $10 million is related to the impact of the extended rescission periods in our Europe segment) and $4 million of lower favorable product cost true-ups ($2 million in the twenty-four weeks ended June 20, 2014 compared to $6 million in the prior year comparable period).</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1.6 percentage point improvement in the development margin percentage reflected a 4 percentage point increase due to a favorable mix of lower cost vacation ownership real estate inventory being sold in the twenty-four weeks ended June 20, 2014 and a more than 2 percentage point increase due to increased efficiency in marketing and sales spending. These increases were partially offset by a 3.5 percentage point decrease due to lower revenue reportability year-over-year and a more than 1 percentage point decrease due to the lower favorable product cost true-up activity year-over-year. The increase in residential contract sales did not materially impact the development margin percentage as the higher cost of the real estate inventory sold was offset by lower marketing and sales cost.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0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20, 2014</w:t>
            </w:r>
          </w:p>
        </w:tc>
        <w:tc>
          <w:tcPr>
            <w:tcW w:w="18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14, 2013</w:t>
            </w:r>
          </w:p>
        </w:tc>
        <w:tc>
          <w:tcPr>
            <w:tcW w:w="180" w:type="dxa"/>
            <w:vAlign w:val="bottom"/>
          </w:tcPr>
          <w:p>
            <w:pPr>
              <w:spacing w:after="0"/>
              <w:rPr>
                <w:sz w:val="17"/>
                <w:szCs w:val="17"/>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7"/>
                <w:szCs w:val="17"/>
                <w:color w:val="auto"/>
              </w:rPr>
            </w:pP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center"/>
              <w:ind w:left="113"/>
              <w:spacing w:after="0"/>
              <w:rPr>
                <w:sz w:val="20"/>
                <w:szCs w:val="20"/>
                <w:color w:val="auto"/>
              </w:rPr>
            </w:pPr>
            <w:r>
              <w:rPr>
                <w:rFonts w:ascii="Arial" w:cs="Arial" w:eastAsia="Arial" w:hAnsi="Arial"/>
                <w:sz w:val="18"/>
                <w:szCs w:val="18"/>
                <w:color w:val="auto"/>
                <w:w w:val="89"/>
              </w:rPr>
              <w:t>17</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16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113"/>
              <w:spacing w:after="0"/>
              <w:rPr>
                <w:sz w:val="20"/>
                <w:szCs w:val="20"/>
                <w:color w:val="auto"/>
              </w:rPr>
            </w:pPr>
            <w:r>
              <w:rPr>
                <w:rFonts w:ascii="Arial" w:cs="Arial" w:eastAsia="Arial" w:hAnsi="Arial"/>
                <w:sz w:val="18"/>
                <w:szCs w:val="18"/>
                <w:color w:val="auto"/>
                <w:w w:val="89"/>
              </w:rPr>
              <w:t>53</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48</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9"/>
              </w:rPr>
              <w:t>70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1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113"/>
              <w:spacing w:after="0"/>
              <w:rPr>
                <w:sz w:val="20"/>
                <w:szCs w:val="20"/>
                <w:color w:val="auto"/>
              </w:rPr>
            </w:pPr>
            <w:r>
              <w:rPr>
                <w:rFonts w:ascii="Arial" w:cs="Arial" w:eastAsia="Arial" w:hAnsi="Arial"/>
                <w:sz w:val="18"/>
                <w:szCs w:val="18"/>
                <w:color w:val="auto"/>
                <w:w w:val="93"/>
              </w:rPr>
              <w:t>(46)</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3"/>
              </w:rPr>
              <w:t>(46)</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80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9"/>
              </w:rPr>
              <w:t>24</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18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1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4"/>
              </w:rPr>
              <w:t>34%</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w w:val="98"/>
              </w:rPr>
              <w:t>Resort management and other services margin percentage</w:t>
            </w:r>
          </w:p>
        </w:tc>
        <w:tc>
          <w:tcPr>
            <w:tcW w:w="1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6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6.7 pts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00" w:type="dxa"/>
            <w:vAlign w:val="bottom"/>
          </w:tcPr>
          <w:p>
            <w:pPr>
              <w:jc w:val="right"/>
              <w:ind w:right="73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increase in resort management and other services revenues was driven by $1 million of higher management fees, $1 million of higher fees from our third party exchange company, $1 million of higher resales commission, $1 million of higher ancillary revenues and $1 million of additional annual club dues earned in connection with the MVCD program due to the cumulative increase in owners enrolled in the program. The increase in ancillary revenues included a nearly $2 million increase in ancillary revenues from food and beverage and golf offerings at our resorts, partially offset by a $1 million decline due to the disposition of a golf course in Orlando, Florida during the first quarter of 2014.</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improvement in the resort management and other services margin reflected the increases in revenue while expenses remained flat compared to the prior year comparable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w w:val="96"/>
              </w:rPr>
              <w:t>Twenty-Four Weeks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20, 2014</w:t>
            </w: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14, 2013</w:t>
            </w:r>
          </w:p>
        </w:tc>
        <w:tc>
          <w:tcPr>
            <w:tcW w:w="7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1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1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11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5.1 pts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increase in resort management and other services revenues was driven by $2 million of higher management fees, $2 million of additional annual club dues earned in connection with the MVCD program due to the cumulative increase in owners enrolled in the program, $1 million of higher fees from our third party exchange company, $1 million of higher resales commission and $1 million of higher ancillary revenues. The increase in ancillary revenues included a $3 million increase in ancillary revenues from food and beverage and golf offerings at our resorts, partially offset by a $2 million decline due to the disposition of a golf course in Orlando, Florida during the first quarter of 2014.</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improvement in the resort management and other services margin reflected the increases in revenue as well as $1 million of lower customer service and MVCD program expenses in the twenty-four weeks ended June 20, 2014 compared to the prior year comparable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6"/>
        </w:trPr>
        <w:tc>
          <w:tcPr>
            <w:tcW w:w="6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20, 2014</w:t>
            </w:r>
          </w:p>
        </w:tc>
        <w:tc>
          <w:tcPr>
            <w:tcW w:w="20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14, 2013</w:t>
            </w:r>
          </w:p>
        </w:tc>
        <w:tc>
          <w:tcPr>
            <w:tcW w:w="200" w:type="dxa"/>
            <w:vAlign w:val="bottom"/>
          </w:tcPr>
          <w:p>
            <w:pPr>
              <w:spacing w:after="0"/>
              <w:rPr>
                <w:sz w:val="17"/>
                <w:szCs w:val="17"/>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(8%)</w:t>
            </w: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NM</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1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4"/>
              </w:rPr>
              <w:t>(7%)</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Financing expenses</w:t>
            </w:r>
          </w:p>
        </w:tc>
        <w:tc>
          <w:tcPr>
            <w:tcW w:w="34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NM</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1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17%</w:t>
            </w: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Financing margin</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(5%)</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Financing propensity</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decrease in financing revenues was due to an $88 million decline in the average gross vacation ownership notes receivable balance. This decline reflected our continued collection of existing vacation ownership notes receivable at a faster pace than our origination of new vacation ownership notes receivable.</w:t>
      </w:r>
    </w:p>
    <w:p>
      <w:pPr>
        <w:spacing w:after="0" w:line="18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decline in financing margin reflects the lower financing revenues, partially offset by lower consumer financing interest expense due to lower outstanding debt balances of securitized vacation ownership notes receivable and associated interest costs as well as a lower average interest rate. The lower average interest rate reflected the continued pay-down of older securitization transactions that carried higher overall interest rates and the benefit of lower interest rates applicable to our most recently completed securitizations of vacation ownership notes receivable.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w w:val="96"/>
              </w:rPr>
              <w:t>Twenty-Four Weeks Ended</w:t>
            </w:r>
          </w:p>
        </w:tc>
        <w:tc>
          <w:tcPr>
            <w:tcW w:w="200" w:type="dxa"/>
            <w:vAlign w:val="bottom"/>
          </w:tcPr>
          <w:p>
            <w:pPr>
              <w:spacing w:after="0"/>
              <w:rPr>
                <w:sz w:val="14"/>
                <w:szCs w:val="14"/>
                <w:color w:val="auto"/>
              </w:rPr>
            </w:pPr>
          </w:p>
        </w:tc>
        <w:tc>
          <w:tcPr>
            <w:tcW w:w="76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120" w:type="dxa"/>
            <w:vAlign w:val="bottom"/>
            <w:gridSpan w:val="2"/>
            <w:vMerge w:val="continue"/>
          </w:tcPr>
          <w:p>
            <w:pPr>
              <w:spacing w:after="0"/>
              <w:rPr>
                <w:sz w:val="12"/>
                <w:szCs w:val="12"/>
                <w:color w:val="auto"/>
              </w:rPr>
            </w:pPr>
          </w:p>
        </w:tc>
        <w:tc>
          <w:tcPr>
            <w:tcW w:w="10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June 20, 2014</w:t>
            </w:r>
          </w:p>
        </w:tc>
        <w:tc>
          <w:tcPr>
            <w:tcW w:w="200" w:type="dxa"/>
            <w:vAlign w:val="bottom"/>
          </w:tcPr>
          <w:p>
            <w:pPr>
              <w:spacing w:after="0"/>
              <w:rPr>
                <w:sz w:val="12"/>
                <w:szCs w:val="12"/>
                <w:color w:val="auto"/>
              </w:rPr>
            </w:pPr>
          </w:p>
        </w:tc>
        <w:tc>
          <w:tcPr>
            <w:tcW w:w="10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June 14, 2013</w:t>
            </w: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Financing expenses</w:t>
            </w:r>
          </w:p>
        </w:tc>
        <w:tc>
          <w:tcPr>
            <w:tcW w:w="24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1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Financing margin</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Financing propensity</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decrease in financing revenues was due to a $92 million decline in the average gross vacation ownership notes receivable balance. This decline reflected our continued collection of existing vacation ownership notes receivable at a faster pace than our origination of new vacation ownership notes receivable.</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decline in financing margin reflects the lower financing revenues, partially offset by lower consumer financing interest expense due to lower outstanding debt balances of securitized vacation ownership notes receivable and associated interest costs as well as a lower average interest rate. The lower average interest rate reflected the continued pay-down of older securitization transactions that carried higher overall interest rates and the benefit of lower interest rates applicable to our most recently completed securitizations of vacation ownership notes receivable.</w:t>
      </w:r>
    </w:p>
    <w:p>
      <w:pPr>
        <w:spacing w:after="0" w:line="167" w:lineRule="exact"/>
        <w:rPr>
          <w:sz w:val="20"/>
          <w:szCs w:val="20"/>
          <w:color w:val="auto"/>
        </w:rPr>
      </w:pPr>
    </w:p>
    <w:p>
      <w:pPr>
        <w:jc w:val="right"/>
        <w:ind w:right="8240"/>
        <w:spacing w:after="0"/>
        <w:rPr>
          <w:sz w:val="20"/>
          <w:szCs w:val="20"/>
          <w:color w:val="auto"/>
        </w:rPr>
      </w:pPr>
      <w:r>
        <w:rPr>
          <w:rFonts w:ascii="Arial" w:cs="Arial" w:eastAsia="Arial" w:hAnsi="Arial"/>
          <w:sz w:val="16"/>
          <w:szCs w:val="16"/>
          <w:b w:val="1"/>
          <w:bCs w:val="1"/>
          <w:color w:val="auto"/>
        </w:rPr>
        <w:t>Rental Revenues, Expenses and Margin</w:t>
      </w:r>
    </w:p>
    <w:p>
      <w:pPr>
        <w:spacing w:after="0" w:line="144" w:lineRule="exact"/>
        <w:rPr>
          <w:sz w:val="20"/>
          <w:szCs w:val="20"/>
          <w:color w:val="auto"/>
        </w:rPr>
      </w:pPr>
    </w:p>
    <w:p>
      <w:pPr>
        <w:jc w:val="right"/>
        <w:ind w:right="8280"/>
        <w:spacing w:after="0"/>
        <w:rPr>
          <w:sz w:val="20"/>
          <w:szCs w:val="20"/>
          <w:color w:val="auto"/>
        </w:rPr>
      </w:pPr>
      <w:r>
        <w:rPr>
          <w:rFonts w:ascii="Arial" w:cs="Arial" w:eastAsia="Arial" w:hAnsi="Arial"/>
          <w:sz w:val="18"/>
          <w:szCs w:val="18"/>
          <w:i w:val="1"/>
          <w:iCs w:val="1"/>
          <w:color w:val="auto"/>
        </w:rPr>
        <w:t>Twelve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10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vMerge w:val="continue"/>
          </w:tcPr>
          <w:p>
            <w:pPr>
              <w:spacing w:after="0"/>
              <w:rPr>
                <w:sz w:val="12"/>
                <w:szCs w:val="12"/>
                <w:color w:val="auto"/>
              </w:rPr>
            </w:pPr>
          </w:p>
        </w:tc>
        <w:tc>
          <w:tcPr>
            <w:tcW w:w="1220" w:type="dxa"/>
            <w:vAlign w:val="bottom"/>
            <w:tcBorders>
              <w:bottom w:val="single" w:sz="8" w:color="auto"/>
            </w:tcBorders>
            <w:gridSpan w:val="2"/>
          </w:tcPr>
          <w:p>
            <w:pPr>
              <w:jc w:val="right"/>
              <w:ind w:right="113"/>
              <w:spacing w:after="0" w:line="142" w:lineRule="exact"/>
              <w:rPr>
                <w:sz w:val="20"/>
                <w:szCs w:val="20"/>
                <w:color w:val="auto"/>
              </w:rPr>
            </w:pPr>
            <w:r>
              <w:rPr>
                <w:rFonts w:ascii="Arial" w:cs="Arial" w:eastAsia="Arial" w:hAnsi="Arial"/>
                <w:sz w:val="14"/>
                <w:szCs w:val="14"/>
                <w:b w:val="1"/>
                <w:bCs w:val="1"/>
                <w:color w:val="auto"/>
              </w:rPr>
              <w:t>June 20, 2014</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0"/>
              </w:rPr>
              <w:t>June 14, 2013</w:t>
            </w:r>
          </w:p>
        </w:tc>
        <w:tc>
          <w:tcPr>
            <w:tcW w:w="16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3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38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38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Rental margin</w:t>
            </w:r>
          </w:p>
        </w:tc>
        <w:tc>
          <w:tcPr>
            <w:tcW w:w="3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 pts)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24"/>
                <w:szCs w:val="24"/>
                <w:color w:val="auto"/>
              </w:rPr>
            </w:pPr>
          </w:p>
        </w:tc>
        <w:tc>
          <w:tcPr>
            <w:tcW w:w="10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24"/>
                <w:szCs w:val="2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gridSpan w:val="2"/>
          </w:tcPr>
          <w:p>
            <w:pPr>
              <w:jc w:val="right"/>
              <w:ind w:right="113"/>
              <w:spacing w:after="0" w:line="142" w:lineRule="exact"/>
              <w:rPr>
                <w:sz w:val="20"/>
                <w:szCs w:val="20"/>
                <w:color w:val="auto"/>
              </w:rPr>
            </w:pPr>
            <w:r>
              <w:rPr>
                <w:rFonts w:ascii="Arial" w:cs="Arial" w:eastAsia="Arial" w:hAnsi="Arial"/>
                <w:sz w:val="14"/>
                <w:szCs w:val="14"/>
                <w:b w:val="1"/>
                <w:bCs w:val="1"/>
                <w:color w:val="auto"/>
              </w:rPr>
              <w:t>June 20, 2014</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0"/>
              </w:rPr>
              <w:t>June 14, 2013</w:t>
            </w:r>
          </w:p>
        </w:tc>
        <w:tc>
          <w:tcPr>
            <w:tcW w:w="16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86"/>
              </w:rPr>
              <w:t>260,979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255,353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8"/>
              </w:rPr>
              <w:t>5,626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210.46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  204.44</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6.02</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 pts)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890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decrease in rental revenues was due to $5 million of lower plus points revenue (which is recognized upon utilization of plus points for stays at our resorts or upon expiration of the points), partially offset by a company-wide 2 percent increase in transient keys rented ($1 million) and a company-wide 3 percent increase in average transient rate (more than $1 million), both of which were driven by stronger consumer demand and a favorable mix of available inventory.</w:t>
      </w:r>
    </w:p>
    <w:p>
      <w:pPr>
        <w:spacing w:after="0" w:line="187"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The rental margin of $7 million was $2 million below the prior year comparable period, and reflected the $5 million decline in plus points revenue resulting from the decline in new enrollments in the MVCD program by existing owners (due to the maturity of the MVCD program), and corresponding decline in issuance of plus points as incentives for enrollment in the MVCD program, partially offset by $3 million of higher rental revenues net of direct variable expenses (such as housekeeping), expenses incurred due to owners choosing alternative usage options, and lower unsold maintenance fees.</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24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w w:val="94"/>
              </w:rPr>
              <w:t>Twenty-Four Weeks Ended</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58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b w:val="1"/>
                <w:bCs w:val="1"/>
                <w:color w:val="auto"/>
              </w:rPr>
              <w:t>June 20, 2014</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June 14, 2013</w:t>
            </w: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4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w:t>
            </w: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4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12%</w:t>
            </w: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40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10%</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(4%)</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Rental margin</w:t>
            </w:r>
          </w:p>
        </w:tc>
        <w:tc>
          <w:tcPr>
            <w:tcW w:w="4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(13%)</w:t>
            </w:r>
          </w:p>
        </w:tc>
      </w:tr>
      <w:tr>
        <w:trPr>
          <w:trHeight w:val="20"/>
        </w:trPr>
        <w:tc>
          <w:tcPr>
            <w:tcW w:w="5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90"/>
              </w:rPr>
              <w:t>10.8%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(1.4 pts)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365"/>
        </w:trPr>
        <w:tc>
          <w:tcPr>
            <w:tcW w:w="58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w w:val="96"/>
              </w:rPr>
              <w:t>Twenty-Four Weeks Ended</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58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b w:val="1"/>
                <w:bCs w:val="1"/>
                <w:color w:val="auto"/>
              </w:rPr>
              <w:t>June 20, 2014</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June 14, 2013</w:t>
            </w: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1200" w:type="dxa"/>
            <w:vAlign w:val="bottom"/>
            <w:gridSpan w:val="2"/>
            <w:shd w:val="clear" w:color="auto" w:fill="CCEEFF"/>
          </w:tcPr>
          <w:p>
            <w:pPr>
              <w:jc w:val="right"/>
              <w:ind w:right="173"/>
              <w:spacing w:after="0"/>
              <w:rPr>
                <w:sz w:val="20"/>
                <w:szCs w:val="20"/>
                <w:color w:val="auto"/>
              </w:rPr>
            </w:pPr>
            <w:r>
              <w:rPr>
                <w:rFonts w:ascii="Arial" w:cs="Arial" w:eastAsia="Arial" w:hAnsi="Arial"/>
                <w:sz w:val="18"/>
                <w:szCs w:val="18"/>
                <w:color w:val="auto"/>
              </w:rPr>
              <w:t>529,658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519,245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10,413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212.42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  207.35</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5.07</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2%</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90"/>
              </w:rPr>
              <w:t>88.6%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88.9%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(0.3 pts)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890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22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decrease in rental revenues was due to $7 million of lower plus points revenue (which is recognized upon utilization of plus points for stays at our resorts or upon expiration of the points), partially offset by a company-wide 2 percent increase in average transient rate ($3 million) and a company-wide 2 percent increase in transient keys rented ($2 million), both of which were driven by stronger consumer demand and a favorable mix of available inventory.</w:t>
      </w:r>
    </w:p>
    <w:p>
      <w:pPr>
        <w:spacing w:after="0" w:line="147" w:lineRule="exact"/>
        <w:rPr>
          <w:sz w:val="20"/>
          <w:szCs w:val="20"/>
          <w:color w:val="auto"/>
        </w:rPr>
      </w:pPr>
    </w:p>
    <w:p>
      <w:pPr>
        <w:jc w:val="both"/>
        <w:ind w:right="280" w:firstLine="456"/>
        <w:spacing w:after="0" w:line="302" w:lineRule="auto"/>
        <w:rPr>
          <w:sz w:val="20"/>
          <w:szCs w:val="20"/>
          <w:color w:val="auto"/>
        </w:rPr>
      </w:pPr>
      <w:r>
        <w:rPr>
          <w:rFonts w:ascii="Arial" w:cs="Arial" w:eastAsia="Arial" w:hAnsi="Arial"/>
          <w:sz w:val="16"/>
          <w:szCs w:val="16"/>
          <w:color w:val="auto"/>
        </w:rPr>
        <w:t>The rental margin of $14 million was $2 million below the prior year comparable period, and reflected the $7 million decline in plus points revenue resulting from the decline in new enrollments in the MVCD program by existing owners (due to the maturity of the MVCD program), and corresponding decline in issuance of plus points as incentives for enrollment in the MVCD program, partially offset by $5 million of higher rental revenues net of direct variable expenses (such as housekeeping), expenses incurred due to owners choosing alternative usage options, and unsold maintenance fees.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Twelve Weeks Ended</w:t>
            </w:r>
          </w:p>
        </w:tc>
      </w:tr>
      <w:tr>
        <w:trPr>
          <w:trHeight w:val="134"/>
        </w:trPr>
        <w:tc>
          <w:tcPr>
            <w:tcW w:w="5600" w:type="dxa"/>
            <w:vAlign w:val="bottom"/>
            <w:gridSpan w:val="2"/>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r>
      <w:tr>
        <w:trPr>
          <w:trHeight w:val="196"/>
        </w:trPr>
        <w:tc>
          <w:tcPr>
            <w:tcW w:w="5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June 20, 2014</w:t>
            </w:r>
          </w:p>
        </w:tc>
        <w:tc>
          <w:tcPr>
            <w:tcW w:w="200" w:type="dxa"/>
            <w:vAlign w:val="bottom"/>
          </w:tcPr>
          <w:p>
            <w:pPr>
              <w:spacing w:after="0"/>
              <w:rPr>
                <w:sz w:val="17"/>
                <w:szCs w:val="17"/>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14, 2013</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3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center"/>
              <w:ind w:left="94"/>
              <w:spacing w:after="0"/>
              <w:rPr>
                <w:sz w:val="20"/>
                <w:szCs w:val="20"/>
                <w:color w:val="auto"/>
              </w:rPr>
            </w:pPr>
            <w:r>
              <w:rPr>
                <w:rFonts w:ascii="Arial" w:cs="Arial" w:eastAsia="Arial" w:hAnsi="Arial"/>
                <w:sz w:val="18"/>
                <w:szCs w:val="18"/>
                <w:color w:val="auto"/>
                <w:w w:val="79"/>
              </w:rPr>
              <w:t>6</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 expenses</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54"/>
              <w:spacing w:after="0"/>
              <w:rPr>
                <w:sz w:val="20"/>
                <w:szCs w:val="20"/>
                <w:color w:val="auto"/>
              </w:rPr>
            </w:pPr>
            <w:r>
              <w:rPr>
                <w:rFonts w:ascii="Arial" w:cs="Arial" w:eastAsia="Arial" w:hAnsi="Arial"/>
                <w:sz w:val="18"/>
                <w:szCs w:val="18"/>
                <w:color w:val="auto"/>
                <w:w w:val="90"/>
              </w:rPr>
              <w:t>(3)</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net of expenses</w:t>
            </w:r>
          </w:p>
        </w:tc>
        <w:tc>
          <w:tcPr>
            <w:tcW w:w="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79"/>
              </w:rPr>
              <w:t>3</w:t>
            </w:r>
          </w:p>
        </w:tc>
        <w:tc>
          <w:tcPr>
            <w:tcW w:w="58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Other revenues net of expenses was $1 million below the prior year comparable period mainly as a result of higher settlement and other expenses in the twelve weeks ended June 20, 2014 compared to the prior year comparable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Twenty-Four Weeks Ended</w:t>
            </w:r>
          </w:p>
        </w:tc>
        <w:tc>
          <w:tcPr>
            <w:tcW w:w="100" w:type="dxa"/>
            <w:vAlign w:val="bottom"/>
          </w:tcPr>
          <w:p>
            <w:pPr>
              <w:spacing w:after="0"/>
              <w:rPr>
                <w:sz w:val="14"/>
                <w:szCs w:val="14"/>
                <w:color w:val="auto"/>
              </w:rPr>
            </w:pPr>
          </w:p>
        </w:tc>
      </w:tr>
      <w:tr>
        <w:trPr>
          <w:trHeight w:val="196"/>
        </w:trPr>
        <w:tc>
          <w:tcPr>
            <w:tcW w:w="5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20, 2014</w:t>
            </w:r>
          </w:p>
        </w:tc>
        <w:tc>
          <w:tcPr>
            <w:tcW w:w="200" w:type="dxa"/>
            <w:vAlign w:val="bottom"/>
          </w:tcPr>
          <w:p>
            <w:pPr>
              <w:spacing w:after="0"/>
              <w:rPr>
                <w:sz w:val="17"/>
                <w:szCs w:val="17"/>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June 14, 2013</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2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center"/>
              <w:ind w:left="234"/>
              <w:spacing w:after="0"/>
              <w:rPr>
                <w:sz w:val="20"/>
                <w:szCs w:val="20"/>
                <w:color w:val="auto"/>
              </w:rPr>
            </w:pPr>
            <w:r>
              <w:rPr>
                <w:rFonts w:ascii="Arial" w:cs="Arial" w:eastAsia="Arial" w:hAnsi="Arial"/>
                <w:sz w:val="18"/>
                <w:szCs w:val="18"/>
                <w:color w:val="auto"/>
                <w:w w:val="79"/>
              </w:rPr>
              <w:t>8</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9"/>
              </w:rPr>
              <w:t>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214"/>
              <w:spacing w:after="0"/>
              <w:rPr>
                <w:sz w:val="20"/>
                <w:szCs w:val="20"/>
                <w:color w:val="auto"/>
              </w:rPr>
            </w:pPr>
            <w:r>
              <w:rPr>
                <w:rFonts w:ascii="Arial" w:cs="Arial" w:eastAsia="Arial" w:hAnsi="Arial"/>
                <w:sz w:val="18"/>
                <w:szCs w:val="18"/>
                <w:color w:val="auto"/>
                <w:w w:val="99"/>
              </w:rPr>
              <w:t>(5)</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net of expenses</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w w:val="79"/>
              </w:rPr>
              <w:t>3</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Other revenues net of expenses was $1 million below the prior year comparable period mainly as a result of lower settlement revenues due to a decline in the number of contracts closed and higher expenses in the twenty-four weeks ended June 20, 2014 compared to the prior year comparable period.</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Cost reimbursements increased $6 million, or 9 percent, over the prior year comparable period, reflecting $3 million of higher costs, $2 million due to timing of expenses compared to the prior year comparable period and $1 million due to additional managed unit weeks in the twelve weeks ended June 20, 2014.</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Cost reimbursements increased $15 million, or 10 percent, over the prior year comparable period, reflecting $9 million of higher costs, $4 million due to timing of expenses compared to the prior year comparable period and $2 million due to additional managed unit weeks in the twenty-four weeks ended June 20,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General and administrative expenses increased $1 million (from $22 million to $23 million) over the prior year comparable period due to $1 million of higher personnel related costs.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General and administrative expenses increased $2 million (from $43 million to $45 million) over the prior year comparable period due to $1 million of higher legal related expenses, $1 million of higher personnel related costs and $1 million from the favorable resolution of an international tax (non-income tax) matter in the prior year comparable period. These increases were offset by $1 million of savings related to organizational and separation relation efforts in the human resources, information technology and finance and accounting organizations.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and Twenty-Four Weeks Ended June 20, 2014</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During the second quarter of 2014, we agreed to settle a dispute with a service provider relating to services provided to us prior to 2011. The dispute related to certain lawsuits and claims asserted by several residential unit and fractional interest owners at The Ritz-Carlton Club and Residences, San Francisco (the “RCC San Francisco”), a project within our North America segment, who questioned the adequacy of disclosures made regarding bonds issued for that project under California’s Mello-Roos Community Facilities Act of 1982 and their payment obligations with respect to such bonds. In connection with the settlement, we received a one-time payment of $8 million after the end of the second quarter from the service provider, which no longer provides services to us. We recorded a gain of $8 million as a result of the settlement, which is included in the Litigation settlement line on the Statement of Operations for the twelve and twenty-four weeks ended June 20,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11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Interest expense decreased $1 million (from $4 million to $3 million) due to a decline in expense associated with our liability for the Marriott Rewards customer loyalty program under our Marriott Rewards Affiliation Agreement with Marriott International (the “Marriott Rewards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11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Interest expense decreased $2 million (from $7 million to $5 million) due to a $1 million increase in capitalized interest costs and a $1 million decline in expense associated with our liability for the Marriott Rewards customer loyalty program under the Marriott Rewards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Royalty fee expense decreased $1 million (from $15 million to $14 million) due to a higher portion of sales of pre-owned inventory, which carries a lower royalty fee as compared to initial sales of our real estate inventory (one percent versus two percent).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Royalty fee expense decreased $1 million (from $28 million to $27 million) due to a higher portion of sales of pre-owned inventory, which carries a lower royalty fee as compared to initial sales of our real estate inventory (one percent versus two percent).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and Twenty-Four Weeks Ended June 20, 2014</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During the second quarter of 2014, we recorded an impairment charge of $1 million with respect to a building as a result of a termination of a land lease at one of our projects in our North America segment. In the second quarter of 2013, we recorded an impairment charge of $1 million with respect to a golf course in the Europe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 on Equity Investment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During the second quarter of 2014, we reversed a $2 million impairment charge that we initially recorded in the first quarter of 2014 to increase our accrual for remaining costs that were expected to be incurred relating to our interests in an equity method investment in a joint venture project in our North America segment. There were no impairment charges on equity investment in the second quarter of 2013.</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During the first quarter of 2014, we recorded a $2 million charge to increase our accrual for remaining costs that were expected to be incurred relating to our interests in an equity method investment in a joint venture project in our North America segment. During the second quarter of 2014, we reversed the $2 million charge. There were no impairment charges on equity investment in either the first or second quarter of 2013.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provision for income taxes increased by $8 million (from $14 million to $22 million) from the prior year comparable period. The increase related to the change in the geographic composition of income before income taxes. There was lower net income before income taxes in our foreign jurisdictions for the twelve weeks ended June 20, 2014 compared to the prior year comparable period due to the cumulative impact of the extended rescission periods in our Europe segment and an increase in the net income before income taxes attributable to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provision for income taxes increased by $10 million (from $25 million to $35 million) from the prior year comparable period. The increase related to the change in the geographic composition of income before income taxes. There was lower net income before income taxes in our foreign jurisdictions for the twenty-four weeks ended June 20, 2014 compared to the prior year comparable period due to the cumulative impact of the extended rescission periods in our Europe segment and an increase in the net income before income taxes attributable to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EBITDA, a financial measure that is not prescribed or authorized by GAAP, is defined as earnings, or net income, before interest expense (excluding consumer financing interest expense), provision for income taxes, depreciation and amortization. For purposes of our EBITDA calculation, we do not adjust for consumer financing interest expense because the associated debt is secured by vacation ownership notes receivable that have been sold to bankruptcy remote special purpose entities and is generally non-recourse to us. Further, we consider consumer financing interest expense to be an operating expense of our business.</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consider EBITDA to be an indicator of operating performance, and we use it to measure our ability to service debt, fund capital expenditures and expand our business. We also use it,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EBITDA has limitations and should not be considered in isolation or as a substitute for performance measures calculated in accordance with GAAP. In addition, other companies in our industry may calculate EBITDA differently than we do or may not calculate it at all, limiting its usefulness as a comparative measure. The table below shows our EBITDA calculation and reconciles that measure with Net income.</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w w:val="94"/>
              </w:rPr>
              <w:t>Twenty-Four Weeks Ended</w:t>
            </w:r>
          </w:p>
        </w:tc>
        <w:tc>
          <w:tcPr>
            <w:tcW w:w="100" w:type="dxa"/>
            <w:vAlign w:val="bottom"/>
          </w:tcPr>
          <w:p>
            <w:pPr>
              <w:spacing w:after="0"/>
              <w:rPr>
                <w:sz w:val="14"/>
                <w:szCs w:val="14"/>
                <w:color w:val="auto"/>
              </w:rPr>
            </w:pPr>
          </w:p>
        </w:tc>
      </w:tr>
      <w:tr>
        <w:trPr>
          <w:trHeight w:val="196"/>
        </w:trPr>
        <w:tc>
          <w:tcPr>
            <w:tcW w:w="59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20, 2014</w:t>
            </w:r>
          </w:p>
        </w:tc>
        <w:tc>
          <w:tcPr>
            <w:tcW w:w="1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14, 2013</w:t>
            </w:r>
          </w:p>
        </w:tc>
        <w:tc>
          <w:tcPr>
            <w:tcW w:w="1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20, 2014</w:t>
            </w:r>
          </w:p>
        </w:tc>
        <w:tc>
          <w:tcPr>
            <w:tcW w:w="180" w:type="dxa"/>
            <w:vAlign w:val="bottom"/>
          </w:tcPr>
          <w:p>
            <w:pPr>
              <w:spacing w:after="0"/>
              <w:rPr>
                <w:sz w:val="17"/>
                <w:szCs w:val="17"/>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14, 2013</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(1)</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2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890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Interest expense excludes consumer financing interest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business is grouped into three reportable business segments: North America, Europe and Asia Pacific. See Footnote No. 15, “Business Segments,” to our Financial Statements for further information on our segments.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20, 2014, we operated the following 62 properties by segment:</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860" w:type="dxa"/>
            <w:vAlign w:val="bottom"/>
          </w:tcPr>
          <w:p>
            <w:pPr>
              <w:jc w:val="right"/>
              <w:ind w:right="134"/>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1000" w:type="dxa"/>
            <w:vAlign w:val="bottom"/>
          </w:tcPr>
          <w:p>
            <w:pPr>
              <w:jc w:val="right"/>
              <w:ind w:right="136"/>
              <w:spacing w:after="0"/>
              <w:rPr>
                <w:sz w:val="20"/>
                <w:szCs w:val="20"/>
                <w:color w:val="auto"/>
              </w:rPr>
            </w:pPr>
            <w:r>
              <w:rPr>
                <w:rFonts w:ascii="Arial" w:cs="Arial" w:eastAsia="Arial" w:hAnsi="Arial"/>
                <w:sz w:val="14"/>
                <w:szCs w:val="14"/>
                <w:b w:val="1"/>
                <w:bCs w:val="1"/>
                <w:color w:val="auto"/>
              </w:rPr>
              <w:t>Non-U.S.</w:t>
            </w:r>
          </w:p>
        </w:tc>
        <w:tc>
          <w:tcPr>
            <w:tcW w:w="180" w:type="dxa"/>
            <w:vAlign w:val="bottom"/>
          </w:tcPr>
          <w:p>
            <w:pPr>
              <w:spacing w:after="0"/>
              <w:rPr>
                <w:sz w:val="14"/>
                <w:szCs w:val="14"/>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8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47</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Europe</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96"/>
              <w:spacing w:after="0"/>
              <w:rPr>
                <w:sz w:val="20"/>
                <w:szCs w:val="20"/>
                <w:color w:val="auto"/>
              </w:rPr>
            </w:pPr>
            <w:r>
              <w:rPr>
                <w:rFonts w:ascii="Arial" w:cs="Arial" w:eastAsia="Arial" w:hAnsi="Arial"/>
                <w:sz w:val="18"/>
                <w:szCs w:val="18"/>
                <w:color w:val="auto"/>
              </w:rPr>
              <w:t>5</w:t>
            </w:r>
          </w:p>
        </w:tc>
        <w:tc>
          <w:tcPr>
            <w:tcW w:w="1040" w:type="dxa"/>
            <w:vAlign w:val="bottom"/>
            <w:gridSpan w:val="2"/>
          </w:tcPr>
          <w:p>
            <w:pPr>
              <w:jc w:val="right"/>
              <w:ind w:right="9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8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4</w:t>
            </w:r>
          </w:p>
        </w:tc>
        <w:tc>
          <w:tcPr>
            <w:tcW w:w="104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890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Includes properties located in the 48 contiguous states, Hawaii and Alaska.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w w:val="94"/>
              </w:rPr>
              <w:t>Twenty-Four Weeks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tcPr>
          <w:p>
            <w:pPr>
              <w:spacing w:after="0"/>
              <w:rPr>
                <w:sz w:val="17"/>
                <w:szCs w:val="17"/>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June 20, 2014</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14, 2013</w:t>
            </w:r>
          </w:p>
        </w:tc>
        <w:tc>
          <w:tcPr>
            <w:tcW w:w="180" w:type="dxa"/>
            <w:vAlign w:val="bottom"/>
          </w:tcPr>
          <w:p>
            <w:pPr>
              <w:spacing w:after="0"/>
              <w:rPr>
                <w:sz w:val="17"/>
                <w:szCs w:val="17"/>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June 20, 2014</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June 14,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6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Sale of vacation ownership products</w:t>
            </w:r>
          </w:p>
        </w:tc>
        <w:tc>
          <w:tcPr>
            <w:tcW w:w="19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62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9"/>
              </w:rPr>
              <w:t>136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8"/>
                <w:szCs w:val="18"/>
                <w:color w:val="auto"/>
              </w:rPr>
            </w:pPr>
          </w:p>
        </w:tc>
        <w:tc>
          <w:tcPr>
            <w:tcW w:w="40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Financing</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reimbursements</w:t>
            </w:r>
          </w:p>
        </w:tc>
        <w:tc>
          <w:tcPr>
            <w:tcW w:w="1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1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359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Cost of vacation ownership products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sales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Resort management and other services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Litigation settlement</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Organizational and separation related</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fee</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reimbursements</w:t>
            </w:r>
          </w:p>
        </w:tc>
        <w:tc>
          <w:tcPr>
            <w:tcW w:w="1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1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and other income</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Impairment reversals on equity investment</w:t>
            </w:r>
          </w:p>
        </w:tc>
        <w:tc>
          <w:tcPr>
            <w:tcW w:w="1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Segment financial results</w:t>
            </w:r>
          </w:p>
        </w:tc>
        <w:tc>
          <w:tcPr>
            <w:tcW w:w="19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40" w:type="dxa"/>
            <w:vAlign w:val="bottom"/>
            <w:vMerge w:val="restart"/>
          </w:tcPr>
          <w:p>
            <w:pPr>
              <w:jc w:val="right"/>
              <w:ind w:right="510"/>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5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June 20, 2014</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June 14, 2013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Change</w:t>
            </w:r>
          </w:p>
        </w:tc>
        <w:tc>
          <w:tcPr>
            <w:tcW w:w="1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196"/>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146</w:t>
            </w:r>
          </w:p>
        </w:tc>
        <w:tc>
          <w:tcPr>
            <w:tcW w:w="54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141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5</w:t>
            </w:r>
          </w:p>
        </w:tc>
        <w:tc>
          <w:tcPr>
            <w:tcW w:w="128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3%</w:t>
            </w: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23"/>
        </w:trPr>
        <w:tc>
          <w:tcPr>
            <w:tcW w:w="5960" w:type="dxa"/>
            <w:vAlign w:val="bottom"/>
          </w:tcPr>
          <w:p>
            <w:pPr>
              <w:ind w:left="180"/>
              <w:spacing w:after="0"/>
              <w:rPr>
                <w:sz w:val="20"/>
                <w:szCs w:val="20"/>
                <w:color w:val="auto"/>
              </w:rPr>
            </w:pPr>
            <w:r>
              <w:rPr>
                <w:rFonts w:ascii="Arial" w:cs="Arial" w:eastAsia="Arial" w:hAnsi="Arial"/>
                <w:sz w:val="18"/>
                <w:szCs w:val="18"/>
                <w:color w:val="auto"/>
              </w:rPr>
              <w:t>Total contract sales</w:t>
            </w:r>
          </w:p>
        </w:tc>
        <w:tc>
          <w:tcPr>
            <w:tcW w:w="2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2%</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increase in contract sales in our North America segment reflects a $5 million increase in vacation ownership contract sales and a $1 million decline in residential contract sales.</w:t>
      </w:r>
    </w:p>
    <w:p>
      <w:pPr>
        <w:spacing w:after="0" w:line="17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The increase in vacation ownership contract sales in our North America segment was driven by continued improvement at on-site sales locations, which resulted from a 5 percent increase in VPG to $3,383 in the twelve weeks ended June 20, 2014 from $3,211 in the prior year comparable period, partially offset by a 1 percent decline in the number of tours. Contract sales at off-site (non tour-based) sales locations were flat compared to the prior year comparable period. The increase in VPG was due to higher pricing, and slight increases in the average number of points purchased per contract and closing efficiency. The decline in the number of tours continued to be driven by an increase in weeks-based owner utilization of the MVCD program, with owners taking advantage of the program’s flexibility to take vacations of shorter duration and exercise alternative usage options. This trend has reduced our existing owner tour flow because fewer owners are in our resorts, and their stays in our resorts are shorter, than in prior years. We implemented new programs aimed at generating existing owner tours and new marketing programs targeted toward first-time buyers, which we expect will increase tour flow in the next six to nine months.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w w:val="94"/>
              </w:rPr>
              <w:t>Twenty-Four Weeks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5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June 20, 2014</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June 14, 2013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Change</w:t>
            </w:r>
          </w:p>
        </w:tc>
        <w:tc>
          <w:tcPr>
            <w:tcW w:w="1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196"/>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286</w:t>
            </w:r>
          </w:p>
        </w:tc>
        <w:tc>
          <w:tcPr>
            <w:tcW w:w="54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284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1%</w:t>
            </w: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23"/>
        </w:trPr>
        <w:tc>
          <w:tcPr>
            <w:tcW w:w="5960" w:type="dxa"/>
            <w:vAlign w:val="bottom"/>
          </w:tcPr>
          <w:p>
            <w:pPr>
              <w:ind w:left="180"/>
              <w:spacing w:after="0"/>
              <w:rPr>
                <w:sz w:val="20"/>
                <w:szCs w:val="20"/>
                <w:color w:val="auto"/>
              </w:rPr>
            </w:pPr>
            <w:r>
              <w:rPr>
                <w:rFonts w:ascii="Arial" w:cs="Arial" w:eastAsia="Arial" w:hAnsi="Arial"/>
                <w:sz w:val="18"/>
                <w:szCs w:val="18"/>
                <w:color w:val="auto"/>
              </w:rPr>
              <w:t>Total contract sales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7</w:t>
            </w:r>
          </w:p>
        </w:tc>
        <w:tc>
          <w:tcPr>
            <w:tcW w:w="128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2%</w:t>
            </w: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increase in contract sales in our North America segment includes $5 million of higher residential contract sales and a $2 million increase in vacation ownership contract sales.</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increase in vacation ownership contract sales in our North America segment reflected a $6 million increase in sales at on-site sales locations, and a $4 million decline in sales at off-site (non tour-based) sales locations, due in part to the closure or downsizing of certain under-performing locations since the prior year comparable period. The increase in sales at on-site sales locations resulted from a 6 percent increase in VPG to $3,428 in the twenty-four weeks ended June 20, 2014 from $3,238 in the prior year comparable period, partially offset by a 3 percent decline in the number of tours. The increase in VPG was due to a 0.5 percentage point increase in closing efficiency and higher pricing, partially offset by a decline in the average number of points purchased per contract. The decline in the number of tours continued to be driven by an increase in weeks-based owner utilization of the MVCD program, with owners taking advantage of the program’s flexibility to take vacations of shorter duration and exercise alternative usage options. This trend has reduced our existing owner tour flow because fewer owners are in our resorts, and their stays in our resorts are shorter, than in prior years. We implemented new programs aimed at generating existing owner tours and new marketing programs targeted toward first-time buyers, which we expect will increase tour flow in the next six to nine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5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June 20, 2014</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June 14, 2013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7"/>
              </w:rPr>
              <w:t>Change</w:t>
            </w:r>
          </w:p>
        </w:tc>
        <w:tc>
          <w:tcPr>
            <w:tcW w:w="1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19%</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NM</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Development margin</w:t>
            </w:r>
          </w:p>
        </w:tc>
        <w:tc>
          <w:tcPr>
            <w:tcW w:w="2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24%</w:t>
            </w: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 pts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00"/>
          </w:cols>
          <w:pgMar w:left="240" w:top="459" w:right="25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459" w:right="2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decrease in revenues from the sale of vacation ownership products was due to $5 million of lower revenue reportability compared to the prior year comparable period, partially offset by the $4 million increase in contract sales net of sales reserve. The $5 million of lower revenue reportability resulted from $5 million of higher revenue reportability in the prior year comparable period, compared to no impact from revenue reportability in the twelve weeks ended June 20, 2014. Revenue reportability was higher in the prior year quarter because the rescission period related to certain sales had expired.</w:t>
      </w:r>
    </w:p>
    <w:p>
      <w:pPr>
        <w:spacing w:after="0" w:line="154"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The increase in development margin reflected a $9 million net increase from vacation ownership contract sales volume net of lower direct variable expenses (i.e., cost of vacation ownership products and marketing and sales) driven by $6 million from a favorable mix of lower cost real estate inventory being sold, $2 million from more efficient marketing and sales spending and $1 million from the higher contract sales volume. In addition, the development margin includes $2 million of higher favorable product cost true-ups ($2 million in the twelve weeks ended June 20, 2014 compared to $0 in the prior year comparable period). These increases are partially offset by $3 million from the higher revenue reportability in the prior year comparable period.</w:t>
      </w:r>
    </w:p>
    <w:p>
      <w:pPr>
        <w:spacing w:after="0" w:line="15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5.5 percentage point improvement in the development margin percentage reflected a 5 percentage point increase due to a favorable mix of lower cost vacation ownership real estate inventory being sold in the twelve weeks ended June 20, 2014, a 1 percentage point increase due to increased efficiency in marketing and sales spending and a 1 percentage point increase due to the higher favorable product cost true-up activity year-over-year. These increases were partially offset by a more than 1 percentage point decrease due to lower revenue reportability year-over-year.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w w:val="97"/>
              </w:rPr>
              <w:t>Twenty-Four Weeks Ended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55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June 20, 2014</w:t>
            </w:r>
          </w:p>
        </w:tc>
        <w:tc>
          <w:tcPr>
            <w:tcW w:w="3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June 14, 2013</w:t>
            </w:r>
          </w:p>
        </w:tc>
        <w:tc>
          <w:tcPr>
            <w:tcW w:w="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 Change</w:t>
            </w: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1%</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7</w:t>
            </w:r>
          </w:p>
        </w:tc>
        <w:tc>
          <w:tcPr>
            <w:tcW w:w="1420" w:type="dxa"/>
            <w:vAlign w:val="bottom"/>
            <w:gridSpan w:val="2"/>
          </w:tcPr>
          <w:p>
            <w:pPr>
              <w:jc w:val="right"/>
              <w:ind w:right="299"/>
              <w:spacing w:after="0"/>
              <w:rPr>
                <w:sz w:val="20"/>
                <w:szCs w:val="20"/>
                <w:color w:val="auto"/>
              </w:rPr>
            </w:pPr>
            <w:r>
              <w:rPr>
                <w:rFonts w:ascii="Arial" w:cs="Arial" w:eastAsia="Arial" w:hAnsi="Arial"/>
                <w:sz w:val="18"/>
                <w:szCs w:val="18"/>
                <w:color w:val="auto"/>
              </w:rPr>
              <w:t>9%</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142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1%</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Development margin</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9"/>
                <w:szCs w:val="19"/>
                <w:color w:val="auto"/>
              </w:rPr>
            </w:pPr>
          </w:p>
        </w:tc>
        <w:tc>
          <w:tcPr>
            <w:tcW w:w="2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w:t>
            </w:r>
          </w:p>
        </w:tc>
        <w:tc>
          <w:tcPr>
            <w:tcW w:w="1420" w:type="dxa"/>
            <w:vAlign w:val="bottom"/>
            <w:gridSpan w:val="2"/>
          </w:tcPr>
          <w:p>
            <w:pPr>
              <w:jc w:val="right"/>
              <w:ind w:right="299"/>
              <w:spacing w:after="0"/>
              <w:rPr>
                <w:sz w:val="20"/>
                <w:szCs w:val="20"/>
                <w:color w:val="auto"/>
              </w:rPr>
            </w:pPr>
            <w:r>
              <w:rPr>
                <w:rFonts w:ascii="Arial" w:cs="Arial" w:eastAsia="Arial" w:hAnsi="Arial"/>
                <w:sz w:val="18"/>
                <w:szCs w:val="18"/>
                <w:color w:val="auto"/>
              </w:rPr>
              <w:t>25%</w:t>
            </w: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 pts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increase in revenues from the sale of vacation ownership products was due to the $7 million increase in contract sales net of sales reserve and $2 million from lower vacation ownership notes receivable reserve activity due to a decrease in estimated default activity compared to the prior year comparable period. These increases were partially offset by $4 million of lower revenue reportability compared to the prior year comparable period and $1 million of higher plus points issued as sales incentives in the current period.</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increase in development margin reflected a $16 million net increase from higher vacation ownership contract sales volume net of lower direct variable expenses (i.e., cost of vacation ownership products and marketing and sales) driven by $13 million from a favorable mix of lower cost real estate inventory being sold and $3 million from more efficient marketing and sales spending. Additionally, the increase in development margin reflects a $1 million increase in higher residential contract sales and the $1 million decrease in vacation ownership notes receivable reserve activity. These increases were partially offset by $3 million of lower revenue reportability compared to the prior year comparable period and $2 million of lower favorable product cost true-ups ($3 million in the twenty-four weeks ended June 20, 2014 compared to $5 million in the prior year comparable period).</w:t>
      </w:r>
    </w:p>
    <w:p>
      <w:pPr>
        <w:spacing w:after="0" w:line="17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4.4 percentage point improvement in the development margin percentage reflected a 5 percentage point increase due to a favorable mix of lower cost vacation ownership real estate inventory being sold in the twenty-four weeks ended June 20, 2014 and a 1 percentage point increase due to increased efficiency in marketing and sales spending. These increases were partially offset by a 1 percentage point decrease due to the lower favorable product cost true-up activity year-over-year and a less than 1 percentage point decrease due to lower revenue reportability year-over-year. The increase in residential contract sales did not materially impact the development margin percentage as the higher cost of the real estate inventory sold was offset by lower marketing and sales cost.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June 20, 2014</w:t>
            </w: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14, 2013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Change</w:t>
            </w:r>
          </w:p>
        </w:tc>
        <w:tc>
          <w:tcPr>
            <w:tcW w:w="18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299"/>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c>
          <w:tcPr>
            <w:tcW w:w="128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9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c>
          <w:tcPr>
            <w:tcW w:w="128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w w:val="99"/>
              </w:rPr>
              <w:t>6.9 pts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increase in resort management and other services revenues was driven by $1 million of higher management fees, $1 million of higher fees from our third party exchange company, $1 million of higher resales commission and $1 million of additional annual club dues earned in connection with the MVCD program due to the cumulative increase in owners enrolled in the program. Ancillary revenues were flat compared to the prior year comparable period, and included a $1 million decline due to the disposition of a golf course in Orlando, Florida during the first quarter of 2014, which was offset by a $1 million increase in ancillary revenues from food and beverage and golf offerings at our resorts.</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improvement in the resort management and other services margin reflected the increases in revenue while expenses remained flat compared to the prior year comparable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w w:val="94"/>
              </w:rPr>
              <w:t>Twenty-Four Weeks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June 20, 2014</w:t>
            </w: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14, 2013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Change</w:t>
            </w:r>
          </w:p>
        </w:tc>
        <w:tc>
          <w:tcPr>
            <w:tcW w:w="18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29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w:t>
            </w:r>
          </w:p>
        </w:tc>
        <w:tc>
          <w:tcPr>
            <w:tcW w:w="128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29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w:t>
            </w:r>
          </w:p>
        </w:tc>
        <w:tc>
          <w:tcPr>
            <w:tcW w:w="128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w w:val="99"/>
              </w:rPr>
              <w:t>5.2 pts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increase in resort management and other services revenues was driven by $2 million of higher management fees, $2 million of additional annual club dues earned in connection with the MVCD program due to the cumulative increase in owners enrolled in the program, $1 million of higher fees from our third party exchange company and $1 million of higher resales commission. Ancillary revenues were flat compared to the prior year comparable period, and included a $2 million increase in ancillary revenues from food and beverage and golf offerings at our resorts, offset by a $2 million decline due to the disposition of a golf course in Orlando, Florida during the first quarter of 2014.</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improvement in the resort management and other services margin reflected the increases in revenue as well as $1 million of lower customer service and MVCD program expenses in the twenty-four weeks ended June 20, 2014 compared to the prior year comparable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June 20, 2014</w:t>
            </w: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14, 2013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w w:val="97"/>
              </w:rPr>
              <w:t>Change</w:t>
            </w:r>
          </w:p>
        </w:tc>
        <w:tc>
          <w:tcPr>
            <w:tcW w:w="180" w:type="dxa"/>
            <w:vAlign w:val="bottom"/>
          </w:tcPr>
          <w:p>
            <w:pPr>
              <w:spacing w:after="0"/>
              <w:rPr>
                <w:sz w:val="17"/>
                <w:szCs w:val="17"/>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7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w:t>
            </w:r>
          </w:p>
        </w:tc>
        <w:tc>
          <w:tcPr>
            <w:tcW w:w="46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2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60" w:type="dxa"/>
            <w:vAlign w:val="bottom"/>
          </w:tcPr>
          <w:p>
            <w:pPr>
              <w:jc w:val="right"/>
              <w:ind w:right="53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decrease in financing revenues was due to lower interest income from a lower outstanding vacation ownership notes receivable balance. This decline reflected our continued collection of existing vacation ownership notes receivable at a faster pace than our origination of new vacation ownership notes receivable.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w w:val="94"/>
              </w:rPr>
              <w:t>Twenty-Four Weeks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June 20, 2014</w:t>
            </w: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14, 2013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7"/>
                <w:szCs w:val="17"/>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center"/>
              <w:ind w:left="254"/>
              <w:spacing w:after="0"/>
              <w:rPr>
                <w:sz w:val="20"/>
                <w:szCs w:val="20"/>
                <w:color w:val="auto"/>
              </w:rPr>
            </w:pPr>
            <w:r>
              <w:rPr>
                <w:rFonts w:ascii="Arial" w:cs="Arial" w:eastAsia="Arial" w:hAnsi="Arial"/>
                <w:sz w:val="18"/>
                <w:szCs w:val="18"/>
                <w:color w:val="auto"/>
                <w:w w:val="90"/>
              </w:rPr>
              <w:t>(6)</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294"/>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19"/>
                <w:szCs w:val="19"/>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56</w:t>
            </w:r>
          </w:p>
        </w:tc>
        <w:tc>
          <w:tcPr>
            <w:tcW w:w="4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90"/>
              </w:rPr>
              <w:t>(5)</w:t>
            </w:r>
          </w:p>
        </w:tc>
        <w:tc>
          <w:tcPr>
            <w:tcW w:w="1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54"/>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decrease in financing revenues was due to lower interest income from a lower outstanding vacation ownership notes receivable balance. This decline reflected our continued collection of existing vacation ownership notes receivable at a faster pace than our origination of new vacation ownership notes receivable.</w:t>
      </w:r>
    </w:p>
    <w:p>
      <w:pPr>
        <w:spacing w:after="0" w:line="177" w:lineRule="exact"/>
        <w:rPr>
          <w:sz w:val="20"/>
          <w:szCs w:val="20"/>
          <w:color w:val="auto"/>
        </w:rPr>
      </w:pPr>
    </w:p>
    <w:p>
      <w:pPr>
        <w:jc w:val="right"/>
        <w:ind w:right="8280"/>
        <w:spacing w:after="0"/>
        <w:rPr>
          <w:sz w:val="20"/>
          <w:szCs w:val="20"/>
          <w:color w:val="auto"/>
        </w:rPr>
      </w:pPr>
      <w:r>
        <w:rPr>
          <w:rFonts w:ascii="Arial" w:cs="Arial" w:eastAsia="Arial" w:hAnsi="Arial"/>
          <w:sz w:val="16"/>
          <w:szCs w:val="16"/>
          <w:b w:val="1"/>
          <w:bCs w:val="1"/>
          <w:color w:val="auto"/>
        </w:rPr>
        <w:t>Rental Revenues, Expenses and Margin</w:t>
      </w:r>
    </w:p>
    <w:p>
      <w:pPr>
        <w:spacing w:after="0" w:line="144" w:lineRule="exact"/>
        <w:rPr>
          <w:sz w:val="20"/>
          <w:szCs w:val="20"/>
          <w:color w:val="auto"/>
        </w:rPr>
      </w:pPr>
    </w:p>
    <w:p>
      <w:pPr>
        <w:jc w:val="right"/>
        <w:ind w:right="8320"/>
        <w:spacing w:after="0"/>
        <w:rPr>
          <w:sz w:val="20"/>
          <w:szCs w:val="20"/>
          <w:color w:val="auto"/>
        </w:rPr>
      </w:pPr>
      <w:r>
        <w:rPr>
          <w:rFonts w:ascii="Arial" w:cs="Arial" w:eastAsia="Arial" w:hAnsi="Arial"/>
          <w:sz w:val="18"/>
          <w:szCs w:val="18"/>
          <w:i w:val="1"/>
          <w:iCs w:val="1"/>
          <w:color w:val="auto"/>
        </w:rPr>
        <w:t>Twelve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5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June 20, 2014</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June 14, 2013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 Change</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90"/>
              </w:rPr>
              <w:t>(3)</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w:t>
            </w: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left="313"/>
              <w:spacing w:after="0"/>
              <w:rPr>
                <w:sz w:val="20"/>
                <w:szCs w:val="20"/>
                <w:color w:val="auto"/>
              </w:rPr>
            </w:pPr>
            <w:r>
              <w:rPr>
                <w:rFonts w:ascii="Arial" w:cs="Arial" w:eastAsia="Arial" w:hAnsi="Arial"/>
                <w:sz w:val="18"/>
                <w:szCs w:val="18"/>
                <w:color w:val="auto"/>
                <w:w w:val="79"/>
              </w:rPr>
              <w:t>1</w:t>
            </w:r>
          </w:p>
        </w:tc>
        <w:tc>
          <w:tcPr>
            <w:tcW w:w="1280" w:type="dxa"/>
            <w:vAlign w:val="bottom"/>
            <w:gridSpan w:val="2"/>
          </w:tcPr>
          <w:p>
            <w:pPr>
              <w:jc w:val="right"/>
              <w:ind w:right="319"/>
              <w:spacing w:after="0"/>
              <w:rPr>
                <w:sz w:val="20"/>
                <w:szCs w:val="20"/>
                <w:color w:val="auto"/>
              </w:rPr>
            </w:pPr>
            <w:r>
              <w:rPr>
                <w:rFonts w:ascii="Arial" w:cs="Arial" w:eastAsia="Arial" w:hAnsi="Arial"/>
                <w:sz w:val="18"/>
                <w:szCs w:val="18"/>
                <w:color w:val="auto"/>
              </w:rPr>
              <w:t>15%</w:t>
            </w: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ind w:left="313"/>
              <w:spacing w:after="0"/>
              <w:rPr>
                <w:sz w:val="20"/>
                <w:szCs w:val="20"/>
                <w:color w:val="auto"/>
              </w:rPr>
            </w:pPr>
            <w:r>
              <w:rPr>
                <w:rFonts w:ascii="Arial" w:cs="Arial" w:eastAsia="Arial" w:hAnsi="Arial"/>
                <w:sz w:val="18"/>
                <w:szCs w:val="18"/>
                <w:color w:val="auto"/>
                <w:w w:val="79"/>
              </w:rPr>
              <w:t>1</w:t>
            </w:r>
          </w:p>
        </w:tc>
        <w:tc>
          <w:tcPr>
            <w:tcW w:w="128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22%</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left="313"/>
              <w:spacing w:after="0"/>
              <w:rPr>
                <w:sz w:val="20"/>
                <w:szCs w:val="20"/>
                <w:color w:val="auto"/>
              </w:rPr>
            </w:pPr>
            <w:r>
              <w:rPr>
                <w:rFonts w:ascii="Arial" w:cs="Arial" w:eastAsia="Arial" w:hAnsi="Arial"/>
                <w:sz w:val="18"/>
                <w:szCs w:val="18"/>
                <w:color w:val="auto"/>
                <w:w w:val="79"/>
              </w:rPr>
              <w:t>2</w:t>
            </w:r>
          </w:p>
        </w:tc>
        <w:tc>
          <w:tcPr>
            <w:tcW w:w="1280" w:type="dxa"/>
            <w:vAlign w:val="bottom"/>
            <w:gridSpan w:val="2"/>
          </w:tcPr>
          <w:p>
            <w:pPr>
              <w:jc w:val="right"/>
              <w:ind w:right="319"/>
              <w:spacing w:after="0"/>
              <w:rPr>
                <w:sz w:val="20"/>
                <w:szCs w:val="20"/>
                <w:color w:val="auto"/>
              </w:rPr>
            </w:pPr>
            <w:r>
              <w:rPr>
                <w:rFonts w:ascii="Arial" w:cs="Arial" w:eastAsia="Arial" w:hAnsi="Arial"/>
                <w:sz w:val="18"/>
                <w:szCs w:val="18"/>
                <w:color w:val="auto"/>
              </w:rPr>
              <w:t>16%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ind w:left="273"/>
              <w:spacing w:after="0"/>
              <w:rPr>
                <w:sz w:val="20"/>
                <w:szCs w:val="20"/>
                <w:color w:val="auto"/>
              </w:rPr>
            </w:pPr>
            <w:r>
              <w:rPr>
                <w:rFonts w:ascii="Arial" w:cs="Arial" w:eastAsia="Arial" w:hAnsi="Arial"/>
                <w:sz w:val="18"/>
                <w:szCs w:val="18"/>
                <w:color w:val="auto"/>
                <w:w w:val="90"/>
              </w:rPr>
              <w:t>(2)</w:t>
            </w:r>
          </w:p>
        </w:tc>
        <w:tc>
          <w:tcPr>
            <w:tcW w:w="12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(5%)</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Rental margin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color w:val="auto"/>
                <w:w w:val="90"/>
              </w:rPr>
              <w:t>(3)</w:t>
            </w:r>
          </w:p>
        </w:tc>
        <w:tc>
          <w:tcPr>
            <w:tcW w:w="128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(25%)</w:t>
            </w: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 pts)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365"/>
        </w:trPr>
        <w:tc>
          <w:tcPr>
            <w:tcW w:w="5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59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June 20, 2014</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June 14, 2013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 Change</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89"/>
              </w:rPr>
              <w:t>237,045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230,898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6,147</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120"/>
              <w:spacing w:after="0"/>
              <w:rPr>
                <w:sz w:val="20"/>
                <w:szCs w:val="20"/>
                <w:color w:val="auto"/>
              </w:rPr>
            </w:pPr>
            <w:r>
              <w:rPr>
                <w:rFonts w:ascii="Arial" w:cs="Arial" w:eastAsia="Arial" w:hAnsi="Arial"/>
                <w:sz w:val="18"/>
                <w:szCs w:val="18"/>
                <w:color w:val="auto"/>
              </w:rPr>
              <w:t>202.75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w w:val="96"/>
              </w:rPr>
              <w:t>$ 199.52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$ 3.23</w:t>
            </w:r>
          </w:p>
        </w:tc>
        <w:tc>
          <w:tcPr>
            <w:tcW w:w="128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(1.4 pts)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890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decrease in rental revenues was due to $5 million of lower plus points revenue (which is recognized upon utilization of plus points for stays at our resorts or upon expiration of the points), partially offset by a 3 percent increase in transient keys rented ($1 million) and a 2 percent increase in average transient rate ($1 million), both of which were driven by stronger consumer demand and a favorable mix of available inventory.</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decline in rental margin reflected the $5 million decline in plus points revenue resulting from the decline in new enrollments in the MVCD program by existing owners (due to the maturity of the MVCD program), and corresponding decline in issuance of plus points as incentives for enrollment in the MVCD program, partially offset by $2 million of higher rental revenues net of direct variable expenses (such as housekeeping), expenses incurred due to owners choosing alternative usage options, and unsold maintenance fees.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w w:val="94"/>
              </w:rPr>
              <w:t>Twenty-Four Weeks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5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June 20, 2014</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June 14, 2013</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w:t>
            </w: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13%</w:t>
            </w: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NM</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10%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(4%)</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Rental margin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(14%)</w:t>
            </w: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 pts)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365"/>
        </w:trPr>
        <w:tc>
          <w:tcPr>
            <w:tcW w:w="5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w w:val="94"/>
              </w:rPr>
              <w:t>Twenty-Four Weeks Ended</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59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June 20, 2014</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June 14, 2013</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89"/>
              </w:rPr>
              <w:t>489,745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477,281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4"/>
              </w:rPr>
              <w:t>12,464</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208.13</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204.38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3.75</w:t>
            </w:r>
          </w:p>
        </w:tc>
        <w:tc>
          <w:tcPr>
            <w:tcW w:w="128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(0.3 pts)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890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decrease in rental revenues was due to $7 million of lower plus points revenue (which is recognized upon utilization of plus points for stays at our resorts or upon expiration of the points), partially offset by a 3 percent increase in transient keys rented ($3 million) and a 2 percent increase in average transient rate ($2 million), both of which were driven by stronger consumer demand and a favorable mix of available inventory.</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decline in rental margin reflected the $7 million decline in plus points revenue resulting from the decline in new enrollments in the MVCD program by existing owners (due to the maturity of the MVCD program), and corresponding decline in issuance of plus points as incentives for enrollment in the MVCD program, partially offset by $5 million of higher rental revenues net of direct variable expenses (such as housekeeping), expenses incurred due to owners choosing alternative usage options, and unsold maintenance fees.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Twelve Weeks Ended</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Twenty-Four Weeks Ended</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51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20, 2014</w:t>
            </w:r>
          </w:p>
        </w:tc>
        <w:tc>
          <w:tcPr>
            <w:tcW w:w="2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June 14, 2013</w:t>
            </w:r>
            <w:r>
              <w:rPr>
                <w:rFonts w:ascii="Arial" w:cs="Arial" w:eastAsia="Arial" w:hAnsi="Arial"/>
                <w:sz w:val="12"/>
                <w:szCs w:val="12"/>
                <w:b w:val="1"/>
                <w:bCs w:val="1"/>
                <w:color w:val="auto"/>
                <w:w w:val="98"/>
              </w:rPr>
              <w:t>(1)</w:t>
            </w:r>
          </w:p>
        </w:tc>
        <w:tc>
          <w:tcPr>
            <w:tcW w:w="3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June 20, 2014</w:t>
            </w:r>
            <w:r>
              <w:rPr>
                <w:rFonts w:ascii="Arial" w:cs="Arial" w:eastAsia="Arial" w:hAnsi="Arial"/>
                <w:sz w:val="12"/>
                <w:szCs w:val="12"/>
                <w:b w:val="1"/>
                <w:bCs w:val="1"/>
                <w:color w:val="auto"/>
                <w:w w:val="98"/>
              </w:rPr>
              <w:t>(1)</w:t>
            </w:r>
          </w:p>
        </w:tc>
        <w:tc>
          <w:tcPr>
            <w:tcW w:w="30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14, 2013</w:t>
            </w:r>
            <w:r>
              <w:rPr>
                <w:rFonts w:ascii="Arial" w:cs="Arial" w:eastAsia="Arial" w:hAnsi="Arial"/>
                <w:sz w:val="12"/>
                <w:szCs w:val="12"/>
                <w:b w:val="1"/>
                <w:bCs w:val="1"/>
                <w:color w:val="auto"/>
              </w:rPr>
              <w:t>(1)</w:t>
            </w: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040" w:type="dxa"/>
            <w:vAlign w:val="bottom"/>
            <w:gridSpan w:val="2"/>
          </w:tcPr>
          <w:p>
            <w:pPr>
              <w:jc w:val="right"/>
              <w:ind w:right="579"/>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56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10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Rental</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ind w:left="720"/>
              <w:spacing w:after="0"/>
              <w:rPr>
                <w:sz w:val="20"/>
                <w:szCs w:val="20"/>
                <w:color w:val="auto"/>
              </w:rPr>
            </w:pPr>
            <w:r>
              <w:rPr>
                <w:rFonts w:ascii="Arial" w:cs="Arial" w:eastAsia="Arial" w:hAnsi="Arial"/>
                <w:sz w:val="18"/>
                <w:szCs w:val="18"/>
                <w:color w:val="auto"/>
              </w:rPr>
              <w:t>Segment financial results</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890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9"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Europe and Asia Pacific segment revenues and expenses have been restated to correct certain immaterial prior period errors. For the twenty-four weeks ended June 20, 2014, $1 million of cost reimbursements related to the twelve weeks ended March 28, 2014 were reclassified from the Asia Pacific segment to the Europe segment. For the twelve and twenty-four weeks ended June 14, 2013, $2 million and $3 million of cost reimbursements were reclassified from the Asia Pacific segment to the Europe segment,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Twelve Weeks Ended</w:t>
            </w:r>
          </w:p>
        </w:tc>
        <w:tc>
          <w:tcPr>
            <w:tcW w:w="4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54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20, 2014</w:t>
            </w:r>
          </w:p>
        </w:tc>
        <w:tc>
          <w:tcPr>
            <w:tcW w:w="3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14, 2013</w:t>
            </w: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3"/>
        </w:trPr>
        <w:tc>
          <w:tcPr>
            <w:tcW w:w="540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center"/>
              <w:ind w:left="210"/>
              <w:spacing w:after="0"/>
              <w:rPr>
                <w:sz w:val="20"/>
                <w:szCs w:val="20"/>
                <w:color w:val="auto"/>
              </w:rPr>
            </w:pPr>
            <w:r>
              <w:rPr>
                <w:rFonts w:ascii="Arial" w:cs="Arial" w:eastAsia="Arial" w:hAnsi="Arial"/>
                <w:sz w:val="18"/>
                <w:szCs w:val="18"/>
                <w:color w:val="auto"/>
                <w:w w:val="94"/>
              </w:rPr>
              <w:t>82%</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contract sales</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4"/>
              </w:rPr>
              <w:t>82%</w:t>
            </w:r>
          </w:p>
        </w:tc>
      </w:tr>
      <w:tr>
        <w:trPr>
          <w:trHeight w:val="20"/>
        </w:trPr>
        <w:tc>
          <w:tcPr>
            <w:tcW w:w="5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increase in contract sales reflected stronger sales from our Middle East sales location ($2 million) and higher cancellation activity in the prior year comparable period associated with the extended rescission periods in this segment ($2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2"/>
              </w:rPr>
              <w:t>Twenty-Four Weeks Ended</w:t>
            </w:r>
          </w:p>
        </w:tc>
        <w:tc>
          <w:tcPr>
            <w:tcW w:w="3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6"/>
        </w:trPr>
        <w:tc>
          <w:tcPr>
            <w:tcW w:w="54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20, 2014</w:t>
            </w:r>
          </w:p>
        </w:tc>
        <w:tc>
          <w:tcPr>
            <w:tcW w:w="3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14, 2013</w:t>
            </w:r>
          </w:p>
        </w:tc>
        <w:tc>
          <w:tcPr>
            <w:tcW w:w="3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3"/>
        </w:trPr>
        <w:tc>
          <w:tcPr>
            <w:tcW w:w="542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11</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center"/>
              <w:ind w:left="230"/>
              <w:spacing w:after="0"/>
              <w:rPr>
                <w:sz w:val="20"/>
                <w:szCs w:val="20"/>
                <w:color w:val="auto"/>
              </w:rPr>
            </w:pPr>
            <w:r>
              <w:rPr>
                <w:rFonts w:ascii="Arial" w:cs="Arial" w:eastAsia="Arial" w:hAnsi="Arial"/>
                <w:sz w:val="18"/>
                <w:szCs w:val="18"/>
                <w:color w:val="auto"/>
                <w:w w:val="94"/>
              </w:rPr>
              <w:t>85%</w:t>
            </w: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contract sales</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11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9</w:t>
            </w:r>
          </w:p>
        </w:tc>
        <w:tc>
          <w:tcPr>
            <w:tcW w:w="12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4"/>
              </w:rPr>
              <w:t>85%</w:t>
            </w:r>
          </w:p>
        </w:tc>
      </w:tr>
      <w:tr>
        <w:trPr>
          <w:trHeight w:val="20"/>
        </w:trPr>
        <w:tc>
          <w:tcPr>
            <w:tcW w:w="5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increase in contract sales reflected stronger sales from our Middle East sales location ($4 million), stronger fractional sales at our project in London, United Kingdom ($1 million), and higher cancellation activity in the prior year comparable period associated with the extended rescission periods in this segment ($3 million).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Twelve Weeks Ended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55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6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rPr>
              <w:t>June 20, 2014</w:t>
            </w:r>
          </w:p>
        </w:tc>
        <w:tc>
          <w:tcPr>
            <w:tcW w:w="3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14, 2013</w:t>
            </w:r>
          </w:p>
        </w:tc>
        <w:tc>
          <w:tcPr>
            <w:tcW w:w="3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99"/>
              </w:rPr>
              <w:t>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40" w:type="dxa"/>
            <w:vAlign w:val="bottom"/>
          </w:tcPr>
          <w:p>
            <w:pPr>
              <w:spacing w:after="0"/>
              <w:rPr>
                <w:sz w:val="18"/>
                <w:szCs w:val="18"/>
                <w:color w:val="auto"/>
              </w:rPr>
            </w:pPr>
          </w:p>
        </w:tc>
        <w:tc>
          <w:tcPr>
            <w:tcW w:w="820" w:type="dxa"/>
            <w:vAlign w:val="bottom"/>
          </w:tcPr>
          <w:p>
            <w:pPr>
              <w:jc w:val="center"/>
              <w:ind w:left="233"/>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7</w:t>
            </w:r>
          </w:p>
        </w:tc>
        <w:tc>
          <w:tcPr>
            <w:tcW w:w="120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70%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99"/>
              </w:rPr>
              <w:t>(6)</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9%</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Development margin</w:t>
            </w:r>
          </w:p>
        </w:tc>
        <w:tc>
          <w:tcPr>
            <w:tcW w:w="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color w:val="auto"/>
                <w:w w:val="99"/>
              </w:rPr>
              <w:t>1</w:t>
            </w:r>
          </w:p>
        </w:tc>
        <w:tc>
          <w:tcPr>
            <w:tcW w:w="32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w:t>
            </w:r>
          </w:p>
        </w:tc>
        <w:tc>
          <w:tcPr>
            <w:tcW w:w="120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(87%)</w:t>
            </w: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2"/>
              </w:rPr>
              <w:t>(28.2 pts)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decrease in revenues from the sale of vacation ownership products was due to $20 million of lower revenue reportability compared to the prior year comparable period, partially offset by $4 million from the increase in contract sales net of sales reserve. The $20 million of lower revenue reportability resulted from $1 million of lower revenue reportability in the twelve weeks ended June 20, 2014, compared to $19 million of higher revenue reportability in the prior year comparable period. Revenue reportability was higher in the prior year quarter, because the rescission period related to certain sales had expired, of which $17 million related to the impact of the extended rescission periods in this segment.</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decrease in development margin reflected $11 million from lower revenue reportability year-over-year (of which $9 million related to the impact of the extended rescission periods in this segment), partially offset by a $2 million net increase from higher vacation ownership contract sales volume net of lower direct variable expenses (i.e., cost of vacation ownership products and marketing and sales) driven mainly by more efficient marketing and sales spending, as well as $1 million of severance charges related to the restructuring of sales locations in the prior year comparable period.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w w:val="99"/>
              </w:rPr>
              <w:t>Twenty-Four Weeks Ended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55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6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rPr>
              <w:t>June 20, 2014</w:t>
            </w:r>
          </w:p>
        </w:tc>
        <w:tc>
          <w:tcPr>
            <w:tcW w:w="3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14, 2013</w:t>
            </w:r>
          </w:p>
        </w:tc>
        <w:tc>
          <w:tcPr>
            <w:tcW w:w="3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 Change</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40" w:type="dxa"/>
            <w:vAlign w:val="bottom"/>
          </w:tcPr>
          <w:p>
            <w:pPr>
              <w:spacing w:after="0"/>
              <w:rPr>
                <w:sz w:val="18"/>
                <w:szCs w:val="18"/>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1200" w:type="dxa"/>
            <w:vAlign w:val="bottom"/>
            <w:gridSpan w:val="2"/>
          </w:tcPr>
          <w:p>
            <w:pPr>
              <w:jc w:val="right"/>
              <w:ind w:right="199"/>
              <w:spacing w:after="0"/>
              <w:rPr>
                <w:sz w:val="20"/>
                <w:szCs w:val="20"/>
                <w:color w:val="auto"/>
              </w:rPr>
            </w:pPr>
            <w:r>
              <w:rPr>
                <w:rFonts w:ascii="Arial" w:cs="Arial" w:eastAsia="Arial" w:hAnsi="Arial"/>
                <w:sz w:val="18"/>
                <w:szCs w:val="18"/>
                <w:color w:val="auto"/>
              </w:rPr>
              <w:t>56%</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16%</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Development margin</w:t>
            </w:r>
          </w:p>
        </w:tc>
        <w:tc>
          <w:tcPr>
            <w:tcW w:w="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w:t>
            </w:r>
          </w:p>
        </w:tc>
        <w:tc>
          <w:tcPr>
            <w:tcW w:w="1200" w:type="dxa"/>
            <w:vAlign w:val="bottom"/>
            <w:gridSpan w:val="2"/>
          </w:tcPr>
          <w:p>
            <w:pPr>
              <w:jc w:val="right"/>
              <w:ind w:right="139"/>
              <w:spacing w:after="0"/>
              <w:rPr>
                <w:sz w:val="20"/>
                <w:szCs w:val="20"/>
                <w:color w:val="auto"/>
              </w:rPr>
            </w:pPr>
            <w:r>
              <w:rPr>
                <w:rFonts w:ascii="Arial" w:cs="Arial" w:eastAsia="Arial" w:hAnsi="Arial"/>
                <w:sz w:val="18"/>
                <w:szCs w:val="18"/>
                <w:color w:val="auto"/>
              </w:rPr>
              <w:t>(77%)</w:t>
            </w: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13.9%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2"/>
              </w:rPr>
              <w:t>(18.3 pts)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decrease in revenues from the sale of vacation ownership products was due to $24 million of lower revenue reportability compared to the prior year comparable period, partially offset by $9 million from the increase in contract sales net of sales reserve. The $24 million of lower revenue reportability resulted from $1 million of lower revenue reportability in the twenty-four weeks ended June 20, 2014, compared to $23 million of higher revenue reportability in the prior year comparable period. Revenue reportability was higher in the prior year quarter, because the rescission period related to certain sales had expired, of which $18 million related to the impact of the extended rescission periods in this segment.</w:t>
      </w:r>
    </w:p>
    <w:p>
      <w:pPr>
        <w:spacing w:after="0" w:line="173"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decrease in development margin reflected $13 million from lower revenue reportability year-over-year (of which $10 million related to the impact of the extended rescission periods in this segment), partially offset by a $3 million net increase from higher vacation ownership contract sales volume net of lower direct variable expenses (i.e., cost of vacation ownership products and marketing and sales) driven mainly by more efficient marketing and sales spending, as well as $2 million of severance charges related to the restructuring of sales locations in the prior year comparable period.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Twelve Weeks Ended</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Twenty-Four Weeks Ended</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June 20, 2014</w:t>
            </w:r>
          </w:p>
        </w:tc>
        <w:tc>
          <w:tcPr>
            <w:tcW w:w="2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June 14, 2013</w:t>
            </w:r>
            <w:r>
              <w:rPr>
                <w:rFonts w:ascii="Arial" w:cs="Arial" w:eastAsia="Arial" w:hAnsi="Arial"/>
                <w:sz w:val="12"/>
                <w:szCs w:val="12"/>
                <w:b w:val="1"/>
                <w:bCs w:val="1"/>
                <w:color w:val="auto"/>
                <w:w w:val="98"/>
              </w:rPr>
              <w:t>(1)</w:t>
            </w:r>
          </w:p>
        </w:tc>
        <w:tc>
          <w:tcPr>
            <w:tcW w:w="2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June 20, 2014</w:t>
            </w:r>
            <w:r>
              <w:rPr>
                <w:rFonts w:ascii="Arial" w:cs="Arial" w:eastAsia="Arial" w:hAnsi="Arial"/>
                <w:sz w:val="12"/>
                <w:szCs w:val="12"/>
                <w:b w:val="1"/>
                <w:bCs w:val="1"/>
                <w:color w:val="auto"/>
                <w:w w:val="98"/>
              </w:rPr>
              <w:t>(1)</w:t>
            </w:r>
          </w:p>
        </w:tc>
        <w:tc>
          <w:tcPr>
            <w:tcW w:w="30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14, 2013</w:t>
            </w:r>
            <w:r>
              <w:rPr>
                <w:rFonts w:ascii="Arial" w:cs="Arial" w:eastAsia="Arial" w:hAnsi="Arial"/>
                <w:sz w:val="12"/>
                <w:szCs w:val="12"/>
                <w:b w:val="1"/>
                <w:bCs w:val="1"/>
                <w:color w:val="auto"/>
              </w:rPr>
              <w:t>(1)</w:t>
            </w: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3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0" w:type="dxa"/>
            <w:vAlign w:val="bottom"/>
            <w:gridSpan w:val="2"/>
          </w:tcPr>
          <w:p>
            <w:pPr>
              <w:jc w:val="right"/>
              <w:ind w:right="499"/>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56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080" w:type="dxa"/>
            <w:vAlign w:val="bottom"/>
            <w:gridSpan w:val="2"/>
          </w:tcPr>
          <w:p>
            <w:pPr>
              <w:jc w:val="right"/>
              <w:ind w:right="579"/>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36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36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Rental</w:t>
            </w:r>
          </w:p>
        </w:tc>
        <w:tc>
          <w:tcPr>
            <w:tcW w:w="36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23"/>
        </w:trPr>
        <w:tc>
          <w:tcPr>
            <w:tcW w:w="5160" w:type="dxa"/>
            <w:vAlign w:val="bottom"/>
          </w:tcPr>
          <w:p>
            <w:pPr>
              <w:ind w:left="720"/>
              <w:spacing w:after="0"/>
              <w:rPr>
                <w:sz w:val="20"/>
                <w:szCs w:val="20"/>
                <w:color w:val="auto"/>
              </w:rPr>
            </w:pPr>
            <w:r>
              <w:rPr>
                <w:rFonts w:ascii="Arial" w:cs="Arial" w:eastAsia="Arial" w:hAnsi="Arial"/>
                <w:sz w:val="18"/>
                <w:szCs w:val="18"/>
                <w:color w:val="auto"/>
              </w:rPr>
              <w:t>Segment financial results</w:t>
            </w:r>
          </w:p>
        </w:tc>
        <w:tc>
          <w:tcPr>
            <w:tcW w:w="3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720" w:type="dxa"/>
            <w:vAlign w:val="bottom"/>
            <w:tcBorders>
              <w:bottom w:val="single" w:sz="8" w:color="auto"/>
            </w:tcBorders>
          </w:tcPr>
          <w:p>
            <w:pPr>
              <w:jc w:val="right"/>
              <w:ind w:right="499"/>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890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9"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8"/>
          <w:szCs w:val="18"/>
          <w:color w:val="auto"/>
        </w:rPr>
        <w:t>Europe and Asia Pacific segment revenues and expenses have been restated to correct certain immaterial prior period errors. For the twenty-four weeks ended June 20, 2014, $1 million of cost reimbursements related to the twelve weeks ended March 28, 2014 were reclassified from the Asia Pacific segment to the Europe segment. For the twelve and twenty-four weeks ended June 14, 2013, $2 million and $3 million of cost reimbursements were reclassified from the Asia Pacific segment to the Europe segment,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In our Asia Pacific segment, we continue to identify opportunities for development margin improvement. Our on-site sales locations are more efficient sales channels than our off-site sales locations and we plan to focus on future inventory acquisitions with strong on-site sales distribution potential.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Twelve Weeks Ended</w:t>
            </w:r>
          </w:p>
        </w:tc>
        <w:tc>
          <w:tcPr>
            <w:tcW w:w="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6"/>
        </w:trPr>
        <w:tc>
          <w:tcPr>
            <w:tcW w:w="58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June 20, 2014</w:t>
            </w:r>
          </w:p>
        </w:tc>
        <w:tc>
          <w:tcPr>
            <w:tcW w:w="3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June 14, 2013</w:t>
            </w:r>
          </w:p>
        </w:tc>
        <w:tc>
          <w:tcPr>
            <w:tcW w:w="3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3"/>
        </w:trPr>
        <w:tc>
          <w:tcPr>
            <w:tcW w:w="584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32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center"/>
              <w:ind w:left="210"/>
              <w:spacing w:after="0"/>
              <w:rPr>
                <w:sz w:val="20"/>
                <w:szCs w:val="20"/>
                <w:color w:val="auto"/>
              </w:rPr>
            </w:pPr>
            <w:r>
              <w:rPr>
                <w:rFonts w:ascii="Arial" w:cs="Arial" w:eastAsia="Arial" w:hAnsi="Arial"/>
                <w:sz w:val="18"/>
                <w:szCs w:val="18"/>
                <w:color w:val="auto"/>
                <w:w w:val="94"/>
              </w:rPr>
              <w:t>(9%)</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contract sales</w:t>
            </w:r>
          </w:p>
        </w:tc>
        <w:tc>
          <w:tcPr>
            <w:tcW w:w="3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w:t>
            </w:r>
          </w:p>
        </w:tc>
        <w:tc>
          <w:tcPr>
            <w:tcW w:w="94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w:t>
            </w:r>
          </w:p>
        </w:tc>
        <w:tc>
          <w:tcPr>
            <w:tcW w:w="126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4"/>
              </w:rPr>
              <w:t>(9%)</w:t>
            </w:r>
          </w:p>
        </w:tc>
      </w:tr>
      <w:tr>
        <w:trPr>
          <w:trHeight w:val="20"/>
        </w:trPr>
        <w:tc>
          <w:tcPr>
            <w:tcW w:w="5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decline in contract sales reflected an 8 percent decrease in the number of tours and a $42 decrease in VPG, which were impacted by the political turmoil in Thailand.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w w:val="97"/>
              </w:rPr>
              <w:t>Twenty-Four Weeks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6"/>
        </w:trPr>
        <w:tc>
          <w:tcPr>
            <w:tcW w:w="58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June 20, 2014</w:t>
            </w:r>
          </w:p>
        </w:tc>
        <w:tc>
          <w:tcPr>
            <w:tcW w:w="3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June 14, 2013</w:t>
            </w:r>
          </w:p>
        </w:tc>
        <w:tc>
          <w:tcPr>
            <w:tcW w:w="3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3"/>
        </w:trPr>
        <w:tc>
          <w:tcPr>
            <w:tcW w:w="584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center"/>
              <w:ind w:left="230"/>
              <w:spacing w:after="0"/>
              <w:rPr>
                <w:sz w:val="20"/>
                <w:szCs w:val="20"/>
                <w:color w:val="auto"/>
              </w:rPr>
            </w:pPr>
            <w:r>
              <w:rPr>
                <w:rFonts w:ascii="Arial" w:cs="Arial" w:eastAsia="Arial" w:hAnsi="Arial"/>
                <w:sz w:val="18"/>
                <w:szCs w:val="18"/>
                <w:color w:val="auto"/>
                <w:w w:val="95"/>
              </w:rPr>
              <w:t>(16%)</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contract sales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14</w:t>
            </w:r>
          </w:p>
        </w:tc>
        <w:tc>
          <w:tcPr>
            <w:tcW w:w="72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w:t>
            </w:r>
          </w:p>
        </w:tc>
        <w:tc>
          <w:tcPr>
            <w:tcW w:w="12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5"/>
              </w:rPr>
              <w:t>(16%)</w:t>
            </w: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decline in contract sales reflected an 8 percent decrease in the number of tours and a $246 decrease in VPG, which were impacted by the political turmoil in Thailand.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Twelve Weeks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6"/>
        </w:trPr>
        <w:tc>
          <w:tcPr>
            <w:tcW w:w="58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June 20, 2014</w:t>
            </w:r>
          </w:p>
        </w:tc>
        <w:tc>
          <w:tcPr>
            <w:tcW w:w="3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June 14, 2013</w:t>
            </w:r>
          </w:p>
        </w:tc>
        <w:tc>
          <w:tcPr>
            <w:tcW w:w="3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79"/>
              </w:rPr>
              <w:t>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9"/>
              </w:rPr>
              <w:t>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20" w:type="dxa"/>
            <w:vAlign w:val="bottom"/>
          </w:tcPr>
          <w:p>
            <w:pPr>
              <w:spacing w:after="0"/>
              <w:rPr>
                <w:sz w:val="18"/>
                <w:szCs w:val="18"/>
                <w:color w:val="auto"/>
              </w:rPr>
            </w:pPr>
          </w:p>
        </w:tc>
        <w:tc>
          <w:tcPr>
            <w:tcW w:w="760" w:type="dxa"/>
            <w:vAlign w:val="bottom"/>
          </w:tcPr>
          <w:p>
            <w:pPr>
              <w:jc w:val="center"/>
              <w:ind w:left="213"/>
              <w:spacing w:after="0"/>
              <w:rPr>
                <w:sz w:val="20"/>
                <w:szCs w:val="20"/>
                <w:color w:val="auto"/>
              </w:rPr>
            </w:pPr>
            <w:r>
              <w:rPr>
                <w:rFonts w:ascii="Arial" w:cs="Arial" w:eastAsia="Arial" w:hAnsi="Arial"/>
                <w:sz w:val="18"/>
                <w:szCs w:val="18"/>
                <w:color w:val="auto"/>
                <w:w w:val="99"/>
              </w:rPr>
              <w:t>(2)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ind w:left="190"/>
              <w:spacing w:after="0"/>
              <w:rPr>
                <w:sz w:val="20"/>
                <w:szCs w:val="20"/>
                <w:color w:val="auto"/>
              </w:rPr>
            </w:pPr>
            <w:r>
              <w:rPr>
                <w:rFonts w:ascii="Arial" w:cs="Arial" w:eastAsia="Arial" w:hAnsi="Arial"/>
                <w:sz w:val="18"/>
                <w:szCs w:val="18"/>
                <w:color w:val="auto"/>
                <w:w w:val="90"/>
              </w:rPr>
              <w:t>(1)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center"/>
              <w:ind w:left="230"/>
              <w:spacing w:after="0"/>
              <w:rPr>
                <w:sz w:val="20"/>
                <w:szCs w:val="20"/>
                <w:color w:val="auto"/>
              </w:rPr>
            </w:pPr>
            <w:r>
              <w:rPr>
                <w:rFonts w:ascii="Arial" w:cs="Arial" w:eastAsia="Arial" w:hAnsi="Arial"/>
                <w:sz w:val="18"/>
                <w:szCs w:val="18"/>
                <w:color w:val="auto"/>
                <w:w w:val="95"/>
              </w:rPr>
              <w:t>(63%)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99"/>
              </w:rPr>
              <w:t>(4)</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0"/>
              </w:rPr>
              <w:t>(5)</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2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4"/>
              </w:rPr>
              <w:t>10%</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Development margin</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center"/>
              <w:ind w:left="233"/>
              <w:spacing w:after="0"/>
              <w:rPr>
                <w:sz w:val="20"/>
                <w:szCs w:val="20"/>
                <w:color w:val="auto"/>
              </w:rPr>
            </w:pPr>
            <w:r>
              <w:rPr>
                <w:rFonts w:ascii="Arial" w:cs="Arial" w:eastAsia="Arial" w:hAnsi="Arial"/>
                <w:sz w:val="18"/>
                <w:szCs w:val="18"/>
                <w:color w:val="auto"/>
                <w:w w:val="79"/>
              </w:rPr>
              <w:t>2</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left="230"/>
              <w:spacing w:after="0"/>
              <w:rPr>
                <w:sz w:val="20"/>
                <w:szCs w:val="20"/>
                <w:color w:val="auto"/>
              </w:rPr>
            </w:pPr>
            <w:r>
              <w:rPr>
                <w:rFonts w:ascii="Arial" w:cs="Arial" w:eastAsia="Arial" w:hAnsi="Arial"/>
                <w:sz w:val="18"/>
                <w:szCs w:val="18"/>
                <w:color w:val="auto"/>
                <w:w w:val="94"/>
              </w:rPr>
              <w:t>25%</w:t>
            </w: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8"/>
              </w:rPr>
              <w:t>2.6 pts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Revenues from the sale of vacation ownership products were unchanged from the prior year comparable period, with the $1 million decline in contract sales offset by a $1 million unfavorable notes receivable reserve adjustment in the prior year comparable period. The development margin was also unchanged from the prior year comparable period, with the benefits of more efficient marketing and sales spending at our existing sales locations offset by a less than $1 million favorable product cost true up in the prior year comparable period.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Twenty-Four Weeks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6"/>
        </w:trPr>
        <w:tc>
          <w:tcPr>
            <w:tcW w:w="5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June 20, 2014</w:t>
            </w:r>
          </w:p>
        </w:tc>
        <w:tc>
          <w:tcPr>
            <w:tcW w:w="3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June 14, 2013</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Change</w:t>
            </w:r>
          </w:p>
        </w:tc>
        <w:tc>
          <w:tcPr>
            <w:tcW w:w="3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left="230"/>
              <w:spacing w:after="0"/>
              <w:rPr>
                <w:sz w:val="20"/>
                <w:szCs w:val="20"/>
                <w:color w:val="auto"/>
              </w:rPr>
            </w:pPr>
            <w:r>
              <w:rPr>
                <w:rFonts w:ascii="Arial" w:cs="Arial" w:eastAsia="Arial" w:hAnsi="Arial"/>
                <w:sz w:val="18"/>
                <w:szCs w:val="18"/>
                <w:color w:val="auto"/>
                <w:w w:val="95"/>
              </w:rPr>
              <w:t>(37%)</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2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4"/>
              </w:rPr>
              <w:t>14%</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Development margin</w:t>
            </w: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center"/>
              <w:ind w:left="230"/>
              <w:spacing w:after="0"/>
              <w:rPr>
                <w:sz w:val="20"/>
                <w:szCs w:val="20"/>
                <w:color w:val="auto"/>
              </w:rPr>
            </w:pPr>
            <w:r>
              <w:rPr>
                <w:rFonts w:ascii="Arial" w:cs="Arial" w:eastAsia="Arial" w:hAnsi="Arial"/>
                <w:sz w:val="18"/>
                <w:szCs w:val="18"/>
                <w:color w:val="auto"/>
                <w:w w:val="95"/>
              </w:rPr>
              <w:t>(26%)</w:t>
            </w: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18.9%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7"/>
              </w:rPr>
              <w:t>(4.5 pts)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decrease in sale of vacation ownership products was due to the $3 million decline in contract sales, partially offset by a $1 million unfavorable notes receivable reserve adjustment in the prior year comparable period. The decrease in the development margin was due to the lower sales volume net of direct variable expenses (i.e., cost of vacation ownership products and marketing and sales), and includes less efficient marketing and sales spending at our existing sales locations due to an inability to leverage fixed costs on the lower sales volumes, as well as a more than $1 million favorable product cost true up in the prior year comparable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Twelve Weeks Ended</w:t>
            </w:r>
          </w:p>
        </w:tc>
        <w:tc>
          <w:tcPr>
            <w:tcW w:w="3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Twenty-Four Weeks Ended</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55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20, 2014</w:t>
            </w:r>
          </w:p>
        </w:tc>
        <w:tc>
          <w:tcPr>
            <w:tcW w:w="3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June 14, 2013</w:t>
            </w:r>
          </w:p>
        </w:tc>
        <w:tc>
          <w:tcPr>
            <w:tcW w:w="3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20, 2014</w:t>
            </w:r>
          </w:p>
        </w:tc>
        <w:tc>
          <w:tcPr>
            <w:tcW w:w="320" w:type="dxa"/>
            <w:vAlign w:val="bottom"/>
          </w:tcPr>
          <w:p>
            <w:pPr>
              <w:spacing w:after="0"/>
              <w:rPr>
                <w:sz w:val="17"/>
                <w:szCs w:val="17"/>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14, 2013</w:t>
            </w: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vacation ownership products</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Financing</w:t>
            </w:r>
          </w:p>
        </w:tc>
        <w:tc>
          <w:tcPr>
            <w:tcW w:w="30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Organizational and separation related</w:t>
            </w:r>
          </w:p>
        </w:tc>
        <w:tc>
          <w:tcPr>
            <w:tcW w:w="30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8"/>
                <w:szCs w:val="18"/>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Royalty fee</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w:t>
            </w:r>
          </w:p>
        </w:tc>
        <w:tc>
          <w:tcPr>
            <w:tcW w:w="100" w:type="dxa"/>
            <w:vAlign w:val="bottom"/>
          </w:tcPr>
          <w:p>
            <w:pPr>
              <w:spacing w:after="0"/>
              <w:rPr>
                <w:sz w:val="19"/>
                <w:szCs w:val="19"/>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92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02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98</w:t>
            </w:r>
          </w:p>
        </w:tc>
        <w:tc>
          <w:tcPr>
            <w:tcW w:w="100" w:type="dxa"/>
            <w:vAlign w:val="bottom"/>
            <w:shd w:val="clear" w:color="auto" w:fill="CCEEFF"/>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Corporate and Other consists of results not specifically attributable to an individual segment, including expenses in support of our financing operations, non-capitalizable development expenses supporting overall company development, company-wide general and administrative costs, and the fixed royalty fee payable under the license agreements that we entered into with Marriott International in connection with the Spin-Off, as well as consumer financing interest expense.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20, 2014</w:t>
      </w:r>
    </w:p>
    <w:p>
      <w:pPr>
        <w:spacing w:after="0" w:line="117"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Total expenses decreased $1 million from the prior year comparable period. The $1 million decrease was the result of $2 million of lower consumer financing interest expense and $2 million of lower organizational and separation related expenses, partially offset by $1 million of higher cost of vacation ownership products expenses, $1 million of higher general and administrative expenses and $1 million of higher royalty fees.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$2 million decline in consumer financing interest expense was due to lower outstanding debt balances of securitized vacation ownership notes receivable and associated interest costs as well as a lower average interest rate. The lower average interest rate reflected the continued pay-down of older securitization transactions that carried higher overall interest rates and the benefit of lower interest rates applicable to our most recently completed securitizations of vacation ownership notes receivable.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 million of higher general and administrative expense was due to $1 million of higher personnel related costs.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20, 2014</w:t>
      </w:r>
    </w:p>
    <w:p>
      <w:pPr>
        <w:spacing w:after="0" w:line="225"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Total expenses decreased $2 million from the prior year comparable period. The $2 million decrease was the result of $3 million of lower consumer financing interest expense and $2 million of lower organizational and separation related expenses, partially offset by $2 million of higher general and administrative expenses and $1 million of higher cost of vacation ownership products expenses.</w:t>
      </w:r>
    </w:p>
    <w:p>
      <w:pPr>
        <w:spacing w:after="0" w:line="18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$2 million decline in consumer financing interest expense was due to lower outstanding debt balances of securitized vacation ownership notes receivable and associated interest costs as well as a lower average interest rate. The lower average interest rate reflected the continued pay-down of older securitization transactions that carried higher overall interest rates and the benefit of lower interest rates applicable to our most recently completed securitizations of vacation ownership notes receivable.</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$2 million of higher general and administrative expense was due to $1 million of higher legal related expenses, $1 million of higher of higher personnel related costs and $1 million from the favorable resolution of an international tax (non-income tax) matter in the prior year comparable period. These increases were offset by $1 million of savings related to organizational and separation relation efforts in the human resources, information technology and finance and accounting organizations.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See Footnote No. 1, “Summary of Significant Accounting Policies,” to our Financial Statements for information related to our adoption of new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capital needs are supported by cash on hand ($170 million at the end of the second quarter of 2014), cash generated from operations, our ability to raise capital through securitizations in the asset-backed securities (“ABS”) market,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and fulfill other cash requirements. At the end of the second quarter of 2014, $566 million of the $570 million of total debt outstanding was non-recourse debt associated with vacation ownership notes receivable securitizations. In addition, we have $40 million of mandatorily redeemable preferred stock of a consolidated subsidiary that we are not required to redeem until October 2021; however, we may redeem the preferred stock at par after October 2016 at our option.</w:t>
      </w:r>
    </w:p>
    <w:p>
      <w:pPr>
        <w:spacing w:after="0" w:line="17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have sufficient real estate inventory to meet expected demand for our vacation ownership products for the next several years. At the end of the second quarter of 2014, we had $820 million of real estate inventory on hand, comprised of $446 million of finished goods, $40 million of work-in-process, and $334 million of land and infrastructure. As a result, we expect our real estate inventory spending (discussed below) will be less than or in line with the cost of vacation ownership products for the near term. We also expect to sell excess Ritz-Carlton branded inventory and dispose of certain undeveloped and partially developed land over the next few years, and plan to sell additional Ritz-Carlton branded inventory through the MVCD program in order to generate incremental cash and reduce related carrying costs.</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vacation ownership product offerings also allow us to utilize our real estate inventory efficiently. The majority of our sales are of a points-based product, which permits us to sell vacation ownership products at most of our sales locations, including those where little or no weeks-based inventory remains available for sale. Because we do not need specific resort-based inventory at each sales location, we need to have only a few resorts under construction at any given time while leveraging successful sales locations at completed resorts. This allows us to maintain long-term sales locations and reduces the need to develop and staff on-site sales locations at smaller projects in the future. We believe our points-based programs enable us to align our construction of real estate inventory with the pace of sales of vacation ownership products by slowing down or accelerating construction, as demand across our portfolio and market conditions dictate.</w:t>
      </w:r>
    </w:p>
    <w:p>
      <w:pPr>
        <w:spacing w:after="0" w:line="18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intend to selectively pursue growth opportunities in North America and Asia by targeting high-quality inventory sources that allow us to add desirable new locations to our system, as well as provide new on-site sales locations, through transactions that limit our up-front capital investment and allow us to purchase finished inventory closer to the time it is needed for sale. These “asset light” deals could be structured as turn-key developments with third-party partners or purchases of constructed inventory just prior to sale.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During the twenty-four weeks ended June 20, 2014, we had a net decrease in cash and cash equivalents of $30 million compared to a $1 million net increase in cash and cash equivalents during the twenty-four weeks ended June 14, 2013. The following table summarizes these changes: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9"/>
              </w:rPr>
              <w:t>Twenty-Four Weeks Ended</w:t>
            </w:r>
          </w:p>
        </w:tc>
        <w:tc>
          <w:tcPr>
            <w:tcW w:w="100" w:type="dxa"/>
            <w:vAlign w:val="bottom"/>
          </w:tcPr>
          <w:p>
            <w:pPr>
              <w:spacing w:after="0"/>
              <w:rPr>
                <w:sz w:val="14"/>
                <w:szCs w:val="14"/>
                <w:color w:val="auto"/>
              </w:rPr>
            </w:pPr>
          </w:p>
        </w:tc>
      </w:tr>
      <w:tr>
        <w:trPr>
          <w:trHeight w:val="196"/>
        </w:trPr>
        <w:tc>
          <w:tcPr>
            <w:tcW w:w="70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3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June 20, 2014</w:t>
            </w:r>
          </w:p>
        </w:tc>
        <w:tc>
          <w:tcPr>
            <w:tcW w:w="14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June 14, 2013</w:t>
            </w:r>
          </w:p>
        </w:tc>
      </w:tr>
      <w:tr>
        <w:trPr>
          <w:trHeight w:val="196"/>
        </w:trPr>
        <w:tc>
          <w:tcPr>
            <w:tcW w:w="7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w:t>
            </w: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00" w:type="dxa"/>
            <w:vAlign w:val="bottom"/>
          </w:tcPr>
          <w:p>
            <w:pPr>
              <w:ind w:left="5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ind w:left="5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7"/>
        </w:trPr>
        <w:tc>
          <w:tcPr>
            <w:tcW w:w="70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from Operating Activities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as well as funding our working capital needs.</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minimize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 related outflows. In addition, our cash from operations varies due to the timing of our owners’ repayment of vacation ownership notes receivable, the closing of sales contracts for vacation ownership products, the rate at which owners finance their vacation ownership purchase with us and cash outlays for real estate inventory acquisition and development.</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the twenty-four weeks ended June 20, 2014, we generated $98 million of cash flows from operating activities, compared to $34 million in the twenty-four weeks ended June 14, 2013. The improvement in cash flows reflected the favorable timing of real estate inventory spending and lower payments on the liability for the Marriott Rewards customer loyalty program in the twenty-four weeks ended June 20, 2014, as well as the unfavorable impact in the prior year comparable period of payments of a previously accrued litigation settlement and deferred compensation amounts.</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recorded $6 million of residential contract sales in the twenty-four weeks ended June 20, 2014, associated with the sale of three of the units at the RCC San Francisco that we bought back as part of a legal settlement at the end of 2012. We expect to dispose of the remaining four units in 2014, which we expect will generate approximately $8 million of net cash proceeds.</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addition to net income and adjustments for non-cash items, the following operating activities are key drivers of our cash flow from operating activities: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Real Estate Inventory Spending Less Than Cost of Sales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Twenty-Four Weeks Ended</w:t>
            </w:r>
          </w:p>
        </w:tc>
        <w:tc>
          <w:tcPr>
            <w:tcW w:w="100" w:type="dxa"/>
            <w:vAlign w:val="bottom"/>
          </w:tcPr>
          <w:p>
            <w:pPr>
              <w:spacing w:after="0"/>
              <w:rPr>
                <w:sz w:val="14"/>
                <w:szCs w:val="14"/>
                <w:color w:val="auto"/>
              </w:rPr>
            </w:pPr>
          </w:p>
        </w:tc>
      </w:tr>
      <w:tr>
        <w:trPr>
          <w:trHeight w:val="196"/>
        </w:trPr>
        <w:tc>
          <w:tcPr>
            <w:tcW w:w="70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June 20, 2014</w:t>
            </w:r>
          </w:p>
        </w:tc>
        <w:tc>
          <w:tcPr>
            <w:tcW w:w="14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June 14, 2013</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inventory spending</w:t>
            </w:r>
          </w:p>
        </w:tc>
        <w:tc>
          <w:tcPr>
            <w:tcW w:w="2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center"/>
              <w:ind w:left="434"/>
              <w:spacing w:after="0"/>
              <w:rPr>
                <w:sz w:val="20"/>
                <w:szCs w:val="20"/>
                <w:color w:val="auto"/>
              </w:rPr>
            </w:pPr>
            <w:r>
              <w:rPr>
                <w:rFonts w:ascii="Arial" w:cs="Arial" w:eastAsia="Arial" w:hAnsi="Arial"/>
                <w:sz w:val="18"/>
                <w:szCs w:val="18"/>
                <w:color w:val="auto"/>
                <w:w w:val="93"/>
              </w:rPr>
              <w:t>(48)</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center"/>
              <w:ind w:left="574"/>
              <w:spacing w:after="0"/>
              <w:rPr>
                <w:sz w:val="20"/>
                <w:szCs w:val="20"/>
                <w:color w:val="auto"/>
              </w:rPr>
            </w:pPr>
            <w:r>
              <w:rPr>
                <w:rFonts w:ascii="Arial" w:cs="Arial" w:eastAsia="Arial" w:hAnsi="Arial"/>
                <w:sz w:val="18"/>
                <w:szCs w:val="18"/>
                <w:color w:val="auto"/>
                <w:w w:val="93"/>
              </w:rPr>
              <w:t>(73)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Real estate inventory costs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474"/>
              <w:spacing w:after="0"/>
              <w:rPr>
                <w:sz w:val="20"/>
                <w:szCs w:val="20"/>
                <w:color w:val="auto"/>
              </w:rPr>
            </w:pPr>
            <w:r>
              <w:rPr>
                <w:rFonts w:ascii="Arial" w:cs="Arial" w:eastAsia="Arial" w:hAnsi="Arial"/>
                <w:sz w:val="18"/>
                <w:szCs w:val="18"/>
                <w:color w:val="auto"/>
                <w:w w:val="89"/>
              </w:rPr>
              <w:t>84</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614"/>
              <w:spacing w:after="0"/>
              <w:rPr>
                <w:sz w:val="20"/>
                <w:szCs w:val="20"/>
                <w:color w:val="auto"/>
              </w:rPr>
            </w:pPr>
            <w:r>
              <w:rPr>
                <w:rFonts w:ascii="Arial" w:cs="Arial" w:eastAsia="Arial" w:hAnsi="Arial"/>
                <w:sz w:val="18"/>
                <w:szCs w:val="18"/>
                <w:color w:val="auto"/>
                <w:w w:val="89"/>
              </w:rPr>
              <w:t>95</w:t>
            </w:r>
          </w:p>
        </w:tc>
        <w:tc>
          <w:tcPr>
            <w:tcW w:w="100" w:type="dxa"/>
            <w:vAlign w:val="bottom"/>
          </w:tcPr>
          <w:p>
            <w:pPr>
              <w:spacing w:after="0"/>
              <w:rPr>
                <w:sz w:val="19"/>
                <w:szCs w:val="19"/>
                <w:color w:val="auto"/>
              </w:rPr>
            </w:pPr>
          </w:p>
        </w:tc>
      </w:tr>
      <w:tr>
        <w:trPr>
          <w:trHeight w:val="216"/>
        </w:trPr>
        <w:tc>
          <w:tcPr>
            <w:tcW w:w="7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Real estate inventory spending less than cost of sales</w:t>
            </w:r>
          </w:p>
        </w:tc>
        <w:tc>
          <w:tcPr>
            <w:tcW w:w="2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center"/>
              <w:ind w:left="474"/>
              <w:spacing w:after="0"/>
              <w:rPr>
                <w:sz w:val="20"/>
                <w:szCs w:val="20"/>
                <w:color w:val="auto"/>
              </w:rPr>
            </w:pPr>
            <w:r>
              <w:rPr>
                <w:rFonts w:ascii="Arial" w:cs="Arial" w:eastAsia="Arial" w:hAnsi="Arial"/>
                <w:sz w:val="18"/>
                <w:szCs w:val="18"/>
                <w:color w:val="auto"/>
                <w:w w:val="89"/>
              </w:rPr>
              <w:t>36</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center"/>
              <w:ind w:left="614"/>
              <w:spacing w:after="0"/>
              <w:rPr>
                <w:sz w:val="20"/>
                <w:szCs w:val="20"/>
                <w:color w:val="auto"/>
              </w:rPr>
            </w:pPr>
            <w:r>
              <w:rPr>
                <w:rFonts w:ascii="Arial" w:cs="Arial" w:eastAsia="Arial" w:hAnsi="Arial"/>
                <w:sz w:val="18"/>
                <w:szCs w:val="18"/>
                <w:color w:val="auto"/>
                <w:w w:val="89"/>
              </w:rPr>
              <w:t>22</w:t>
            </w:r>
          </w:p>
        </w:tc>
        <w:tc>
          <w:tcPr>
            <w:tcW w:w="100" w:type="dxa"/>
            <w:vAlign w:val="bottom"/>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Statements of Operations related to sale of vacation ownership products (a non-cash item).</w:t>
      </w:r>
    </w:p>
    <w:p>
      <w:pPr>
        <w:spacing w:after="0" w:line="12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Given the significant level of completed real estate inventory on hand, as well as the capital efficiency resulting from the MVCD program, our spending for real estate inventory remained below the amount of real estate inventory costs in each of the twenty-four week periods ended June 20, 2014 and June 14, 2013.</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 for the next several years.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 Receivable Collections in Excess of New Mortgages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14"/>
                <w:szCs w:val="14"/>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Twenty-Four Weeks Ended</w:t>
            </w:r>
          </w:p>
        </w:tc>
        <w:tc>
          <w:tcPr>
            <w:tcW w:w="0" w:type="dxa"/>
            <w:vAlign w:val="bottom"/>
          </w:tcPr>
          <w:p>
            <w:pPr>
              <w:spacing w:after="0"/>
              <w:rPr>
                <w:sz w:val="1"/>
                <w:szCs w:val="1"/>
                <w:color w:val="auto"/>
              </w:rPr>
            </w:pPr>
          </w:p>
        </w:tc>
      </w:tr>
      <w:tr>
        <w:trPr>
          <w:trHeight w:val="142"/>
        </w:trPr>
        <w:tc>
          <w:tcPr>
            <w:tcW w:w="7900" w:type="dxa"/>
            <w:vAlign w:val="bottom"/>
            <w:vMerge w:val="continue"/>
          </w:tcPr>
          <w:p>
            <w:pPr>
              <w:spacing w:after="0"/>
              <w:rPr>
                <w:sz w:val="12"/>
                <w:szCs w:val="12"/>
                <w:color w:val="auto"/>
              </w:rPr>
            </w:pPr>
          </w:p>
        </w:tc>
        <w:tc>
          <w:tcPr>
            <w:tcW w:w="140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June 20, 2014</w:t>
            </w: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0"/>
              </w:rPr>
              <w:t>June 14,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collections — non-securitized</w:t>
            </w:r>
          </w:p>
        </w:tc>
        <w:tc>
          <w:tcPr>
            <w:tcW w:w="2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Vacation ownership notes receivable collections — securitized</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originations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7900" w:type="dxa"/>
            <w:vAlign w:val="bottom"/>
          </w:tcPr>
          <w:p>
            <w:pPr>
              <w:ind w:left="720"/>
              <w:spacing w:after="0"/>
              <w:rPr>
                <w:sz w:val="20"/>
                <w:szCs w:val="20"/>
                <w:color w:val="auto"/>
              </w:rPr>
            </w:pPr>
            <w:r>
              <w:rPr>
                <w:rFonts w:ascii="Arial" w:cs="Arial" w:eastAsia="Arial" w:hAnsi="Arial"/>
                <w:sz w:val="18"/>
                <w:szCs w:val="18"/>
                <w:color w:val="auto"/>
              </w:rPr>
              <w:t>Vacation ownership notes receivable collections in excess of originations</w:t>
            </w:r>
          </w:p>
        </w:tc>
        <w:tc>
          <w:tcPr>
            <w:tcW w:w="2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Vacation ownership notes receivable collections include principal from non-securitized and securitized vacation ownership notes receivable. Total collections declined due to the reduction in the portfolio of outstanding vacation ownership notes receivable. New vacation ownership notes receivable originated in the twenty-four weeks ended June 20, 2014 increased slightly due to an increase in financing propensity to nearly 41 percent compared to 39 percent for the twenty-four weeks ended June 14,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from Investing Activities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14"/>
                <w:szCs w:val="14"/>
                <w:color w:val="auto"/>
              </w:rPr>
            </w:pPr>
          </w:p>
        </w:tc>
        <w:tc>
          <w:tcPr>
            <w:tcW w:w="2320" w:type="dxa"/>
            <w:vAlign w:val="bottom"/>
            <w:gridSpan w:val="5"/>
          </w:tcPr>
          <w:p>
            <w:pPr>
              <w:ind w:left="12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7900" w:type="dxa"/>
            <w:vAlign w:val="bottom"/>
            <w:vMerge w:val="continue"/>
          </w:tcPr>
          <w:p>
            <w:pPr>
              <w:spacing w:after="0"/>
              <w:rPr>
                <w:sz w:val="12"/>
                <w:szCs w:val="12"/>
                <w:color w:val="auto"/>
              </w:rPr>
            </w:pPr>
          </w:p>
        </w:tc>
        <w:tc>
          <w:tcPr>
            <w:tcW w:w="140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June 20, 2014</w:t>
            </w: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0"/>
              </w:rPr>
              <w:t>June 14,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2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1"/>
              </w:rPr>
              <w:t>(3)</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28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8"/>
                <w:szCs w:val="18"/>
                <w:color w:val="auto"/>
                <w:w w:val="99"/>
              </w:rPr>
              <w:t>44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Dispositions, net</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9"/>
              </w:rPr>
              <w:t>33</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9"/>
              </w:rPr>
              <w:t>74</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Capital expenditures for property and equipment relates to spending for technology development, buildings and equipment used at sales locations, and for ancillary offerings, such as food and beverage offerings at locations where these are provided.</w:t>
      </w:r>
    </w:p>
    <w:p>
      <w:pPr>
        <w:spacing w:after="0" w:line="17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In the twenty-four weeks ended June 20, 2014, capital expenditures for property and equipment of $3 million included $2 million of spending to support ancillary and business operations and $1 million for technology spending. In the twenty-four weeks ended June 14, 2013, capital expenditures for property and equipment of $7 million included $5 million of spending to support ancillary and business operations and $2 million for technology spending.</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Decrease in Restricted Cash</w:t>
      </w:r>
    </w:p>
    <w:p>
      <w:pPr>
        <w:spacing w:after="0" w:line="22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Restricted cash primarily consists of cash held in reserve accounts related to vacation ownership notes receivable securitizations, cash collected for maintenance fees to be remitted to property owners’ associations, and deposits received, primarily associated with vacation ownership products and residential sales that are held in escrow until the associated contract has closed or the period in which it can be rescinded has expired, depending on legal requirements.</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decrease in restricted cash in the twenty-four weeks ended June 20, 2014, reflects payments to property owners’ associations for maintenance fees collected on their behalf prior to the end of 2013 as well as cash collected in connection with securitized vacation ownership notes receivable that was distributed to investors before the end of the second quarter.</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decrease in restricted cash in the twenty-four weeks ended June 14, 2013 reflects payments to property owners’ associations for maintenance fees collected on their behalf prior to the end of 2012, partially offset by cash collected in connection with securitized vacation ownership notes receivable that was not distributed to investors before the end of the second quarter.</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higher inflow in the twenty-four weeks ended June 20, 2014 from changes in restricted cash was driven by higher payments to property owners’ associations for maintenance fees collected on their behalf ($16 million) as well as the timing of payments to investors for cash collected in connection with securitized vacation ownership notes receivable ($25 million).</w:t>
      </w:r>
    </w:p>
    <w:p>
      <w:pPr>
        <w:spacing w:after="0" w:line="181" w:lineRule="exact"/>
        <w:rPr>
          <w:sz w:val="20"/>
          <w:szCs w:val="20"/>
          <w:color w:val="auto"/>
        </w:rPr>
      </w:pPr>
    </w:p>
    <w:p>
      <w:pPr>
        <w:jc w:val="both"/>
        <w:ind w:right="120" w:firstLine="456"/>
        <w:spacing w:after="0" w:line="308" w:lineRule="auto"/>
        <w:rPr>
          <w:sz w:val="20"/>
          <w:szCs w:val="20"/>
          <w:color w:val="auto"/>
        </w:rPr>
      </w:pPr>
      <w:r>
        <w:rPr>
          <w:rFonts w:ascii="Arial" w:cs="Arial" w:eastAsia="Arial" w:hAnsi="Arial"/>
          <w:sz w:val="17"/>
          <w:szCs w:val="17"/>
          <w:color w:val="auto"/>
        </w:rPr>
        <w:t>We expect the fluctuation in restricted cash for maintenance fee activity to be relatively stable, with cash inflows occurring in the fourth quarter upon receipt of maintenance fees and cash outflows occurring in the first and second quarters upon remittance to property owners’ associations.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Dispositions</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Dispositions in the twenty-four weeks ended June 20, 2014 related to the sale of a golf course and adjacent undeveloped land in Orlando, Florida, the sale of undeveloped land on Singer Island, Florida, and a lot in St. Thomas, U.S. Virgin Islands. Dispositions in the twenty-four weeks ended June 14, 2013 related to the sale of a multi-family parcel and several lots in St. Thomas, U.S. Virgin Islands.</w:t>
      </w:r>
    </w:p>
    <w:p>
      <w:pPr>
        <w:sectPr>
          <w:pgSz w:w="11900" w:h="16838" w:orient="portrait"/>
          <w:cols w:equalWidth="0" w:num="1">
            <w:col w:w="11320"/>
          </w:cols>
          <w:pgMar w:left="240" w:top="459" w:right="339" w:bottom="1440" w:gutter="0" w:footer="0" w:header="0"/>
        </w:sectPr>
      </w:pP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20"/>
          </w:cols>
          <w:pgMar w:left="240" w:top="459" w:right="3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from Financing Activities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351"/>
              <w:spacing w:after="0"/>
              <w:rPr>
                <w:sz w:val="20"/>
                <w:szCs w:val="20"/>
                <w:color w:val="auto"/>
              </w:rPr>
            </w:pPr>
            <w:r>
              <w:rPr>
                <w:rFonts w:ascii="Arial" w:cs="Arial" w:eastAsia="Arial" w:hAnsi="Arial"/>
                <w:sz w:val="14"/>
                <w:szCs w:val="14"/>
                <w:b w:val="1"/>
                <w:bCs w:val="1"/>
                <w:color w:val="auto"/>
              </w:rPr>
              <w:t>Twenty-Four Weeks Ended</w:t>
            </w:r>
          </w:p>
        </w:tc>
        <w:tc>
          <w:tcPr>
            <w:tcW w:w="100" w:type="dxa"/>
            <w:vAlign w:val="bottom"/>
          </w:tcPr>
          <w:p>
            <w:pPr>
              <w:spacing w:after="0"/>
              <w:rPr>
                <w:sz w:val="14"/>
                <w:szCs w:val="14"/>
                <w:color w:val="auto"/>
              </w:rPr>
            </w:pPr>
          </w:p>
        </w:tc>
      </w:tr>
      <w:tr>
        <w:trPr>
          <w:trHeight w:val="196"/>
        </w:trPr>
        <w:tc>
          <w:tcPr>
            <w:tcW w:w="78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20, 2014</w:t>
            </w:r>
          </w:p>
        </w:tc>
        <w:tc>
          <w:tcPr>
            <w:tcW w:w="14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June 14, 2013</w:t>
            </w:r>
          </w:p>
        </w:tc>
      </w:tr>
      <w:tr>
        <w:trPr>
          <w:trHeight w:val="196"/>
        </w:trPr>
        <w:tc>
          <w:tcPr>
            <w:tcW w:w="7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Borrowings from securitization transactions</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860" w:type="dxa"/>
            <w:vAlign w:val="bottom"/>
          </w:tcPr>
          <w:p>
            <w:pPr>
              <w:ind w:left="540"/>
              <w:spacing w:after="0"/>
              <w:rPr>
                <w:sz w:val="20"/>
                <w:szCs w:val="20"/>
                <w:color w:val="auto"/>
              </w:rPr>
            </w:pPr>
            <w:r>
              <w:rPr>
                <w:rFonts w:ascii="Arial" w:cs="Arial" w:eastAsia="Arial" w:hAnsi="Arial"/>
                <w:sz w:val="18"/>
                <w:szCs w:val="18"/>
                <w:color w:val="auto"/>
              </w:rPr>
              <w:t>Bonds payable on securitized vacation ownership notes receivable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Borrowings on Warehouse Credit Facility</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r>
      <w:tr>
        <w:trPr>
          <w:trHeight w:val="223"/>
        </w:trPr>
        <w:tc>
          <w:tcPr>
            <w:tcW w:w="7860" w:type="dxa"/>
            <w:vAlign w:val="bottom"/>
          </w:tcPr>
          <w:p>
            <w:pPr>
              <w:ind w:left="10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 related to securitization transactions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540"/>
              <w:spacing w:after="0"/>
              <w:rPr>
                <w:sz w:val="20"/>
                <w:szCs w:val="20"/>
                <w:color w:val="auto"/>
              </w:rPr>
            </w:pPr>
            <w:r>
              <w:rPr>
                <w:rFonts w:ascii="Arial" w:cs="Arial" w:eastAsia="Arial" w:hAnsi="Arial"/>
                <w:sz w:val="18"/>
                <w:szCs w:val="18"/>
                <w:color w:val="auto"/>
              </w:rPr>
              <w:t>Bonds payable on securitized vacation ownership notes receivable</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7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Warehouse Credit Facility</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23"/>
        </w:trPr>
        <w:tc>
          <w:tcPr>
            <w:tcW w:w="7860" w:type="dxa"/>
            <w:vAlign w:val="bottom"/>
          </w:tcPr>
          <w:p>
            <w:pPr>
              <w:ind w:left="10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Corporate Credit Facility</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Repayments on Revolving Corporate Credit Facility</w:t>
            </w:r>
          </w:p>
        </w:tc>
        <w:tc>
          <w:tcPr>
            <w:tcW w:w="140" w:type="dxa"/>
            <w:vAlign w:val="bottom"/>
          </w:tcPr>
          <w:p>
            <w:pPr>
              <w:spacing w:after="0"/>
              <w:rPr>
                <w:sz w:val="18"/>
                <w:szCs w:val="18"/>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Proceeds from stock option exercises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23"/>
        </w:trPr>
        <w:tc>
          <w:tcPr>
            <w:tcW w:w="7860" w:type="dxa"/>
            <w:vAlign w:val="bottom"/>
          </w:tcPr>
          <w:p>
            <w:pPr>
              <w:ind w:left="108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Warehouse Credit Facility</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At June 20, 2014, no amounts were outstanding under the Warehouse Credit Facility and $170 million of gross vacation ownership notes receivable were eligible for securitization.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Borrowings from / Repayments of Debt Related to Securitization Transactions</w:t>
      </w:r>
    </w:p>
    <w:p>
      <w:pPr>
        <w:spacing w:after="0" w:line="225"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payments of bonds associated with vacation ownership notes receivable securitizations and payments on the Warehouse Credit Facility (including vacation ownership notes receivable repurchases) as “Repayment of debt related to securitization transactions.”</w:t>
      </w:r>
    </w:p>
    <w:p>
      <w:pPr>
        <w:spacing w:after="0" w:line="187"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Repayments on the non-recourse debt associated with our vacation ownership notes receivable securitizations totaled $131 million (including $27 million for voluntary retirement clean-up calls) and $142 million (including $51 million for voluntary retirement clean-up calls) in the twenty-four weeks ended June 20, 2014 and June 14, 2013, respectively.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second quarter of 2014, we completed the securitization of a pool of $24 million of primarily highly-seasoned vacation ownership notes receivable that we had previously classified as not being eligible for securitization using criteria applicable to then current securitization transactions in the ABS market because they did not meet certain representation criteria required in such securitizations, or because of other factors that may have reflected investor demand in a securitization transaction. In connection with the securitization, investors purchased in a private placement $23 million in vacation ownership loan backed notes from the Kyuka Owner Trust 2014-A (the “2014-A Trust”) with a per annum interest rate of 6.25%. While we may consider any additional opportunities to sell other vacation ownership notes receivable classified as not eligible for securitization in the future, there can be no assurance that we will complete any such transactions.</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accounted for the securitization as a secured borrowing and, therefore, did not recognize a gain or loss in the second quarter of 2014 as a result of this transaction. The results of operations of the 2014-A Trust are consolidated within our results of operations as the 2014-A Trust is a variable interest entity for which we are the primary beneficiary.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repurchased 1,670,201 shares of our common stock for $89 million, at an average price per share of $53.56, during the twenty-four weeks ended June 20, 2014, under our share repurchase program. See Footnote No. 11, “Shareholders’ Equity,” to our Financial Statements for further information related to the share repurchase program.</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There have been no significant changes to our “Contractual Obligations and Off-Balance Sheet Arrangements” as reported in “Management’s Discussion and Analysis of Financial Condition and Results of Operations,” in our Annual Report on Form 10-K for the year ended January 3, 2014, other than those resulting from changes in the amount of debt outstanding. As of June 20, 2014, debt decreased by $108 million to $570 million compared to $678 million at January 3, 2014, all of which related to a decrease in non-</w:t>
      </w:r>
    </w:p>
    <w:p>
      <w:pPr>
        <w:sectPr>
          <w:pgSz w:w="11900" w:h="16838" w:orient="portrait"/>
          <w:cols w:equalWidth="0" w:num="1">
            <w:col w:w="11400"/>
          </w:cols>
          <w:pgMar w:left="240" w:top="459" w:right="2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459" w:right="25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recourse debt associated with vacation ownership notes receivable securitizations, net of the new securitization. As of June 20, 2014, future debt payments to be paid out of collections from our vacation ownership notes receivable, including principal and interest, totaled $633 million and are due as follows: $64 million in 2014; $117 million in 2015; $107 million in 2016; $76 million in 2017; $62 million in 2018; and $207 million thereafter.</w:t>
      </w:r>
    </w:p>
    <w:p>
      <w:pPr>
        <w:spacing w:after="0" w:line="166"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have historically issued guarantees to certain lenders in connection with the provision of third-party financing for our sales of vacation ownership products, which guarantees generally have a stated maximum amount of funding and a term of five to ten years. The terms of these guarantees generally require us to fund if the purchaser fails to pay under the terms of its note payable. We are entitled to recover any funding to third-party lenders related to these guarantees through reacquisition and resale of the financed vacation ownership product securing the note payable. Our commitments under these guarantees expire as notes mature or are repaid. Our exposure under such guarantees as of June 20, 2014 in the Asia Pacific and North America segments was $11 million and $3 million, respectively, and the underlying debt to third-party lenders will mature between 2014 and 2022.</w:t>
      </w:r>
    </w:p>
    <w:p>
      <w:pPr>
        <w:spacing w:after="0" w:line="16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additional information on these guarantees and the circumstances under which they were entered into, see the “Guarantees” caption within Footnote No. 8, “Contingencies and Commitments,” to our Financial Statements.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18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exposure to market risk has not changed materially from that disclosed in our Annual Report on Form 10-K for the year ended January 3, 2014.</w:t>
      </w: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No. 8,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January 3, 2014.</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4800" w:type="dxa"/>
            <w:vAlign w:val="bottom"/>
            <w:gridSpan w:val="2"/>
          </w:tcPr>
          <w:p>
            <w:pPr>
              <w:ind w:left="80"/>
              <w:spacing w:after="0"/>
              <w:rPr>
                <w:sz w:val="20"/>
                <w:szCs w:val="20"/>
                <w:color w:val="auto"/>
              </w:rPr>
            </w:pPr>
            <w:r>
              <w:rPr>
                <w:rFonts w:ascii="Arial" w:cs="Arial" w:eastAsia="Arial" w:hAnsi="Arial"/>
                <w:sz w:val="18"/>
                <w:szCs w:val="18"/>
                <w:b w:val="1"/>
                <w:bCs w:val="1"/>
                <w:color w:val="auto"/>
                <w:w w:val="90"/>
              </w:rPr>
              <w:t>Unregistered Sales of Equity Securities and Use of Proceeds</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760" w:type="dxa"/>
            <w:vAlign w:val="bottom"/>
            <w:gridSpan w:val="4"/>
          </w:tcPr>
          <w:p>
            <w:pPr>
              <w:ind w:left="460"/>
              <w:spacing w:after="0"/>
              <w:rPr>
                <w:sz w:val="20"/>
                <w:szCs w:val="20"/>
                <w:color w:val="auto"/>
              </w:rPr>
            </w:pPr>
            <w:r>
              <w:rPr>
                <w:rFonts w:ascii="Arial" w:cs="Arial" w:eastAsia="Arial" w:hAnsi="Arial"/>
                <w:sz w:val="18"/>
                <w:szCs w:val="18"/>
                <w:i w:val="1"/>
                <w:iCs w:val="1"/>
                <w:color w:val="auto"/>
              </w:rPr>
              <w:t>Issuer Purchases of Equity Securities</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 Number</w:t>
            </w:r>
          </w:p>
        </w:tc>
        <w:tc>
          <w:tcPr>
            <w:tcW w:w="180" w:type="dxa"/>
            <w:vAlign w:val="bottom"/>
          </w:tcPr>
          <w:p>
            <w:pPr>
              <w:spacing w:after="0"/>
              <w:rPr>
                <w:sz w:val="12"/>
                <w:szCs w:val="12"/>
                <w:color w:val="auto"/>
              </w:rPr>
            </w:pPr>
          </w:p>
        </w:tc>
        <w:tc>
          <w:tcPr>
            <w:tcW w:w="10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Shares That May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9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Period</w:t>
            </w: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Shares</w:t>
            </w:r>
          </w:p>
        </w:tc>
        <w:tc>
          <w:tcPr>
            <w:tcW w:w="18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Price per</w:t>
            </w: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Announced</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960" w:type="dxa"/>
            <w:vAlign w:val="bottom"/>
            <w:gridSpan w:val="2"/>
            <w:vMerge w:val="continue"/>
          </w:tcPr>
          <w:p>
            <w:pPr>
              <w:spacing w:after="0"/>
              <w:rPr>
                <w:sz w:val="14"/>
                <w:szCs w:val="14"/>
                <w:color w:val="auto"/>
              </w:rPr>
            </w:pP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Plans or Programs </w:t>
            </w:r>
            <w:r>
              <w:rPr>
                <w:rFonts w:ascii="Arial" w:cs="Arial" w:eastAsia="Arial" w:hAnsi="Arial"/>
                <w:sz w:val="12"/>
                <w:szCs w:val="12"/>
                <w:b w:val="1"/>
                <w:bCs w:val="1"/>
                <w:color w:val="auto"/>
                <w:w w:val="92"/>
              </w:rPr>
              <w:t>(1)</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29, 2014 – April 25, 2014</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206,577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206,577</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2,054,259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April 26, 2014 – May 23, 2014</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342,609</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55.25</w:t>
            </w:r>
          </w:p>
        </w:tc>
        <w:tc>
          <w:tcPr>
            <w:tcW w:w="2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342,609</w:t>
            </w:r>
          </w:p>
        </w:tc>
        <w:tc>
          <w:tcPr>
            <w:tcW w:w="2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1,711,650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24, 2014 – June 20, 2014</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386,874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386,874</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1,324,776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890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5" w:lineRule="exact"/>
        <w:rPr>
          <w:sz w:val="20"/>
          <w:szCs w:val="20"/>
          <w:color w:val="auto"/>
        </w:rPr>
      </w:pPr>
    </w:p>
    <w:p>
      <w:pPr>
        <w:ind w:left="460" w:right="540" w:hanging="452"/>
        <w:spacing w:after="0" w:line="277"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On October 8, 2013, our Board of Directors authorized a share repurchase program under which we may purchase up to 3,500,000 shares of our common stock prior to March 28, 2015.</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Exhibits filed or furnished as a part of this Quarterly Report on Form 10-Q are listed on the Index to Exhibits on page E-1, which is incorporated by reference herein.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MARRIOTT VACATIONS WORLDWIDE CORPORATION</w:t>
      </w:r>
    </w:p>
    <w:p>
      <w:pPr>
        <w:spacing w:after="0" w:line="23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July 24, 2014</w:t>
      </w:r>
      <w:r>
        <w:rPr>
          <w:sz w:val="20"/>
          <w:szCs w:val="20"/>
          <w:color w:val="auto"/>
        </w:rPr>
        <w:tab/>
      </w:r>
      <w:r>
        <w:rPr>
          <w:rFonts w:ascii="Arial" w:cs="Arial" w:eastAsia="Arial" w:hAnsi="Arial"/>
          <w:sz w:val="15"/>
          <w:szCs w:val="15"/>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740"/>
          </w:cols>
          <w:pgMar w:left="240" w:top="459" w:right="9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300"/>
          </w:cols>
          <w:pgMar w:left="240" w:top="459" w:right="359" w:bottom="1440" w:gutter="0" w:footer="0" w:header="0"/>
        </w:sectPr>
      </w:pPr>
    </w:p>
    <w:p>
      <w:pPr>
        <w:spacing w:after="0" w:line="248" w:lineRule="exact"/>
        <w:rPr>
          <w:sz w:val="20"/>
          <w:szCs w:val="20"/>
          <w:color w:val="auto"/>
        </w:rPr>
      </w:pPr>
    </w:p>
    <w:p>
      <w:pPr>
        <w:jc w:val="center"/>
        <w:ind w:left="14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5080</wp:posOffset>
            </wp:positionV>
            <wp:extent cx="4114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5176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Restated Certificate of Incorporation of Marriott Vacations Worldwide Corporation, incorporated by reference to Exhibit 3.1 of our Current Report on Form 8-K filed on November 22, 2011.</w:t>
      </w:r>
    </w:p>
    <w:p>
      <w:pPr>
        <w:spacing w:after="0" w:line="62" w:lineRule="exact"/>
        <w:rPr>
          <w:sz w:val="20"/>
          <w:szCs w:val="20"/>
          <w:color w:val="auto"/>
        </w:rPr>
      </w:pPr>
    </w:p>
    <w:p>
      <w:pPr>
        <w:sectPr>
          <w:pgSz w:w="11900" w:h="16838" w:orient="portrait"/>
          <w:cols w:equalWidth="0" w:num="2">
            <w:col w:w="580" w:space="580"/>
            <w:col w:w="10140"/>
          </w:cols>
          <w:pgMar w:left="240" w:top="459" w:right="35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5"/>
              </w:rPr>
              <w:t>3.2</w:t>
            </w:r>
          </w:p>
        </w:tc>
        <w:tc>
          <w:tcPr>
            <w:tcW w:w="10340" w:type="dxa"/>
            <w:vAlign w:val="bottom"/>
          </w:tcPr>
          <w:p>
            <w:pPr>
              <w:ind w:left="240"/>
              <w:spacing w:after="0"/>
              <w:rPr>
                <w:sz w:val="20"/>
                <w:szCs w:val="20"/>
                <w:color w:val="auto"/>
              </w:rPr>
            </w:pPr>
            <w:r>
              <w:rPr>
                <w:rFonts w:ascii="Arial" w:cs="Arial" w:eastAsia="Arial" w:hAnsi="Arial"/>
                <w:sz w:val="18"/>
                <w:szCs w:val="18"/>
                <w:color w:val="auto"/>
                <w:w w:val="91"/>
              </w:rPr>
              <w:t>Restated Bylaws of Marriott Vacations Worldwide Corporation, incorporated by reference to Exhibit 3.2 of our Current Report on Form 8-K</w:t>
            </w:r>
          </w:p>
        </w:tc>
      </w:tr>
      <w:tr>
        <w:trPr>
          <w:trHeight w:val="230"/>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Arial" w:cs="Arial" w:eastAsia="Arial" w:hAnsi="Arial"/>
                <w:sz w:val="18"/>
                <w:szCs w:val="18"/>
                <w:color w:val="auto"/>
              </w:rPr>
              <w:t>filed on November 22, 2011.</w:t>
            </w:r>
          </w:p>
        </w:tc>
      </w:tr>
      <w:tr>
        <w:trPr>
          <w:trHeight w:val="324"/>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31.1</w:t>
            </w:r>
          </w:p>
        </w:tc>
        <w:tc>
          <w:tcPr>
            <w:tcW w:w="1034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31.2</w:t>
            </w:r>
          </w:p>
        </w:tc>
        <w:tc>
          <w:tcPr>
            <w:tcW w:w="1034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24"/>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32.1</w:t>
            </w:r>
          </w:p>
        </w:tc>
        <w:tc>
          <w:tcPr>
            <w:tcW w:w="1034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tc>
      </w:tr>
      <w:tr>
        <w:trPr>
          <w:trHeight w:val="324"/>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32.2</w:t>
            </w:r>
          </w:p>
        </w:tc>
        <w:tc>
          <w:tcPr>
            <w:tcW w:w="1034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tc>
      </w:tr>
      <w:tr>
        <w:trPr>
          <w:trHeight w:val="324"/>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2"/>
              </w:rPr>
              <w:t>101.INS</w:t>
            </w:r>
          </w:p>
        </w:tc>
        <w:tc>
          <w:tcPr>
            <w:tcW w:w="103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3"/>
              </w:rPr>
              <w:t>101.SCH</w:t>
            </w:r>
          </w:p>
        </w:tc>
        <w:tc>
          <w:tcPr>
            <w:tcW w:w="103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7"/>
              </w:rPr>
              <w:t>101.CAL</w:t>
            </w:r>
          </w:p>
        </w:tc>
        <w:tc>
          <w:tcPr>
            <w:tcW w:w="10340" w:type="dxa"/>
            <w:vAlign w:val="bottom"/>
          </w:tcPr>
          <w:p>
            <w:pPr>
              <w:ind w:left="2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0"/>
              </w:rPr>
              <w:t>101.DEF</w:t>
            </w:r>
          </w:p>
        </w:tc>
        <w:tc>
          <w:tcPr>
            <w:tcW w:w="1034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8"/>
              </w:rPr>
              <w:t>101.LAB</w:t>
            </w:r>
          </w:p>
        </w:tc>
        <w:tc>
          <w:tcPr>
            <w:tcW w:w="10340" w:type="dxa"/>
            <w:vAlign w:val="bottom"/>
          </w:tcPr>
          <w:p>
            <w:pPr>
              <w:ind w:left="2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8"/>
              </w:rPr>
              <w:t>101.PRE</w:t>
            </w:r>
          </w:p>
        </w:tc>
        <w:tc>
          <w:tcPr>
            <w:tcW w:w="10340" w:type="dxa"/>
            <w:vAlign w:val="bottom"/>
          </w:tcPr>
          <w:p>
            <w:pPr>
              <w:ind w:left="24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attached the following documents formatted in XBRL (Extensible Business Reporting Language) as Exhibit 101 to this report: (i) the Interim Consolidated Statements of Operations for the twelve and twenty-four weeks ended June 20, 2014 and June 14, 2013, respectively; (ii) the Interim Consolidated Statements of Comprehensive Income for the twelve and twenty-four weeks ended June 20, 2014 and June 14, 2013, respectively; (iii) the Interim Consolidated Balance Sheets at June 20, 2014 and January 3, 2014; and (iv) the Interim Consolidated Statements of Cash Flows for the twenty-four weeks ended June 20, 2014 and June 14, 2013, respectively.</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300"/>
          </w:cols>
          <w:pgMar w:left="240" w:top="459" w:right="35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3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3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31" w:lineRule="exact"/>
        <w:rPr>
          <w:sz w:val="20"/>
          <w:szCs w:val="20"/>
          <w:color w:val="auto"/>
        </w:rPr>
      </w:pPr>
    </w:p>
    <w:p>
      <w:pPr>
        <w:ind w:left="460" w:right="10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20, 2014 (the “Quarterly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460" w:right="62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24,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John E. Geller, Jr., Executive Vice President and Chief Financial Officer of Marriott Vacations Worldwide Corporation (the “Company”) certify that:</w:t>
      </w:r>
    </w:p>
    <w:p>
      <w:pPr>
        <w:spacing w:after="0" w:line="154" w:lineRule="exact"/>
        <w:rPr>
          <w:sz w:val="20"/>
          <w:szCs w:val="20"/>
          <w:color w:val="auto"/>
        </w:rPr>
      </w:pPr>
    </w:p>
    <w:p>
      <w:pPr>
        <w:ind w:left="460" w:right="10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20, 2014 (the “Quarterly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460" w:right="62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24,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Roman"/>
      <w:start w:val="2"/>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2019-12-08T02:57:03Z</dcterms:created>
  <dcterms:modified xsi:type="dcterms:W3CDTF">2019-12-08T02:57:03Z</dcterms:modified>
</cp:coreProperties>
</file>