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60"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50"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5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19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6"/>
        </w:trPr>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gridSpan w:val="8"/>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Commission File No. 001-35219</w:t>
            </w:r>
          </w:p>
        </w:tc>
        <w:tc>
          <w:tcPr>
            <w:tcW w:w="19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88"/>
        </w:trPr>
        <w:tc>
          <w:tcPr>
            <w:tcW w:w="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2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gridSpan w:val="4"/>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gridSpan w:val="3"/>
          </w:tcPr>
          <w:p>
            <w:pPr>
              <w:spacing w:after="0"/>
              <w:rPr>
                <w:sz w:val="7"/>
                <w:szCs w:val="7"/>
                <w:color w:val="auto"/>
              </w:rPr>
            </w:pPr>
          </w:p>
        </w:tc>
        <w:tc>
          <w:tcPr>
            <w:tcW w:w="1760" w:type="dxa"/>
            <w:vAlign w:val="bottom"/>
          </w:tcPr>
          <w:p>
            <w:pPr>
              <w:spacing w:after="0"/>
              <w:rPr>
                <w:sz w:val="7"/>
                <w:szCs w:val="7"/>
                <w:color w:val="auto"/>
              </w:rPr>
            </w:pPr>
          </w:p>
        </w:tc>
      </w:tr>
      <w:tr>
        <w:trPr>
          <w:trHeight w:val="543"/>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760"/>
              <w:spacing w:after="0"/>
              <w:rPr>
                <w:sz w:val="20"/>
                <w:szCs w:val="20"/>
                <w:color w:val="auto"/>
              </w:rPr>
            </w:pPr>
            <w:r>
              <w:rPr>
                <w:rFonts w:ascii="Times New Roman" w:cs="Times New Roman" w:eastAsia="Times New Roman" w:hAnsi="Times New Roman"/>
                <w:sz w:val="31"/>
                <w:szCs w:val="31"/>
                <w:b w:val="1"/>
                <w:bCs w:val="1"/>
                <w:color w:val="auto"/>
                <w:w w:val="98"/>
              </w:rPr>
              <w:t>Marriott Vacations Worldwide Corporation</w:t>
            </w:r>
          </w:p>
        </w:tc>
      </w:tr>
      <w:tr>
        <w:trPr>
          <w:trHeight w:val="179"/>
        </w:trPr>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5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13"/>
        </w:trPr>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2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r>
      <w:tr>
        <w:trPr>
          <w:trHeight w:val="454"/>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20" w:type="dxa"/>
            <w:vAlign w:val="bottom"/>
            <w:gridSpan w:val="5"/>
          </w:tcPr>
          <w:p>
            <w:pPr>
              <w:jc w:val="center"/>
              <w:ind w:right="122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jc w:val="right"/>
              <w:ind w:right="902"/>
              <w:spacing w:after="0"/>
              <w:rPr>
                <w:sz w:val="20"/>
                <w:szCs w:val="20"/>
                <w:color w:val="auto"/>
              </w:rPr>
            </w:pPr>
            <w:r>
              <w:rPr>
                <w:rFonts w:ascii="Times New Roman" w:cs="Times New Roman" w:eastAsia="Times New Roman" w:hAnsi="Times New Roman"/>
                <w:sz w:val="17"/>
                <w:szCs w:val="17"/>
                <w:b w:val="1"/>
                <w:bCs w:val="1"/>
                <w:color w:val="auto"/>
              </w:rPr>
              <w:t>45-2598330</w:t>
            </w:r>
          </w:p>
        </w:tc>
        <w:tc>
          <w:tcPr>
            <w:tcW w:w="1760" w:type="dxa"/>
            <w:vAlign w:val="bottom"/>
          </w:tcPr>
          <w:p>
            <w:pPr>
              <w:spacing w:after="0"/>
              <w:rPr>
                <w:sz w:val="24"/>
                <w:szCs w:val="24"/>
                <w:color w:val="auto"/>
              </w:rPr>
            </w:pPr>
          </w:p>
        </w:tc>
      </w:tr>
      <w:tr>
        <w:trPr>
          <w:trHeight w:val="179"/>
        </w:trPr>
        <w:tc>
          <w:tcPr>
            <w:tcW w:w="240" w:type="dxa"/>
            <w:vAlign w:val="bottom"/>
          </w:tcPr>
          <w:p>
            <w:pPr>
              <w:spacing w:after="0"/>
              <w:rPr>
                <w:sz w:val="15"/>
                <w:szCs w:val="15"/>
                <w:color w:val="auto"/>
              </w:rPr>
            </w:pPr>
          </w:p>
        </w:tc>
        <w:tc>
          <w:tcPr>
            <w:tcW w:w="6180" w:type="dxa"/>
            <w:vAlign w:val="bottom"/>
            <w:gridSpan w:val="6"/>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 incorporation or organization)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80" w:type="dxa"/>
            <w:vAlign w:val="bottom"/>
            <w:gridSpan w:val="5"/>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268"/>
        </w:trPr>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4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7812 Palm Parkway</w:t>
            </w: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Orlando  FL</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102"/>
              <w:spacing w:after="0"/>
              <w:rPr>
                <w:sz w:val="20"/>
                <w:szCs w:val="20"/>
                <w:color w:val="auto"/>
              </w:rPr>
            </w:pPr>
            <w:r>
              <w:rPr>
                <w:rFonts w:ascii="Times New Roman" w:cs="Times New Roman" w:eastAsia="Times New Roman" w:hAnsi="Times New Roman"/>
                <w:sz w:val="17"/>
                <w:szCs w:val="17"/>
                <w:b w:val="1"/>
                <w:bCs w:val="1"/>
                <w:color w:val="auto"/>
              </w:rPr>
              <w:t>32836</w:t>
            </w:r>
          </w:p>
        </w:tc>
        <w:tc>
          <w:tcPr>
            <w:tcW w:w="1760" w:type="dxa"/>
            <w:vAlign w:val="bottom"/>
          </w:tcPr>
          <w:p>
            <w:pPr>
              <w:spacing w:after="0"/>
              <w:rPr>
                <w:sz w:val="23"/>
                <w:szCs w:val="23"/>
                <w:color w:val="auto"/>
              </w:rPr>
            </w:pPr>
          </w:p>
        </w:tc>
      </w:tr>
      <w:tr>
        <w:trPr>
          <w:trHeight w:val="179"/>
        </w:trPr>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5"/>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80" w:type="dxa"/>
            <w:vAlign w:val="bottom"/>
            <w:gridSpan w:val="2"/>
          </w:tcPr>
          <w:p>
            <w:pPr>
              <w:jc w:val="center"/>
              <w:ind w:right="2620"/>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77"/>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78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(407) 206-6000</w:t>
            </w:r>
          </w:p>
        </w:tc>
      </w:tr>
      <w:tr>
        <w:trPr>
          <w:trHeight w:val="262"/>
        </w:trPr>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 registered pursuant to Section 12(b) of the Act:</w:t>
            </w:r>
          </w:p>
        </w:tc>
        <w:tc>
          <w:tcPr>
            <w:tcW w:w="19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90"/>
        </w:trPr>
        <w:tc>
          <w:tcPr>
            <w:tcW w:w="240" w:type="dxa"/>
            <w:vAlign w:val="bottom"/>
          </w:tcPr>
          <w:p>
            <w:pPr>
              <w:spacing w:after="0"/>
              <w:rPr>
                <w:sz w:val="24"/>
                <w:szCs w:val="24"/>
                <w:color w:val="auto"/>
              </w:rPr>
            </w:pPr>
          </w:p>
        </w:tc>
        <w:tc>
          <w:tcPr>
            <w:tcW w:w="3600" w:type="dxa"/>
            <w:vAlign w:val="bottom"/>
            <w:tcBorders>
              <w:bottom w:val="single" w:sz="8" w:color="auto"/>
            </w:tcBorders>
            <w:gridSpan w:val="2"/>
          </w:tcPr>
          <w:p>
            <w:pPr>
              <w:jc w:val="center"/>
              <w:ind w:left="706"/>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gridSpan w:val="2"/>
          </w:tcPr>
          <w:p>
            <w:pPr>
              <w:jc w:val="center"/>
              <w:ind w:left="223"/>
              <w:spacing w:after="0"/>
              <w:rPr>
                <w:sz w:val="20"/>
                <w:szCs w:val="20"/>
                <w:color w:val="auto"/>
              </w:rPr>
            </w:pPr>
            <w:r>
              <w:rPr>
                <w:rFonts w:ascii="Times New Roman" w:cs="Times New Roman" w:eastAsia="Times New Roman" w:hAnsi="Times New Roman"/>
                <w:sz w:val="15"/>
                <w:szCs w:val="15"/>
                <w:b w:val="1"/>
                <w:bCs w:val="1"/>
                <w:color w:val="auto"/>
                <w:w w:val="99"/>
              </w:rPr>
              <w:t>Trading Symbol(s)</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5"/>
        </w:trPr>
        <w:tc>
          <w:tcPr>
            <w:tcW w:w="240" w:type="dxa"/>
            <w:vAlign w:val="bottom"/>
          </w:tcPr>
          <w:p>
            <w:pPr>
              <w:spacing w:after="0"/>
              <w:rPr>
                <w:sz w:val="16"/>
                <w:szCs w:val="16"/>
                <w:color w:val="auto"/>
              </w:rPr>
            </w:pPr>
          </w:p>
        </w:tc>
        <w:tc>
          <w:tcPr>
            <w:tcW w:w="3600" w:type="dxa"/>
            <w:vAlign w:val="bottom"/>
            <w:gridSpan w:val="2"/>
          </w:tcPr>
          <w:p>
            <w:pPr>
              <w:jc w:val="center"/>
              <w:ind w:left="706"/>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VAC</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8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88"/>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12(g) of the Act: NONE</w:t>
            </w:r>
          </w:p>
        </w:tc>
      </w:tr>
      <w:tr>
        <w:trPr>
          <w:trHeight w:val="75"/>
        </w:trPr>
        <w:tc>
          <w:tcPr>
            <w:tcW w:w="2000" w:type="dxa"/>
            <w:vAlign w:val="bottom"/>
            <w:gridSpan w:val="2"/>
          </w:tcPr>
          <w:p>
            <w:pPr>
              <w:spacing w:after="0"/>
              <w:rPr>
                <w:sz w:val="6"/>
                <w:szCs w:val="6"/>
                <w:color w:val="auto"/>
              </w:rPr>
            </w:pPr>
          </w:p>
        </w:tc>
        <w:tc>
          <w:tcPr>
            <w:tcW w:w="5340" w:type="dxa"/>
            <w:vAlign w:val="bottom"/>
            <w:tcBorders>
              <w:bottom w:val="single" w:sz="8" w:color="auto"/>
            </w:tcBorders>
            <w:gridSpan w:val="10"/>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r>
      <w:tr>
        <w:trPr>
          <w:trHeight w:val="303"/>
        </w:trPr>
        <w:tc>
          <w:tcPr>
            <w:tcW w:w="7340" w:type="dxa"/>
            <w:vAlign w:val="bottom"/>
            <w:gridSpan w:val="12"/>
          </w:tcPr>
          <w:p>
            <w:pPr>
              <w:jc w:val="center"/>
              <w:ind w:right="14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680" w:type="dxa"/>
            <w:vAlign w:val="bottom"/>
            <w:gridSpan w:val="2"/>
          </w:tcPr>
          <w:p>
            <w:pPr>
              <w:jc w:val="center"/>
              <w:ind w:right="268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r>
        <w:trPr>
          <w:trHeight w:val="258"/>
        </w:trPr>
        <w:tc>
          <w:tcPr>
            <w:tcW w:w="734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368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20" w:lineRule="exact"/>
        <w:rPr>
          <w:sz w:val="24"/>
          <w:szCs w:val="24"/>
          <w:color w:val="auto"/>
        </w:rPr>
      </w:pPr>
    </w:p>
    <w:p>
      <w:pPr>
        <w:ind w:right="28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4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80" w:type="dxa"/>
            <w:vAlign w:val="bottom"/>
            <w:vMerge w:val="restart"/>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tcPr>
          <w:p>
            <w:pPr>
              <w:ind w:left="234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8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80" w:type="dxa"/>
            <w:vAlign w:val="bottom"/>
            <w:vMerge w:val="continue"/>
          </w:tcPr>
          <w:p>
            <w:pPr>
              <w:spacing w:after="0"/>
              <w:rPr>
                <w:sz w:val="15"/>
                <w:szCs w:val="15"/>
                <w:color w:val="auto"/>
              </w:rPr>
            </w:pPr>
          </w:p>
        </w:tc>
        <w:tc>
          <w:tcPr>
            <w:tcW w:w="2780" w:type="dxa"/>
            <w:vAlign w:val="bottom"/>
            <w:vMerge w:val="restart"/>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Times New Roman" w:cs="Times New Roman" w:eastAsia="Times New Roman" w:hAnsi="Times New Roman"/>
                <w:sz w:val="15"/>
                <w:szCs w:val="15"/>
                <w:color w:val="auto"/>
              </w:rPr>
              <w:t>Emerging growth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ind w:right="560"/>
        <w:spacing w:after="0" w:line="20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1" w:lineRule="exact"/>
        <w:rPr>
          <w:sz w:val="24"/>
          <w:szCs w:val="24"/>
          <w:color w:val="auto"/>
        </w:rPr>
      </w:pPr>
    </w:p>
    <w:p>
      <w:pPr>
        <w:ind w:right="18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60"/>
        <w:spacing w:after="0" w:line="207"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8" w:lineRule="exact"/>
        <w:rPr>
          <w:sz w:val="24"/>
          <w:szCs w:val="24"/>
          <w:color w:val="auto"/>
        </w:rPr>
      </w:pPr>
    </w:p>
    <w:p>
      <w:pPr>
        <w:ind w:right="180"/>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3" w:lineRule="exact"/>
        <w:tabs>
          <w:tab w:leader="none" w:pos="6460" w:val="left"/>
          <w:tab w:leader="none" w:pos="70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65"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The aggregate market value of shares of common stock held by non-affiliates at June 30, 2024, was $3,020,049,083. There were 34,910,573 shares of common stock outstanding as of February 24, 2025.</w:t>
      </w:r>
    </w:p>
    <w:p>
      <w:pPr>
        <w:spacing w:after="0" w:line="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Portions of the Proxy Statement prepared for the 2025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363855</wp:posOffset>
            </wp:positionV>
            <wp:extent cx="716534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 w:name="page2"/>
    <w:bookmarkEnd w:id="1"/>
    <w:tbl>
      <w:tblPr>
        <w:tblLayout w:type="fixed"/>
        <w:tblInd w:w="360" w:type="dxa"/>
        <w:tblCellMar>
          <w:top w:w="0" w:type="dxa"/>
          <w:left w:w="0" w:type="dxa"/>
          <w:bottom w:w="0" w:type="dxa"/>
          <w:right w:w="0" w:type="dxa"/>
        </w:tblCellMar>
      </w:tblPr>
      <w:tr>
        <w:trPr>
          <w:trHeight w:val="226"/>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20" w:type="dxa"/>
            <w:vAlign w:val="bottom"/>
            <w:gridSpan w:val="12"/>
          </w:tcPr>
          <w:p>
            <w:pPr>
              <w:ind w:left="8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842"/>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6"/>
              </w:rPr>
              <w:t>Part I.</w:t>
            </w:r>
          </w:p>
        </w:tc>
        <w:tc>
          <w:tcPr>
            <w:tcW w:w="80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400" w:type="dxa"/>
            <w:vAlign w:val="bottom"/>
            <w:gridSpan w:val="4"/>
          </w:tcPr>
          <w:p>
            <w:pPr>
              <w:spacing w:after="0"/>
              <w:rPr>
                <w:sz w:val="20"/>
                <w:szCs w:val="20"/>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Business</w:t>
            </w: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1A.</w:t>
            </w:r>
          </w:p>
        </w:tc>
        <w:tc>
          <w:tcPr>
            <w:tcW w:w="280" w:type="dxa"/>
            <w:vAlign w:val="bottom"/>
          </w:tcPr>
          <w:p>
            <w:pPr>
              <w:spacing w:after="0"/>
              <w:rPr>
                <w:sz w:val="20"/>
                <w:szCs w:val="20"/>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5400" w:type="dxa"/>
            <w:vAlign w:val="bottom"/>
            <w:gridSpan w:val="20"/>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1B.</w:t>
            </w:r>
          </w:p>
        </w:tc>
        <w:tc>
          <w:tcPr>
            <w:tcW w:w="300" w:type="dxa"/>
            <w:vAlign w:val="bottom"/>
            <w:gridSpan w:val="2"/>
          </w:tcPr>
          <w:p>
            <w:pPr>
              <w:spacing w:after="0"/>
              <w:rPr>
                <w:sz w:val="20"/>
                <w:szCs w:val="20"/>
                <w:color w:val="auto"/>
              </w:rPr>
            </w:pPr>
          </w:p>
        </w:tc>
        <w:tc>
          <w:tcPr>
            <w:tcW w:w="1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w w:val="99"/>
              </w:rPr>
              <w:t>Unresolved Staff Comments</w:t>
            </w:r>
          </w:p>
        </w:tc>
        <w:tc>
          <w:tcPr>
            <w:tcW w:w="4320" w:type="dxa"/>
            <w:vAlign w:val="bottom"/>
            <w:gridSpan w:val="12"/>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9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1C.</w:t>
            </w: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Cybersecurity</w:t>
            </w:r>
          </w:p>
        </w:tc>
      </w:tr>
      <w:tr>
        <w:trPr>
          <w:trHeight w:val="236"/>
        </w:trPr>
        <w:tc>
          <w:tcPr>
            <w:tcW w:w="300" w:type="dxa"/>
            <w:vAlign w:val="bottom"/>
          </w:tcPr>
          <w:p>
            <w:pPr>
              <w:spacing w:after="0"/>
              <w:rPr>
                <w:sz w:val="20"/>
                <w:szCs w:val="20"/>
                <w:color w:val="auto"/>
              </w:rPr>
            </w:pPr>
          </w:p>
        </w:tc>
        <w:tc>
          <w:tcPr>
            <w:tcW w:w="5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80" w:type="dxa"/>
            <w:vAlign w:val="bottom"/>
            <w:tcBorders>
              <w:top w:val="single" w:sz="8" w:color="0000FF"/>
            </w:tcBorders>
          </w:tcPr>
          <w:p>
            <w:pPr>
              <w:spacing w:after="0"/>
              <w:rPr>
                <w:sz w:val="20"/>
                <w:szCs w:val="20"/>
                <w:color w:val="auto"/>
              </w:rPr>
            </w:pPr>
          </w:p>
        </w:tc>
        <w:tc>
          <w:tcPr>
            <w:tcW w:w="320" w:type="dxa"/>
            <w:vAlign w:val="bottom"/>
            <w:gridSpan w:val="3"/>
          </w:tcPr>
          <w:p>
            <w:pPr>
              <w:spacing w:after="0"/>
              <w:rPr>
                <w:sz w:val="20"/>
                <w:szCs w:val="20"/>
                <w:color w:val="auto"/>
              </w:rPr>
            </w:pPr>
          </w:p>
        </w:tc>
        <w:tc>
          <w:tcPr>
            <w:tcW w:w="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5300" w:type="dxa"/>
            <w:vAlign w:val="bottom"/>
            <w:gridSpan w:val="19"/>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400" w:type="dxa"/>
            <w:vAlign w:val="bottom"/>
            <w:gridSpan w:val="4"/>
          </w:tcPr>
          <w:p>
            <w:pPr>
              <w:spacing w:after="0"/>
              <w:rPr>
                <w:sz w:val="20"/>
                <w:szCs w:val="20"/>
                <w:color w:val="auto"/>
              </w:rPr>
            </w:pPr>
          </w:p>
        </w:tc>
        <w:tc>
          <w:tcPr>
            <w:tcW w:w="1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Legal Proceedings</w:t>
            </w:r>
          </w:p>
        </w:tc>
        <w:tc>
          <w:tcPr>
            <w:tcW w:w="5000" w:type="dxa"/>
            <w:vAlign w:val="bottom"/>
            <w:gridSpan w:val="17"/>
          </w:tcPr>
          <w:p>
            <w:pPr>
              <w:spacing w:after="0"/>
              <w:rPr>
                <w:sz w:val="20"/>
                <w:szCs w:val="20"/>
                <w:color w:val="auto"/>
              </w:rPr>
            </w:pPr>
          </w:p>
        </w:tc>
      </w:tr>
      <w:tr>
        <w:trPr>
          <w:trHeight w:val="256"/>
        </w:trPr>
        <w:tc>
          <w:tcPr>
            <w:tcW w:w="300" w:type="dxa"/>
            <w:vAlign w:val="bottom"/>
          </w:tcPr>
          <w:p>
            <w:pPr>
              <w:spacing w:after="0"/>
              <w:rPr>
                <w:sz w:val="22"/>
                <w:szCs w:val="22"/>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400" w:type="dxa"/>
            <w:vAlign w:val="bottom"/>
            <w:gridSpan w:val="4"/>
          </w:tcPr>
          <w:p>
            <w:pPr>
              <w:spacing w:after="0"/>
              <w:rPr>
                <w:sz w:val="22"/>
                <w:szCs w:val="22"/>
                <w:color w:val="auto"/>
              </w:rPr>
            </w:pPr>
          </w:p>
        </w:tc>
        <w:tc>
          <w:tcPr>
            <w:tcW w:w="17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Mine Safety Disclosures</w:t>
            </w:r>
          </w:p>
        </w:tc>
        <w:tc>
          <w:tcPr>
            <w:tcW w:w="4560" w:type="dxa"/>
            <w:vAlign w:val="bottom"/>
            <w:gridSpan w:val="13"/>
          </w:tcPr>
          <w:p>
            <w:pPr>
              <w:spacing w:after="0"/>
              <w:rPr>
                <w:sz w:val="22"/>
                <w:szCs w:val="22"/>
                <w:color w:val="auto"/>
              </w:rPr>
            </w:pPr>
          </w:p>
        </w:tc>
      </w:tr>
      <w:tr>
        <w:trPr>
          <w:trHeight w:val="267"/>
        </w:trPr>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Part II.</w:t>
            </w:r>
          </w:p>
        </w:tc>
        <w:tc>
          <w:tcPr>
            <w:tcW w:w="740" w:type="dxa"/>
            <w:vAlign w:val="bottom"/>
            <w:gridSpan w:val="7"/>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97"/>
        </w:trPr>
        <w:tc>
          <w:tcPr>
            <w:tcW w:w="300" w:type="dxa"/>
            <w:vAlign w:val="bottom"/>
          </w:tcPr>
          <w:p>
            <w:pPr>
              <w:spacing w:after="0"/>
              <w:rPr>
                <w:sz w:val="17"/>
                <w:szCs w:val="17"/>
                <w:color w:val="auto"/>
              </w:rPr>
            </w:pPr>
          </w:p>
        </w:tc>
        <w:tc>
          <w:tcPr>
            <w:tcW w:w="9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5.</w:t>
            </w: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w w:val="99"/>
              </w:rPr>
              <w:t>Market for Registrant’s Common Equity, Related Stockholder Matters and Issuer Purchases</w:t>
            </w:r>
          </w:p>
        </w:tc>
      </w:tr>
      <w:tr>
        <w:trPr>
          <w:trHeight w:val="146"/>
        </w:trPr>
        <w:tc>
          <w:tcPr>
            <w:tcW w:w="30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40" w:type="dxa"/>
            <w:vAlign w:val="bottom"/>
            <w:tcBorders>
              <w:top w:val="single" w:sz="8" w:color="0000FF"/>
            </w:tcBorders>
            <w:gridSpan w:val="23"/>
          </w:tcPr>
          <w:p>
            <w:pPr>
              <w:spacing w:after="0" w:line="146" w:lineRule="exact"/>
              <w:rPr>
                <w:sz w:val="20"/>
                <w:szCs w:val="20"/>
                <w:color w:val="auto"/>
              </w:rPr>
            </w:pPr>
            <w:r>
              <w:rPr>
                <w:rFonts w:ascii="Times New Roman" w:cs="Times New Roman" w:eastAsia="Times New Roman" w:hAnsi="Times New Roman"/>
                <w:sz w:val="16"/>
                <w:szCs w:val="16"/>
                <w:color w:val="0000FF"/>
              </w:rPr>
              <w:t>of Equity Securities</w:t>
            </w:r>
          </w:p>
        </w:tc>
        <w:tc>
          <w:tcPr>
            <w:tcW w:w="20" w:type="dxa"/>
            <w:vAlign w:val="bottom"/>
          </w:tcPr>
          <w:p>
            <w:pPr>
              <w:spacing w:after="0"/>
              <w:rPr>
                <w:sz w:val="12"/>
                <w:szCs w:val="12"/>
                <w:color w:val="auto"/>
              </w:rPr>
            </w:pPr>
          </w:p>
        </w:tc>
      </w:tr>
      <w:tr>
        <w:trPr>
          <w:trHeight w:val="223"/>
        </w:trPr>
        <w:tc>
          <w:tcPr>
            <w:tcW w:w="300" w:type="dxa"/>
            <w:vAlign w:val="bottom"/>
          </w:tcPr>
          <w:p>
            <w:pPr>
              <w:spacing w:after="0"/>
              <w:rPr>
                <w:sz w:val="19"/>
                <w:szCs w:val="19"/>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400" w:type="dxa"/>
            <w:vAlign w:val="bottom"/>
            <w:gridSpan w:val="4"/>
          </w:tcPr>
          <w:p>
            <w:pPr>
              <w:spacing w:after="0"/>
              <w:rPr>
                <w:sz w:val="19"/>
                <w:szCs w:val="19"/>
                <w:color w:val="auto"/>
              </w:rPr>
            </w:pPr>
          </w:p>
        </w:tc>
        <w:tc>
          <w:tcPr>
            <w:tcW w:w="13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Reserved</w:t>
            </w:r>
          </w:p>
        </w:tc>
        <w:tc>
          <w:tcPr>
            <w:tcW w:w="4920" w:type="dxa"/>
            <w:vAlign w:val="bottom"/>
            <w:gridSpan w:val="16"/>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7.</w:t>
            </w:r>
          </w:p>
        </w:tc>
        <w:tc>
          <w:tcPr>
            <w:tcW w:w="400" w:type="dxa"/>
            <w:vAlign w:val="bottom"/>
            <w:gridSpan w:val="4"/>
          </w:tcPr>
          <w:p>
            <w:pPr>
              <w:spacing w:after="0"/>
              <w:rPr>
                <w:sz w:val="20"/>
                <w:szCs w:val="20"/>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7A.</w:t>
            </w:r>
          </w:p>
        </w:tc>
        <w:tc>
          <w:tcPr>
            <w:tcW w:w="4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2140" w:type="dxa"/>
            <w:vAlign w:val="bottom"/>
            <w:gridSpan w:val="7"/>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8.</w:t>
            </w:r>
          </w:p>
        </w:tc>
        <w:tc>
          <w:tcPr>
            <w:tcW w:w="400" w:type="dxa"/>
            <w:vAlign w:val="bottom"/>
            <w:gridSpan w:val="4"/>
          </w:tcPr>
          <w:p>
            <w:pPr>
              <w:spacing w:after="0"/>
              <w:rPr>
                <w:sz w:val="20"/>
                <w:szCs w:val="20"/>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9.</w:t>
            </w:r>
          </w:p>
        </w:tc>
        <w:tc>
          <w:tcPr>
            <w:tcW w:w="400" w:type="dxa"/>
            <w:vAlign w:val="bottom"/>
            <w:gridSpan w:val="4"/>
          </w:tcPr>
          <w:p>
            <w:pPr>
              <w:spacing w:after="0"/>
              <w:rPr>
                <w:sz w:val="20"/>
                <w:szCs w:val="20"/>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9A.</w:t>
            </w:r>
          </w:p>
        </w:tc>
        <w:tc>
          <w:tcPr>
            <w:tcW w:w="280" w:type="dxa"/>
            <w:vAlign w:val="bottom"/>
          </w:tcPr>
          <w:p>
            <w:pPr>
              <w:spacing w:after="0"/>
              <w:rPr>
                <w:sz w:val="20"/>
                <w:szCs w:val="20"/>
                <w:color w:val="auto"/>
              </w:rPr>
            </w:pPr>
          </w:p>
        </w:tc>
        <w:tc>
          <w:tcPr>
            <w:tcW w:w="17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4560" w:type="dxa"/>
            <w:vAlign w:val="bottom"/>
            <w:gridSpan w:val="13"/>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9B.</w:t>
            </w:r>
          </w:p>
        </w:tc>
        <w:tc>
          <w:tcPr>
            <w:tcW w:w="300" w:type="dxa"/>
            <w:vAlign w:val="bottom"/>
            <w:gridSpan w:val="2"/>
          </w:tcPr>
          <w:p>
            <w:pPr>
              <w:spacing w:after="0"/>
              <w:rPr>
                <w:sz w:val="20"/>
                <w:szCs w:val="20"/>
                <w:color w:val="auto"/>
              </w:rPr>
            </w:pP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5020" w:type="dxa"/>
            <w:vAlign w:val="bottom"/>
            <w:gridSpan w:val="18"/>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9C.</w:t>
            </w:r>
          </w:p>
        </w:tc>
        <w:tc>
          <w:tcPr>
            <w:tcW w:w="300" w:type="dxa"/>
            <w:vAlign w:val="bottom"/>
            <w:gridSpan w:val="2"/>
          </w:tcPr>
          <w:p>
            <w:pPr>
              <w:spacing w:after="0"/>
              <w:rPr>
                <w:sz w:val="20"/>
                <w:szCs w:val="20"/>
                <w:color w:val="auto"/>
              </w:rPr>
            </w:pPr>
          </w:p>
        </w:tc>
        <w:tc>
          <w:tcPr>
            <w:tcW w:w="4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w w:val="99"/>
              </w:rPr>
              <w:t>Disclosure Regarding Foreign Jurisdictions that Prevent Inspections</w:t>
            </w:r>
          </w:p>
        </w:tc>
        <w:tc>
          <w:tcPr>
            <w:tcW w:w="1620" w:type="dxa"/>
            <w:vAlign w:val="bottom"/>
            <w:gridSpan w:val="6"/>
          </w:tcPr>
          <w:p>
            <w:pPr>
              <w:spacing w:after="0"/>
              <w:rPr>
                <w:sz w:val="20"/>
                <w:szCs w:val="20"/>
                <w:color w:val="auto"/>
              </w:rPr>
            </w:pPr>
          </w:p>
        </w:tc>
      </w:tr>
      <w:tr>
        <w:trPr>
          <w:trHeight w:val="325"/>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Part III.</w:t>
            </w:r>
          </w:p>
        </w:tc>
        <w:tc>
          <w:tcPr>
            <w:tcW w:w="68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4"/>
              </w:rPr>
              <w:t>Item 10.</w:t>
            </w:r>
          </w:p>
        </w:tc>
        <w:tc>
          <w:tcPr>
            <w:tcW w:w="400" w:type="dxa"/>
            <w:vAlign w:val="bottom"/>
            <w:gridSpan w:val="4"/>
          </w:tcPr>
          <w:p>
            <w:pPr>
              <w:spacing w:after="0"/>
              <w:rPr>
                <w:sz w:val="17"/>
                <w:szCs w:val="17"/>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r>
      <w:tr>
        <w:trPr>
          <w:trHeight w:val="236"/>
        </w:trPr>
        <w:tc>
          <w:tcPr>
            <w:tcW w:w="300" w:type="dxa"/>
            <w:vAlign w:val="bottom"/>
          </w:tcPr>
          <w:p>
            <w:pPr>
              <w:spacing w:after="0"/>
              <w:rPr>
                <w:sz w:val="20"/>
                <w:szCs w:val="20"/>
                <w:color w:val="auto"/>
              </w:rPr>
            </w:pPr>
          </w:p>
        </w:tc>
        <w:tc>
          <w:tcPr>
            <w:tcW w:w="5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84"/>
              </w:rPr>
              <w:t>Item 11.</w:t>
            </w:r>
          </w:p>
        </w:tc>
        <w:tc>
          <w:tcPr>
            <w:tcW w:w="400" w:type="dxa"/>
            <w:vAlign w:val="bottom"/>
            <w:gridSpan w:val="4"/>
          </w:tcPr>
          <w:p>
            <w:pPr>
              <w:spacing w:after="0"/>
              <w:rPr>
                <w:sz w:val="20"/>
                <w:szCs w:val="20"/>
                <w:color w:val="auto"/>
              </w:rPr>
            </w:pPr>
          </w:p>
        </w:tc>
        <w:tc>
          <w:tcPr>
            <w:tcW w:w="38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400" w:type="dxa"/>
            <w:vAlign w:val="bottom"/>
            <w:gridSpan w:val="8"/>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4"/>
              </w:rPr>
              <w:t>Item 12.</w:t>
            </w:r>
          </w:p>
        </w:tc>
        <w:tc>
          <w:tcPr>
            <w:tcW w:w="400" w:type="dxa"/>
            <w:vAlign w:val="bottom"/>
            <w:gridSpan w:val="4"/>
          </w:tcPr>
          <w:p>
            <w:pPr>
              <w:spacing w:after="0"/>
              <w:rPr>
                <w:sz w:val="20"/>
                <w:szCs w:val="20"/>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w:t>
            </w:r>
          </w:p>
        </w:tc>
      </w:tr>
      <w:tr>
        <w:trPr>
          <w:trHeight w:val="146"/>
        </w:trPr>
        <w:tc>
          <w:tcPr>
            <w:tcW w:w="30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60" w:type="dxa"/>
            <w:vAlign w:val="bottom"/>
            <w:tcBorders>
              <w:top w:val="single" w:sz="8" w:color="0000FF"/>
            </w:tcBorders>
            <w:gridSpan w:val="20"/>
          </w:tcPr>
          <w:p>
            <w:pPr>
              <w:spacing w:after="0" w:line="146" w:lineRule="exact"/>
              <w:rPr>
                <w:sz w:val="20"/>
                <w:szCs w:val="20"/>
                <w:color w:val="auto"/>
              </w:rPr>
            </w:pPr>
            <w:r>
              <w:rPr>
                <w:rFonts w:ascii="Times New Roman" w:cs="Times New Roman" w:eastAsia="Times New Roman" w:hAnsi="Times New Roman"/>
                <w:sz w:val="16"/>
                <w:szCs w:val="16"/>
                <w:color w:val="0000FF"/>
              </w:rPr>
              <w:t>Stockholder Matters</w:t>
            </w:r>
          </w:p>
        </w:tc>
        <w:tc>
          <w:tcPr>
            <w:tcW w:w="800" w:type="dxa"/>
            <w:vAlign w:val="bottom"/>
            <w:gridSpan w:val="4"/>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13.</w:t>
            </w:r>
          </w:p>
        </w:tc>
        <w:tc>
          <w:tcPr>
            <w:tcW w:w="320" w:type="dxa"/>
            <w:vAlign w:val="bottom"/>
            <w:gridSpan w:val="3"/>
          </w:tcPr>
          <w:p>
            <w:pPr>
              <w:spacing w:after="0"/>
              <w:rPr>
                <w:sz w:val="19"/>
                <w:szCs w:val="19"/>
                <w:color w:val="auto"/>
              </w:rPr>
            </w:pPr>
          </w:p>
        </w:tc>
        <w:tc>
          <w:tcPr>
            <w:tcW w:w="5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w w:val="99"/>
              </w:rPr>
              <w:t>Certain Relationships and Related Transactions, and Director Independence</w:t>
            </w:r>
          </w:p>
        </w:tc>
        <w:tc>
          <w:tcPr>
            <w:tcW w:w="1100" w:type="dxa"/>
            <w:vAlign w:val="bottom"/>
            <w:gridSpan w:val="5"/>
          </w:tcPr>
          <w:p>
            <w:pPr>
              <w:spacing w:after="0"/>
              <w:rPr>
                <w:sz w:val="19"/>
                <w:szCs w:val="19"/>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4"/>
              </w:rPr>
              <w:t>Item 14.</w:t>
            </w:r>
          </w:p>
        </w:tc>
        <w:tc>
          <w:tcPr>
            <w:tcW w:w="400" w:type="dxa"/>
            <w:vAlign w:val="bottom"/>
            <w:gridSpan w:val="4"/>
          </w:tcPr>
          <w:p>
            <w:pPr>
              <w:spacing w:after="0"/>
              <w:rPr>
                <w:sz w:val="20"/>
                <w:szCs w:val="20"/>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2"/>
              </w:rPr>
              <w:t>Part IV.</w:t>
            </w:r>
          </w:p>
        </w:tc>
        <w:tc>
          <w:tcPr>
            <w:tcW w:w="70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15.</w:t>
            </w:r>
          </w:p>
        </w:tc>
        <w:tc>
          <w:tcPr>
            <w:tcW w:w="320" w:type="dxa"/>
            <w:vAlign w:val="bottom"/>
            <w:gridSpan w:val="3"/>
          </w:tcPr>
          <w:p>
            <w:pPr>
              <w:spacing w:after="0"/>
              <w:rPr>
                <w:sz w:val="20"/>
                <w:szCs w:val="20"/>
                <w:color w:val="auto"/>
              </w:rPr>
            </w:pPr>
          </w:p>
        </w:tc>
        <w:tc>
          <w:tcPr>
            <w:tcW w:w="62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r>
      <w:tr>
        <w:trPr>
          <w:trHeight w:val="256"/>
        </w:trPr>
        <w:tc>
          <w:tcPr>
            <w:tcW w:w="300" w:type="dxa"/>
            <w:vAlign w:val="bottom"/>
          </w:tcPr>
          <w:p>
            <w:pPr>
              <w:spacing w:after="0"/>
              <w:rPr>
                <w:sz w:val="22"/>
                <w:szCs w:val="22"/>
                <w:color w:val="auto"/>
              </w:rPr>
            </w:pPr>
          </w:p>
        </w:tc>
        <w:tc>
          <w:tcPr>
            <w:tcW w:w="5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84"/>
              </w:rPr>
              <w:t>Item 16.</w:t>
            </w:r>
          </w:p>
        </w:tc>
        <w:tc>
          <w:tcPr>
            <w:tcW w:w="80" w:type="dxa"/>
            <w:vAlign w:val="bottom"/>
            <w:tcBorders>
              <w:top w:val="single" w:sz="8" w:color="0000FF"/>
            </w:tcBorders>
          </w:tcPr>
          <w:p>
            <w:pPr>
              <w:spacing w:after="0"/>
              <w:rPr>
                <w:sz w:val="22"/>
                <w:szCs w:val="22"/>
                <w:color w:val="auto"/>
              </w:rPr>
            </w:pPr>
          </w:p>
        </w:tc>
        <w:tc>
          <w:tcPr>
            <w:tcW w:w="320" w:type="dxa"/>
            <w:vAlign w:val="bottom"/>
            <w:gridSpan w:val="3"/>
          </w:tcPr>
          <w:p>
            <w:pPr>
              <w:spacing w:after="0"/>
              <w:rPr>
                <w:sz w:val="22"/>
                <w:szCs w:val="22"/>
                <w:color w:val="auto"/>
              </w:rPr>
            </w:pPr>
          </w:p>
        </w:tc>
        <w:tc>
          <w:tcPr>
            <w:tcW w:w="29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3280" w:type="dxa"/>
            <w:vAlign w:val="bottom"/>
            <w:gridSpan w:val="10"/>
          </w:tcPr>
          <w:p>
            <w:pPr>
              <w:spacing w:after="0"/>
              <w:rPr>
                <w:sz w:val="22"/>
                <w:szCs w:val="22"/>
                <w:color w:val="auto"/>
              </w:rPr>
            </w:pPr>
          </w:p>
        </w:tc>
      </w:tr>
      <w:tr>
        <w:trPr>
          <w:trHeight w:val="267"/>
        </w:trPr>
        <w:tc>
          <w:tcPr>
            <w:tcW w:w="300" w:type="dxa"/>
            <w:vAlign w:val="bottom"/>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740" w:type="dxa"/>
            <w:vAlign w:val="bottom"/>
            <w:tcBorders>
              <w:top w:val="single" w:sz="8" w:color="0000FF"/>
            </w:tcBorders>
            <w:gridSpan w:val="7"/>
          </w:tcPr>
          <w:p>
            <w:pPr>
              <w:spacing w:after="0"/>
              <w:rPr>
                <w:sz w:val="23"/>
                <w:szCs w:val="23"/>
                <w:color w:val="auto"/>
              </w:rPr>
            </w:pPr>
          </w:p>
        </w:tc>
        <w:tc>
          <w:tcPr>
            <w:tcW w:w="4800" w:type="dxa"/>
            <w:vAlign w:val="bottom"/>
            <w:gridSpan w:val="14"/>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863600</wp:posOffset>
            </wp:positionV>
            <wp:extent cx="716534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26035</wp:posOffset>
            </wp:positionV>
            <wp:extent cx="519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u w:val="single" w:color="auto"/>
          <w:color w:val="0000FF"/>
        </w:rPr>
        <w:t>3</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24</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37</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38</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39</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40</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40</w:t>
      </w: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40</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41</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42</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66</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67</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123</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123</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123</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123</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123</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129</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130</w:t>
      </w:r>
    </w:p>
    <w:p>
      <w:pPr>
        <w:sectPr>
          <w:pgSz w:w="11900" w:h="16838" w:orient="portrait"/>
          <w:cols w:equalWidth="0" w:num="2">
            <w:col w:w="7820" w:space="260"/>
            <w:col w:w="939"/>
          </w:cols>
          <w:pgMar w:left="1440" w:top="1039" w:right="1440" w:bottom="1440" w:gutter="0" w:footer="0" w:header="0"/>
        </w:sectPr>
      </w:pPr>
    </w:p>
    <w:bookmarkStart w:id="2" w:name="page3"/>
    <w:bookmarkEnd w:id="2"/>
    <w:p>
      <w:pPr>
        <w:ind w:right="560"/>
        <w:spacing w:after="0" w:line="283" w:lineRule="auto"/>
        <w:rPr>
          <w:sz w:val="20"/>
          <w:szCs w:val="20"/>
          <w:color w:val="auto"/>
        </w:rPr>
      </w:pPr>
      <w:r>
        <w:rPr>
          <w:rFonts w:ascii="Times New Roman" w:cs="Times New Roman" w:eastAsia="Times New Roman" w:hAnsi="Times New Roman"/>
          <w:sz w:val="17"/>
          <w:szCs w:val="17"/>
          <w:color w:val="auto"/>
        </w:rPr>
        <w:t>Throughout this Annual Report on Form 10-K (this “Annual Report”), we refer to Marriott Vacations Worldwide Corporation, together with its consolidated subsidiaries, as “Marriott Vacations Worldwide,” “MVW,” “we,” “us,” or the “Company.”</w:t>
      </w:r>
    </w:p>
    <w:p>
      <w:pPr>
        <w:spacing w:after="0" w:line="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order to make this Annual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(the “U.S.”), Mexico, Central America, and the Caribbean as “North America.”</w:t>
      </w: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 xml:space="preserve">Additionally, throughout this Annual Report, we refer to brands that we own, as well as those brands that we license, as our brands. All brand names, trademarks, trade names, and service marks cited in this Annual Report are the property of their respective owners, including those of other companies and organizations. Solely for convenience, trademarks, trade names, and service marks referred to in this Annual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8"/>
          <w:szCs w:val="8"/>
          <w:color w:val="auto"/>
        </w:rPr>
        <w:t>TM</w:t>
      </w:r>
      <w:r>
        <w:rPr>
          <w:rFonts w:ascii="Times New Roman" w:cs="Times New Roman" w:eastAsia="Times New Roman" w:hAnsi="Times New Roman"/>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8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7"/>
          <w:szCs w:val="17"/>
          <w:color w:val="auto"/>
        </w:rPr>
        <w:t>Brand names, trademarks, trade names, and service marks that we own or license from Marriott International, Inc. or its affiliates (“Marriott International”) include Marriott Vacation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Vacation Club Destinations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Abound by Marriott Vacations</w:t>
      </w:r>
      <w:r>
        <w:rPr>
          <w:rFonts w:ascii="Times New Roman" w:cs="Times New Roman" w:eastAsia="Times New Roman" w:hAnsi="Times New Roman"/>
          <w:sz w:val="8"/>
          <w:szCs w:val="8"/>
          <w:color w:val="auto"/>
        </w:rPr>
        <w:t>TM</w:t>
      </w:r>
      <w:r>
        <w:rPr>
          <w:rFonts w:ascii="Times New Roman" w:cs="Times New Roman" w:eastAsia="Times New Roman" w:hAnsi="Times New Roman"/>
          <w:sz w:val="17"/>
          <w:szCs w:val="17"/>
          <w:color w:val="auto"/>
        </w:rPr>
        <w:t>, The Marriott Vacation Clubs</w:t>
      </w:r>
      <w:r>
        <w:rPr>
          <w:rFonts w:ascii="Times New Roman" w:cs="Times New Roman" w:eastAsia="Times New Roman" w:hAnsi="Times New Roman"/>
          <w:sz w:val="8"/>
          <w:szCs w:val="8"/>
          <w:color w:val="auto"/>
        </w:rPr>
        <w:t>TM</w:t>
      </w:r>
      <w:r>
        <w:rPr>
          <w:rFonts w:ascii="Times New Roman" w:cs="Times New Roman" w:eastAsia="Times New Roman" w:hAnsi="Times New Roman"/>
          <w:sz w:val="17"/>
          <w:szCs w:val="17"/>
          <w:color w:val="auto"/>
        </w:rPr>
        <w:t>, Marriott Grand Residence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Grand Residences by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Ritz-Carlton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Westin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Sheraton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(to a limited extent) St. Regis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The Luxury Collection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International’s affiliates include Starwood Hotels and Resorts Worldwide, Inc. (“Starwood”) and The Ritz-Carlton Hotel Company, L.L.C. (“The Ritz-Carlton Hotel Company”). We use the term “Marriott Vacation Ownership” to refer to our Marriott-, Sheraton-, and Westin-branded businesses, and we also refer to Marriott International’s Marriott Bonvoy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customer loyalty program as “Marriott Bonvoy.”</w:t>
      </w:r>
    </w:p>
    <w:p>
      <w:pPr>
        <w:spacing w:after="0" w:line="23" w:lineRule="exact"/>
        <w:rPr>
          <w:sz w:val="20"/>
          <w:szCs w:val="20"/>
          <w:color w:val="auto"/>
        </w:rPr>
      </w:pPr>
    </w:p>
    <w:p>
      <w:pPr>
        <w:jc w:val="both"/>
        <w:ind w:right="200"/>
        <w:spacing w:after="0"/>
        <w:rPr>
          <w:sz w:val="20"/>
          <w:szCs w:val="20"/>
          <w:color w:val="auto"/>
        </w:rPr>
      </w:pPr>
      <w:r>
        <w:rPr>
          <w:rFonts w:ascii="Times New Roman" w:cs="Times New Roman" w:eastAsia="Times New Roman" w:hAnsi="Times New Roman"/>
          <w:sz w:val="17"/>
          <w:szCs w:val="17"/>
          <w:color w:val="auto"/>
        </w:rPr>
        <w:t>Brand names, trademarks, trade names, and service marks that we own or license from a subsidiary of Hyatt Hotels Corporation (“Hyatt”) include Hyatt Vacation Ownership and Hyatt Vacation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Hyatt Vacation Ownership business refers to our group of businesses using the Hyatt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in the vacation ownership business pursuant to an exclusive, global master license agreement with a subsidiary of Hyatt. We use the term “Hyatt Vacation Ownership” to refer to our Hyatt-branded business, and we also refer to Hyatt’s World of Hyatt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customer loyalty program as “World of Hyatt.”</w:t>
      </w:r>
    </w:p>
    <w:p>
      <w:pPr>
        <w:spacing w:after="0" w:line="2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On April 1, 2021, we completed the acquisition of Welk Hospitality Group, Inc. (“Welk”) through a series of transactions (the “Welk Acquisition”), after which Welk became our indirect wholly-owned subsidiary. We refer to the business and brand that we acquired from Welk as “Legacy-Welk.” During 2023, we rebranded all Legacy-Welk resorts as Hyatt Vacation Club resorts.</w:t>
      </w:r>
    </w:p>
    <w:p>
      <w:pPr>
        <w:spacing w:after="0" w:line="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In 2018, we completed the acquisition of ILG, LLC, formerly known as ILG, Inc. (“ILG”), through a series of transactions (the “ILG Acquisition”), after which ILG became our indirect wholly-owned subsidiary. We refer to the business and brands that we acquired in the ILG Acquisition as “Legacy-ILG.” We refer to the business we conducted prior to the ILG Acquisition and the associated brands as “Legacy-MVW.” The businesses acquired from ILG that we currently operate as part of our Vacation Ownership business include Vistana Signature Experiences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(“Vistana”), which includes vacation ownership products branded as Sheraton or Westin, and Hyatt Vacation Ownership. The businesses acquired from ILG that we currently operate as part of our Exchange &amp; Third-Party Management business include Interval International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Aqua-Aston Hospitality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(“Aqua-Aston”). As part of the ILG Acquisition, we also acquired the Vacation Resorts International and Trading Places International businesses (together, the “VRI Americas” business). We disposed of VRI Americas during the second quarter of 2022, after determining that this business was not a core component of our future growth strategy and operating model. The results of VRI Americas are included in our Exchange and Third-Party Management segment through the date of the sale.</w:t>
      </w:r>
    </w:p>
    <w:p>
      <w:pPr>
        <w:spacing w:after="0" w:line="9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By referring to our corporate website, www.marriottvacationsworldwide.com, or any other website, we do not incorporate any such website or its contents in this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reclassified certain prior year amounts to conform with our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and growth opportunities, revenues, financial condition, leverage, liquidity, returns on investments, margins and related financing, development and rental profits; dividend payments; business strategies, such as our expectations regarding our use of new marketing channels, including digital and social media marketing and our ability to leverage call transfers, loyalty programs and other marketing channels; financing plans; our competitive position; our plans to pursue growth opportunities; our expectations regarding average consumer financing interest rates ; our expectation that general and administrative expenses will continue to increase; our expectations regarding the activities, costs and benefits of our Strategic Business Operations office including revenue growth, operational efficiencies and plans for investments; our ability to reduce our corporate debt, net of cash and equivalents, to Adjusted EBITDA ratio; our expectations regarding inventory spending in 2025 and the impact of inventory repurchases; our expectations regarding proceeds from subleasing our legacy headquarters; indemnification; taxes; customer satisfaction and our ability to leverage it; our ability to securitize consumer loans; expectations related to sales reserves, delinquencies and default rates; and the pace of originations of vacation ownership notes receivable compared to collections.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worker absenteeism; price inflation; difficulties associated with implementing new or maintaining existing technology; the ability to use artificial intelligence (“AI”) technologies successfully and potential business, compliance, or reputational risks associated with the use of AI technologies; changes in privacy laws; the impact of a future banking crisis; impacts from natural or man-made disasters and wildfires, including the Maui and Los Angeles area wildfires; delinquency and default rates; global supply chain disruptions; volatility in the international and national economy and credit markets, including as a result of the ongoing conflicts between Russia and Ukraine, Israel and Gaza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in this Annual Report. We do not undertake any obligation to publicly update or revise any forward-looking statement, whether as a result of new information, future events, or otherwise, except as required by law. You should not put undue reliance on any forward-looking statements in this Annual Report.</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risk factors discussed in “Risk Factors” in this Annual Report could cause actual results to differ materially from those expressed or implied in forward-looking statements in this Annual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As the first major hospitality-branded vacation ownership company, Marriott Vacations Worldwide helped establish the industry and was the first major pure-play independent, public company in the field. Today we are more than a vacation ownership company; we are about vacation experiences.</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are a global leader in vacation ownership with some of the most iconic brands in the industry.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Interval International is our high-quality membership brand that serves as the gateway to vacation experiences around the world, including access to its affiliated resorts. Our Aqua-Aston business provides management services for resorts, hotels, and other third-party vacation property owners.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operates in two reportable segments: Vacation Ownership and Exchange &amp; Third-Party Management.</w:t>
      </w:r>
    </w:p>
    <w:p>
      <w:pPr>
        <w:spacing w:after="0" w:line="86" w:lineRule="exact"/>
        <w:rPr>
          <w:sz w:val="20"/>
          <w:szCs w:val="20"/>
          <w:color w:val="auto"/>
        </w:rPr>
      </w:pPr>
    </w:p>
    <w:tbl>
      <w:tblPr>
        <w:tblLayout w:type="fixed"/>
        <w:tblInd w:w="2160"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20" w:type="dxa"/>
            <w:vAlign w:val="bottom"/>
            <w:tcBorders>
              <w:bottom w:val="single" w:sz="8" w:color="auto"/>
            </w:tcBorders>
          </w:tcPr>
          <w:p>
            <w:pPr>
              <w:spacing w:after="0"/>
              <w:rPr>
                <w:sz w:val="17"/>
                <w:szCs w:val="17"/>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9"/>
                <w:szCs w:val="19"/>
                <w:color w:val="auto"/>
              </w:rPr>
            </w:pPr>
          </w:p>
        </w:tc>
        <w:tc>
          <w:tcPr>
            <w:tcW w:w="174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Segment Revenue</w:t>
            </w:r>
          </w:p>
        </w:tc>
        <w:tc>
          <w:tcPr>
            <w:tcW w:w="1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of Segment Revenue</w:t>
            </w:r>
          </w:p>
        </w:tc>
      </w:tr>
      <w:tr>
        <w:trPr>
          <w:trHeight w:val="238"/>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95%</w:t>
            </w:r>
          </w:p>
        </w:tc>
      </w:tr>
      <w:tr>
        <w:trPr>
          <w:trHeight w:val="25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5%</w:t>
            </w:r>
          </w:p>
        </w:tc>
      </w:tr>
      <w:tr>
        <w:trPr>
          <w:trHeight w:val="235"/>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Revenue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Vacation Ownership Industry</w:t>
      </w:r>
    </w:p>
    <w:p>
      <w:pPr>
        <w:spacing w:after="0" w:line="1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a deeded real estate interest in a specified accommodation unit, an undivided interest in a building or an entire resort, or a beneficial interest in a trust that owns one or more resort properties. For many purchasers, vacation ownership provides an attractive alternative to traditional lodging accommodations (such as hotels, resorts and condominium rentals). Typically, vacation ownership accommodations are, on average, more than twice the size of traditional hotel rooms and have more features, such as kitchens and separate living areas, than traditional hotel rooms. Purchasers who might otherwise buy a second home find vacation ownership a preferable alternative because it is more affordable and reduces maintenance and upkeep concerns, and because they are interested in buying a lifetime of vacations.</w:t>
      </w:r>
    </w:p>
    <w:p>
      <w:pPr>
        <w:spacing w:after="0" w:line="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Vacation ownership resorts are often operated by a not-for-profit owners’ association of which owners of the VOIs are members. Most owners’ associations are governed by a board of directors that includes owners and which may include representatives of the developer. Some vacation ownership resorts are held through a trust structure in which a trustee holds title and manages the property. The board of the owners’ association, or trustee, as applicable, typically delegates much of the responsibility for managing the resort to a management company, which is often affiliated with the developer. Owners typically reserve their usage of vacation accommodations in advance through a reservation system (often provided by the management company or an affiliated entity), unless a VOI specifies fixed usage dates and a particular unit every year.</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Typically, developers sell VOIs for a fixed purchase price that is paid in full at closing or financed with a loan. Although certain financial institutions participate in the securitization or hypothecation of portfolios of timeshare receivables, financial institutions typically do not finance the purchase of individual timeshare interests. As a result, a majority of the sales price is often financed by the developer through a note receivable. The note receivable is usually a recourse note secured by the VOI. It is common business practice for developers to repossess timeshare interests upon buyer default.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ind w:right="140"/>
        <w:spacing w:after="0" w:line="257" w:lineRule="auto"/>
        <w:rPr>
          <w:sz w:val="20"/>
          <w:szCs w:val="20"/>
          <w:color w:val="auto"/>
        </w:rPr>
      </w:pPr>
      <w:r>
        <w:rPr>
          <w:rFonts w:ascii="Times New Roman" w:cs="Times New Roman" w:eastAsia="Times New Roman" w:hAnsi="Times New Roman"/>
          <w:sz w:val="17"/>
          <w:szCs w:val="17"/>
          <w:color w:val="auto"/>
        </w:rPr>
        <w:t>After the initial purchase, most vacation ownership programs require the owner of the VOI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By locking in their purchase price, vacation ownership purchasers avoid most of the volatility in room rates to which traditional lodging customers are subject because only annual maintenance fees and club dues are subject to inflation.</w:t>
      </w:r>
    </w:p>
    <w:p>
      <w:pPr>
        <w:spacing w:after="0" w:line="7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VOIs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accommodations at other resorts in the exchange service provider’s broader network of properties. The two leading exchange service providers are our subsidiary Interval International, and RCI, LLC (“RCI”), a subsidiary of Travel + Leisure Co.</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According to the American Resort Development Association (“ARDA”), a trade association representing the vacation ownership and resort development industries, as of December 31, 2023, the U.S. vacation ownership community was comprised of over 1,500 resorts, representing more than 200,000 units. According to ARDA, sales in the U.S. market were approximately $10.6 billion in 2023. We believe there is considerable potential for further growth in the industry both in the U.S. and globally.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Agreements and Intellectual Property</w:t>
      </w:r>
    </w:p>
    <w:p>
      <w:pPr>
        <w:spacing w:after="0" w:line="11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have a long-term license agreement with Marriott International that expires in 2095, subject to renewal, under which we are granted the exclusive right, for the term of the license agreement, to use certain Marriott, Sheraton, and Westin marks and intellectual property in our vacation ownership business and to use the Grand Residences by Marriott marks and intellectual property in our residential real estate business. Under the license agreement, we also have the right to use the St. Regis brand for specified fractional ownership products. We also have a long-term license agreement with The Ritz-Carlton Hotel Company, a subsidiary of Marriott International, under which we are granted the exclusive right, for the term of the license agreement, to use certain Ritz-Carlton marks and intellectual property in our vacation ownership business and the nonexclusive right to use certain Ritz-Carlton marks and intellectual property in our residential real estate business.</w:t>
      </w:r>
    </w:p>
    <w:p>
      <w:pPr>
        <w:spacing w:after="0" w:line="59"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We have a long-term license agreement with Hyatt that expires in 2093, subject to renewal, under which we are granted the exclusive right, for the term of the license agreement, to use certain Hyatt marks and intellectual property in connection with our Hyatt Vacation Ownership business.</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We operate in a highly competitive industry and our brand names, trademarks, trade names, and service marks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Licensor Customer Loyalty Programs</w:t>
      </w:r>
    </w:p>
    <w:p>
      <w:pPr>
        <w:spacing w:after="0" w:line="11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Marriott Bonvoy program.</w:t>
      </w:r>
    </w:p>
    <w:p>
      <w:pPr>
        <w:spacing w:after="0" w:line="63" w:lineRule="exact"/>
        <w:rPr>
          <w:sz w:val="20"/>
          <w:szCs w:val="20"/>
          <w:color w:val="auto"/>
        </w:rPr>
      </w:pPr>
    </w:p>
    <w:p>
      <w:pPr>
        <w:jc w:val="both"/>
        <w:ind w:right="520"/>
        <w:spacing w:after="0" w:line="283" w:lineRule="auto"/>
        <w:rPr>
          <w:sz w:val="20"/>
          <w:szCs w:val="20"/>
          <w:color w:val="auto"/>
        </w:rPr>
      </w:pPr>
      <w:r>
        <w:rPr>
          <w:rFonts w:ascii="Times New Roman" w:cs="Times New Roman" w:eastAsia="Times New Roman" w:hAnsi="Times New Roman"/>
          <w:sz w:val="17"/>
          <w:szCs w:val="17"/>
          <w:color w:val="auto"/>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World of Hyatt program.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Our strategic goal is to strengthen our leadership position in the vacation industry by further enhancing the vacation experience to help our members and owners live their lives to the fullest. Our core strategies are as follows: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Drive profitable revenue growth</w:t>
      </w:r>
    </w:p>
    <w:p>
      <w:pPr>
        <w:spacing w:after="0" w:line="11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We intend to leverage our trusted hospitality brands and membership programs to continue to attract new owners and members, and to drive growth in vacation ownership sales, by adding desirable new destinations to our systems with new on-site sales locations. We expect to continue to generate growth through our integrated platform that provides exclusive access to the world-class loyalty programs of Marriott International and Hyatt. We will also continue to focus on our approximately 700,000 owner families around the world. We are concentrating on growing our tour flow cost effectively as we seek to grow first-time buyer tours through our strategy that emphasizes new sales locations and new marketing channels, including digital and social media marketing. We also leverage virtual sales presentations as a growing part of our sales process.</w:t>
      </w:r>
    </w:p>
    <w:p>
      <w:pPr>
        <w:spacing w:after="0" w:line="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also plan to grow our recurring revenues, which tend to be less capital intensive than sales of VOIs. Our recurring revenues include management of resorts and owners’ associations, financing revenues, and membership, club and other revenues in both our Vacation Ownership and Exchange &amp; Third-Party Management segments. These revenues generally grow as we add new resorts and are more predictable and, in the case of management and exchange revenues, contractual agreements that typically span many years and often renew automatically. Financing revenues are generally relatively stable as the majority of these revenues generated in any given year come from prior year note originations.</w:t>
      </w:r>
    </w:p>
    <w:p>
      <w:pPr>
        <w:spacing w:after="0" w:line="7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We seek to evolve and expand our core product offerings, as demonstrated by the launch of the Marriott Vacation Club Destinations points product in 2010 and Abound by Marriott Vacations program in 2022, and through the integration of the Legacy-Welk and Hyatt businesses in 2023 and 2024. Additionally, we intend to drive revenue growth in part by targeting a wider array of vacationers through new membership programs and products in adjacent market spaces.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Maximize cash flow by selectively pursuing capital efficient vacation ownership deal structures and business models</w:t>
      </w:r>
    </w:p>
    <w:p>
      <w:pPr>
        <w:spacing w:after="0" w:line="11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6"/>
          <w:szCs w:val="16"/>
          <w:color w:val="auto"/>
        </w:rPr>
        <w:t>Through the use of our points-based products, we are able to more closely align inventory investment with sales pace, thereby generating strong cash flows over time. Limiting the amount of completed inventory on hand and pursuing capital efficient vacation ownership inventory arrangements enable us to reduce the maintenance fees that we pay on unsold inventory and improve returns on invested capital and liquidity. In addition, we reacquire previously sold VOIs at lower costs than would be required to develop new inventory, which increases margins on our sales of VOIs. Our business model is designed to deliver steady, consistent cash flow, which is driven in part by our “asset-light” capital efficient framework as we expect to maintain an attractive leverage profile. We believe our access to capital markets and credit facilities will enable us to maintain a level of liquidity that provides financial flexibility, giving us the ability to pursue strategic growth opportunities, withstand potential future economic downturns, optimize our cost of capital, and pursue strategies for returning excess capital to stockholders.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Enhance digital capabilities and data analytics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key area of focus for us is the expansion of digital tools to drive more efficient digital marketing and enhance user experience for our owners and members of our exchange and other membership programs. We believe there is much more innovation and growth to come, and we intend to build efficiencies in our cost of service delivery and to facilitate access to our portfolio of brands with new digital tools. We are actively building and enhancing customer facing digital platforms to support existing and future products by enabling customers to transact online across all of our brands with respect to all of our products. In addition, we are focused on using data to facilitate the use of advanced analytics to improve efficiency, enhance customer experiences, improve targeted marketing, and increase profitability.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Focus on the satisfaction of our owners, members, and guests as well as the engagement of our associates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We provide high-quality vacation experiences to our owners, members, and guests around the world and we believe that maintaining a high level of engagement across all of our customer groups is key to our success. We intend to maintain and improve owner, member, and guest satisfaction with our products and services, which drives incremental sales as customers choose to spend more time at our resorts. Because our owners, members, and guests are our most cost-effective vacation ownership sales channels, we intend to continue to leverage our strong customer satisfaction to drive higher margin sales volumes. We seek to continue delivering operational excellence while remaining focused on core customer expectations, which we believe will drive growth and efficiency. We continue to strive to improve the experience of our owners, members, and customers through multiple avenues, from self-service tools to streamlining our business processes through technology.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7" w:name="page8"/>
    <w:bookmarkEnd w:id="7"/>
    <w:p>
      <w:pPr>
        <w:ind w:right="40"/>
        <w:spacing w:after="0" w:line="261" w:lineRule="auto"/>
        <w:rPr>
          <w:sz w:val="20"/>
          <w:szCs w:val="20"/>
          <w:color w:val="auto"/>
        </w:rPr>
      </w:pPr>
      <w:r>
        <w:rPr>
          <w:rFonts w:ascii="Times New Roman" w:cs="Times New Roman" w:eastAsia="Times New Roman" w:hAnsi="Times New Roman"/>
          <w:sz w:val="17"/>
          <w:szCs w:val="17"/>
          <w:color w:val="auto"/>
        </w:rPr>
        <w:t>From our earliest days, we have sought to create a culture that emphasizes warm and welcoming customer service and authentic care for our associates. We believe these characteristics give meaning to our vision of helping our customers and associates live their lives to the fullest. Our core belief is that developing and retaining top talent will foster an innovative culture and strengthen our leadership pipeline, while enabling business growth. We believe our caring culture unites our associates across a wide range of backgrounds, geographies and experiences and make us “Better Together,” allowing us to grow and prosper over the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Selectively pursue compelling new business opportunities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are positioned to explore new business opportunities, such as acquisitions of existing vacation ownership and related businesses, the continued enhancement of our exchange programs, new management affiliations, and the creation of new innovative travel-related products that are complementary to our core vacation ownership and exchange company offerings. We intend to selectively pursue these types of opportunities, focusing on those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culture and competencies.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leading global vacation ownership and exchange company</w:t>
      </w:r>
    </w:p>
    <w:p>
      <w:pPr>
        <w:spacing w:after="0" w:line="11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7"/>
          <w:szCs w:val="17"/>
          <w:color w:val="auto"/>
        </w:rPr>
        <w:t>We are one of the world’s largest vacation ownership companies, based on number of owners, members, and resorts and revenues. Since becoming a standalone public company in 2011, our vacation ownership business has grown substantially, from 64 vacation ownership resorts and approximately 420,000 owners to approximately 120 vacation ownership resorts and approximately 700,000 owner families as of December 31, 2024. Our exchange network and membership programs are comprised of more than 3,200 affiliated resorts and over 1.5 million members, and we also provide management services to 24 other resorts and lodging properties, as of the end of 2024. We believe our scale and global reach, coupled with our renowned brands and development, marketing, sales, exchange and management expertise, help us achieve operational efficiencies and support future growth opportunities. Our size allows us to provide owners, members, and guests with the flexibility of a wide variety of experiences within our high-quality resort portfolio, coupled with the ease and certainty of working with a single trusted provider. We also believe our size helps us obtain favorable financing terms from lenders, achieve operational cost savings from our increased scale, and attract talented management and associates. In the exchange arena, Interval International’s high-quality membership program, the Interval Network, serves as the gateway to premium vacation experiences. Our Interval Network includes members and resorts from our Marriott, Westin, Sheraton and Hyatt products, as well as other high quality branded and independent resorts, that can attract developers and owners’ associations to affiliate with the network and provide exchange opportunities for their owners.</w:t>
      </w:r>
    </w:p>
    <w:p>
      <w:pPr>
        <w:spacing w:after="0" w:line="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The breadth and depth of our operations enable us to offer a variety of products and to continue to evolve our products to address the changing needs and preferences of our existing and future customers. For example, the wide range of vacation experiences we offer includes not only traditional resort experiences but also urban experiences at The Marriott Vacation Clubs City Collection locations, which are unique properties that embrace the spirit and culture of their urban locations.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Premier global brands with access to expansive customer bases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believe that each of our owned or licensed brands — from Marriott Vacation Club to Hyatt Vacation Club, from Interval International to Aqua-Aston, from Sheraton Vacation Club to Westin Vacation Club — is a highly respected and widely trusted leader in the travel and hospitality industry. We are creating distinct lanes for our brands to grow within. This careful segmentation is designed to allow each of our brands to reach its full potential, while also giving us diverse paths to growth. Each brand has a unique history and heritage that has enriched our Company immeasurably and that we are building upon to better serve our owners, members, and guests. Through the brands we license from Marriott International for use in vacation ownership, we benefit from exclusive long-term access to members in the Marriott Bonvoy loyalty program, which includes nearly 228 million members as of December 31, 2024. Similarly, through our relationship with Hyatt, we benefit from access to members of Hyatt’s award-winning guest loyalty program, the World of Hyatt, which includes approximately 54 million members as of December 31, 2024. We believe our access to guests with an affinity for our brands aids with our marketing efforts and significantly enhances our ability to drive future sales, as we predominantly generate VOI sales through brand loyalty-affiliated sales channels. We expect to continue to leverage our exclusive call transfer arrangements, on-site marketing at Marriott and Hyatt branded hotels, and use of certain exclusive marketing rights to increase sales across all of our Marriott-affiliated and Hyatt-affiliated vacation ownership properties,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auto"/>
        </w:rPr>
        <w:t>Loyal, highly satisfied customers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have a large, highly satisfied customer base. Owner and member satisfaction is evidenced both by a high level of sales to existing owners (approximately 70% of VOI sales in 2024 were to existing owners), as well as positive historical survey responses, high levels of engagement that we see in the many customer and associate care stories shared on social media channels, and consistently higher than industry average current and historical resort occupancy for our Vacation Ownership segment. We believe that strong customer satisfaction and brand loyalty result in more frequent use of our products, increase in member retention, and encourage owners to purchase additional products and to recommend our products to friends and family, which in turn helps generate higher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efficient business model providing strong cash flow and financial flexibility</w:t>
      </w:r>
    </w:p>
    <w:p>
      <w:pPr>
        <w:spacing w:after="0" w:line="117"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7"/>
          <w:szCs w:val="17"/>
          <w:color w:val="auto"/>
        </w:rPr>
        <w:t>We believe that our scale, recurring revenue fee streams and enhanced margin profile enables us to maintain flexibility for continued organic growth, strategic acquisitions, debt repayment, and return of capital to stockholders. Our total revenue excluding cost reimbursements derived from sources other than the sale of VOIs has increased and is expected to continue to increase. Our Exchange &amp; Third-Party Management businesses also create opportunities to realize recurring higher-margin, fee-based revenue streams with modest required capital expenditures, which we believe will enhance our margins and cash flow generation over time.</w:t>
      </w:r>
    </w:p>
    <w:p>
      <w:pPr>
        <w:spacing w:after="0" w:line="7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We were among the first of the major hospitality brands to move from a fixed-week, fixed-unit operating model to a points-based system. This critical transition responded directly to consumer demand for greater flexibility and allowed us to tap into the broader membership opportunity afforded by the industry’s exchange businesses. Our points-based vacation ownership products allow us to utilize capital efficient structures and maintain long-term sales locations without the need to construct additional units at each location. We are able to better manage our inventory needs, while achieving top line growth without a need to significantly increase inventory investments. Our disciplined inventory approach and use of capital efficient vacation ownership transaction structures, including working with third parties that develop new inventory or convert previously built units that are sold to us close to when such inventory is needed to support sales, is expected to support strong and stable cash flow generation.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Long-standing track record, experienced management and engaged associates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We have been a pioneer in the vacation ownership industry since 1984, when Marriott International became the first major hospitality company to introduce a lodging-branded vacation ownership product. The story of Marriott Vacations Worldwide is one of growth, driven by innovation and exceptional vitality. Since our early days, we have sought to create a culture that emphasizes authentic care for associates. Our seasoned management team is led by John E. Geller, Jr., who became our Chief Executive Officer at the beginning of 2023. Mr. Geller has served as our President since 2021, and served as our Chief Financial Officer from our spin-off from Marriott International in 2011 until 2021. William J. Shaw, the Chairman of our Board of Directors (the “Board”), is the former Vice Chairman, President and Chief Operating Officer of Marriott International and spent nearly 37 years with Marriott International. Our eleven executive committee members as of December 31, 2024 have an average of approximately 21 years of total combined experience at Marriott Vacations Worldwide, our subsidiary companies, and Marriott International. We believe our management team’s extensive public company and vacation ownership and hospitality industry experience has enabled us to achieve solid operating results and will enable us to continue to respond quickly and effectively to changing market conditions and consumer trends. Our management team’s experience in the highly regulated vacation ownership industry also provides us with a competitive advantage in expanding existing product forms and developing new ones.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Engaged associates delivering high levels of customer service driving repeat customers</w:t>
      </w:r>
    </w:p>
    <w:p>
      <w:pPr>
        <w:spacing w:after="0" w:line="11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We believe that our associates provide superior customer service and this dedication to serving the customer enhances our competitive position. A significant portion of our vacation ownership contract sales are historically to existing owners, which enables them to enjoy longer stays and have greater flexibility in their vacation choices. Sales to existing owners typically have significantly lower sales and marketing costs than sales to new owners. We leverage high levels of associate engagement and a strong corporate culture to deliver positive customer experiences in sales, marketing, exchange, management, and resort operations.</w:t>
      </w:r>
    </w:p>
    <w:p>
      <w:pPr>
        <w:spacing w:after="0" w:line="7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7"/>
          <w:szCs w:val="17"/>
          <w:color w:val="auto"/>
        </w:rPr>
        <w:t>We use an external third-party service provider to regularly survey our associates for feedback. We use the results of our annual engagement surveys to improve the associate experience and to further develop a caring culture that contributes to the long tenure for both management and hourly associates averaging approximately 12 years and 6 years, respectively, on a global basis.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VACATION OWNERSHIP SEGMENT</w:t>
      </w:r>
    </w:p>
    <w:p>
      <w:pPr>
        <w:spacing w:after="0" w:line="1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Our Vacation Ownership segment develops, markets, sells, finances,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70"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As of December 31, 2024, our Vacation Ownership segment had approximately 120 resorts and approximately 700,000 owner families. The Vacation Ownership segment represented 95% of our consolidated revenue for 2024.</w:t>
      </w:r>
    </w:p>
    <w:p>
      <w:pPr>
        <w:spacing w:after="0" w:line="9" w:lineRule="exact"/>
        <w:rPr>
          <w:sz w:val="20"/>
          <w:szCs w:val="20"/>
          <w:color w:val="auto"/>
        </w:rPr>
      </w:pPr>
    </w:p>
    <w:tbl>
      <w:tblPr>
        <w:tblLayout w:type="fixed"/>
        <w:tblInd w:w="2220" w:type="dxa"/>
        <w:tblCellMar>
          <w:top w:w="0" w:type="dxa"/>
          <w:left w:w="0" w:type="dxa"/>
          <w:bottom w:w="0" w:type="dxa"/>
          <w:right w:w="0" w:type="dxa"/>
        </w:tblCellMar>
      </w:tblPr>
      <w:tr>
        <w:trPr>
          <w:trHeight w:val="172"/>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w w:val="99"/>
              </w:rPr>
              <w:t>2024</w:t>
            </w:r>
          </w:p>
        </w:tc>
      </w:tr>
      <w:tr>
        <w:trPr>
          <w:trHeight w:val="153"/>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98"/>
              <w:spacing w:after="0" w:line="154" w:lineRule="exact"/>
              <w:rPr>
                <w:sz w:val="20"/>
                <w:szCs w:val="20"/>
                <w:color w:val="auto"/>
              </w:rPr>
            </w:pPr>
            <w:r>
              <w:rPr>
                <w:rFonts w:ascii="Times New Roman" w:cs="Times New Roman" w:eastAsia="Times New Roman" w:hAnsi="Times New Roman"/>
                <w:sz w:val="15"/>
                <w:szCs w:val="15"/>
                <w:b w:val="1"/>
                <w:bCs w:val="1"/>
                <w:color w:val="auto"/>
              </w:rPr>
              <w:t>Vacation Ownership</w:t>
            </w:r>
          </w:p>
        </w:tc>
      </w:tr>
      <w:tr>
        <w:trPr>
          <w:trHeight w:val="204"/>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Segment Revenues</w:t>
            </w: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1,448</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60" w:type="dxa"/>
            <w:vAlign w:val="bottom"/>
          </w:tcPr>
          <w:p>
            <w:pPr>
              <w:spacing w:after="0"/>
              <w:rPr>
                <w:sz w:val="22"/>
                <w:szCs w:val="22"/>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612</w:t>
            </w: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605</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60" w:type="dxa"/>
            <w:vAlign w:val="bottom"/>
          </w:tcPr>
          <w:p>
            <w:pPr>
              <w:spacing w:after="0"/>
              <w:rPr>
                <w:sz w:val="22"/>
                <w:szCs w:val="22"/>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342</w:t>
            </w: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1,723</w:t>
            </w: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4,730</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Brands</w:t>
      </w:r>
    </w:p>
    <w:p>
      <w:pPr>
        <w:spacing w:after="0" w:line="11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Built upon a single hospitality brand at the time of our founding, Marriott Vacations Worldwide has grown into a multi-branded organization with a broad, diverse portfolio of immersive vacation and leisure destinations. Our portfolio includes a rich tapestry of some of the world’s most iconic, widely recognized and respected hospitality and travel brands. We design, build, manage and maintain properties at upper upscale and luxury levels primarily under the following brands:</w:t>
      </w:r>
    </w:p>
    <w:p>
      <w:pPr>
        <w:spacing w:after="0" w:line="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Marriott Vacation Club </w:t>
      </w:r>
      <w:r>
        <w:rPr>
          <w:rFonts w:ascii="Times New Roman" w:cs="Times New Roman" w:eastAsia="Times New Roman" w:hAnsi="Times New Roman"/>
          <w:sz w:val="17"/>
          <w:szCs w:val="17"/>
          <w:color w:val="auto"/>
        </w:rPr>
        <w:t>is a collection of upper upscale vacation ownership resorts featuring timeshare villas and other accommodations throughout the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Caribbean, Europe, Asia, and Australia. This brand is about vacations with a sense of place and belonging, providing owners and their families with the flexibility to enjoy a wide variety of vacation experiences characterized by the consistent high quality and warm hospitality for which the Marriott name is known. The Marriott Vacation Clubs City Collection, a brand extension of Marriott Vacation Club, offers properties in the heart of vibrant cities, such as San Francisco and New York City. Because of their urban locations, The Marriott Vacation Clubs City Collection properties typically offer limited on-site amenities and may include smaller guest rooms without separate living areas and kitchens.</w:t>
      </w:r>
    </w:p>
    <w:p>
      <w:pPr>
        <w:spacing w:after="0" w:line="6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Sheraton Vacation Club </w:t>
      </w:r>
      <w:r>
        <w:rPr>
          <w:rFonts w:ascii="Times New Roman" w:cs="Times New Roman" w:eastAsia="Times New Roman" w:hAnsi="Times New Roman"/>
          <w:sz w:val="17"/>
          <w:szCs w:val="17"/>
          <w:color w:val="auto"/>
        </w:rPr>
        <w:t>provides enriching and unexpected vacation experiences in fun family destinations like Florida, South Carolina, Hawaii, Arizona,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Colorado, with activities that emphasize building and strengthening relationships. This collection of vacation ownership resorts builds on an iconic legacy of trusted hospitality, and brings to life a warm, energetic haven for families to gather and nurture their most precious relationships by allowing owners and guests to relax, play, and experience what the world has to offer. Sheraton Vacation Club upper upscale vacation ownership resorts are part of the Vistana Signature Network (“VSN”).</w:t>
      </w:r>
    </w:p>
    <w:p>
      <w:pPr>
        <w:spacing w:after="0" w:line="65"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Westin Vacation Club </w:t>
      </w:r>
      <w:r>
        <w:rPr>
          <w:rFonts w:ascii="Times New Roman" w:cs="Times New Roman" w:eastAsia="Times New Roman" w:hAnsi="Times New Roman"/>
          <w:sz w:val="17"/>
          <w:szCs w:val="17"/>
          <w:color w:val="auto"/>
        </w:rPr>
        <w:t>is a collection of vacation ownership resorts located in some of the most sought-after destinations and designed with living well in mind.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world-renowned Heavenly Bed to an energizing WestinWORKOUT and revitalizing experiences, every element of a vacation stay is created to leave owners and guests feeling better than when they arrived. Westin Vacation Club upper upscale vacation ownership resorts are part of VSN.</w:t>
      </w:r>
    </w:p>
    <w:p>
      <w:pPr>
        <w:spacing w:after="0" w:line="5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Grand Residences by Marriott </w:t>
      </w:r>
      <w:r>
        <w:rPr>
          <w:rFonts w:ascii="Times New Roman" w:cs="Times New Roman" w:eastAsia="Times New Roman" w:hAnsi="Times New Roman"/>
          <w:sz w:val="17"/>
          <w:szCs w:val="17"/>
          <w:color w:val="auto"/>
        </w:rPr>
        <w:t>provides vacation ownership through fractional real estate and whole ownership offerings. Grand Residences by Marriott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dedicated to providing carefree property ownership. The accommodations for this brand are similar to those offered under the Marriott Vacation Club brand, but the duration of the VOI is longer, ranging between three and thirteen weeks.</w:t>
      </w:r>
    </w:p>
    <w:p>
      <w:pPr>
        <w:spacing w:after="0" w:line="5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The Ritz-Carlton Club </w:t>
      </w:r>
      <w:r>
        <w:rPr>
          <w:rFonts w:ascii="Times New Roman" w:cs="Times New Roman" w:eastAsia="Times New Roman" w:hAnsi="Times New Roman"/>
          <w:sz w:val="17"/>
          <w:szCs w:val="17"/>
          <w:color w:val="auto"/>
        </w:rPr>
        <w:t>is a collection of vacation ownership resorts that provide luxurious vacation experiences for members and their families commensurate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legacy of The Ritz-Carlton brand. The Ritz-Carlton Club resorts include luxury villas and resort amenities that offer inspirational vacation lifestyles tailored to every member’s needs and expectations. On-site management and services are provided by The Ritz-Carlton Hotel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10" w:name="page11"/>
    <w:bookmarkEnd w:id="10"/>
    <w:p>
      <w:pPr>
        <w:ind w:right="280"/>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The Ritz-Carlton Residences </w:t>
      </w:r>
      <w:r>
        <w:rPr>
          <w:rFonts w:ascii="Times New Roman" w:cs="Times New Roman" w:eastAsia="Times New Roman" w:hAnsi="Times New Roman"/>
          <w:sz w:val="17"/>
          <w:szCs w:val="17"/>
          <w:color w:val="auto"/>
        </w:rPr>
        <w:t>is a luxury tier whole ownership residence brand and includes whole ownership luxury residential condominiums co-located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Ritz-Carlton Club resorts. On-site management and services are provided by The Ritz-Carlton Hotel Company.</w:t>
      </w:r>
    </w:p>
    <w:p>
      <w:pPr>
        <w:spacing w:after="0" w:line="4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St. Regis Residence Club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The Luxury Collection </w:t>
      </w:r>
      <w:r>
        <w:rPr>
          <w:rFonts w:ascii="Times New Roman" w:cs="Times New Roman" w:eastAsia="Times New Roman" w:hAnsi="Times New Roman"/>
          <w:sz w:val="17"/>
          <w:szCs w:val="17"/>
          <w:color w:val="auto"/>
        </w:rPr>
        <w:t>offer fractional interests in luxury real estate and distinctive privileges to members who embrace the 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living in unforgettable destinations.</w:t>
      </w:r>
    </w:p>
    <w:p>
      <w:pPr>
        <w:spacing w:after="0" w:line="4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Hyatt Vacation Club </w:t>
      </w:r>
      <w:r>
        <w:rPr>
          <w:rFonts w:ascii="Times New Roman" w:cs="Times New Roman" w:eastAsia="Times New Roman" w:hAnsi="Times New Roman"/>
          <w:sz w:val="17"/>
          <w:szCs w:val="17"/>
          <w:color w:val="auto"/>
        </w:rPr>
        <w:t>is a diverse collection of distinctive family-friendly vacation ownership resorts with residential-style accommodations. Hyatt Vacation Club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includes properties in highly desirable destinations like Maui, the San Diego area, Cabo San Lucas, Lake Tahoe, Breckenridge, and Key West. Offering multiple vacation ownership products, an emphasis on purposeful vacation experiences, and exciting options for global travel, Hyatt Vacation Club provides people with vital opportunities to step back from their hectic lives to reconnect and make lifelong memories.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 and Services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Points-Based Vacation Ownership Products</w:t>
      </w:r>
    </w:p>
    <w:p>
      <w:pPr>
        <w:spacing w:after="0" w:line="1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We sell the majority of our products through points-based ownership programs, including Marriott Vacation Club Destinations, Sheraton Flex, Westin Flex, Westin Aventuras, the Hyatt Vacation Club Portfolio Program, and the Hyatt Vacation Club Platinum Program. Our points-based systems and exchange networks enable owners and members to access a large variety of different vacation experiences.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Owners who are members of our points-based programs typically pay annual fees in exchange for the ability to participate in the program. In addition to points-based ownership programs that allow owners to access multiple destinations within a single program, we offer points programs at certain resorts, such as in St. John and Hawaii, that allow owners to access only that particular site using points in a similar fashion to the other points-based products.</w:t>
      </w:r>
    </w:p>
    <w:p>
      <w:pPr>
        <w:spacing w:after="0" w:line="7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Our points programs allow owners to bank and borrow their annual point allotments, access other locations through the applicable internal exchange programs that we operate, and access Interval International’s network of more than 3,200 affiliated resorts. Owners can trade their vacation ownership usage rights for Marriott Bonvoy points or World of Hyatt points, as applicable, which can be used to access participating hotels or redeemed for airline miles or other merchandise offered through such customer loyalty program. Through our exchange networks and points systems, owners can also use points toward vacation experiences such as a bicycle tour, a culinary journey, an adventure cruise or a once-in-a-lifetime trip to a major sporting event. Our points-based products offer usage in perpetuity or for a term of years and may consist of real estate interests or a contractual right-to-use.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Weeks-Based Vacation Ownership Products</w:t>
      </w:r>
    </w:p>
    <w:p>
      <w:pPr>
        <w:spacing w:after="0" w:line="11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We continue to sell Marriott-, Westin-, Sheraton- and Hyatt-branded weeks-based vacation ownership products in select markets, including in countries where legal and tax constraints currently limit our ability to include those locations in one of our existing points-based programs. Our products include multi-week VOIs in specific Grand Residences by Marriott, St. Regis Residence Club, The Luxury Collection Residence Club, and The Ritz-Carlton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VOIs as a contractual right-to-use product subject to a finite term in Asia Pacific and Europe.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Global Exchange Opportunities</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Most of our vacation ownership products, including our Marriott Vacation Club-, Sheraton Vacation Club-, Westin Vacation Club-, and Hyatt Vacation Club-branded products, are affiliated with the Interval Network, the high-quality membership brand that serves as the gateway to premium vacation experiences.</w:t>
      </w:r>
    </w:p>
    <w:p>
      <w:pPr>
        <w:spacing w:after="0" w:line="5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In 2022, we launched Abound by Marriott Vacations, an owner benefit and exchange program which affiliates the Marriott Vacation Club-, Sheraton Vacation Club-and Westin Vacation Club- brands to offer similar benefits to owners of our products under these brands. Under this program, owners of Marriott Vacation Club, Sheraton Vacation Club and Westin Vacation Club branded VOIs can access resorts under the Marriott Vacation Club, Sheraton Vacation Club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1" w:name="page12"/>
    <w:bookmarkEnd w:id="11"/>
    <w:p>
      <w:pPr>
        <w:ind w:right="360"/>
        <w:spacing w:after="0" w:line="283" w:lineRule="auto"/>
        <w:rPr>
          <w:sz w:val="20"/>
          <w:szCs w:val="20"/>
          <w:color w:val="auto"/>
        </w:rPr>
      </w:pPr>
      <w:r>
        <w:rPr>
          <w:rFonts w:ascii="Times New Roman" w:cs="Times New Roman" w:eastAsia="Times New Roman" w:hAnsi="Times New Roman"/>
          <w:sz w:val="17"/>
          <w:szCs w:val="17"/>
          <w:color w:val="auto"/>
        </w:rPr>
        <w:t>Westin Vacation Club brands using a common currency. The program also harmonizes fee structures and owner benefit levels and has allowed us to sell various products at our sales centers.</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offer our existing Marriott Vacation Club owners who hold weeks-based products the opportunity to participate, on a voluntary basis, in an exchange program through which many vacation experiences are offered. All existing owners, whether or not they elect to participate in the Abound by Marriott Vacations exchange program, retain their existing rights and privileges of vacation ownership. Owners who elect to participate in the exchange program receive the ability to trade their weeks-based VOI usage for vacation club points usage each year, typically subject to payment of an initial enrollment fee and annual club dues.</w:t>
      </w:r>
    </w:p>
    <w:p>
      <w:pPr>
        <w:spacing w:after="0" w:line="7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VSN provides Westin Vacation Club and Sheraton Vacation Club owners access to its affiliated resorts as well as the opportunity to exchange their points through the Marriott Bonvoy program to Marriott resorts, through the Interval International network, or for a cruise. Based on the point value of the home resort interest owned, customers can choose other VSN affiliated resorts, the type of villa, the date of travel and the length of stay. VSN members have a priority period in which they have exclusive reservation rights for the related resort or points program without competition from other network members. During this home resort period, they can reserve occupancy based on the season and unit type purchased.</w:t>
      </w:r>
    </w:p>
    <w:p>
      <w:pPr>
        <w:spacing w:after="0" w:line="7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Hyatt Vacation Club provides its owners exchange rights through Interval International. Eligible members may redeem their club points for World of Hyatt points, which may be redeemed at participating Hyatt-branded properties. In late 2023, we launched the BEYOND program for Hyatt Vacation Club. This program is designed to give owners of Hyatt Vacation Club Platinum or Hyatt Vacation Club Portfolio the opportunity for flexible access to exciting global travel experiences such as cruises, guided tours, and more, while enjoying their ownership benefits and Hyatt Vacation Club resorts.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Revenue</w:t>
      </w:r>
    </w:p>
    <w:p>
      <w:pPr>
        <w:spacing w:after="0" w:line="11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generate most of our revenues from four primary sources: (1) selling vacation ownership products; (2) managing vacation ownership resorts, clubs, and owners’ associations; (3) financing consumer purchases of vacation ownership products; and (4) renting vacation ownership inventory.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Vacation Ownership Products</w:t>
      </w:r>
    </w:p>
    <w:p>
      <w:pPr>
        <w:spacing w:after="0" w:line="11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Our principal source of revenue is the sale of VOIs. Our remaining sources of revenue either support the sale of VOIs (such as financing revenue) or are a result of the development and sale of VOIs (such as resort management and other services revenue).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Resort Management and Other Services</w:t>
      </w:r>
    </w:p>
    <w:p>
      <w:pPr>
        <w:spacing w:after="0" w:line="115"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We generate revenue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exchange service providers with which we are associated.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11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We offer financing to qualified customers for the purchase of most types of our vacation ownership products. As a result, we earn interest income on loans that we provide to purchasers of our VOIs, as well as loan servicing and other fees.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who may already have an affinity for and loyalty to the Marriott, Sheraton, Westin and Ritz-Carlton brands and introduce them to our products. Similarly, by using Hyatt.com and other direct booking channels to rent available inventory, we are able to reach potential new members who may already have an affinity for and loyalty to the Hyatt brand and introduce them to our products.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Marketing and Sales Activities</w:t>
      </w:r>
    </w:p>
    <w:p>
      <w:pPr>
        <w:spacing w:after="0" w:line="1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sell our upper upscale tier vacation ownership products under our brands primarily through our worldwide network of resort-based sales centers and certain off-site sales locations. Our VOIs are currently marketed for sale throughout the United States and in 30 countries and territories around the world, targeting customers who vacation regularly with a focus on family, relaxation and recreational activities. In 2024, 91% of our vacation ownership contract sales originated in North America and 90% of our vacation ownership contract sales originated at sales centers that are co-located with one of our resorts. We maintain a range of different off-site sales centers, including our central telesales organization based in Orlando and our network of third-party brokers in Latin America and Europe. We have over 90 global sales locations focused on the sale of VOIs. We utilize a number of marketing channels to attract qualified customers to our sales locations, including digital and social media marketing.</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Mexico City, Mexico. In 2024, approximately 70% of our vacation ownership contract sales were to our existing owners. In addition, we are concentrating on growing our tour flow cost effectively as we seek to generate more first-time buyer tours through our strategy that emphasizes adding new sales locations and new marketing channels.</w:t>
      </w: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We also market to existing Marriott and Hyatt customer loyalty program members and travelers who are staying in locations where we have resorts affiliated with those brands. We market extensively to guests in Marriott International or Hyatt hotels that are located near one of our sales locations. We also market through call transfer arrangements with Marriott International pursuant to which callers to certain reservation centers are asked if they would like to be transferred to one of our representatives who can tell them about our products. In addition, we operate other local marketing venues in various high-traffic areas. A significant part of our direct marketing activities is focused on prospects in the Marriott and Hyatt customer loyalty program databases and our in-house databases of qualified prospects. We offer guests who do not buy a VOI during their initial tour the opportunity to purchase a return package for a future stay at our resorts. These return guests are nearly twice as likely to purchase as a first-time visitor.</w:t>
      </w:r>
    </w:p>
    <w:p>
      <w:pPr>
        <w:spacing w:after="0" w:line="7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Our sales tours are designed to provide our guests with an overview of our company and our products, as well as a customized presentation to explain how our products and services can meet their vacationing needs. The vacation experience we provide today is not just about a visit to a resort. It can be a bicycle tour, a culinary journey, an adventure cruise, or a once-in-a-lifetime trip to a major sporting event. That is why our sales force is highly trained in a consultative sales approach designed to enable us to meet customers’ needs on an individual basis. We hire our sales executives based on stringent selection criteria. After they are hired, they spend a minimum of four weeks in product and sales training, of which the final week is typically site-driven and tailored to the learning needs of each respective site and new hire. We manage our sales executives’ consistency of presentation and professionalism using a variety of sales tools and technology and through a post-presentation survey of our guests that measures many aspects of each guest’s interactions during the sales process.</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believe consumers place a great deal of trust in our brands and the strength of these brands is important to our ability to attract qualified prospects in the marketplace. We maintain a presence on the www.marriott.com, www.ritzcarlton.com and www.hyatt.com websites. Our proprietary websites include www.marriottvacationsworldwide.com, www.marriottvacationclubs.com, www.ritzcarltonclub.com, www.theresidenceclub.com, www.grandresidenceclub.com and www.hyattvacationclub.com.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 and Development Activities</w:t>
      </w:r>
    </w:p>
    <w:p>
      <w:pPr>
        <w:spacing w:after="0" w:line="1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We secure inventory by developing or acquiring inventory in strategic markets, reacquiring previously sold inventory in the secondary market, reacquiring inventory as a result of owner loan or maintenance fee defaults, or building additional phases at our existing resorts. We proactively buy back previously sold VOIs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intend to continue to selectively pursue growth opportunities in North America and Asia Pacific by targeting high-quality inventory that allows us to add desirable new destinations to our system with new on-site sales locations in ways that optimize the timing of our capital investments. These capital efficient vacation ownership transaction structures may include working with third parties to develop new inventory or to convert previously built units to be sold to us close to when we need such inventory to support growth in VOI sales.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3" w:name="page14"/>
    <w:bookmarkEnd w:id="13"/>
    <w:p>
      <w:pPr>
        <w:ind w:right="80"/>
        <w:spacing w:after="0" w:line="256" w:lineRule="auto"/>
        <w:rPr>
          <w:sz w:val="20"/>
          <w:szCs w:val="20"/>
          <w:color w:val="auto"/>
        </w:rPr>
      </w:pPr>
      <w:r>
        <w:rPr>
          <w:rFonts w:ascii="Times New Roman" w:cs="Times New Roman" w:eastAsia="Times New Roman" w:hAnsi="Times New Roman"/>
          <w:sz w:val="17"/>
          <w:szCs w:val="17"/>
          <w:color w:val="auto"/>
        </w:rPr>
        <w:t>Approximately 25% of our Vacation Ownership segment resorts are co-located with same-branded or affiliated hotel properties. Co-location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7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Co-located resorts require cooperation and coordination among all parties and are subject to cost sharing and integration agreements among us, the applicable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Owners generally can offer their VOIs for resale on the secondary market, which can create pricing pressure on the sale of developer inventory. However, owners who purchase VOIs on the secondary market typically do not receive all of the benefits that owners who purchase products directly from us receive. When an owner purchases a VOI directly from us or a resale on the secondary market, the owner receives certain entitlements that are tied to the underlying VOI, such as the right to reserve a resort unit that underlies their VOI in order to occupy that unit or exchange its use for use of a unit at another resort through an external exchange service provider, as well as benefits that are incidental to the purchase of the VOI. However, the purchaser on the secondary market may not be entitled to receive certain ancillary benefits such as full access to our internal exchange programs or the right to trade their usage rights for customer loyalty program points. Additionally, many of our VOIs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owners’ association, as well as any exchange service membership dues or service fees.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Activities</w:t>
      </w:r>
    </w:p>
    <w:p>
      <w:pPr>
        <w:spacing w:after="0" w:line="11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We enter into a management agreement with the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which are principally payroll-related costs at the locations where we employ the associates providing on-site services, costs associated with property refurbishments, and insurance. Cost reimbursements consist of actual expenses with no added margin.</w:t>
      </w:r>
    </w:p>
    <w:p>
      <w:pPr>
        <w:spacing w:after="0" w:line="7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our relevant brand and trademarks. The owners at such resorts also lose their ability to trade their vacation ownership usage rights for customer loyalty program points and to access other resorts and other vacation travel options through our internal exchange programs.</w:t>
      </w:r>
    </w:p>
    <w:p>
      <w:pPr>
        <w:spacing w:after="0" w:line="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certain locations, affiliates of Marriott International or other third parties manage the on-site operations for properties in our portfolio under separate management agreements with us. We provide owners’ association governance and vacation ownership program management services for these properties, including preparing association budgets, facilitating association meetings, billing and collecting maintenance fees, and supporting reservations, vacation experience planning and other off-site member services. We and the on-site manager typically split the management fees for these resorts.</w:t>
      </w:r>
    </w:p>
    <w:p>
      <w:pPr>
        <w:spacing w:after="0" w:line="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Each management agreement requires the owners’ association, trust association or other governing body to provide sufficient funds to pay for the vacation ownership program and operating costs. To satisfy this requirement, owners of VOIs pay an annual maintenance fee. This fee represents the owner’s allocable share of the costs of operating and maintaining the resorts or interests in the timeshare plan in which they hold a VOI, including management fees and expenses, taxes (in some locations), insurance, and other related costs, and the costs of providing program services (such as reservation services). This fee includes a management fee payable to us for providing management services as well as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4" w:name="page15"/>
    <w:bookmarkEnd w:id="14"/>
    <w:p>
      <w:pPr>
        <w:ind w:right="160"/>
        <w:spacing w:after="0" w:line="259" w:lineRule="auto"/>
        <w:rPr>
          <w:sz w:val="20"/>
          <w:szCs w:val="20"/>
          <w:color w:val="auto"/>
        </w:rPr>
      </w:pPr>
      <w:r>
        <w:rPr>
          <w:rFonts w:ascii="Times New Roman" w:cs="Times New Roman" w:eastAsia="Times New Roman" w:hAnsi="Times New Roman"/>
          <w:sz w:val="17"/>
          <w:szCs w:val="17"/>
          <w:color w:val="auto"/>
        </w:rPr>
        <w:t>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We may enter into subsidy agreements with the owners’ associations under which we agree to pay costs that otherwise would be covered by annual maintenance fees associated with VOIs or units that have not yet been built or committed to a timeshare plan.</w:t>
      </w:r>
    </w:p>
    <w:p>
      <w:pPr>
        <w:spacing w:after="0" w:line="7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If an owner defaults in payment of maintenance fees or other assessments, the owners’ association typically has the right to foreclose on or revoke the defaulting owner’s VOI. We have arrangements with several owners’ associations to assist in reselling foreclosed or revoked VOIs in exchange for a fee, or to reacquire such foreclosed or revoked VOIs from the owners’ associations.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Consumer Financing</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offer purchase money financing for purchasers of our vacation ownership products who meet our underwriting guidelines. By offering or eliminating financing incentives, we have been able to increase or decrease the volume of our financing activities depending on market conditions. We do not provide financing to buyers of our residential products. We generally do not face competition in our consumer financing business to finance sales of vacation ownership products.</w:t>
      </w:r>
    </w:p>
    <w:p>
      <w:pPr>
        <w:spacing w:after="0" w:line="6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7"/>
          <w:szCs w:val="17"/>
          <w:color w:val="auto"/>
        </w:rPr>
        <w:t>For financing on the majority of our VOIs, we require a minimum down payment of 10% of the purchase price, although down payments and interest rates are typically higher for applicants with credit scores below certain levels and for purchasers who do not have credit scores, such as non-U.S. resident purchasers. Existing customers may apply any or all of their existing ownership interests as part of the down payment for additional VOIs (also referred to as an equity upgrade). Interest rates are fixed and a loan fully amortizes over the life of the loan. We do not impose any prepayment penalties.</w:t>
      </w:r>
    </w:p>
    <w:p>
      <w:pPr>
        <w:spacing w:after="0" w:line="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 our vacation ownership business, in many of our markets,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We use other information to determine minimum down payments and interest rates applicable to loans made to purchasers who do not have a credit score or who do not reside within the United States, such as regional historical default rates and currency fluctuation risk. The table below provides information related to loans originated by us for vacation ownership products, including any refinancing by purchasers who upgraded a prior purchase, during each of the last three fiscal years.</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Fiscal Years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2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54%</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loan amount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$30,400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$28,600</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$28,100</w:t>
            </w: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interest rate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term (years)</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mortgage payment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$492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$454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$508</w:t>
            </w:r>
          </w:p>
        </w:tc>
      </w:tr>
      <w:tr>
        <w:trPr>
          <w:trHeight w:val="243"/>
        </w:trPr>
        <w:tc>
          <w:tcPr>
            <w:tcW w:w="392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Average FICO score</w:t>
            </w:r>
            <w:r>
              <w:rPr>
                <w:rFonts w:ascii="Times New Roman" w:cs="Times New Roman" w:eastAsia="Times New Roman" w:hAnsi="Times New Roman"/>
                <w:sz w:val="22"/>
                <w:szCs w:val="22"/>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737</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735</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734</w:t>
            </w:r>
          </w:p>
        </w:tc>
      </w:tr>
      <w:tr>
        <w:trPr>
          <w:trHeight w:val="243"/>
        </w:trPr>
        <w:tc>
          <w:tcPr>
            <w:tcW w:w="39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 of purchasers with FICO over 700</w:t>
            </w:r>
            <w:r>
              <w:rPr>
                <w:rFonts w:ascii="Times New Roman" w:cs="Times New Roman" w:eastAsia="Times New Roman" w:hAnsi="Times New Roman"/>
                <w:sz w:val="22"/>
                <w:szCs w:val="22"/>
                <w:color w:val="auto"/>
                <w:vertAlign w:val="superscript"/>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71%</w:t>
            </w:r>
          </w:p>
        </w:tc>
      </w:tr>
      <w:tr>
        <w:trPr>
          <w:trHeight w:val="243"/>
        </w:trPr>
        <w:tc>
          <w:tcPr>
            <w:tcW w:w="392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 of purchasers with FICO over 650</w:t>
            </w:r>
            <w:r>
              <w:rPr>
                <w:rFonts w:ascii="Times New Roman" w:cs="Times New Roman" w:eastAsia="Times New Roman" w:hAnsi="Times New Roman"/>
                <w:sz w:val="22"/>
                <w:szCs w:val="22"/>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89%</w:t>
            </w:r>
          </w:p>
        </w:tc>
      </w:tr>
      <w:tr>
        <w:trPr>
          <w:trHeight w:val="243"/>
        </w:trPr>
        <w:tc>
          <w:tcPr>
            <w:tcW w:w="39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 of purchasers with FICO over 600</w:t>
            </w:r>
            <w:r>
              <w:rPr>
                <w:rFonts w:ascii="Times New Roman" w:cs="Times New Roman" w:eastAsia="Times New Roman" w:hAnsi="Times New Roman"/>
                <w:sz w:val="22"/>
                <w:szCs w:val="22"/>
                <w:color w:val="auto"/>
                <w:vertAlign w:val="superscript"/>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97%</w:t>
            </w:r>
          </w:p>
        </w:tc>
      </w:tr>
    </w:tbl>
    <w:p>
      <w:pPr>
        <w:spacing w:after="0" w:line="144" w:lineRule="exact"/>
        <w:rPr>
          <w:sz w:val="20"/>
          <w:szCs w:val="20"/>
          <w:color w:val="auto"/>
        </w:rPr>
      </w:pPr>
    </w:p>
    <w:p>
      <w:pPr>
        <w:ind w:left="300" w:hanging="298"/>
        <w:spacing w:after="0"/>
        <w:tabs>
          <w:tab w:leader="none" w:pos="30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FICO scores of our customers who were U.S. citizens or residents who financed a vacation ownership purchase and for whom FICO scores were available.</w:t>
      </w:r>
    </w:p>
    <w:p>
      <w:pPr>
        <w:spacing w:after="0" w:line="8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In the event of a default, we generally have the right to foreclose on or revoke the defaulting owner’s VOI. We typically resell interests that we reacquire through foreclosure or revocation or place such interests into one of our points-based programs.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145" w:right="41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7"/>
          <w:szCs w:val="17"/>
          <w:color w:val="auto"/>
        </w:rPr>
        <w:t>We securitize the majority of the consumer loans we originate in our vacation ownership business. Historically, we have sold these loans to institutional investors in the asset-backed securities (“ABS”) market on a non-recourse basis. These vacation ownership notes receivable securitizations provide funding for us at interest rates similar to those available to companies with investment grade credit ratings, and transfer the economic risks and a significant portion of the benefits of the consumer loans we originate to third parties. In a vacation ownership notes receivable securitization, several classes of debt securities issued by a special purpose entity are generally collateralized by a single pool of transferred assets, which consist of vacation ownership notes receivable. During 2024, we completed two securitization transactions, which are discussed in detail in Footnote 15 “Securitized Debt” to our Financial Statements. On an ongoing basis, we have the ability to use our warehouse credit facility (“Warehouse Credit Facility”) to securitize eligible consumer loans derived from certain branded vacation ownership sales. Those loans may later be transferred to term securitization transactions in the ABS market, which we intend to continue to complete at least twice a year. Since 2000, we have issued approximately $10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Resorts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December 31, 2024, our vacation ownership portfolio consisted of approximately 120 properties with over 22,000 vacation ownership villas, also referred to as units, and over 31,000 keys in the following locations. A “key” is the lowest increment for reporting occupancy statistics based upon the mix of non-lock-off and lock-off villas. Lock-off villas represent two keys and non-lock-off villas represent one key.</w:t>
      </w:r>
    </w:p>
    <w:p>
      <w:pPr>
        <w:sectPr>
          <w:pgSz w:w="11900" w:h="16838" w:orient="portrait"/>
          <w:cols w:equalWidth="0" w:num="1">
            <w:col w:w="11160"/>
          </w:cols>
          <w:pgMar w:left="320" w:top="1145" w:right="419" w:bottom="1440" w:gutter="0" w:footer="0" w:header="0"/>
        </w:sectPr>
      </w:pP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Mainland U.S. and Hawaii</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120" w:type="dxa"/>
            <w:vAlign w:val="bottom"/>
          </w:tcPr>
          <w:p>
            <w:pPr>
              <w:spacing w:after="0"/>
              <w:rPr>
                <w:sz w:val="17"/>
                <w:szCs w:val="17"/>
                <w:color w:val="auto"/>
              </w:rPr>
            </w:pPr>
          </w:p>
        </w:tc>
        <w:tc>
          <w:tcPr>
            <w:tcW w:w="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Arizona</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1,190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6,268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8,002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Mexico</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Hawaii</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4,891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Massachusetts</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7"/>
              </w:rPr>
              <w:t>South Carolina</w:t>
            </w:r>
          </w:p>
        </w:tc>
        <w:tc>
          <w:tcPr>
            <w:tcW w:w="0" w:type="dxa"/>
            <w:vAlign w:val="bottom"/>
          </w:tcPr>
          <w:p>
            <w:pPr>
              <w:spacing w:after="0"/>
              <w:rPr>
                <w:sz w:val="1"/>
                <w:szCs w:val="1"/>
                <w:color w:val="auto"/>
              </w:rPr>
            </w:pPr>
          </w:p>
        </w:tc>
      </w:tr>
      <w:tr>
        <w:trPr>
          <w:trHeight w:val="498"/>
        </w:trPr>
        <w:tc>
          <w:tcPr>
            <w:tcW w:w="3860" w:type="dxa"/>
            <w:vAlign w:val="bottom"/>
            <w:gridSpan w:val="10"/>
          </w:tcPr>
          <w:p>
            <w:pPr>
              <w:spacing w:after="0"/>
              <w:rPr>
                <w:sz w:val="20"/>
                <w:szCs w:val="20"/>
                <w:color w:val="auto"/>
              </w:rPr>
            </w:pPr>
            <w:r>
              <w:rPr>
                <w:rFonts w:ascii="Times New Roman" w:cs="Times New Roman" w:eastAsia="Times New Roman" w:hAnsi="Times New Roman"/>
                <w:sz w:val="17"/>
                <w:szCs w:val="17"/>
                <w:i w:val="1"/>
                <w:iCs w:val="1"/>
                <w:color w:val="auto"/>
              </w:rPr>
              <w:t>Caribbean, Mexico, and Central America</w:t>
            </w: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6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Aruba</w:t>
            </w:r>
          </w:p>
        </w:tc>
        <w:tc>
          <w:tcPr>
            <w:tcW w:w="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7"/>
                <w:szCs w:val="17"/>
                <w:color w:val="auto"/>
                <w:w w:val="99"/>
              </w:rPr>
              <w:t>1,211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0" w:type="dxa"/>
            <w:vAlign w:val="bottom"/>
          </w:tcPr>
          <w:p>
            <w:pPr>
              <w:spacing w:after="0"/>
              <w:rPr>
                <w:sz w:val="1"/>
                <w:szCs w:val="1"/>
                <w:color w:val="auto"/>
              </w:rPr>
            </w:pPr>
          </w:p>
        </w:tc>
      </w:tr>
      <w:tr>
        <w:trPr>
          <w:trHeight w:val="170"/>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Bahamas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U.S. Virgin</w:t>
            </w:r>
          </w:p>
        </w:tc>
        <w:tc>
          <w:tcPr>
            <w:tcW w:w="0" w:type="dxa"/>
            <w:vAlign w:val="bottom"/>
          </w:tcPr>
          <w:p>
            <w:pPr>
              <w:spacing w:after="0"/>
              <w:rPr>
                <w:sz w:val="1"/>
                <w:szCs w:val="1"/>
                <w:color w:val="auto"/>
              </w:rPr>
            </w:pPr>
          </w:p>
        </w:tc>
      </w:tr>
      <w:tr>
        <w:trPr>
          <w:trHeight w:val="141"/>
        </w:trPr>
        <w:tc>
          <w:tcPr>
            <w:tcW w:w="1220" w:type="dxa"/>
            <w:vAlign w:val="bottom"/>
            <w:vMerge w:val="continue"/>
          </w:tcPr>
          <w:p>
            <w:pPr>
              <w:spacing w:after="0"/>
              <w:rPr>
                <w:sz w:val="12"/>
                <w:szCs w:val="12"/>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center"/>
              <w:ind w:right="38"/>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Islands</w:t>
            </w:r>
          </w:p>
        </w:tc>
        <w:tc>
          <w:tcPr>
            <w:tcW w:w="0" w:type="dxa"/>
            <w:vAlign w:val="bottom"/>
          </w:tcPr>
          <w:p>
            <w:pPr>
              <w:spacing w:after="0"/>
              <w:rPr>
                <w:sz w:val="1"/>
                <w:szCs w:val="1"/>
                <w:color w:val="auto"/>
              </w:rPr>
            </w:pPr>
          </w:p>
        </w:tc>
      </w:tr>
      <w:tr>
        <w:trPr>
          <w:trHeight w:val="89"/>
        </w:trPr>
        <w:tc>
          <w:tcPr>
            <w:tcW w:w="122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Costa Rica</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center"/>
              <w:ind w:right="18"/>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Indies</w:t>
            </w:r>
          </w:p>
        </w:tc>
        <w:tc>
          <w:tcPr>
            <w:tcW w:w="0" w:type="dxa"/>
            <w:vAlign w:val="bottom"/>
          </w:tcPr>
          <w:p>
            <w:pPr>
              <w:spacing w:after="0"/>
              <w:rPr>
                <w:sz w:val="1"/>
                <w:szCs w:val="1"/>
                <w:color w:val="auto"/>
              </w:rPr>
            </w:pPr>
          </w:p>
        </w:tc>
      </w:tr>
      <w:tr>
        <w:trPr>
          <w:trHeight w:val="486"/>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i w:val="1"/>
                <w:iCs w:val="1"/>
                <w:color w:val="auto"/>
              </w:rPr>
              <w:t>Europe and Asia Pacific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120" w:type="dxa"/>
            <w:vAlign w:val="bottom"/>
          </w:tcPr>
          <w:p>
            <w:pPr>
              <w:spacing w:after="0"/>
              <w:rPr>
                <w:sz w:val="17"/>
                <w:szCs w:val="17"/>
                <w:color w:val="auto"/>
              </w:rPr>
            </w:pPr>
          </w:p>
        </w:tc>
        <w:tc>
          <w:tcPr>
            <w:tcW w:w="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France</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202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Indonesia</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Spain</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715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Thailand</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49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361823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230" cy="1625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-487045</wp:posOffset>
            </wp:positionV>
            <wp:extent cx="361823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2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 of</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c>
          <w:tcPr>
            <w:tcW w:w="1380" w:type="dxa"/>
            <w:vAlign w:val="bottom"/>
          </w:tcPr>
          <w:p>
            <w:pPr>
              <w:spacing w:after="0"/>
              <w:rPr>
                <w:sz w:val="15"/>
                <w:szCs w:val="15"/>
                <w:color w:val="auto"/>
              </w:rPr>
            </w:pPr>
          </w:p>
        </w:tc>
      </w:tr>
      <w:tr>
        <w:trPr>
          <w:trHeight w:val="20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c>
          <w:tcPr>
            <w:tcW w:w="1380" w:type="dxa"/>
            <w:vAlign w:val="bottom"/>
          </w:tcPr>
          <w:p>
            <w:pPr>
              <w:spacing w:after="0"/>
              <w:rPr>
                <w:sz w:val="17"/>
                <w:szCs w:val="17"/>
                <w:color w:val="auto"/>
              </w:rPr>
            </w:pPr>
          </w:p>
        </w:tc>
      </w:tr>
      <w:tr>
        <w:trPr>
          <w:trHeight w:val="238"/>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320</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Texas</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1,172</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Utah</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180</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Virginia</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-648970</wp:posOffset>
            </wp:positionV>
            <wp:extent cx="52736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73675" cy="16256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-324485</wp:posOffset>
            </wp:positionV>
            <wp:extent cx="52736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73675" cy="16256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0</wp:posOffset>
            </wp:positionV>
            <wp:extent cx="527367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3675" cy="162560"/>
                    </a:xfrm>
                    <a:prstGeom prst="rect">
                      <a:avLst/>
                    </a:prstGeom>
                    <a:noFill/>
                  </pic:spPr>
                </pic:pic>
              </a:graphicData>
            </a:graphic>
          </wp:anchor>
        </w:drawing>
      </w:r>
    </w:p>
    <w:p>
      <w:pPr>
        <w:spacing w:after="0" w:line="14" w:lineRule="exact"/>
        <w:rPr>
          <w:sz w:val="20"/>
          <w:szCs w:val="20"/>
          <w:color w:val="auto"/>
        </w:rPr>
      </w:pPr>
    </w:p>
    <w:p>
      <w:pPr>
        <w:ind w:left="920" w:hanging="649"/>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228</w:t>
      </w:r>
    </w:p>
    <w:p>
      <w:pPr>
        <w:spacing w:after="0" w:line="60"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Times New Roman" w:cs="Times New Roman" w:eastAsia="Times New Roman" w:hAnsi="Times New Roman"/>
          <w:sz w:val="17"/>
          <w:szCs w:val="17"/>
          <w:color w:val="auto"/>
        </w:rPr>
        <w:t>1,864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c>
          <w:tcPr>
            <w:tcW w:w="700" w:type="dxa"/>
            <w:vAlign w:val="bottom"/>
          </w:tcPr>
          <w:p>
            <w:pPr>
              <w:spacing w:after="0"/>
              <w:rPr>
                <w:sz w:val="15"/>
                <w:szCs w:val="15"/>
                <w:color w:val="auto"/>
              </w:rPr>
            </w:pPr>
          </w:p>
        </w:tc>
      </w:tr>
      <w:tr>
        <w:trPr>
          <w:trHeight w:val="203"/>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c>
          <w:tcPr>
            <w:tcW w:w="700" w:type="dxa"/>
            <w:vAlign w:val="bottom"/>
          </w:tcPr>
          <w:p>
            <w:pPr>
              <w:spacing w:after="0"/>
              <w:rPr>
                <w:sz w:val="17"/>
                <w:szCs w:val="17"/>
                <w:color w:val="auto"/>
              </w:rPr>
            </w:pPr>
          </w:p>
        </w:tc>
      </w:tr>
      <w:tr>
        <w:trPr>
          <w:trHeight w:val="225"/>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164</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6"/>
              </w:rPr>
              <w:t>Mexico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524129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41290" cy="154305"/>
                    </a:xfrm>
                    <a:prstGeom prst="rect">
                      <a:avLst/>
                    </a:prstGeom>
                    <a:noFill/>
                  </pic:spPr>
                </pic:pic>
              </a:graphicData>
            </a:graphic>
          </wp:anchor>
        </w:drawing>
      </w:r>
    </w:p>
    <w:p>
      <w:pPr>
        <w:spacing w:after="0" w:line="154" w:lineRule="exact"/>
        <w:rPr>
          <w:sz w:val="20"/>
          <w:szCs w:val="20"/>
          <w:color w:val="auto"/>
        </w:rPr>
      </w:pPr>
    </w:p>
    <w:p>
      <w:pPr>
        <w:ind w:left="940" w:hanging="656"/>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15875</wp:posOffset>
            </wp:positionV>
            <wp:extent cx="524129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41290" cy="154305"/>
                    </a:xfrm>
                    <a:prstGeom prst="rect">
                      <a:avLst/>
                    </a:prstGeom>
                    <a:noFill/>
                  </pic:spPr>
                </pic:pic>
              </a:graphicData>
            </a:graphic>
          </wp:anchor>
        </w:drawing>
      </w:r>
    </w:p>
    <w:p>
      <w:pPr>
        <w:spacing w:after="0" w:line="27" w:lineRule="exact"/>
        <w:rPr>
          <w:sz w:val="20"/>
          <w:szCs w:val="20"/>
          <w:color w:val="auto"/>
        </w:rPr>
      </w:pPr>
    </w:p>
    <w:p>
      <w:pPr>
        <w:ind w:left="980" w:hanging="696"/>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color w:val="auto"/>
        </w:rPr>
        <w:t># of</w:t>
      </w:r>
    </w:p>
    <w:p>
      <w:pPr>
        <w:spacing w:after="0" w:line="1"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Resorts</w:t>
        <w:tab/>
        <w:t># of Keys</w:t>
      </w:r>
    </w:p>
    <w:p>
      <w:pPr>
        <w:spacing w:after="0" w:line="50" w:lineRule="exact"/>
        <w:rPr>
          <w:sz w:val="20"/>
          <w:szCs w:val="20"/>
          <w:color w:val="auto"/>
        </w:rPr>
      </w:pPr>
    </w:p>
    <w:p>
      <w:pPr>
        <w:ind w:left="1240" w:hanging="682"/>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161</w:t>
      </w:r>
    </w:p>
    <w:p>
      <w:pPr>
        <w:spacing w:after="0" w:line="60" w:lineRule="exact"/>
        <w:rPr>
          <w:sz w:val="20"/>
          <w:szCs w:val="20"/>
          <w:color w:val="auto"/>
        </w:rPr>
      </w:pPr>
    </w:p>
    <w:p>
      <w:pPr>
        <w:ind w:left="1240" w:hanging="682"/>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w:t>
      </w:r>
    </w:p>
    <w:p>
      <w:pPr>
        <w:spacing w:after="0" w:line="60"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2"/>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4"/>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r>
      <w:tr>
        <w:trPr>
          <w:trHeight w:val="237"/>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195</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634</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276</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5"/>
          <w:szCs w:val="15"/>
          <w:b w:val="1"/>
          <w:bCs w:val="1"/>
          <w:color w:val="auto"/>
        </w:rPr>
        <w:t># of</w:t>
      </w:r>
      <w:r>
        <w:rPr>
          <w:sz w:val="20"/>
          <w:szCs w:val="20"/>
          <w:color w:val="auto"/>
        </w:rPr>
        <w:tab/>
      </w:r>
      <w:r>
        <w:rPr>
          <w:rFonts w:ascii="Times New Roman" w:cs="Times New Roman" w:eastAsia="Times New Roman" w:hAnsi="Times New Roman"/>
          <w:sz w:val="15"/>
          <w:szCs w:val="15"/>
          <w:b w:val="1"/>
          <w:bCs w:val="1"/>
          <w:color w:val="auto"/>
        </w:rPr>
        <w:t># of</w:t>
      </w:r>
    </w:p>
    <w:p>
      <w:pPr>
        <w:spacing w:after="0" w:line="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Resorts</w:t>
      </w:r>
      <w:r>
        <w:rPr>
          <w:sz w:val="20"/>
          <w:szCs w:val="20"/>
          <w:color w:val="auto"/>
        </w:rPr>
        <w:tab/>
      </w:r>
      <w:r>
        <w:rPr>
          <w:rFonts w:ascii="Times New Roman" w:cs="Times New Roman" w:eastAsia="Times New Roman" w:hAnsi="Times New Roman"/>
          <w:sz w:val="15"/>
          <w:szCs w:val="15"/>
          <w:b w:val="1"/>
          <w:bCs w:val="1"/>
          <w:color w:val="auto"/>
        </w:rPr>
        <w:t>Keys</w:t>
      </w:r>
    </w:p>
    <w:p>
      <w:pPr>
        <w:spacing w:after="0" w:line="37" w:lineRule="exact"/>
        <w:rPr>
          <w:sz w:val="20"/>
          <w:szCs w:val="20"/>
          <w:color w:val="auto"/>
        </w:rPr>
      </w:pPr>
    </w:p>
    <w:p>
      <w:pPr>
        <w:ind w:left="820" w:hanging="613"/>
        <w:spacing w:after="0"/>
        <w:tabs>
          <w:tab w:leader="none" w:pos="8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1,295</w:t>
      </w:r>
    </w:p>
    <w:p>
      <w:pPr>
        <w:spacing w:after="0" w:line="2602" w:lineRule="exact"/>
        <w:rPr>
          <w:sz w:val="20"/>
          <w:szCs w:val="20"/>
          <w:color w:val="auto"/>
        </w:rPr>
      </w:pPr>
    </w:p>
    <w:p>
      <w:pPr>
        <w:sectPr>
          <w:pgSz w:w="11900" w:h="16838" w:orient="portrait"/>
          <w:cols w:equalWidth="0" w:num="3">
            <w:col w:w="3860" w:space="160"/>
            <w:col w:w="2740" w:space="180"/>
            <w:col w:w="4220"/>
          </w:cols>
          <w:pgMar w:left="320" w:top="1145" w:right="41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145" w:right="4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color w:val="auto"/>
        </w:rPr>
        <w:t>Brands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 of Resorts</w:t>
            </w:r>
          </w:p>
        </w:tc>
        <w:tc>
          <w:tcPr>
            <w:tcW w:w="140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 of Keys</w:t>
            </w:r>
          </w:p>
        </w:tc>
      </w:tr>
      <w:tr>
        <w:trPr>
          <w:trHeight w:val="238"/>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Club</w:t>
            </w: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19,013</w:t>
            </w:r>
          </w:p>
        </w:tc>
      </w:tr>
      <w:tr>
        <w:trPr>
          <w:trHeight w:val="256"/>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Sheraton Vacation Club</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4,377</w:t>
            </w:r>
          </w:p>
        </w:tc>
      </w:tr>
      <w:tr>
        <w:trPr>
          <w:trHeight w:val="25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Westin Vacation Club</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4,334</w:t>
            </w:r>
          </w:p>
        </w:tc>
      </w:tr>
      <w:tr>
        <w:trPr>
          <w:trHeight w:val="256"/>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Residences by Marriott</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381</w:t>
            </w:r>
          </w:p>
        </w:tc>
      </w:tr>
      <w:tr>
        <w:trPr>
          <w:trHeight w:val="25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Ritz-Carlton Club</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259</w:t>
            </w:r>
          </w:p>
        </w:tc>
      </w:tr>
      <w:tr>
        <w:trPr>
          <w:trHeight w:val="256"/>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 Regis Residence Club and The Luxury Collection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83</w:t>
            </w:r>
          </w:p>
        </w:tc>
      </w:tr>
      <w:tr>
        <w:trPr>
          <w:trHeight w:val="25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Hyatt Vacation Club</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2,693</w:t>
            </w:r>
          </w:p>
        </w:tc>
      </w:tr>
      <w:tr>
        <w:trPr>
          <w:trHeight w:val="25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458</w:t>
            </w:r>
          </w:p>
        </w:tc>
      </w:tr>
      <w:tr>
        <w:trPr>
          <w:trHeight w:val="236"/>
        </w:trPr>
        <w:tc>
          <w:tcPr>
            <w:tcW w:w="54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119</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31,598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Hotels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tcBorders>
              <w:bottom w:val="single" w:sz="8" w:color="CCEEFF"/>
            </w:tcBorders>
          </w:tcPr>
          <w:p>
            <w:pPr>
              <w:spacing w:after="0"/>
              <w:rPr>
                <w:sz w:val="17"/>
                <w:szCs w:val="17"/>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Location</w:t>
            </w:r>
          </w:p>
        </w:tc>
      </w:tr>
      <w:tr>
        <w:trPr>
          <w:trHeight w:val="23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Sheraton Kauai Resort</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Kauai, HI</w:t>
            </w:r>
          </w:p>
        </w:tc>
      </w:tr>
      <w:tr>
        <w:trPr>
          <w:trHeight w:val="25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Westin Resort &amp; Spa, Cancun</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Cancun, Mexico</w:t>
            </w:r>
          </w:p>
        </w:tc>
      </w:tr>
      <w:tr>
        <w:trPr>
          <w:trHeight w:val="25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Hyatt Highlands Inn</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Carmel, CA</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 SEGMENT</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Exchange &amp; Third-Party Management segment is comprised of the Interval International and Aqua-Aston businesses. The Interval International business offers a variety of membership programs and travel related products to approximately 1.5 million members globally and the Aqua-Aston business provides property management and rental services to property owners at 24 resorts and lodging properties. The segment revenue generally is fee-based and derived from membership, exchange and rental transactions, property and owners’ association management, and other related products and services. The Exchange &amp; Third-Party Management segment represented 5% of our consolidated revenue for 2024.</w:t>
      </w:r>
    </w:p>
    <w:p>
      <w:pPr>
        <w:spacing w:after="0" w:line="28" w:lineRule="exact"/>
        <w:rPr>
          <w:sz w:val="20"/>
          <w:szCs w:val="20"/>
          <w:color w:val="auto"/>
        </w:rPr>
      </w:pPr>
    </w:p>
    <w:tbl>
      <w:tblPr>
        <w:tblLayout w:type="fixed"/>
        <w:tblInd w:w="2780" w:type="dxa"/>
        <w:tblCellMar>
          <w:top w:w="0" w:type="dxa"/>
          <w:left w:w="0" w:type="dxa"/>
          <w:bottom w:w="0" w:type="dxa"/>
          <w:right w:w="0" w:type="dxa"/>
        </w:tblCellMar>
      </w:tblPr>
      <w:tr>
        <w:trPr>
          <w:trHeight w:val="17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9"/>
              </w:rPr>
              <w:t>2024</w:t>
            </w:r>
          </w:p>
        </w:tc>
      </w:tr>
      <w:tr>
        <w:trPr>
          <w:trHeight w:val="153"/>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tcPr>
          <w:p>
            <w:pPr>
              <w:jc w:val="center"/>
              <w:ind w:right="78"/>
              <w:spacing w:after="0" w:line="154" w:lineRule="exact"/>
              <w:rPr>
                <w:sz w:val="20"/>
                <w:szCs w:val="20"/>
                <w:color w:val="auto"/>
              </w:rPr>
            </w:pPr>
            <w:r>
              <w:rPr>
                <w:rFonts w:ascii="Times New Roman" w:cs="Times New Roman" w:eastAsia="Times New Roman" w:hAnsi="Times New Roman"/>
                <w:sz w:val="15"/>
                <w:szCs w:val="15"/>
                <w:b w:val="1"/>
                <w:bCs w:val="1"/>
                <w:color w:val="auto"/>
              </w:rPr>
              <w:t>Exchange &amp; Third-Party Management</w:t>
            </w:r>
          </w:p>
        </w:tc>
      </w:tr>
      <w:tr>
        <w:trPr>
          <w:trHeight w:val="204"/>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Segment Revenues</w:t>
            </w:r>
          </w:p>
        </w:tc>
      </w:tr>
      <w:tr>
        <w:trPr>
          <w:trHeight w:val="23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56"/>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tcPr>
          <w:p>
            <w:pPr>
              <w:spacing w:after="0"/>
              <w:rPr>
                <w:sz w:val="22"/>
                <w:szCs w:val="22"/>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5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auto"/>
            </w:tcBorders>
            <w:shd w:val="clear" w:color="auto" w:fill="CCEEFF"/>
          </w:tcPr>
          <w:p>
            <w:pPr>
              <w:spacing w:after="0"/>
              <w:rPr>
                <w:sz w:val="22"/>
                <w:szCs w:val="22"/>
                <w:color w:val="auto"/>
              </w:rPr>
            </w:pP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Membership Programs, Products and Services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Exchange Products - </w:t>
      </w:r>
      <w:r>
        <w:rPr>
          <w:rFonts w:ascii="Times New Roman" w:cs="Times New Roman" w:eastAsia="Times New Roman" w:hAnsi="Times New Roman"/>
          <w:sz w:val="17"/>
          <w:szCs w:val="17"/>
          <w:b w:val="1"/>
          <w:bCs w:val="1"/>
          <w:i w:val="1"/>
          <w:iCs w:val="1"/>
          <w:color w:val="auto"/>
        </w:rPr>
        <w:t>Interval Network</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Interval International’s principal membership program is the Interval Network, which is comprised of more than 3,200 affiliated resorts in over 90 countries and territories. The Interval Network allows its members to exchange their VOI for a stay at another resort destination or during a different time period, or another travel product. A membership in the Interval Network also provides a comprehensive package of value-added products and services to members. Generally, individuals are enrolled in the Interval Network by resort developers in connection with their purchase of VOIs from such resort developers. Members may also enroll directly, for instance, when they purchase a VOI through resale or an owners’ association at a resort that participates in the Interval Network.</w:t>
      </w:r>
    </w:p>
    <w:p>
      <w:pPr>
        <w:spacing w:after="0" w:line="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Additionally, we have relationships with resort developers that incorporate the Interval Network membership fee into certain annual fees they charge to owners of VOIs at their resorts or vacation ownership clubs. As a result, membership in the Interval Network for those owners is automatically renewed through the term of the resort’s or club’s participation in the Interval Network, so long as the owners are in good standing with the applicable resort or vacation ownership club. We sometimes refer to these members as corporate members and other members as traditional members. As of December 31, 2024, approximately 40% of total Interval Network members were traditional members and approximately 60% were corporate members.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7"/>
          <w:szCs w:val="17"/>
          <w:color w:val="auto"/>
        </w:rPr>
        <w:t>Members of the Interval Network are offered the ability to exchange points or usage rights in their VOI for accommodations generally of comparable trading value to those relinquished, based on factors including location, quality, seasonality, unit attributes and time of relinquishment prior to occupancy. Members also have the ability to exchange their VOI for a cruise vacation or hotel stay, which requires payment of an exchange transaction fee and a supplemental fee, which vary based on the cruise vacation or hotel stay selected and the VOI relinquished to the Interval Network.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Getaways</w:t>
      </w:r>
    </w:p>
    <w:p>
      <w:pPr>
        <w:spacing w:after="0" w:line="1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also offer additional vacation rental opportunities at attractive rates to members of the Interval Network, as well as to members of certain other membership programs provided by Interval International or through third-party membership programs. We refer to these opportunities as Getaways. Getaways allow members to rent resort accommodations for a fee, plus applicable taxes. Resort accommodations available as Getaways consist of seasonal oversupply of vacation ownership accommodations within the Interval Network, as well as resort accommodations that are specifically sourced for use as Getaways.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Operational Support for Interval Network Resorts</w:t>
      </w:r>
    </w:p>
    <w:p>
      <w:pPr>
        <w:spacing w:after="0" w:line="1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Interval International has established multi-year relationships with resort developers, including leading independent developers, as well as owners’ associations and our related branded vacation ownership programs, under affiliation agreements, which typically provide for continued resort participation in the Interval Network following the end of the agreement’s term. Resort developers promote membership in our exchange programs and related value-added services as an important benefit of owning a VOI.</w:t>
      </w:r>
    </w:p>
    <w:p>
      <w:pPr>
        <w:spacing w:after="0" w:line="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business development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VOIs. In addition, we sponsor, participate in and attend numerous industry conferences around the world to provide potential and existing industry participants with opportunities to network and learn more about vacation ownership.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Third-Party Management</w:t>
      </w:r>
    </w:p>
    <w:p>
      <w:pPr>
        <w:spacing w:after="0" w:line="115"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We provide management services for hotels, condominium resorts, and other third-party vacation property owners through our Aqua-Aston business. Our services may include day-to-day operations of the properties, maintenance of the properties, preparation of reports and budgets, owners’ association administration, quality assurance and employee training. As of December 31, 2024, we provided third-party management services to 24 properties.</w:t>
      </w:r>
    </w:p>
    <w:p>
      <w:pPr>
        <w:spacing w:after="0" w:line="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Aqua-Aston business, which is concentrated in Hawaii, provides management and rental services for condominium owners, hotel owners, and owners’ associations. Generally, owners’ association management services, including administrative, fiscal and quality assurance services, are provided pursuant to exclusive agreements with terms typically ranging from one to ten years or more, many of which are automatically renewable. Revenue is derived principally from fees for management of the hotel, condominium resort, or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 sales and marketing, property accounting and information technology services. We offer a variety of leisure accommodations to visitors from around the world through various consumer websites, including www.aquaaston.com, www.aquaresorts.com, www.mauicondo.com, and others.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1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relating to owners’ associations consolidated under the relevant accounting guidance (“Consolidated Property Owners’ Associations”), which are not included in operating segment resource allocation decision-making.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revenue is influenced by the seasonal nature of travel. Within our Vacation Ownership segment, our sale of vacation ownership business experiences a modest impact from seasonality, with higher sales volumes during the traditional vacation periods. Business at properties in some locations may experience a greater impact from seasonality than those in other locations.</w:t>
      </w:r>
    </w:p>
    <w:p>
      <w:pPr>
        <w:spacing w:after="0" w:line="6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7"/>
          <w:szCs w:val="17"/>
          <w:color w:val="auto"/>
        </w:rPr>
        <w:t>Within our Exchange &amp; Third-Party Management segment, we recognize exchange and Getaways revenue based on confirmation of the vacation; revenue is generally higher in the first quarter and lower in the fourth quarter. Remaining rental revenue is recognized based on occupancy.</w:t>
      </w:r>
    </w:p>
    <w:p>
      <w:pPr>
        <w:spacing w:after="0" w:line="5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Refer to “Liquidity and Capital Resources” within Part I, Item 7. “Management’s Discussion and Analysis of Financial Condition and Results of Operations” for information regarding the seasonality of our cash flow.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Competition in the vacation ownership industry is driven primarily by the quality, number and location of vacation ownership resorts, the quality and capability of the related property management program, trust in the brand, pricing of product offerings, cost of ownership (e.g., ongoing maintenance and other fees)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In addition, the vacation ownership industry competes generally with other vacation rental options (such as hotels, resorts and condominium rentals) offered by the lodging industry as well as alternative lodging marketplaces such as Airbnb and VRBO, which offer rentals of homes and condominiums. Innovations that impact the industry may also lead to new products and services that could disrupt our business model and create new and stronger competitors.</w:t>
      </w:r>
    </w:p>
    <w:p>
      <w:pPr>
        <w:spacing w:after="0" w:line="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7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Recent and potential future consolidation in the vacation ownership industry may increase competition. Consolidation may create competitors that enjoy significant advantages resulting from, among other things, a lower cost of, and greater access to, capital and enhanced operating efficiencies.</w:t>
      </w:r>
    </w:p>
    <w:p>
      <w:pPr>
        <w:spacing w:after="0" w:line="50" w:lineRule="exact"/>
        <w:rPr>
          <w:sz w:val="20"/>
          <w:szCs w:val="20"/>
          <w:color w:val="auto"/>
        </w:rPr>
      </w:pPr>
    </w:p>
    <w:p>
      <w:pPr>
        <w:jc w:val="both"/>
        <w:ind w:right="380"/>
        <w:spacing w:after="0" w:line="209" w:lineRule="exact"/>
        <w:rPr>
          <w:sz w:val="20"/>
          <w:szCs w:val="20"/>
          <w:color w:val="auto"/>
        </w:rPr>
      </w:pPr>
      <w:r>
        <w:rPr>
          <w:rFonts w:ascii="Times New Roman" w:cs="Times New Roman" w:eastAsia="Times New Roman" w:hAnsi="Times New Roman"/>
          <w:sz w:val="17"/>
          <w:szCs w:val="17"/>
          <w:color w:val="auto"/>
        </w:rPr>
        <w:t>Our Interval International exchange business principally competes for developer and consumer market share with Travel + Leisure Co.’s subsidiary, RCI. This business also faces increasing competition from points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vacation clubs and large resort developers, which operate their own internal exchange systems to facilitate exchanges for owners of VOIs at their resorts as they increase in size and scope. Increased consolidation in the industry enhances this competition. In addition, vacation clubs and resort developers may have direct exchange relationships with other developers.</w:t>
      </w:r>
    </w:p>
    <w:p>
      <w:pPr>
        <w:spacing w:after="0" w:line="86"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7"/>
          <w:szCs w:val="17"/>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4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11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business is heavily regulated and compliance with regulations has a significant impact on our results of operations. We are subject to a wide variety of complex international, national, federal, state and local laws, regulations and policies in jurisdictions around the world. We have proactively worked with industry trade associations, including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Some laws, regulations and policies may impact multiple areas of our business, such as securities, anti-discrimination, anti-fraud, Americans with Disabilities Act, data protection and security, anti-corruption and bribery laws and regulations or government economic sanctions, including applicable regulations of the Consumer Financial Protection Bureau (the “CFPB”), the U.S. Department of the Treasury’s Office of Foreign Asset Control and the U.S. Foreign Corrupt Practices Act (the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laws and regulations enacted in the United States, individual states, and other jurisdictions around the world. Other laws, regulations and policies primarily affect one of five areas of our business: real estate development activities; marketing and sales activities; lending activities; resort management activities; and exchange and travel activities.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 Estate Development Regulation</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real estate development activities are regulated under a number of different timeshare, condominium and land sales disclosure statutes in many jurisdictions. We are generally subject to laws and regulations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and Sales Regulation</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Many jurisdictions, including in the United States, Asia Pacific, Mexico, Europe, and Central America, require that we file detailed registration or offering statements with regulatory authorities disclosing certain information regarding the VOIs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 (1) 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7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0" w:name="page21"/>
    <w:bookmarkEnd w:id="20"/>
    <w:p>
      <w:pPr>
        <w:ind w:right="360"/>
        <w:spacing w:after="0" w:line="283" w:lineRule="auto"/>
        <w:rPr>
          <w:sz w:val="20"/>
          <w:szCs w:val="20"/>
          <w:color w:val="auto"/>
        </w:rPr>
      </w:pPr>
      <w:r>
        <w:rPr>
          <w:rFonts w:ascii="Times New Roman" w:cs="Times New Roman" w:eastAsia="Times New Roman" w:hAnsi="Times New Roman"/>
          <w:sz w:val="17"/>
          <w:szCs w:val="17"/>
          <w:color w:val="auto"/>
        </w:rPr>
        <w:t>Marriott Vacation Club Destinations, Australia points-based program is subject to regulation as a “managed investment scheme” by the Australian Securities &amp; Investments Commission. In some countries, our vacation ownership products are marketed by third-party brokers.</w:t>
      </w:r>
    </w:p>
    <w:p>
      <w:pPr>
        <w:spacing w:after="0" w:line="5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Laws in many jurisdictions in which we sell VOIs grant the purchaser of a VOI the right to cancel a purchase contract during a specified rescission period following the later of the date the contract was signed or the date the purchaser received the last of the documents required to be provided by us.</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Regulators in many jurisdictions have increased regulations and enforcement actions related to telemarketing operations, including requiring adherence to the federal Telephone Consumer Protection Act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Lending Regulation</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lending activities are subject to a number of laws and regulations, including those of applicable supervisory, regulatory and enforcement agencies such as, in the United States, the CFPB,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Resort Management Regulation</w:t>
      </w:r>
    </w:p>
    <w:p>
      <w:pPr>
        <w:spacing w:after="0" w:line="1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Our resort management activities are subject to laws and regulations regarding community association management, timeshare and condominium management (including real estate broker licensing), public lodging, food and beverage services (including liquor licensing), labor, employment, health care, health and safety, accessibility, discrimination, immigration, gaming, certain communication devices, transient rentals, structural audits of improvements and reserve accounts associated with such improvements, and the environment (including climate change). In addition, many jurisdictions in which we manage our resorts have statutory provisions that limit the duration of the initial and renewal terms of our management agreements for owners’ associations or permit the owners’ association for a resort to terminate our management agreement under certain circumstances (for example, upon a super-majority vote of the owners), even if we are not in default under the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Exchange and Travel Regulations</w:t>
      </w:r>
    </w:p>
    <w:p>
      <w:pPr>
        <w:spacing w:after="0" w:line="11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Many jurisdictions regulate businesses engaged in timeshare exchange activity, typically requiring annual filing of prescribed disclosures with regulatory agencies. Such disclosure must be provided to persons enrolling in a timeshare exchange program prior to completion of enrollment. The disclosure generally provides information on the terms and conditions of membership as well as audited key operating statistics of the exchange program.</w:t>
      </w:r>
    </w:p>
    <w:p>
      <w:pPr>
        <w:spacing w:after="0" w:line="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connection with our exchange businesses, we also offer other travel-related products and services that are subject to regulation in certain jurisdictions, including requirements that we register as a “seller of travel” and comply with applicable bonding and disclosure requirements. Additionally, operation of our travel membership programs can trigger requirements that we register as a discount buying organization. Other products and services we offer (e.g., travel insurance) are subject to regulations imposed on our suppliers, and as a result we are subject to travel reseller requirements and licensing in certain jurisdictions.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Environmental Compliance and Awareness</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applicable environmental laws and regulations. Our compliance with such requirements has not had a material impact on our capital expenditures, earnings or competitive position, nor do we anticipate that such compliance will have a material impact in the future.</w:t>
      </w:r>
    </w:p>
    <w:p>
      <w:pPr>
        <w:spacing w:after="0" w:line="7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do not exercise complete control over all resorts and properties that we manage; rather, our control over these properties is generally limited by the terms of the applicable management agreements. As a result, our ability to achieve some or all of our corporate responsibility initiatives or goals may be limited without additional support or action by the owners of resorts and properties we manage.</w:t>
      </w:r>
    </w:p>
    <w:p>
      <w:pPr>
        <w:spacing w:after="0" w:line="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take our commitment to protecting the environment seriously. We have collaborated with Audubon International to further the “greening” of our Marriott Vacation Club resorts in the U.S.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each of our segments. This strategy includes further reducing energy and water consumption, expanding our portfolio of green resorts, educating and inspiring associates and guests to support the environment, and embracing innovation.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1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We believe that attracting, engaging, and retaining talented associates and cultivating their career development at our locations around the world helps us remain a leader in our industry. With that focus in mind, we implement programs and initiatives rooted in our Core Values: Caring Culture, Integrity First, Excellence Always, Customer Obsessed, and Better Together. Our approach is thoughtfully designed to attract, engage, and retain our associates and promote their career development by:</w:t>
      </w:r>
    </w:p>
    <w:p>
      <w:pPr>
        <w:spacing w:after="0" w:line="70" w:lineRule="exact"/>
        <w:rPr>
          <w:sz w:val="20"/>
          <w:szCs w:val="20"/>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competitive, fair, and transparent compensation and benefits;</w:t>
      </w:r>
    </w:p>
    <w:p>
      <w:pPr>
        <w:spacing w:after="0" w:line="111"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supporting the overall well-being of our associates physically, mentally, and socially;</w:t>
      </w:r>
    </w:p>
    <w:p>
      <w:pPr>
        <w:spacing w:after="0" w:line="111"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opportunities for associate growth, career development, recognition, training, and education; and</w:t>
      </w:r>
    </w:p>
    <w:p>
      <w:pPr>
        <w:spacing w:after="0" w:line="111"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fostering an inclusive workplace that promotes equal opportunity employment, where all individuals are respected.</w:t>
      </w:r>
    </w:p>
    <w:p>
      <w:pPr>
        <w:spacing w:after="0" w:line="11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2024, we were recognized as a Mercer Best Employer globally for the fourth consecutive year as part of Mercer’s robust assessment that identifies organizations that have transformed their people practices to drive better business results. As part of the Mercer Best Employers 2024 assessment, we conducted an associate survey that achieved a 93% response rate, which demonstrated a strong level of overall associate engagement. The survey results identified several areas of strength, including a welcoming and positive company culture, strong and supportive supervisors, a focus on sustainability and taking care of the community, and a company-wide commitment to inclusion and diversity. We believe that our distinction as a Mercer Best Employer and our strengths identified by current associates demonstrate the incredible care we have for each other and for the associate experience and will make us an employer of choice for potential future associates.</w:t>
      </w:r>
    </w:p>
    <w:p>
      <w:pPr>
        <w:spacing w:after="0" w:line="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believe the success of our commitment to our associates is reflected in our employee tenure, which is over seven years on a global basis, and recognition by Fortune of our Company in its ranking of the World’s Most Admired Companies for 2025 and 2024, as well as our fifteenth place ranking in the hospitality industry in Newsweek’s list of “America’s Most Responsible Companies for 2025.” In addition, we were named one of Orlando Business Journal’s “Best Places to Work” in 2024.</w:t>
      </w:r>
    </w:p>
    <w:p>
      <w:pPr>
        <w:spacing w:after="0" w:line="7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As of December 31, 2024, we had a global workforce consisting of approximately 22,300 associates, of which approximately 17,500 (79%) were based in the United States.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color w:val="auto"/>
        </w:rPr>
        <w:t>Inclusion and Diversity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Grounded in our culture of caring and collaboration, we strive to empower both our customers and our associates to live their most fulfilling lives. As outlined in our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Inclusion and Diversity Commitment Statement:</w:t>
      </w:r>
    </w:p>
    <w:p>
      <w:pPr>
        <w:spacing w:after="0" w:line="90" w:lineRule="exact"/>
        <w:rPr>
          <w:sz w:val="20"/>
          <w:szCs w:val="20"/>
          <w:color w:val="auto"/>
        </w:rPr>
      </w:pPr>
    </w:p>
    <w:p>
      <w:pPr>
        <w:ind w:left="160" w:right="20"/>
        <w:spacing w:after="0" w:line="269" w:lineRule="auto"/>
        <w:rPr>
          <w:sz w:val="20"/>
          <w:szCs w:val="20"/>
          <w:color w:val="auto"/>
        </w:rPr>
      </w:pPr>
      <w:r>
        <w:rPr>
          <w:rFonts w:ascii="Times New Roman" w:cs="Times New Roman" w:eastAsia="Times New Roman" w:hAnsi="Times New Roman"/>
          <w:sz w:val="17"/>
          <w:szCs w:val="17"/>
          <w:i w:val="1"/>
          <w:iCs w:val="1"/>
          <w:color w:val="auto"/>
        </w:rPr>
        <w:t>MVW is committed to cultivating inclusion and fostering diversity in all aspects of our business. We provide treasured vacation experiences to our customers around the world and work to create an inclusive, diverse, and caring environment for our associates. We support a Life, Fulfilled for all individuals and embrace the notion that we are Better Together.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commitment statement underscores our focus on creating a positive work environment for everyone.</w:t>
      </w:r>
    </w:p>
    <w:p>
      <w:pPr>
        <w:spacing w:after="0" w:line="1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As a global company with a workforce comprised of talented associates who come from diverse backgrounds, we believe that our associates’ diverse backgrounds make our Company a great place to work. Women comprise approximately 54% of our worldwide workforce, and men comprise approximately 46%. Within the United States, people of color comprise approximately 47% of our management level positions and globally women comprise approximately 51% of our management level positions.</w:t>
      </w:r>
    </w:p>
    <w:p>
      <w:pPr>
        <w:spacing w:after="0" w:line="7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In 2024, we continued to focus on reinforcing our core values by fostering an inclusive and diverse work environment. With input from our associates gathered through engagement surveys, as well as championship by leaders across our global organization, we hosted a diverse set of “Educate and Celebrate” events, which provide associates the opportunity to share their personal experiences and learn from their colleagues. We also launched a Veterans Associate Network to foster camaraderie, facilitate professional development opportunities, and support veterans within the Company. Additionally, we continued to provide training programs for our leaders, and we continued our work fostering diverse representation within our leadership pipelines for executive and senior leadership roles through our recruiting efforts and talent review process for management associates across the Company.</w:t>
      </w:r>
    </w:p>
    <w:p>
      <w:pPr>
        <w:spacing w:after="0" w:line="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continue to receive positive feedback from our associates about our inclusive work environment, as Inclusion and Diversity was the highest rated workplace topic on our 2024 annual associate engagement survey. In the survey, 89% of our associates reported positive perceptions of our inclusion and diversity practices when responding to questions about leaders’ support for inclusion and diversity, service to customers with diverse backgrounds, respect and well-being of all people as a Company priority, a work environment that is accepting of diverse backgrounds and ways of thinking, and a company culture in which persons of all backgrounds are encouraged to pursue their career aspirations. We believe that these results demonstrate the value of championing an inclusive culture.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Associate Development</w:t>
      </w:r>
    </w:p>
    <w:p>
      <w:pPr>
        <w:spacing w:after="0" w:line="11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color w:val="auto"/>
        </w:rPr>
        <w:t>We seek to support our associates with their growth and development by creating a work environment that embraces learning and provides opportunities for associate career development through training and education. Our functional training teams provide our associates with the skills they need to deliver exceptional experiences for our customers and our Global Talent Development team creates and deploys skill development programs and resources for our associates. Our various learning programs are one of the many features that make our Company a desirable place to start and cultivate a fulfilling career, with increased opportunities for growth.</w:t>
      </w:r>
    </w:p>
    <w:p>
      <w:pPr>
        <w:spacing w:after="0" w:line="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Company also strives to provide leaders with the opportunity to develop their leadership skills and create a positive work environment for all associates. We offer leadership development programming that provides associates with tools, resources, and practices that we believe are important to becoming successful leaders and strengthening our diverse talent pipeline. We believe that leaders have great influence over the development of associates; as such, we seek to equip leaders with the skills they need to support their associates. Our Company also offers tuition reimbursement to our associates, supporting them in achieving their future career aspirations. We believe these efforts help us continue to support current and future leaders.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Collective Bargaining Agreements</w:t>
      </w:r>
    </w:p>
    <w:p>
      <w:pPr>
        <w:spacing w:after="0" w:line="11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We are party to collective bargaining agreements in the United States, Spain, and Mexico, primarily with regard to employees working in food service, laundry, and hospitality and tourism.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Rights</w:t>
      </w:r>
    </w:p>
    <w:p>
      <w:pPr>
        <w:spacing w:after="0" w:line="11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maintain a Human Rights Policy that aligns with government, business, and public concerns about issues such as human trafficking and the exploitation of children. We support programs and partnerships that help at-risk youth and their families prepare for and find meaningful employment. Our Human Rights Policy is available on our website at www.marriottvacationsworldwide.com under the “Our Values” tab.</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3" w:name="page24"/>
    <w:bookmarkEnd w:id="23"/>
    <w:p>
      <w:pPr>
        <w:ind w:right="80"/>
        <w:spacing w:after="0" w:line="291" w:lineRule="auto"/>
        <w:rPr>
          <w:sz w:val="20"/>
          <w:szCs w:val="20"/>
          <w:color w:val="auto"/>
        </w:rPr>
      </w:pPr>
      <w:r>
        <w:rPr>
          <w:rFonts w:ascii="Times New Roman" w:cs="Times New Roman" w:eastAsia="Times New Roman" w:hAnsi="Times New Roman"/>
          <w:sz w:val="16"/>
          <w:szCs w:val="16"/>
          <w:color w:val="auto"/>
        </w:rPr>
        <w:t>We also have a human trafficking awareness training course that promotes our Human Rights Policy and core values. We recognize the risks associated with human trafficking in our properties and have implemented training for our property-based associates to be able to recognize and report suspected cases of human trafficking. Our training in the U.S., U.S. Virgin Islands, and Puerto Rico was developed based upon best practices established by federal law enforcement agencies.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Our investor relations website address is www.ir.marriottvacationsworldwide.com.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is certain information with respect to our executive officers. The information set forth below is as of February 28, 2025, except where indicated.</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8820" w:type="dxa"/>
            <w:vAlign w:val="bottom"/>
            <w:tcBorders>
              <w:top w:val="single" w:sz="8" w:color="auto"/>
              <w:bottom w:val="single" w:sz="8" w:color="auto"/>
              <w:right w:val="single" w:sz="8" w:color="auto"/>
            </w:tcBorders>
          </w:tcPr>
          <w:p>
            <w:pPr>
              <w:ind w:left="3660"/>
              <w:spacing w:after="0"/>
              <w:rPr>
                <w:sz w:val="20"/>
                <w:szCs w:val="20"/>
                <w:color w:val="auto"/>
              </w:rPr>
            </w:pPr>
            <w:r>
              <w:rPr>
                <w:rFonts w:ascii="Times New Roman" w:cs="Times New Roman" w:eastAsia="Times New Roman" w:hAnsi="Times New Roman"/>
                <w:sz w:val="17"/>
                <w:szCs w:val="17"/>
                <w:b w:val="1"/>
                <w:bCs w:val="1"/>
                <w:color w:val="auto"/>
              </w:rPr>
              <w:t>Business Experience</w:t>
            </w:r>
          </w:p>
        </w:tc>
        <w:tc>
          <w:tcPr>
            <w:tcW w:w="0" w:type="dxa"/>
            <w:vAlign w:val="bottom"/>
          </w:tcPr>
          <w:p>
            <w:pPr>
              <w:spacing w:after="0"/>
              <w:rPr>
                <w:sz w:val="1"/>
                <w:szCs w:val="1"/>
                <w:color w:val="auto"/>
              </w:rPr>
            </w:pPr>
          </w:p>
        </w:tc>
      </w:tr>
      <w:tr>
        <w:trPr>
          <w:trHeight w:val="206"/>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E. Geller, Jr.</w:t>
            </w: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E. Geller, Jr. was appointed as our President and Chief Executive Officer, effective January 1, 2023. Mr. Geller has served</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vMerge w:val="continue"/>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our President since October 2021. From January 2021 to October 2021, he served as our President and Chief Financial</w:t>
            </w: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President and Chief</w:t>
            </w:r>
          </w:p>
        </w:tc>
        <w:tc>
          <w:tcPr>
            <w:tcW w:w="5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Officer. From January 2018 to January 2021, he served as our Executive Vice President and Chief Financial and Administrative</w:t>
            </w: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shd w:val="clear" w:color="auto" w:fill="CCEEFF"/>
          </w:tcPr>
          <w:p>
            <w:pPr>
              <w:ind w:left="40"/>
              <w:spacing w:after="0" w:line="188" w:lineRule="exact"/>
              <w:rPr>
                <w:sz w:val="20"/>
                <w:szCs w:val="20"/>
                <w:color w:val="auto"/>
              </w:rPr>
            </w:pPr>
            <w:r>
              <w:rPr>
                <w:rFonts w:ascii="Times New Roman" w:cs="Times New Roman" w:eastAsia="Times New Roman" w:hAnsi="Times New Roman"/>
                <w:sz w:val="17"/>
                <w:szCs w:val="17"/>
                <w:color w:val="auto"/>
              </w:rPr>
              <w:t>Executive Officer</w:t>
            </w:r>
          </w:p>
        </w:tc>
        <w:tc>
          <w:tcPr>
            <w:tcW w:w="560" w:type="dxa"/>
            <w:vAlign w:val="bottom"/>
            <w:tcBorders>
              <w:right w:val="single" w:sz="8" w:color="auto"/>
            </w:tcBorders>
            <w:shd w:val="clear" w:color="auto" w:fill="CCEEFF"/>
          </w:tcPr>
          <w:p>
            <w:pPr>
              <w:spacing w:after="0"/>
              <w:rPr>
                <w:sz w:val="16"/>
                <w:szCs w:val="16"/>
                <w:color w:val="auto"/>
              </w:rPr>
            </w:pPr>
          </w:p>
        </w:tc>
        <w:tc>
          <w:tcPr>
            <w:tcW w:w="8820" w:type="dxa"/>
            <w:vAlign w:val="bottom"/>
            <w:tcBorders>
              <w:right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Officer. From 2009 to December 2017, he served as our Executive Vice President and Chief Financial Officer. Mr. Geller joined</w:t>
            </w:r>
          </w:p>
        </w:tc>
        <w:tc>
          <w:tcPr>
            <w:tcW w:w="0" w:type="dxa"/>
            <w:vAlign w:val="bottom"/>
          </w:tcPr>
          <w:p>
            <w:pPr>
              <w:spacing w:after="0"/>
              <w:rPr>
                <w:sz w:val="1"/>
                <w:szCs w:val="1"/>
                <w:color w:val="auto"/>
              </w:rPr>
            </w:pPr>
          </w:p>
        </w:tc>
      </w:tr>
      <w:tr>
        <w:trPr>
          <w:trHeight w:val="251"/>
        </w:trPr>
        <w:tc>
          <w:tcPr>
            <w:tcW w:w="1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right w:val="single" w:sz="8" w:color="auto"/>
            </w:tcBorders>
            <w:shd w:val="clear" w:color="auto" w:fill="CCEEFF"/>
          </w:tcPr>
          <w:p>
            <w:pPr>
              <w:spacing w:after="0"/>
              <w:rPr>
                <w:sz w:val="21"/>
                <w:szCs w:val="21"/>
                <w:color w:val="auto"/>
              </w:rPr>
            </w:pPr>
          </w:p>
        </w:tc>
        <w:tc>
          <w:tcPr>
            <w:tcW w:w="8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International in 2005 as Senior Vice President and Chief Audit Executive and Information Security Officer.</w:t>
            </w:r>
          </w:p>
        </w:tc>
        <w:tc>
          <w:tcPr>
            <w:tcW w:w="0" w:type="dxa"/>
            <w:vAlign w:val="bottom"/>
          </w:tcPr>
          <w:p>
            <w:pPr>
              <w:spacing w:after="0"/>
              <w:rPr>
                <w:sz w:val="1"/>
                <w:szCs w:val="1"/>
                <w:color w:val="auto"/>
              </w:rPr>
            </w:pPr>
          </w:p>
        </w:tc>
      </w:tr>
      <w:tr>
        <w:trPr>
          <w:trHeight w:val="206"/>
        </w:trPr>
        <w:tc>
          <w:tcPr>
            <w:tcW w:w="1880" w:type="dxa"/>
            <w:vAlign w:val="bottom"/>
            <w:tcBorders>
              <w:top w:val="single" w:sz="8" w:color="auto"/>
              <w:left w:val="single" w:sz="8" w:color="auto"/>
              <w:right w:val="single" w:sz="8" w:color="auto"/>
            </w:tcBorders>
          </w:tcPr>
          <w:p>
            <w:pPr>
              <w:spacing w:after="0"/>
              <w:rPr>
                <w:sz w:val="17"/>
                <w:szCs w:val="17"/>
                <w:color w:val="auto"/>
              </w:rPr>
            </w:pPr>
          </w:p>
        </w:tc>
        <w:tc>
          <w:tcPr>
            <w:tcW w:w="560" w:type="dxa"/>
            <w:vAlign w:val="bottom"/>
            <w:tcBorders>
              <w:top w:val="single" w:sz="8" w:color="auto"/>
              <w:right w:val="single" w:sz="8" w:color="auto"/>
            </w:tcBorders>
          </w:tcPr>
          <w:p>
            <w:pPr>
              <w:spacing w:after="0"/>
              <w:rPr>
                <w:sz w:val="17"/>
                <w:szCs w:val="17"/>
                <w:color w:val="auto"/>
              </w:rPr>
            </w:pPr>
          </w:p>
        </w:tc>
        <w:tc>
          <w:tcPr>
            <w:tcW w:w="88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Jason P. Marino has served as our Executive Vice President and Chief Financial Officer since September 30, 2023. Mr. Marino</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served as Senior Vice President, Strategy, Financial Planning &amp; Analysis (“FP&amp;A”) and Operational Finance - Vacation</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Jason P. Marino</w:t>
            </w:r>
          </w:p>
        </w:tc>
        <w:tc>
          <w:tcPr>
            <w:tcW w:w="560" w:type="dxa"/>
            <w:vAlign w:val="bottom"/>
            <w:tcBorders>
              <w:right w:val="single" w:sz="8" w:color="auto"/>
            </w:tcBorders>
          </w:tcPr>
          <w:p>
            <w:pPr>
              <w:spacing w:after="0"/>
              <w:rPr>
                <w:sz w:val="17"/>
                <w:szCs w:val="17"/>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Ownership for the Company from December 2021 to September 2023. He served as the Company’s Senior Vice President of</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Strategy and FP&amp;A from June 2019 to December 2021 and Vice President - Corporate Finance from May 2014 to June 2019.</w:t>
            </w:r>
          </w:p>
        </w:tc>
        <w:tc>
          <w:tcPr>
            <w:tcW w:w="0" w:type="dxa"/>
            <w:vAlign w:val="bottom"/>
          </w:tcPr>
          <w:p>
            <w:pPr>
              <w:spacing w:after="0"/>
              <w:rPr>
                <w:sz w:val="1"/>
                <w:szCs w:val="1"/>
                <w:color w:val="auto"/>
              </w:rPr>
            </w:pPr>
          </w:p>
        </w:tc>
      </w:tr>
      <w:tr>
        <w:trPr>
          <w:trHeight w:val="38"/>
        </w:trPr>
        <w:tc>
          <w:tcPr>
            <w:tcW w:w="1880" w:type="dxa"/>
            <w:vAlign w:val="bottom"/>
            <w:tcBorders>
              <w:left w:val="single" w:sz="8" w:color="auto"/>
              <w:right w:val="single" w:sz="8" w:color="auto"/>
            </w:tcBorders>
            <w:vMerge w:val="continue"/>
          </w:tcPr>
          <w:p>
            <w:pPr>
              <w:spacing w:after="0"/>
              <w:rPr>
                <w:sz w:val="3"/>
                <w:szCs w:val="3"/>
                <w:color w:val="auto"/>
              </w:rPr>
            </w:pPr>
          </w:p>
        </w:tc>
        <w:tc>
          <w:tcPr>
            <w:tcW w:w="560" w:type="dxa"/>
            <w:vAlign w:val="bottom"/>
            <w:tcBorders>
              <w:right w:val="single" w:sz="8" w:color="auto"/>
            </w:tcBorders>
            <w:vMerge w:val="continue"/>
          </w:tcPr>
          <w:p>
            <w:pPr>
              <w:spacing w:after="0"/>
              <w:rPr>
                <w:sz w:val="3"/>
                <w:szCs w:val="3"/>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Prior to joining the Company in 2014, Mr. Marino worked at Cantor Commercial Real Estate, L.P. from 2013 to 2014 as</w:t>
            </w:r>
          </w:p>
        </w:tc>
        <w:tc>
          <w:tcPr>
            <w:tcW w:w="0" w:type="dxa"/>
            <w:vAlign w:val="bottom"/>
          </w:tcPr>
          <w:p>
            <w:pPr>
              <w:spacing w:after="0" w:line="20" w:lineRule="exact"/>
              <w:rPr>
                <w:sz w:val="1"/>
                <w:szCs w:val="1"/>
                <w:color w:val="auto"/>
              </w:rPr>
            </w:pPr>
          </w:p>
        </w:tc>
      </w:tr>
      <w:tr>
        <w:trPr>
          <w:trHeight w:val="170"/>
        </w:trPr>
        <w:tc>
          <w:tcPr>
            <w:tcW w:w="1880" w:type="dxa"/>
            <w:vAlign w:val="bottom"/>
            <w:tcBorders>
              <w:left w:val="single" w:sz="8" w:color="auto"/>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7"/>
                <w:szCs w:val="17"/>
                <w:color w:val="auto"/>
              </w:rPr>
              <w:t>and Chief Financial</w:t>
            </w:r>
          </w:p>
        </w:tc>
        <w:tc>
          <w:tcPr>
            <w:tcW w:w="560" w:type="dxa"/>
            <w:vAlign w:val="bottom"/>
            <w:tcBorders>
              <w:right w:val="single" w:sz="8" w:color="auto"/>
            </w:tcBorders>
          </w:tcPr>
          <w:p>
            <w:pPr>
              <w:spacing w:after="0"/>
              <w:rPr>
                <w:sz w:val="14"/>
                <w:szCs w:val="14"/>
                <w:color w:val="auto"/>
              </w:rPr>
            </w:pPr>
          </w:p>
        </w:tc>
        <w:tc>
          <w:tcPr>
            <w:tcW w:w="8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Officer</w:t>
            </w:r>
          </w:p>
        </w:tc>
        <w:tc>
          <w:tcPr>
            <w:tcW w:w="560" w:type="dxa"/>
            <w:vAlign w:val="bottom"/>
            <w:tcBorders>
              <w:right w:val="single" w:sz="8" w:color="auto"/>
            </w:tcBorders>
          </w:tcPr>
          <w:p>
            <w:pPr>
              <w:spacing w:after="0"/>
              <w:rPr>
                <w:sz w:val="17"/>
                <w:szCs w:val="17"/>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Managing Director, Head of Business Development and Corporate Finance. From 2003 to 2013, Mr. Marino worked in the</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investment banking divisions of Cantor Fitzgerald, Credit Suisse Securities (USA) LLC and Bear, Stearns &amp; Co. Inc., holding</w:t>
            </w:r>
          </w:p>
        </w:tc>
        <w:tc>
          <w:tcPr>
            <w:tcW w:w="0" w:type="dxa"/>
            <w:vAlign w:val="bottom"/>
          </w:tcPr>
          <w:p>
            <w:pPr>
              <w:spacing w:after="0"/>
              <w:rPr>
                <w:sz w:val="1"/>
                <w:szCs w:val="1"/>
                <w:color w:val="auto"/>
              </w:rPr>
            </w:pPr>
          </w:p>
        </w:tc>
      </w:tr>
      <w:tr>
        <w:trPr>
          <w:trHeight w:val="222"/>
        </w:trPr>
        <w:tc>
          <w:tcPr>
            <w:tcW w:w="1880" w:type="dxa"/>
            <w:vAlign w:val="bottom"/>
            <w:tcBorders>
              <w:left w:val="single" w:sz="8" w:color="auto"/>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positions of increasing responsibility.</w:t>
            </w:r>
          </w:p>
        </w:tc>
        <w:tc>
          <w:tcPr>
            <w:tcW w:w="0" w:type="dxa"/>
            <w:vAlign w:val="bottom"/>
          </w:tcPr>
          <w:p>
            <w:pPr>
              <w:spacing w:after="0"/>
              <w:rPr>
                <w:sz w:val="1"/>
                <w:szCs w:val="1"/>
                <w:color w:val="auto"/>
              </w:rPr>
            </w:pPr>
          </w:p>
        </w:tc>
      </w:tr>
      <w:tr>
        <w:trPr>
          <w:trHeight w:val="25"/>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1880" w:type="dxa"/>
            <w:vAlign w:val="bottom"/>
            <w:tcBorders>
              <w:left w:val="single" w:sz="8" w:color="auto"/>
              <w:right w:val="single" w:sz="8" w:color="auto"/>
            </w:tcBorders>
            <w:shd w:val="clear" w:color="auto" w:fill="CCEEFF"/>
          </w:tcPr>
          <w:p>
            <w:pPr>
              <w:spacing w:after="0"/>
              <w:rPr>
                <w:sz w:val="24"/>
                <w:szCs w:val="24"/>
                <w:color w:val="auto"/>
              </w:rPr>
            </w:pPr>
          </w:p>
        </w:tc>
        <w:tc>
          <w:tcPr>
            <w:tcW w:w="560" w:type="dxa"/>
            <w:vAlign w:val="bottom"/>
            <w:tcBorders>
              <w:right w:val="single" w:sz="8" w:color="auto"/>
            </w:tcBorders>
            <w:shd w:val="clear" w:color="auto" w:fill="CCEEFF"/>
          </w:tcPr>
          <w:p>
            <w:pPr>
              <w:spacing w:after="0"/>
              <w:rPr>
                <w:sz w:val="24"/>
                <w:szCs w:val="24"/>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Raman T. Bukkapatnam has served as our Executive Vice President and Chief Information Officer since July 10, 2023. Prior to</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joining the Company, Mr. Bukkapatnam served as Vice President, Global Technology at Nike, Inc., a global provider of athletic</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footwear and apparel, from August 2020 to July 2023 where he played a critical role in reshaping digital retail, improving</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Raman T. Bukkapatnam</w:t>
            </w: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enterprise recourse planning and supply chain platforms, and making significant contributions to productivity, growth, and</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margin improvements. Prior to Nike, Mr. Bukkapatnam had a more than 20 year career at Starbucks, a roaster, marketer, and</w:t>
            </w:r>
          </w:p>
        </w:tc>
        <w:tc>
          <w:tcPr>
            <w:tcW w:w="0" w:type="dxa"/>
            <w:vAlign w:val="bottom"/>
          </w:tcPr>
          <w:p>
            <w:pPr>
              <w:spacing w:after="0"/>
              <w:rPr>
                <w:sz w:val="1"/>
                <w:szCs w:val="1"/>
                <w:color w:val="auto"/>
              </w:rPr>
            </w:pPr>
          </w:p>
        </w:tc>
      </w:tr>
      <w:tr>
        <w:trPr>
          <w:trHeight w:val="38"/>
        </w:trPr>
        <w:tc>
          <w:tcPr>
            <w:tcW w:w="1880" w:type="dxa"/>
            <w:vAlign w:val="bottom"/>
            <w:tcBorders>
              <w:left w:val="single" w:sz="8" w:color="auto"/>
              <w:right w:val="single" w:sz="8" w:color="auto"/>
            </w:tcBorders>
            <w:vMerge w:val="continue"/>
            <w:shd w:val="clear" w:color="auto" w:fill="CCEEFF"/>
          </w:tcPr>
          <w:p>
            <w:pPr>
              <w:spacing w:after="0"/>
              <w:rPr>
                <w:sz w:val="3"/>
                <w:szCs w:val="3"/>
                <w:color w:val="auto"/>
              </w:rPr>
            </w:pPr>
          </w:p>
        </w:tc>
        <w:tc>
          <w:tcPr>
            <w:tcW w:w="560" w:type="dxa"/>
            <w:vAlign w:val="bottom"/>
            <w:tcBorders>
              <w:right w:val="single" w:sz="8" w:color="auto"/>
            </w:tcBorders>
            <w:vMerge w:val="continue"/>
            <w:shd w:val="clear" w:color="auto" w:fill="CCEEFF"/>
          </w:tcPr>
          <w:p>
            <w:pPr>
              <w:spacing w:after="0"/>
              <w:rPr>
                <w:sz w:val="3"/>
                <w:szCs w:val="3"/>
                <w:color w:val="auto"/>
              </w:rPr>
            </w:pPr>
          </w:p>
        </w:tc>
        <w:tc>
          <w:tcPr>
            <w:tcW w:w="8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retailer of specialty coffee, serving in multiple leadership roles including Vice President, Global Technology, Supply Chain</w:t>
            </w:r>
          </w:p>
        </w:tc>
        <w:tc>
          <w:tcPr>
            <w:tcW w:w="0" w:type="dxa"/>
            <w:vAlign w:val="bottom"/>
          </w:tcPr>
          <w:p>
            <w:pPr>
              <w:spacing w:after="0" w:line="20" w:lineRule="exact"/>
              <w:rPr>
                <w:sz w:val="1"/>
                <w:szCs w:val="1"/>
                <w:color w:val="auto"/>
              </w:rPr>
            </w:pPr>
          </w:p>
        </w:tc>
      </w:tr>
      <w:tr>
        <w:trPr>
          <w:trHeight w:val="170"/>
        </w:trPr>
        <w:tc>
          <w:tcPr>
            <w:tcW w:w="1880" w:type="dxa"/>
            <w:vAlign w:val="bottom"/>
            <w:tcBorders>
              <w:left w:val="single" w:sz="8" w:color="auto"/>
              <w:right w:val="single" w:sz="8" w:color="auto"/>
            </w:tcBorders>
            <w:shd w:val="clear" w:color="auto" w:fill="CCEEFF"/>
          </w:tcPr>
          <w:p>
            <w:pPr>
              <w:ind w:left="40"/>
              <w:spacing w:after="0" w:line="170" w:lineRule="exact"/>
              <w:rPr>
                <w:sz w:val="20"/>
                <w:szCs w:val="20"/>
                <w:color w:val="auto"/>
              </w:rPr>
            </w:pPr>
            <w:r>
              <w:rPr>
                <w:rFonts w:ascii="Times New Roman" w:cs="Times New Roman" w:eastAsia="Times New Roman" w:hAnsi="Times New Roman"/>
                <w:sz w:val="17"/>
                <w:szCs w:val="17"/>
                <w:color w:val="auto"/>
              </w:rPr>
              <w:t>and Chief Information</w:t>
            </w:r>
          </w:p>
        </w:tc>
        <w:tc>
          <w:tcPr>
            <w:tcW w:w="560" w:type="dxa"/>
            <w:vAlign w:val="bottom"/>
            <w:tcBorders>
              <w:right w:val="single" w:sz="8" w:color="auto"/>
            </w:tcBorders>
            <w:shd w:val="clear" w:color="auto" w:fill="CCEEFF"/>
          </w:tcPr>
          <w:p>
            <w:pPr>
              <w:spacing w:after="0"/>
              <w:rPr>
                <w:sz w:val="14"/>
                <w:szCs w:val="14"/>
                <w:color w:val="auto"/>
              </w:rPr>
            </w:pPr>
          </w:p>
        </w:tc>
        <w:tc>
          <w:tcPr>
            <w:tcW w:w="882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Officer</w:t>
            </w: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Analytics, Data Engineering, and Store Development, from March 1999 to August 2020, where he was responsible for</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overseeing and leading critical functions like global supply chain and finance technologies, data engineering and analytics, and</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store development. He led a number of digital transformation initiatives impacting the company’s technological landscape,</w:t>
            </w:r>
          </w:p>
        </w:tc>
        <w:tc>
          <w:tcPr>
            <w:tcW w:w="0" w:type="dxa"/>
            <w:vAlign w:val="bottom"/>
          </w:tcPr>
          <w:p>
            <w:pPr>
              <w:spacing w:after="0"/>
              <w:rPr>
                <w:sz w:val="1"/>
                <w:szCs w:val="1"/>
                <w:color w:val="auto"/>
              </w:rPr>
            </w:pPr>
          </w:p>
        </w:tc>
      </w:tr>
      <w:tr>
        <w:trPr>
          <w:trHeight w:val="222"/>
        </w:trPr>
        <w:tc>
          <w:tcPr>
            <w:tcW w:w="1880" w:type="dxa"/>
            <w:vAlign w:val="bottom"/>
            <w:tcBorders>
              <w:left w:val="single" w:sz="8" w:color="auto"/>
              <w:right w:val="single" w:sz="8" w:color="auto"/>
            </w:tcBorders>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including Starbucks’ introduction of customer mobile applications.</w:t>
            </w:r>
          </w:p>
        </w:tc>
        <w:tc>
          <w:tcPr>
            <w:tcW w:w="0" w:type="dxa"/>
            <w:vAlign w:val="bottom"/>
          </w:tcPr>
          <w:p>
            <w:pPr>
              <w:spacing w:after="0"/>
              <w:rPr>
                <w:sz w:val="1"/>
                <w:szCs w:val="1"/>
                <w:color w:val="auto"/>
              </w:rPr>
            </w:pPr>
          </w:p>
        </w:tc>
      </w:tr>
      <w:tr>
        <w:trPr>
          <w:trHeight w:val="127"/>
        </w:trPr>
        <w:tc>
          <w:tcPr>
            <w:tcW w:w="18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spacing w:after="0"/>
              <w:rPr>
                <w:sz w:val="11"/>
                <w:szCs w:val="11"/>
                <w:color w:val="auto"/>
              </w:rPr>
            </w:pPr>
          </w:p>
        </w:tc>
        <w:tc>
          <w:tcPr>
            <w:tcW w:w="882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30"/>
        </w:trPr>
        <w:tc>
          <w:tcPr>
            <w:tcW w:w="1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8820" w:type="dxa"/>
            <w:vAlign w:val="bottom"/>
            <w:tcBorders>
              <w:top w:val="single" w:sz="8" w:color="auto"/>
              <w:bottom w:val="single" w:sz="8" w:color="auto"/>
              <w:right w:val="single" w:sz="8" w:color="auto"/>
            </w:tcBorders>
          </w:tcPr>
          <w:p>
            <w:pPr>
              <w:ind w:left="3660"/>
              <w:spacing w:after="0"/>
              <w:rPr>
                <w:sz w:val="20"/>
                <w:szCs w:val="20"/>
                <w:color w:val="auto"/>
              </w:rPr>
            </w:pPr>
            <w:r>
              <w:rPr>
                <w:rFonts w:ascii="Times New Roman" w:cs="Times New Roman" w:eastAsia="Times New Roman" w:hAnsi="Times New Roman"/>
                <w:sz w:val="17"/>
                <w:szCs w:val="17"/>
                <w:b w:val="1"/>
                <w:bCs w:val="1"/>
                <w:color w:val="auto"/>
              </w:rPr>
              <w:t>Business Experience</w:t>
            </w:r>
          </w:p>
        </w:tc>
        <w:tc>
          <w:tcPr>
            <w:tcW w:w="0" w:type="dxa"/>
            <w:vAlign w:val="bottom"/>
          </w:tcPr>
          <w:p>
            <w:pPr>
              <w:spacing w:after="0"/>
              <w:rPr>
                <w:sz w:val="1"/>
                <w:szCs w:val="1"/>
                <w:color w:val="auto"/>
              </w:rPr>
            </w:pPr>
          </w:p>
        </w:tc>
      </w:tr>
      <w:tr>
        <w:trPr>
          <w:trHeight w:val="206"/>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Stephanie S. Butera</w:t>
            </w:r>
          </w:p>
        </w:tc>
        <w:tc>
          <w:tcPr>
            <w:tcW w:w="560" w:type="dxa"/>
            <w:vAlign w:val="bottom"/>
            <w:tcBorders>
              <w:right w:val="single" w:sz="8" w:color="auto"/>
            </w:tcBorders>
          </w:tcPr>
          <w:p>
            <w:pPr>
              <w:spacing w:after="0"/>
              <w:rPr>
                <w:sz w:val="17"/>
                <w:szCs w:val="17"/>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Stephanie S. Butera has served as our Executive Vice President and Chief Operating Officer, Hyatt Vacation Ownership since</w:t>
            </w:r>
          </w:p>
        </w:tc>
        <w:tc>
          <w:tcPr>
            <w:tcW w:w="0" w:type="dxa"/>
            <w:vAlign w:val="bottom"/>
          </w:tcPr>
          <w:p>
            <w:pPr>
              <w:spacing w:after="0"/>
              <w:rPr>
                <w:sz w:val="1"/>
                <w:szCs w:val="1"/>
                <w:color w:val="auto"/>
              </w:rPr>
            </w:pPr>
          </w:p>
        </w:tc>
      </w:tr>
      <w:tr>
        <w:trPr>
          <w:trHeight w:val="132"/>
        </w:trPr>
        <w:tc>
          <w:tcPr>
            <w:tcW w:w="1880" w:type="dxa"/>
            <w:vAlign w:val="bottom"/>
            <w:tcBorders>
              <w:left w:val="single" w:sz="8" w:color="auto"/>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January 2023. She served as our Senior Vice President and Chief Operating Officer, Hyatt Vacation Ownership from April 2021</w:t>
            </w:r>
          </w:p>
        </w:tc>
        <w:tc>
          <w:tcPr>
            <w:tcW w:w="0" w:type="dxa"/>
            <w:vAlign w:val="bottom"/>
          </w:tcPr>
          <w:p>
            <w:pPr>
              <w:spacing w:after="0"/>
              <w:rPr>
                <w:sz w:val="1"/>
                <w:szCs w:val="1"/>
                <w:color w:val="auto"/>
              </w:rPr>
            </w:pPr>
          </w:p>
        </w:tc>
      </w:tr>
      <w:tr>
        <w:trPr>
          <w:trHeight w:val="7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60" w:type="dxa"/>
            <w:vAlign w:val="bottom"/>
            <w:tcBorders>
              <w:right w:val="single" w:sz="8" w:color="auto"/>
            </w:tcBorders>
          </w:tcPr>
          <w:p>
            <w:pPr>
              <w:spacing w:after="0"/>
              <w:rPr>
                <w:sz w:val="6"/>
                <w:szCs w:val="6"/>
                <w:color w:val="auto"/>
              </w:rPr>
            </w:pPr>
          </w:p>
        </w:tc>
        <w:tc>
          <w:tcPr>
            <w:tcW w:w="8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880" w:type="dxa"/>
            <w:vAlign w:val="bottom"/>
            <w:tcBorders>
              <w:left w:val="single" w:sz="8" w:color="auto"/>
              <w:right w:val="single" w:sz="8" w:color="auto"/>
            </w:tcBorders>
            <w:vMerge w:val="continue"/>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882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7"/>
                <w:szCs w:val="17"/>
                <w:color w:val="auto"/>
              </w:rPr>
              <w:t>to December 2022. Prior to leading Hyatt Vacation Ownership, Ms. Butera held a number of leadership positions with the</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 Chief Operating</w:t>
            </w:r>
          </w:p>
        </w:tc>
        <w:tc>
          <w:tcPr>
            <w:tcW w:w="560" w:type="dxa"/>
            <w:vAlign w:val="bottom"/>
            <w:tcBorders>
              <w:right w:val="single" w:sz="8" w:color="auto"/>
            </w:tcBorders>
            <w:vMerge w:val="continue"/>
          </w:tcPr>
          <w:p>
            <w:pPr>
              <w:spacing w:after="0"/>
              <w:rPr>
                <w:sz w:val="17"/>
                <w:szCs w:val="17"/>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Company, serving as Vice President, Asset Management for The Ritz-Carlton Destination Club from August 2014 to October</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Officer, Hyatt Vacation</w:t>
            </w:r>
          </w:p>
        </w:tc>
        <w:tc>
          <w:tcPr>
            <w:tcW w:w="560" w:type="dxa"/>
            <w:vAlign w:val="bottom"/>
            <w:tcBorders>
              <w:right w:val="single" w:sz="8" w:color="auto"/>
            </w:tcBorders>
          </w:tcPr>
          <w:p>
            <w:pPr>
              <w:spacing w:after="0"/>
              <w:rPr>
                <w:sz w:val="10"/>
                <w:szCs w:val="10"/>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2018, before moving into the position of Senior Vice President, Vacation Ownership for the Americas, Florida, Mexico, and</w:t>
            </w:r>
          </w:p>
        </w:tc>
        <w:tc>
          <w:tcPr>
            <w:tcW w:w="0" w:type="dxa"/>
            <w:vAlign w:val="bottom"/>
          </w:tcPr>
          <w:p>
            <w:pPr>
              <w:spacing w:after="0"/>
              <w:rPr>
                <w:sz w:val="1"/>
                <w:szCs w:val="1"/>
                <w:color w:val="auto"/>
              </w:rPr>
            </w:pPr>
          </w:p>
        </w:tc>
      </w:tr>
      <w:tr>
        <w:trPr>
          <w:trHeight w:val="124"/>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Ownership</w:t>
            </w:r>
          </w:p>
        </w:tc>
        <w:tc>
          <w:tcPr>
            <w:tcW w:w="560" w:type="dxa"/>
            <w:vAlign w:val="bottom"/>
            <w:tcBorders>
              <w:right w:val="single" w:sz="8" w:color="auto"/>
            </w:tcBorders>
          </w:tcPr>
          <w:p>
            <w:pPr>
              <w:spacing w:after="0"/>
              <w:rPr>
                <w:sz w:val="10"/>
                <w:szCs w:val="10"/>
                <w:color w:val="auto"/>
              </w:rPr>
            </w:pPr>
          </w:p>
        </w:tc>
        <w:tc>
          <w:tcPr>
            <w:tcW w:w="8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80" w:type="dxa"/>
            <w:vAlign w:val="bottom"/>
            <w:tcBorders>
              <w:left w:val="single" w:sz="8" w:color="auto"/>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Caribbean from October 2018 to April 2021. Ms. Butera joined the Company in 1999.</w:t>
            </w:r>
          </w:p>
        </w:tc>
        <w:tc>
          <w:tcPr>
            <w:tcW w:w="0" w:type="dxa"/>
            <w:vAlign w:val="bottom"/>
          </w:tcPr>
          <w:p>
            <w:pPr>
              <w:spacing w:after="0"/>
              <w:rPr>
                <w:sz w:val="1"/>
                <w:szCs w:val="1"/>
                <w:color w:val="auto"/>
              </w:rPr>
            </w:pPr>
          </w:p>
        </w:tc>
      </w:tr>
      <w:tr>
        <w:trPr>
          <w:trHeight w:val="124"/>
        </w:trPr>
        <w:tc>
          <w:tcPr>
            <w:tcW w:w="188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Lori M. Gustafson has served as our Executive Vice President and Chief Membership and Commercial Services Officer since</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2024. Ms. Gustafson joined the Company in November 2020 and served as our Executive Vice President and Chief</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Brand and Digital Officer from November 2020 to December 2023. From May 2019 to November 2020, she served as Senior</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Lori M. Gustafson</w:t>
            </w: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Vice President, Global Brands &amp; Digital for Wyndham Destinations, the vacation ownership business segment of Travel +</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vMerge w:val="continue"/>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Leisure Co., where she was responsible for brand management and digital marketing. From January 2018 to May 2019, she</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served as Vice President, Brand Marketing, where she was responsible for brand management, campaign development and</w:t>
            </w: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right w:val="single" w:sz="8" w:color="auto"/>
            </w:tcBorders>
            <w:vMerge w:val="restart"/>
            <w:shd w:val="clear" w:color="auto" w:fill="CCEEFF"/>
          </w:tcPr>
          <w:p>
            <w:pPr>
              <w:ind w:left="40"/>
              <w:spacing w:after="0" w:line="170" w:lineRule="exact"/>
              <w:rPr>
                <w:sz w:val="20"/>
                <w:szCs w:val="20"/>
                <w:color w:val="auto"/>
              </w:rPr>
            </w:pPr>
            <w:r>
              <w:rPr>
                <w:rFonts w:ascii="Times New Roman" w:cs="Times New Roman" w:eastAsia="Times New Roman" w:hAnsi="Times New Roman"/>
                <w:sz w:val="17"/>
                <w:szCs w:val="17"/>
                <w:color w:val="auto"/>
              </w:rPr>
              <w:t>and Chief Membership</w:t>
            </w:r>
          </w:p>
        </w:tc>
        <w:tc>
          <w:tcPr>
            <w:tcW w:w="560" w:type="dxa"/>
            <w:vAlign w:val="bottom"/>
            <w:tcBorders>
              <w:right w:val="single" w:sz="8" w:color="auto"/>
            </w:tcBorders>
            <w:vMerge w:val="continue"/>
            <w:shd w:val="clear" w:color="auto" w:fill="CCEEFF"/>
          </w:tcPr>
          <w:p>
            <w:pPr>
              <w:spacing w:after="0"/>
              <w:rPr>
                <w:sz w:val="10"/>
                <w:szCs w:val="10"/>
                <w:color w:val="auto"/>
              </w:rPr>
            </w:pPr>
          </w:p>
        </w:tc>
        <w:tc>
          <w:tcPr>
            <w:tcW w:w="8820" w:type="dxa"/>
            <w:vAlign w:val="bottom"/>
            <w:tcBorders>
              <w:right w:val="single" w:sz="8" w:color="auto"/>
            </w:tcBorders>
            <w:vMerge w:val="restart"/>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advertising. From July 2017 to January 2018, she served as Corporate Vice President of Digital, eCommerce, and Media at</w:t>
            </w:r>
          </w:p>
        </w:tc>
        <w:tc>
          <w:tcPr>
            <w:tcW w:w="0" w:type="dxa"/>
            <w:vAlign w:val="bottom"/>
          </w:tcPr>
          <w:p>
            <w:pPr>
              <w:spacing w:after="0"/>
              <w:rPr>
                <w:sz w:val="1"/>
                <w:szCs w:val="1"/>
                <w:color w:val="auto"/>
              </w:rPr>
            </w:pPr>
          </w:p>
        </w:tc>
      </w:tr>
      <w:tr>
        <w:trPr>
          <w:trHeight w:val="50"/>
        </w:trPr>
        <w:tc>
          <w:tcPr>
            <w:tcW w:w="188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560" w:type="dxa"/>
            <w:vAlign w:val="bottom"/>
            <w:tcBorders>
              <w:right w:val="single" w:sz="8" w:color="auto"/>
            </w:tcBorders>
            <w:shd w:val="clear" w:color="auto" w:fill="CCEEFF"/>
          </w:tcPr>
          <w:p>
            <w:pPr>
              <w:spacing w:after="0"/>
              <w:rPr>
                <w:sz w:val="4"/>
                <w:szCs w:val="4"/>
                <w:color w:val="auto"/>
              </w:rPr>
            </w:pPr>
          </w:p>
        </w:tc>
        <w:tc>
          <w:tcPr>
            <w:tcW w:w="882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and Commercial Services</w:t>
            </w: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SeaWorld Parks &amp; Entertainment, where she led the U.S. team that oversaw the development of eCommerce, digital marketing,</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Officer</w:t>
            </w: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social media, business intelligence and digital content. From 2015 until July 2017, she served as Senior Director, Digital</w:t>
            </w:r>
          </w:p>
        </w:tc>
        <w:tc>
          <w:tcPr>
            <w:tcW w:w="0" w:type="dxa"/>
            <w:vAlign w:val="bottom"/>
          </w:tcPr>
          <w:p>
            <w:pPr>
              <w:spacing w:after="0"/>
              <w:rPr>
                <w:sz w:val="1"/>
                <w:szCs w:val="1"/>
                <w:color w:val="auto"/>
              </w:rPr>
            </w:pPr>
          </w:p>
        </w:tc>
      </w:tr>
      <w:tr>
        <w:trPr>
          <w:trHeight w:val="35"/>
        </w:trPr>
        <w:tc>
          <w:tcPr>
            <w:tcW w:w="1880" w:type="dxa"/>
            <w:vAlign w:val="bottom"/>
            <w:tcBorders>
              <w:left w:val="single" w:sz="8" w:color="auto"/>
              <w:right w:val="single" w:sz="8" w:color="auto"/>
            </w:tcBorders>
            <w:shd w:val="clear" w:color="auto" w:fill="CCEEFF"/>
          </w:tcPr>
          <w:p>
            <w:pPr>
              <w:spacing w:after="0"/>
              <w:rPr>
                <w:sz w:val="3"/>
                <w:szCs w:val="3"/>
                <w:color w:val="auto"/>
              </w:rPr>
            </w:pPr>
          </w:p>
        </w:tc>
        <w:tc>
          <w:tcPr>
            <w:tcW w:w="560" w:type="dxa"/>
            <w:vAlign w:val="bottom"/>
            <w:tcBorders>
              <w:right w:val="single" w:sz="8" w:color="auto"/>
            </w:tcBorders>
            <w:shd w:val="clear" w:color="auto" w:fill="CCEEFF"/>
          </w:tcPr>
          <w:p>
            <w:pPr>
              <w:spacing w:after="0"/>
              <w:rPr>
                <w:sz w:val="3"/>
                <w:szCs w:val="3"/>
                <w:color w:val="auto"/>
              </w:rPr>
            </w:pPr>
          </w:p>
        </w:tc>
        <w:tc>
          <w:tcPr>
            <w:tcW w:w="882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at SeaWorld Parks &amp; Entertainment, where she was the executive leader for digital transformation initiatives,</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including websites, mobile and digital commerce improvements and the implementation of a data and analytics program related</w:t>
            </w:r>
          </w:p>
        </w:tc>
        <w:tc>
          <w:tcPr>
            <w:tcW w:w="0" w:type="dxa"/>
            <w:vAlign w:val="bottom"/>
          </w:tcPr>
          <w:p>
            <w:pPr>
              <w:spacing w:after="0"/>
              <w:rPr>
                <w:sz w:val="1"/>
                <w:szCs w:val="1"/>
                <w:color w:val="auto"/>
              </w:rPr>
            </w:pPr>
          </w:p>
        </w:tc>
      </w:tr>
      <w:tr>
        <w:trPr>
          <w:trHeight w:val="251"/>
        </w:trPr>
        <w:tc>
          <w:tcPr>
            <w:tcW w:w="1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right w:val="single" w:sz="8" w:color="auto"/>
            </w:tcBorders>
            <w:shd w:val="clear" w:color="auto" w:fill="CCEEFF"/>
          </w:tcPr>
          <w:p>
            <w:pPr>
              <w:spacing w:after="0"/>
              <w:rPr>
                <w:sz w:val="21"/>
                <w:szCs w:val="21"/>
                <w:color w:val="auto"/>
              </w:rPr>
            </w:pPr>
          </w:p>
        </w:tc>
        <w:tc>
          <w:tcPr>
            <w:tcW w:w="8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 customer experience.</w:t>
            </w:r>
          </w:p>
        </w:tc>
        <w:tc>
          <w:tcPr>
            <w:tcW w:w="0" w:type="dxa"/>
            <w:vAlign w:val="bottom"/>
          </w:tcPr>
          <w:p>
            <w:pPr>
              <w:spacing w:after="0"/>
              <w:rPr>
                <w:sz w:val="1"/>
                <w:szCs w:val="1"/>
                <w:color w:val="auto"/>
              </w:rPr>
            </w:pPr>
          </w:p>
        </w:tc>
      </w:tr>
      <w:tr>
        <w:trPr>
          <w:trHeight w:val="309"/>
        </w:trPr>
        <w:tc>
          <w:tcPr>
            <w:tcW w:w="18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James H Hunter, IV</w:t>
            </w:r>
          </w:p>
        </w:tc>
        <w:tc>
          <w:tcPr>
            <w:tcW w:w="560" w:type="dxa"/>
            <w:vAlign w:val="bottom"/>
            <w:tcBorders>
              <w:top w:val="single" w:sz="8" w:color="auto"/>
              <w:right w:val="single" w:sz="8" w:color="auto"/>
            </w:tcBorders>
          </w:tcPr>
          <w:p>
            <w:pPr>
              <w:spacing w:after="0"/>
              <w:rPr>
                <w:sz w:val="24"/>
                <w:szCs w:val="24"/>
                <w:color w:val="auto"/>
              </w:rPr>
            </w:pPr>
          </w:p>
        </w:tc>
        <w:tc>
          <w:tcPr>
            <w:tcW w:w="88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James H Hunter, IV has served as our Executive Vice President and General Counsel and as our Corporate Secretary since</w:t>
            </w: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November 2011. Prior to that time, he had served as Senior Vice President and General Counsel since 2006. Mr. Hunter joined</w:t>
            </w:r>
          </w:p>
        </w:tc>
        <w:tc>
          <w:tcPr>
            <w:tcW w:w="0" w:type="dxa"/>
            <w:vAlign w:val="bottom"/>
          </w:tcPr>
          <w:p>
            <w:pPr>
              <w:spacing w:after="0"/>
              <w:rPr>
                <w:sz w:val="1"/>
                <w:szCs w:val="1"/>
                <w:color w:val="auto"/>
              </w:rPr>
            </w:pPr>
          </w:p>
        </w:tc>
      </w:tr>
      <w:tr>
        <w:trPr>
          <w:trHeight w:val="231"/>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 General Counsel</w:t>
            </w:r>
          </w:p>
        </w:tc>
        <w:tc>
          <w:tcPr>
            <w:tcW w:w="560" w:type="dxa"/>
            <w:vAlign w:val="bottom"/>
            <w:tcBorders>
              <w:right w:val="single" w:sz="8" w:color="auto"/>
            </w:tcBorders>
          </w:tcPr>
          <w:p>
            <w:pPr>
              <w:spacing w:after="0"/>
              <w:rPr>
                <w:sz w:val="20"/>
                <w:szCs w:val="20"/>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Marriott International in 1994.</w:t>
            </w:r>
          </w:p>
        </w:tc>
        <w:tc>
          <w:tcPr>
            <w:tcW w:w="0" w:type="dxa"/>
            <w:vAlign w:val="bottom"/>
          </w:tcPr>
          <w:p>
            <w:pPr>
              <w:spacing w:after="0"/>
              <w:rPr>
                <w:sz w:val="1"/>
                <w:szCs w:val="1"/>
                <w:color w:val="auto"/>
              </w:rPr>
            </w:pPr>
          </w:p>
        </w:tc>
      </w:tr>
      <w:tr>
        <w:trPr>
          <w:trHeight w:val="101"/>
        </w:trPr>
        <w:tc>
          <w:tcPr>
            <w:tcW w:w="1880" w:type="dxa"/>
            <w:vAlign w:val="bottom"/>
            <w:tcBorders>
              <w:left w:val="single" w:sz="8" w:color="auto"/>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8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Brian E. Miller</w:t>
            </w:r>
          </w:p>
        </w:tc>
        <w:tc>
          <w:tcPr>
            <w:tcW w:w="560" w:type="dxa"/>
            <w:vAlign w:val="bottom"/>
            <w:tcBorders>
              <w:right w:val="single" w:sz="8" w:color="auto"/>
            </w:tcBorders>
            <w:shd w:val="clear" w:color="auto" w:fill="CCEEFF"/>
          </w:tcPr>
          <w:p>
            <w:pPr>
              <w:spacing w:after="0"/>
              <w:rPr>
                <w:sz w:val="24"/>
                <w:szCs w:val="24"/>
                <w:color w:val="auto"/>
              </w:rPr>
            </w:pPr>
          </w:p>
        </w:tc>
        <w:tc>
          <w:tcPr>
            <w:tcW w:w="88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Brian E. Miller has served as our President, Vacation Ownership since October 2020. From October 2018 to September 2020, he</w:t>
            </w: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5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8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served as our Executive Vice President and Chief Marketing, Sales and Service Officer. From November 2011 to September</w:t>
            </w:r>
          </w:p>
        </w:tc>
        <w:tc>
          <w:tcPr>
            <w:tcW w:w="0" w:type="dxa"/>
            <w:vAlign w:val="bottom"/>
          </w:tcPr>
          <w:p>
            <w:pPr>
              <w:spacing w:after="0"/>
              <w:rPr>
                <w:sz w:val="1"/>
                <w:szCs w:val="1"/>
                <w:color w:val="auto"/>
              </w:rPr>
            </w:pPr>
          </w:p>
        </w:tc>
      </w:tr>
      <w:tr>
        <w:trPr>
          <w:trHeight w:val="98"/>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President, Vacation</w:t>
            </w:r>
          </w:p>
        </w:tc>
        <w:tc>
          <w:tcPr>
            <w:tcW w:w="560" w:type="dxa"/>
            <w:vAlign w:val="bottom"/>
            <w:tcBorders>
              <w:right w:val="single" w:sz="8" w:color="auto"/>
            </w:tcBorders>
            <w:vMerge w:val="continue"/>
            <w:shd w:val="clear" w:color="auto" w:fill="CCEEFF"/>
          </w:tcPr>
          <w:p>
            <w:pPr>
              <w:spacing w:after="0"/>
              <w:rPr>
                <w:sz w:val="8"/>
                <w:szCs w:val="8"/>
                <w:color w:val="auto"/>
              </w:rPr>
            </w:pPr>
          </w:p>
        </w:tc>
        <w:tc>
          <w:tcPr>
            <w:tcW w:w="8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88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560" w:type="dxa"/>
            <w:vAlign w:val="bottom"/>
            <w:tcBorders>
              <w:right w:val="single" w:sz="8" w:color="auto"/>
            </w:tcBorders>
            <w:vMerge w:val="continue"/>
            <w:shd w:val="clear" w:color="auto" w:fill="CCEEFF"/>
          </w:tcPr>
          <w:p>
            <w:pPr>
              <w:spacing w:after="0"/>
              <w:rPr>
                <w:sz w:val="14"/>
                <w:szCs w:val="14"/>
                <w:color w:val="auto"/>
              </w:rPr>
            </w:pPr>
          </w:p>
        </w:tc>
        <w:tc>
          <w:tcPr>
            <w:tcW w:w="8820" w:type="dxa"/>
            <w:vAlign w:val="bottom"/>
            <w:tcBorders>
              <w:right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2018, he served as our Executive Vice President and Chief Sales and Marketing Officer. Prior to that time, he had served as our</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Ownership</w:t>
            </w:r>
          </w:p>
        </w:tc>
        <w:tc>
          <w:tcPr>
            <w:tcW w:w="560" w:type="dxa"/>
            <w:vAlign w:val="bottom"/>
            <w:tcBorders>
              <w:right w:val="single" w:sz="8" w:color="auto"/>
            </w:tcBorders>
            <w:shd w:val="clear" w:color="auto" w:fill="CCEEFF"/>
          </w:tcPr>
          <w:p>
            <w:pPr>
              <w:spacing w:after="0"/>
              <w:rPr>
                <w:sz w:val="17"/>
                <w:szCs w:val="17"/>
                <w:color w:val="auto"/>
              </w:rPr>
            </w:pPr>
          </w:p>
        </w:tc>
        <w:tc>
          <w:tcPr>
            <w:tcW w:w="8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Vice President, Sales and Marketing and Service Operations since 2007. Mr. Miller joined the Company in 1991.</w:t>
            </w:r>
          </w:p>
        </w:tc>
        <w:tc>
          <w:tcPr>
            <w:tcW w:w="0" w:type="dxa"/>
            <w:vAlign w:val="bottom"/>
          </w:tcPr>
          <w:p>
            <w:pPr>
              <w:spacing w:after="0"/>
              <w:rPr>
                <w:sz w:val="1"/>
                <w:szCs w:val="1"/>
                <w:color w:val="auto"/>
              </w:rPr>
            </w:pPr>
          </w:p>
        </w:tc>
      </w:tr>
      <w:tr>
        <w:trPr>
          <w:trHeight w:val="52"/>
        </w:trPr>
        <w:tc>
          <w:tcPr>
            <w:tcW w:w="1880" w:type="dxa"/>
            <w:vAlign w:val="bottom"/>
            <w:tcBorders>
              <w:left w:val="single" w:sz="8" w:color="auto"/>
              <w:right w:val="single" w:sz="8" w:color="auto"/>
            </w:tcBorders>
            <w:shd w:val="clear" w:color="auto" w:fill="CCEEFF"/>
          </w:tcPr>
          <w:p>
            <w:pPr>
              <w:spacing w:after="0"/>
              <w:rPr>
                <w:sz w:val="4"/>
                <w:szCs w:val="4"/>
                <w:color w:val="auto"/>
              </w:rPr>
            </w:pPr>
          </w:p>
        </w:tc>
        <w:tc>
          <w:tcPr>
            <w:tcW w:w="560" w:type="dxa"/>
            <w:vAlign w:val="bottom"/>
            <w:tcBorders>
              <w:right w:val="single" w:sz="8" w:color="auto"/>
            </w:tcBorders>
            <w:shd w:val="clear" w:color="auto" w:fill="CCEEFF"/>
          </w:tcPr>
          <w:p>
            <w:pPr>
              <w:spacing w:after="0"/>
              <w:rPr>
                <w:sz w:val="4"/>
                <w:szCs w:val="4"/>
                <w:color w:val="auto"/>
              </w:rPr>
            </w:pPr>
          </w:p>
        </w:tc>
        <w:tc>
          <w:tcPr>
            <w:tcW w:w="882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spacing w:after="0"/>
              <w:rPr>
                <w:sz w:val="11"/>
                <w:szCs w:val="11"/>
                <w:color w:val="auto"/>
              </w:rPr>
            </w:pPr>
          </w:p>
        </w:tc>
        <w:tc>
          <w:tcPr>
            <w:tcW w:w="882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Michael E. Yonker</w:t>
            </w:r>
          </w:p>
        </w:tc>
        <w:tc>
          <w:tcPr>
            <w:tcW w:w="560" w:type="dxa"/>
            <w:vAlign w:val="bottom"/>
            <w:tcBorders>
              <w:right w:val="single" w:sz="8" w:color="auto"/>
            </w:tcBorders>
          </w:tcPr>
          <w:p>
            <w:pPr>
              <w:spacing w:after="0"/>
              <w:rPr>
                <w:sz w:val="20"/>
                <w:szCs w:val="20"/>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Michael E. Yonker has served as our Executive Vice President and Chief Human Resources and Global Communications</w:t>
            </w:r>
          </w:p>
        </w:tc>
        <w:tc>
          <w:tcPr>
            <w:tcW w:w="0" w:type="dxa"/>
            <w:vAlign w:val="bottom"/>
          </w:tcPr>
          <w:p>
            <w:pPr>
              <w:spacing w:after="0"/>
              <w:rPr>
                <w:sz w:val="1"/>
                <w:szCs w:val="1"/>
                <w:color w:val="auto"/>
              </w:rPr>
            </w:pPr>
          </w:p>
        </w:tc>
      </w:tr>
      <w:tr>
        <w:trPr>
          <w:trHeight w:val="7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560" w:type="dxa"/>
            <w:vAlign w:val="bottom"/>
            <w:tcBorders>
              <w:right w:val="single" w:sz="8" w:color="auto"/>
            </w:tcBorders>
          </w:tcPr>
          <w:p>
            <w:pPr>
              <w:spacing w:after="0"/>
              <w:rPr>
                <w:sz w:val="6"/>
                <w:szCs w:val="6"/>
                <w:color w:val="auto"/>
              </w:rPr>
            </w:pPr>
          </w:p>
        </w:tc>
        <w:tc>
          <w:tcPr>
            <w:tcW w:w="8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880" w:type="dxa"/>
            <w:vAlign w:val="bottom"/>
            <w:tcBorders>
              <w:left w:val="single" w:sz="8" w:color="auto"/>
              <w:right w:val="single" w:sz="8" w:color="auto"/>
            </w:tcBorders>
            <w:vMerge w:val="continue"/>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882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7"/>
                <w:szCs w:val="17"/>
                <w:color w:val="auto"/>
              </w:rPr>
              <w:t>Officer since January 2024. Mr. Yonker has served as our Executive Vice President and Chief Human Resources Officer from</w:t>
            </w: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 Chief Human</w:t>
            </w:r>
          </w:p>
        </w:tc>
        <w:tc>
          <w:tcPr>
            <w:tcW w:w="560" w:type="dxa"/>
            <w:vAlign w:val="bottom"/>
            <w:tcBorders>
              <w:right w:val="single" w:sz="8" w:color="auto"/>
            </w:tcBorders>
            <w:vMerge w:val="continue"/>
          </w:tcPr>
          <w:p>
            <w:pPr>
              <w:spacing w:after="0"/>
              <w:rPr>
                <w:sz w:val="17"/>
                <w:szCs w:val="17"/>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December 2011 to December 2023. Prior to that time, he served as our Chief Human Resources Officer since 2010. Mr. Yonker</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Resources and Global</w:t>
            </w:r>
          </w:p>
        </w:tc>
        <w:tc>
          <w:tcPr>
            <w:tcW w:w="560" w:type="dxa"/>
            <w:vAlign w:val="bottom"/>
            <w:tcBorders>
              <w:right w:val="single" w:sz="8" w:color="auto"/>
            </w:tcBorders>
          </w:tcPr>
          <w:p>
            <w:pPr>
              <w:spacing w:after="0"/>
              <w:rPr>
                <w:sz w:val="10"/>
                <w:szCs w:val="10"/>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joined Marriott International in 1983.</w:t>
            </w: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Communications Officer</w:t>
            </w:r>
          </w:p>
        </w:tc>
        <w:tc>
          <w:tcPr>
            <w:tcW w:w="560" w:type="dxa"/>
            <w:vAlign w:val="bottom"/>
            <w:tcBorders>
              <w:right w:val="single" w:sz="8" w:color="auto"/>
            </w:tcBorders>
          </w:tcPr>
          <w:p>
            <w:pPr>
              <w:spacing w:after="0"/>
              <w:rPr>
                <w:sz w:val="12"/>
                <w:szCs w:val="12"/>
                <w:color w:val="auto"/>
              </w:rPr>
            </w:pPr>
          </w:p>
        </w:tc>
        <w:tc>
          <w:tcPr>
            <w:tcW w:w="8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60"/>
          </w:cols>
          <w:pgMar w:left="320" w:top="1218" w:right="319" w:bottom="1440" w:gutter="0" w:footer="0" w:header="0"/>
        </w:sectPr>
      </w:pPr>
    </w:p>
    <w:bookmarkStart w:id="25" w:name="page26"/>
    <w:bookmarkEnd w:id="25"/>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global or regional health concerns, outbreaks, and pandemics (each a “Health Crisis”).</w:t>
      </w:r>
    </w:p>
    <w:p>
      <w:pPr>
        <w:spacing w:after="0" w:line="10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had, and a future Health Crisis may have, serious adverse effects on our business, financial condition, cash flows, and results of operations for an unknown period of time.</w:t>
      </w:r>
    </w:p>
    <w:p>
      <w:pPr>
        <w:spacing w:after="0" w:line="4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The COVID-19 pandemic caused, and a future Health Crisis may cause, significant disruptions in international and U.S. economies and markets and have a material adverse impact on participants in the travel and hospitality industries, including our Company.</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success of our business and our financial results depend, in substantial part, upon the health of the travel industry. Our business and financial results were materially adversely affected by the COVID-19 pandemic in 2020; for example, we saw marked declines in occupancy, rentals, and contract sales because of the temporary closure of nearly all of our sales centers and many of our resorts and the reduction in operations and amenities at all of our resorts. When Health Crises make headlines, consumer fear about contracting an illness and government recommendations or mandates to avoid large gatherings of people or self-quarantine may increase. These fears, recommendations and mandates have affected, and may affect in the future, resort occupancies. A substantial amount of our sales activity occurs at our resorts, and the number of prospective and current owners who visit our resorts impacts sales volume. Our rental revenue is also substantially impacted by the desire and ability of vacationers to travel. Fear of exposure to illnesses, government restrictions on travel, low vaccination rates in some parts of the world and illnesses that may be resistant to available vaccines could cause travelers to cancel or delay plans to visit our resorts. These changes in vacation and travel patterns could adversely affect our cash flows, revenues, and results of operations. Moreover, when travel advisories and restrictions are lifted, travel demand could be unpredictable and could remain so for a significant period. Adverse changes in the perceived or actual economic climate, including higher unemployment rates, declines in income levels, inflation, recession and loss of personal wealth resulting from the impact of a future Health Crisis may negatively affect travel demand for a prolonged period.</w:t>
      </w:r>
    </w:p>
    <w:p>
      <w:pPr>
        <w:spacing w:after="0" w:line="8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The onset of the COVID-19 pandemic led to an increase in payment delinquencies and defaults for our vacation ownership notes receivable. The number of delinquencies may increase as the result of a future Health Crisis’s effect on economic conditions and the ability and desire to travel, and could lead to defaults on financing that we provide to purchasers of our products in excess of our estimates.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7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7"/>
          <w:szCs w:val="17"/>
          <w:color w:val="auto"/>
        </w:rPr>
        <w:t>The duration and extent of the impact of a future Health Crisis on our business and financial results will largely depend on future developments, including the duration and spread of the Health Crisis, governmental efforts to contain the Health Crisis, the related impact on consumer confidence and spending, and how quickly economies and demand for our products and services recover after the Health Crisis subsides, all of which are highly uncertain, can rapidly change and cannot be predicted. Such impacts could adversely affect our results of operations, cash flows, and capital resources for a significant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adversely affected by factors that disrupt or deter travel.</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success and results of operations depend, in substantial part, upon the health of the worldwide vacation ownership and leisure travel industries, and may be adversely affected by a number of factors that can disrupt or deter travel. A substantial amount of our sales activity occurs at our resorts, and sales volume is affected by the number of visitors at our resorts. Fear of exposure to contagious illnesses, natural or man-made disasters, the physical effects of climate change, such as more frequent or severe storms, droughts, hurricanes, wildfires, erosion and flooding, weakened consumer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26" w:name="page27"/>
    <w:bookmarkEnd w:id="26"/>
    <w:p>
      <w:pPr>
        <w:ind w:right="20"/>
        <w:spacing w:after="0" w:line="255" w:lineRule="auto"/>
        <w:rPr>
          <w:sz w:val="20"/>
          <w:szCs w:val="20"/>
          <w:color w:val="auto"/>
        </w:rPr>
      </w:pPr>
      <w:r>
        <w:rPr>
          <w:rFonts w:ascii="Times New Roman" w:cs="Times New Roman" w:eastAsia="Times New Roman" w:hAnsi="Times New Roman"/>
          <w:sz w:val="17"/>
          <w:szCs w:val="17"/>
          <w:color w:val="auto"/>
        </w:rPr>
        <w:t>confidence, limited availability or increased costs of consumer credit and damage to infrastructure caused by natural or man-made disasters and other causes that impede travel have caused, and may in the future cause, travelers to delay or cancel plans to tour or visit our resorts. For example, hurricanes and wildfires have caused a number of Interval International exchange network resorts and our managed vacation ownership resorts to close for prolonged periods. The 2023 wildfires in Maui also resulted in the temporary closure of our resorts and sales centers in Maui, which had an adverse effect on our business and results of operations for 2023 and 2024. At times, beach access at our resorts and our managed resorts has been impeded by weather conditions or due to the effects of erosion. Actual or threatened war, civil unrest and terrorist activity, as well as heightened travel security measures instituted in response to the same, could also interrupt or deter travel plans. In addition, demand for our products and services may decrease if the cost of travel, including the cost of transportation and fuel, increases, airlift to vacation destinations decreases, airline or airport disruptions, flight cancellations or unreliability of various modes of transportation increases, or if general economic conditions decline.</w:t>
      </w:r>
    </w:p>
    <w:p>
      <w:pPr>
        <w:spacing w:after="0" w:line="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ability to process exchanges for members and to find purchasers and renters for accommodations we market or manage, as well as the need for the vacation rental and property management services we provide, largely depends on the continued desirability of the key vacation destinations in which our branded, managed or exchange properties are concentrated. Changes in the desirability of the destinations where these resorts are located and changes in vacation and travel patterns may adversely affect our cash flows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can be adversely affected by labor shortages, turnover and labor cost increases.</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A number of factors may adversely affect the labor force available or increase labor costs from time to time, such as high employment levels, increasing minimum wage rates, federal unemployment subsidies, including unemployment benefits offered in response to a Health Crisis, and other government actions. In 2021, we observed an overall tightening and increasingly competitive labor market. As a result, we had to temporarily close outlets (e.g., food and beverage) or reduce services (e.g., housekeeping performed fewer cleanings throughout the week), and we may have to take these or similar steps in the future. Any such changes may harm our revenues, cash flows, profitability or customer satisfaction. We have also incurred, and may incur in the future, additional costs for overtime wages, increased wages, enhanced referral bonuses, increased use of sign on bonuses, and increased marketing for open positions. A sustained labor shortage or increased turnover rates within our employee base, whether due to a Health Crisis or as a result of general macroeconomic factors, could lead to increased costs, such as increased overtime to meet demand and increased wage rates to attract and retain employees, and could negatively affect our ability to efficiently operate our business. If we are unable to hire and retain employees capable of performing at a high level, our business, including our cash flows, results of operations, owner, guest and associate satisfaction and reputation, could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inflation, higher interest rates or deflation could adversely affect our business and financial results.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Inflation can adversely affect us by increasing the costs of carrying unsold inventory, development and other corporate capital expenditures, materials and labor, service contracts, insurance, technology and related hardware or equipment, and interest rates. All of these factors can decrease the affordability of our products and services. In a high inflationary environment, we may be unable to raise the price of our products and services in a proportional manner, which could reduce our operating margins, including in our financing business, and negatively impact our results or operations. In addition, an increase in the cost of capital, labor and materials could have an adverse impact on our business or financial results. Inflation could also have an indirect adverse impact on our business by making travel more expensive, increasing maintenance costs and fees for consumers and reducing consumer discretionary income.</w:t>
      </w:r>
    </w:p>
    <w:p>
      <w:pPr>
        <w:spacing w:after="0" w:line="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Alternatively, deflation could cause an overall decrease in spending and borrowing capacity, which could lead to a deterioration of economic conditions and employment levels. Deflation could also cause the value of our products and services to decline. These, or other factors that increase the risk of significant deflation, could have a negative impact on our business or financial results.</w:t>
      </w:r>
    </w:p>
    <w:p>
      <w:pPr>
        <w:spacing w:after="0" w:line="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finance more than half of our VOI sales. While we adjust interest rates on our financing programs from time to time, such changes are typically not made in lockstep with the timing and magnitude of changes in broader market rates. As a result, our financing profit margin declined in 2023 and 2024 due to general market interest rate increases, and may decline again in the future. Increasing our financing rates could negatively impact VOI sales and financing propensity. However, if we are unable to increase our financing rates at the same rate as our costs of funds, our financing profits will be negatively impacted, as happened in 2023 and 2024.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extensively regulated, and any failure to comply with applicable laws could materially adversely affect our business.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are subject to a wide variety of highly complex international, national, federal, state, and local laws, regulations and policies. The vacation ownership industry is subject to extensive regulation around the world. Each jurisdiction where we operate generally requires resort developers to follow a set of specific procedures to develop, market and sell VOIs. Our real estate development activities, marketing and sales activities, lending activities and resort management activities are also heavily regulated. In addition, a myriad of laws, regulations and policies impact multiple areas of our business, such as those regulating the sale and offer of securities, anti-discrimination, anti-fraud, environmental and social matters, data protection, anti-corruption and bribery or implementing government economic sanctions.</w:t>
      </w:r>
    </w:p>
    <w:p>
      <w:pPr>
        <w:spacing w:after="0" w:line="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Complying with the intricate and multifaceted regulatory structures applicable to our businesses across the globe is complicated, constantly evolving, time-consuming and costly. We may not be able to successfully comply with all laws, regulations and policies. Laws, regulations, policies, and case law precedent may change or be subject to different interpretation in the future, including in ways that could decrease demand for our products and services, increase costs, and subject us to additional liabilities. Failure to comply could have a material adverse effect on our business. For example, we could lose licenses or registrations required to operate our business, sales contracts for our products could be void or voidable, we may incur fines or other sanctions, and our exposure to litigation may increase. Allegations of our failure to comply with applicable laws could adversely affect our business, financial condition, and reputation.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rely on a variety of marketing techniques, including digital marketing (e-mail), telemarketing, postal mailings, websites and social media. Adoption of new laws, or changes in existing laws, in any of the jurisdictions in which we operate regulating marketing and solicitation or data protection could adversely affect the effectiveness of our marketing strategies. For example, in the U.S., California enacted the California Consumer Privacy Act of 2018 (“CCPA”). The CCPA provides California consumers with certain access, deletion and opt-out rights related to their personal information, imposes civil penalties for violations and affords, in certain cases, a private right of action for data breaches. Similar legislation has been proposed or adopted in other states. In addition, foreign data protection, privacy, consumer protection, content regulation and other laws and regulations may be more restrictive or burdensome than those in the United States. For example, the European Union (“E.U.”) General Data Protection Regulation (“GDPR”) imposes significant obligations on businesses that sell products or services to E.U. customers or otherwise control or process personal data of E.U. residents. Complying with the GDPR or other laws and regulations could subject us to increased costs; and our failure to comply with these laws and regulations could result in significant fines, litigation, losses, third-party damages and other liabilities, any of which may have a material adverse effect on our brands, marketing, reputation, business, financial condition and results of operations. The cost of our compliance with privacy laws has increased and may continue to increase as laws change and we expand into new jurisdictions. If we are not able to develop adequate alternative marketing strategies, our sales may be adversely affected. We also obtain access to potential customers from travel service providers and other companies. If our access to these third-party customer lists is prohibited or restricted, our ability to attract new customers could be impaired.</w:t>
      </w:r>
    </w:p>
    <w:p>
      <w:pPr>
        <w:spacing w:after="0" w:line="177"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the integrity of internal or customer data or to protect our information systems from cyber-attacks could disrupt our business, damage our reputation, and subject us to costs, fines or lawsuits.</w:t>
      </w:r>
    </w:p>
    <w:p>
      <w:pPr>
        <w:spacing w:after="0" w:line="45"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7"/>
          <w:szCs w:val="17"/>
          <w:color w:val="auto"/>
        </w:rPr>
        <w:t>We collect large volumes of data, including social security numbers and other personally identifiable information of our customers and employees, and retain it in our information systems and those of our service providers. It is critical that we maintain the integrity of and protect this data, which we rely on to make business decisions and which our customers and employees expect that we will protect.</w:t>
      </w:r>
    </w:p>
    <w:p>
      <w:pPr>
        <w:spacing w:after="0" w:line="6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7"/>
          <w:szCs w:val="17"/>
          <w:color w:val="auto"/>
        </w:rPr>
        <w:t>We may have to expend significant capital and other resources to enhance the security of our data. Our information systems and records, including those we maintain with our service providers or licensors, may be subject to security breaches, cyber-attack or cyber-intrusion, system failures, viruses, malicious software, operator error or inadvertent releases of data, or other cybersecurity incidents. Data breaches have increased in recent years as the number, intensity and sophistication of attacks increased. Techniques used to obtain unauthorized access, disable or degrade service, or sabotage systems change frequently, may be difficult to detect and could be enhanced by artificial intelligence (“AI”). Neither we nor our service providers may be able to prevent, detect and contain unauthorized activity and misuse or human errors compromising the efficacy of security measures. A breach in the security of our information systems or those of our service providers or licensors could lead to interruptions in the operation of our systems, resulting in operational inefficiencies and a negative impact to our results of operations. A significant cybersecurity incident or theft,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28" w:name="page29"/>
    <w:bookmarkEnd w:id="28"/>
    <w:p>
      <w:pPr>
        <w:ind w:right="360"/>
        <w:spacing w:after="0" w:line="283" w:lineRule="auto"/>
        <w:rPr>
          <w:sz w:val="20"/>
          <w:szCs w:val="20"/>
          <w:color w:val="auto"/>
        </w:rPr>
      </w:pPr>
      <w:r>
        <w:rPr>
          <w:rFonts w:ascii="Times New Roman" w:cs="Times New Roman" w:eastAsia="Times New Roman" w:hAnsi="Times New Roman"/>
          <w:sz w:val="17"/>
          <w:szCs w:val="17"/>
          <w:color w:val="auto"/>
        </w:rPr>
        <w:t>loss, disclosure, or fraudulent use of our customer, employee or company data could adversely impact our reputation and result in remedial and other expenses, fines, penalties or litigation, any of which may be exacerbated by a delay or failure to detect a cybersecurity incident or the full extent of such incident.</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regulatory environment in the jurisdictions where we operate, and the requirements imposed on us by the payment card industry regarding information, security and privacy, are increasingly demanding. Many of the laws applicable to us in different jurisdictions vary from each other in significant ways and may not have the same effect, thus complicating compliance efforts. Our efforts to comply with these requirements may require significant additional resources and time and may not be successful.</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and the companies we work with have experienced cybersecurity threats to our data and systems, including ransomware and other forms of malware and computer virus attacks, unauthorized access, systems failures and temporary disruptions. We have experienced cybersecurity incidents in the past, and have previously disclosed those with material operational or financial implications to the Company or our stakeholders. Routinely, we partner with and use third-party service providers and products that host, manage, or control sensitive data. The failure of any such service providers or products to comply with our privacy policies or privacy laws and regulations, or any unauthorized release of personally identifiable information or other user data, could damage our reputation, discourage potential users from trying our products and services, breach certain agreements under which we have obligations with respect to network security, and result in fines and proceedings against us. Our insurance might not be sufficient in type or amount to cover us against such claims or losses. Any of the foregoing could materially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AI technologies may not be successful and may present business, compliance, and reputational risks.</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We use, and are expanding our use of, machine learning and AI technologies in our products and processes. If we fail to keep pace with rapidly evolving AI technological developments, our competitive position and business results may be negatively impacted. Our use of AI technologies requires resources to develop, test and maintain such products, which is costly. We may not achieve our objectives from these efforts. In addition, third parties may be more successful in the use of AI or create technologies that could require us to change how we currently operate certain of our businesses.</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introduction of AI technologies, particularly generative AI, into new or existing offerings may result in new or expanded risks and liabilities, due to enhanced governmental scrutiny, litigation, compliance issues, ethical concerns, confidentiality, data privacy or security risks, as well as other factors that could adversely affect our business, reputation, and financial results.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Use of AI technologies, and the evolving legal, regulatory and compliance framework for AI, could impact our ability to protect our data and intellectual property, as well as vendor and client information, and could expose us to intellectual property or other claims by third parties. Use of AI technologies may also increase risks related to cyberattacks or other security incidents or result in a failure to protect confidential information. Because AI technology is highly complex and rapidly developing, it is not possible to predict all of the legal, operational or technological risks that may arise relating to AI.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expose us to risks that could negatively impact our financial results or disrupt our business.</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Our international operations expose us to a number of additional risks, any of which could negatively impact our results of operations or disrupt our business, such as: compliance with laws of non-U.S. jurisdictions, including foreign ownership restrictions, import and export controls, data privacy and usage, and trade restrictions, and U.S. laws affecting our activities outside of the U.S.; anti-American sentiment; war, political or civil unrest and terrorism; difficulties of managing operations in many different countries; local economic risks; foreign currency exchange risks; and uncertainty as to the enforceability of contract and intellectual property rights under local laws, which can change or be interpreted in ways that could negatively impact our business.</w:t>
      </w:r>
    </w:p>
    <w:p>
      <w:pPr>
        <w:spacing w:after="0" w:line="166"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Inadequate or failed technologies could lead to interruptions in our operations and materially adversely affect our business, financial position, results of operations or cash flows.</w:t>
      </w:r>
    </w:p>
    <w:p>
      <w:pPr>
        <w:spacing w:after="0" w:line="4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Our operations and competitive position depend on our ability to maintain existing systems and implement new technologies. Our information technology systems and our databases are potentially susceptible to man-made and natural disasters, as well as power losses, computer and telecommunications failures, technological breakdowns, cyber-attacks, acts of war or terrorism and other events. System interruption, delays, obsolescence, loss of critical data and lack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45" w:right="37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7"/>
          <w:szCs w:val="17"/>
          <w:color w:val="auto"/>
        </w:rPr>
        <w:t>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cannot anticipate and address all eventualities. Projects to upgrade or replace our technologies may be extremely complex and require significant resources and time, and may adversely affect our ability to provide services, operate websites, process and fulfill transactions, and respond to customer inquiries during the upgrade or replacement process. Our insurance coverage may not compensate us for all our losses from a major interruption. If our information technology systems fail to adequately support our strategic, operational or compliance needs, our business, financial position, results of operations or cash flows, as well as our disclosure controls and procedures and internal control over financial reporting, may be adversely affected.</w:t>
      </w:r>
    </w:p>
    <w:p>
      <w:pPr>
        <w:spacing w:after="0" w:line="172"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Spanish court rulings voiding certain timeshare contracts have increased our exposure to litigation that may materially adversely affect our business and financial condition.</w:t>
      </w:r>
    </w:p>
    <w:p>
      <w:pPr>
        <w:spacing w:after="0" w:line="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A series of Spanish court rulings starting in 2015 (“2015 Rulings”) increased our exposure to litigation that may materially adversely affect our business and financial condition. These rulings voided certain timeshare contracts entered into after January 1999 related to certain resorts in Spain if a resort’s timeshare structure did not meet requirements prescribed by Spanish timeshare laws enacted in 1998, even if the structure was lawful prior to 1998 and adapted pursuant to mechanisms specified in the 1998 laws. These rulings have led to an increase in lawsuits by owners seeking to void timeshare contracts in Spain, including lawsuits by owners at certain of our resorts in Spain which are currently pending. However, the Supreme Court of Spain has not yet substantively opined on the issue as it pertains to the Company’s timeshare contracts. If the Supreme Court of Spain rules adversely to us and determines that our timeshare contracts are voidable, that may materially adversely affect the results of operations of our Vacation Ownership segment, as well as our business and financial condition. Defending these lawsuits has required, and may continue to require, the Company to incur legal fees and reserve for judgments. Under recently enacted legislation, effective April 4, 2025, existing timeshare owners will have five years to bring lawsuits based on the 2015 Rulings to void their timeshare contracts, after which time such claims will no longer be recognized. Damages recoverable for claims brought during the five-year period will be reduced by the market value of the benefits the owners received or were entitled to receive under their timeshare contracts. Owners who purchase after April 4, 2025, will not be entitled to make claims under the 2015 Rulings. If additional owners at our resorts in Spain file similar lawsuits, this may void certain of those owners’ timeshare contracts; cause us to incur material litigation and other costs, including judgment or settlement payments; and materially adversely affect the results of operations of our Vacation Ownership segment, as well as our business and financial condition. The ability for owners of Spanish timeshares to void their contracts has negatively impacted other developers with resorts in Spain and led to a decrease in the number of resorts located in Spain in the Interval Network with active sales and the loss of members who own VOIs at those resorts.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industries in which our businesses operate are competitive, which may impact our ability to compete successfully.</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businesses will be adversely impacted if they cannot compete effectively in their respective industries, each of which is highly competitive. A number of highly competitive companies participate in the vacation ownership industry. Our brands compete with the vacation ownership brands of major hotel chains in national and international venues, as well as with the vacation rental options (such as hotels, resorts and condominium rentals) offered by the lodging industry. Our competitors may have greater access to capital resources and broader marketing, sales and distribution capabilities than we do. Competitive pressures may cause us to reduce our fee structure or potentially modify our business models, which could adversely affect our business, financial condition and results of operations.</w:t>
      </w: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principal exchange network administered by Interval International included more than 3,200 resorts located in over 90 countries and territories as of December 31, 2024. Interval International’s primary competitor, RCI, has a greater number of affiliated resorts than we have. Through the resources of its corporate affiliates, particularly Travel + Leisure Co., which is engaged in vacation ownership sales, RCI may have greater access to a significant segment of new vacation ownership purchasers and a broader platform for participating in industry consolidation. In addition, Interval International competes with developers that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 The effects of such competition on our exchange business are more pronounced as the proportion of vacation club corporate members in the Interval Network increases.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30" w:name="page31"/>
    <w:bookmarkEnd w:id="30"/>
    <w:p>
      <w:pPr>
        <w:ind w:right="40"/>
        <w:spacing w:after="0" w:line="267" w:lineRule="auto"/>
        <w:rPr>
          <w:sz w:val="20"/>
          <w:szCs w:val="20"/>
          <w:color w:val="auto"/>
        </w:rPr>
      </w:pPr>
      <w:r>
        <w:rPr>
          <w:rFonts w:ascii="Times New Roman" w:cs="Times New Roman" w:eastAsia="Times New Roman" w:hAnsi="Times New Roman"/>
          <w:sz w:val="17"/>
          <w:szCs w:val="17"/>
          <w:color w:val="auto"/>
        </w:rPr>
        <w:t>Our businesses also compete for leisure travelers with other leisure lodging operators, including both independent and branded properties, as well as with alternative lodging marketplaces, which operate websites that market furnished, privately-owned residential properties throughout the world which can be rented on a nightly, weekly or monthly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public perception regarding our industry could have an adverse effect on our operations.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Negative public perception regarding our industry resulting from, among other things, consumer complaints regarding sales and marketing practices, consumer financing arrangements, and restrictions on exit related to our products, as well as negative comments on social media, could result in increased regulatory scrutiny, which could result in reputational damage, more onerous laws, regulations, guidelines and enforcement interpretations in jurisdictions in which we operate. These actions may lead to operational delays or restrictions, as well as increased operating costs, regulatory burdens and risk of litigation.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regulations or their interpretation could negatively impact our cash flows and results of operations.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Changes in tax and other revenue raising laws, regulations and policies in the jurisdictions where we do business could impose new restrictions, costs or prohibitions on our practices and negatively impact our results of operations. In addition, interpretation of tax regulations requires us to exercise our judgment and taxing authorities or our independent registered public accounting firm may reach conclusions about the application of such regulations that differ from our conclusions. Our effective tax rate reflects the fact that income earned and reinvested outside the U.S. is generally taxed at local rates that can be higher or lower than U.S. tax rates or based on a different tax base than U.S. jurisdictions, as well as our ability to carry forward losses in certain jurisdictions from prior years to offset future profits. Changes to U.S. or international tax laws, regulations or interpretations could impact the tax treatment of our earnings and adversely affect our cash flows and financial results. For example, if such changes significantly increase the tax rates on non-U.S. income, our effective tax rate could increase, our financial results and cash flows could be negatively impacted, and if such increases were a result of our status as a U.S. corporation, we could be placed at a disadvantage to our non-U.S. competitors that are subject to lower local tax rates.</w:t>
      </w:r>
    </w:p>
    <w:p>
      <w:pPr>
        <w:spacing w:after="0" w:line="7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We are subject to audit in various jurisdictions, and these jurisdictions may assess additional taxes against us. Developments in an audit, litigation, or laws, regulations, administrative practices, principles, and interpretations could have a material effect on our operating results or cash flows. An unfavorable outcome from any tax audit could result in higher tax costs, penalties and interest, and could materially and adversely affect our financial condition or results of operations.</w:t>
      </w:r>
    </w:p>
    <w:p>
      <w:pPr>
        <w:spacing w:after="0" w:line="159"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Concentration of some of our resorts, sales centers and exchange destinations in particular geographic areas exposes our business to the effects of severe weather and other regional events in these areas.</w:t>
      </w:r>
    </w:p>
    <w:p>
      <w:pPr>
        <w:spacing w:after="0" w:line="4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Our business is susceptible to the effects of natural or man-made disasters, including earthquakes, windstorms, tornadoes, hurricanes, typhoons, tsunamis, volcanic eruptions, floods, drought, fires, oil spills, erosion and nuclear incidents, in the areas where some of our resorts, sales centers and exchange destinations are concentrated, such as Florida, California, South Carolina and Hawaii. Properties in these markets have had to close in the past, including for extended periods, in order to repair or assess damage caused by disasters. For example, we temporarily closed our resorts and sales centers in 2023 as a result of wildfires in Maui. Depending on the severity of future disasters, the resulting damage could require closure of all or substantially all of our properties in one or more of these markets while we complete renovations. Our insurance may not cover all damages caused by any such event, including the loss of sales of VOIs at sales centers that are not fully operational. In 2023, our cost to insure our properties in these areas increased significantly. Our insurance costs may rise again and coverage levels may decrease for properties in these areas as a result of the number and magnitude of recent natural disasters in these areas.</w:t>
      </w:r>
    </w:p>
    <w:p>
      <w:pPr>
        <w:spacing w:after="0" w:line="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these geographic markets. This geographic concentration of properties increases the risk of a negative effect on our results of operations if these areas are affected by severe weather, man-made disasters or adverse economic and competitive conditions.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1" w:name="page32"/>
    <w:bookmarkEnd w:id="31"/>
    <w:p>
      <w:pPr>
        <w:ind w:right="2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successfully identify, finance, integrate and manage costs related to acquisitions, our business operations and financial position could be adversely affected.</w:t>
      </w:r>
    </w:p>
    <w:p>
      <w:pPr>
        <w:spacing w:after="0" w:line="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expanded in part through acquisitions of other businesses and may continue to do so in the future. Our acquisition strategy depends on our ability to identify, and the availability of, suitable acquisition candidates. We may incur costs in connection with proposed acquisitions, but may ultimately be unable or unwilling to consummate any particular proposed transaction for various reasons. In addition, acquisitions involve numerous risks, including risks that we will not be able to: successfully integrate acquired businesses in an efficient and cost-effective manner; properly measure or identify all risks associated with the acquisition; achieve anticipated benefits of an acquisition, including expected synergies; control potential increases in operating costs; manage geographically remote operations; successfully expand our system of internal controls or our technological infrastructure to include an acquired business; avoid potential disruptions in ongoing operations during an acquisition process or integration efforts; successfully enter markets in which we have limited or no direct experience, including foreign markets whose practices or laws may pose increased risk; and retain key employees, clients, vendors and business partners of the acquired businesses. Failure to achieve the anticipated benefits of any acquisition may adversely affect our financial condition, operating results and prospects. Acquisitions may also significantly increase our debt or result in dilutive issuances of our equity securities, impairments of assets or substantial amortization expenses associated with other intangible assets.</w:t>
      </w:r>
    </w:p>
    <w:p>
      <w:pPr>
        <w:spacing w:after="0" w:line="17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Our accounting policies are critical to the manner in which we present our results of operations and financial condition. Many of these policies, including policies relating to the recognition of revenue, determination of cost of sales and evaluation of our assets for impairment, are highly complex and involve many assumptions, estimates and judgments. We review these assumptions, estimates and judgments regularly and revise them when necessary. Our actual results of operations vary from period to period based on revisions to these estimates. For example, higher loan delinquencies or defaults could lead to an increase in our estimated reserve for vacation ownership notes receivable. In addition, changes to our assumptions and estimates used to determine the fair value of our assets or actual operating results that are lower than our current estimates could result in impairment losses and require us to write off all or a portion of our assets. See the “Critical Accounting Estimates” section of Item 7. Management’s Discussion and Analysis of Financial Condition and Results of Operations for further information.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growth of our business and execution of our business strategies depend on the services of our senior management and our associates.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Our business is based on successfully attracting and retaining talented associates. The market for highly skilled associates and leaders in our industry is extremely competitive. If we are unable to attract and retain management and other key associates, our ability to develop and deliver successful products and services may be adversely affected. Effective succession planning is also important to our long-term success. The departure of a key executive or associate or the failure to ensure an effective transfer of knowledge and a smooth transition upon such departure may be disruptive to the business and could hinder our strategic planning and execution.</w:t>
      </w:r>
    </w:p>
    <w:p>
      <w:pPr>
        <w:spacing w:after="0" w:line="166"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Increasing scrutiny and evolving expectations from customers, regulators, investors, and other stakeholders with respect to our environmental, social and governance practices may increase our costs or expose us to new or additional risks.</w:t>
      </w:r>
    </w:p>
    <w:p>
      <w:pPr>
        <w:spacing w:after="0" w:line="4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Companies are facing increasing and frequently evolving scrutiny globally from customers, regulators, investors, employees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board and workforce diversity, labor conditions, human rights, and cybersecurity and data privacy. Third parties have developed proprietary ratings or analyses of companies based on certain ESG metrics. ESG disclosure rules have been adopted by California and the European Union, and are being considered by the SEC. Increased ESG-related compliance costs could increase our overall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7"/>
          <w:szCs w:val="17"/>
          <w:color w:val="auto"/>
        </w:rPr>
        <w:t>operational costs. Failure to adapt to or comply with regulatory requirements or investor or other stakeholder expectations and standards could negatively impact our reputation, ability to do business with certain partners, and stock price, and result in penalties. New government regulations could also result in new or more stringent forms of ESG oversight and expanding mandatory and voluntary reporting, diligence, and disclosure. Our corporate responsibility initiatives and goals are based on standards for measuring progress that are still developing, internal controls and processes that continue to evolve and assumptions that are subject to change in the future. As we report on our corporate responsibility initiatives or goals, we may be subject to heightened reputational and operational risk and compliance costs related to these matters. Our control over resorts and properties that we manage is generally limited by the terms of the applicable management agreements. As a result, our ability to achieve some or all of our corporate responsibility initiatives or goals may be limited without additional support or action by the owners’ associations of the vacation ownership resorts and properties we manage. Complying with increased regulations could increase our costs and adversely impact our results of operations. Our inability or failure to meet, or the perceived failure to meet, such stakeholders’ expectations, as well as adverse incidents, could negatively impact our stock price, results of operations, or reputation and increase our cost of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vacation ownership business.</w:t>
      </w:r>
    </w:p>
    <w:p>
      <w:pPr>
        <w:spacing w:after="0" w:line="10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The termination of our license agreements with Marriott International or Hyatt, or our rights to use their trademarks at our existing or future properties, could materially harm our business.</w:t>
      </w:r>
    </w:p>
    <w:p>
      <w:pPr>
        <w:spacing w:after="0" w:line="4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color w:val="auto"/>
        </w:rPr>
        <w:t>Our success depends, in part, on our relationships with Marriott International and Hyatt. These relationships are governed by various agreements, including long-term license agreements that expire between 2090 and 2095, subject to renewal. However, if we breach our obligations under a license agreement and remain in breach after the applicable notice and cure period, the applicable licensor may be entitled to terminate the license agreement and our rights to use its brands. In addition, if any of our properties does not meet applicable brand standards, the applicable licensor can terminate our right to use its trademarks at the subject properties.</w:t>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The termination of our license agreements with Marriott International, Hyatt or their affiliates would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Sheraton, Westin, or Hyatt brands to attract qualified prospects in the marketplace would likely cause our results of operations to decline and our marketing and sales expenses to increase. Our inability to market to guests in hotels affiliated with our licensors that are located near one of our sales locations or maintain our marketing relationships with Marriott International or Hyatt reservation centers would likely cause our sales to decline, which could adversely affect our financial condition and results of operations. In addition, we would not be able to use the brand websites as channels through which to rent available inventory, which would cause our rental revenue to decline materially.</w:t>
      </w:r>
    </w:p>
    <w:p>
      <w:pPr>
        <w:spacing w:after="0" w:line="7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Our license agreements also allow us to market directly to members of the customer loyalty programs associated with the Marriott, Sheraton, Westin and Hyatt brands, and offer points in such loyalty programs as premiums for related promotional offers. The termination of the license agreements with Marriott International or Hyatt would eliminate this valuable marketing channel.</w:t>
      </w:r>
    </w:p>
    <w:p>
      <w:pPr>
        <w:spacing w:after="0" w:line="6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7"/>
          <w:szCs w:val="17"/>
          <w:color w:val="auto"/>
        </w:rPr>
        <w:t>We must obtain the applicable licensor’s consent to use its trademarks in connection with properties we acquire or develop in the future. If our licensors do not consent to such use, our ability to expand our business and remain competitive may be materially adversely affected.</w:t>
      </w:r>
    </w:p>
    <w:p>
      <w:pPr>
        <w:spacing w:after="0" w:line="146"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Deterioration in the quality or reputation of the brands associated with our portfolio could adversely affect our market share, reputation, business, financial condition and results of operations.</w:t>
      </w:r>
    </w:p>
    <w:p>
      <w:pPr>
        <w:spacing w:after="0" w:line="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offer vacation ownership products and services under the Marriott, Sheraton, Westin, The Ritz-Carlton, and Hyatt brands. Our success depends in part on the continued success of Marriott International and Hyatt and their respective brands. If market recognition or the positive perception of Marriott International or Hyatt is reduced or compromised, the goodwill associated with these brands may be adversely affected, which may adversely affect our market share, reputation, business, financial condition or results of operations. The positioning and offerings of any of these brands or their related customer loyalty programs could change in a manner that adversely affects our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Marriott International or Hyatt could compete with our vacation ownership business in the future.</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Under our license agreements with Marriott International, if other international hotel operators offer new products and services as part of their respective hotel businesses that may directly compete with our vacation ownership products and services, then Marriott International may also offer such new products and services, and use its trademarks in connection with such offers. Under the Hyatt license agreement, Hyatt may compete with us under certain circumstances, such as if we fail to meet certain performance standards or if Hyatt acquires a new hotel brand that Hyatt desires to license for timeshare and we are unsuccessful in negotiating such license rights pursuant to our right of first offer. If Marriott International or Hyatt offers new vacation ownership products and services as contemplated under certain circumstances under their respective license agreements, they may compete directly with our vacation ownership products and services, and we may not be able to distinguish our vacation ownership products and services from those offered by Marriott International or Hyatt.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16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a branded hotel property co-located with one of our resorts ceases to be affiliated with the same brand as our resort or a related brand, our business could be harmed.</w:t>
      </w:r>
    </w:p>
    <w:p>
      <w:pPr>
        <w:spacing w:after="0" w:line="4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Approximately 25% of our Vacation Ownership segment resorts are co-located with same-branded or affiliated hotel properties. If a branded hotel property with which one of our resorts is co-located ceases to be operated by or affiliated with the same brand as our resort, which has happened in the past, we could lose benefits such as shared amenities, infrastructure and staff, integration of services, and other cost efficiencies. Our owners could lose access to the more varied and elaborate amenities that are generally available at the larger campus of an integrated vacation ownership and hotel resort. We could also lose our on-site access to hotel customers, including brand customer loyalty program members, at such resorts, which is a cost-effective marketing channel for our vacation ownership products, and our sales may decline.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inventory available for sale when needed or we may have excess inventory.</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may enter into capital-efficient transactions to source inventory in which third parties agree to deliver completed units in the future to us at pre-agreed prices. These transactions expose us to additional risk as we will not control development activities or timing of development completion. If our counterparties default on their obligations, or exercise their right to sell inventory to a different buyer, we may not acquire the inventory we expect on time or at all, or it may not be within agreed upon specifications. If we cannot obtain inventory from alternative sources on a timely basis, we may not be able to achieve sales forecasts. Conversely, if we procure or commit to procure inventory based on an expected sales plan and fail to achieve that plan, we could have excess inventory, potentially negatively impacting our margins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sale of VOIs in the secondary market by existing owners could cause our sales revenues, margins, and results of operations to decline.</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Sales of VOIs by existing owners, which are typically at lower prices than the prices at which we would sell interests, can create pricing pressure on our sale of vacation ownership products and cause our sales revenues, margins and results of operations to decline. In addition, unlawful or deceptive third-party VOI resale schemes involving interests in our resorts could damage our reputation and brand value and adversely impact our sales revenues and results of operations. Development of a more robust secondary market may also cause the volume of lower-cost VOI inventory that we are able to repurchase to supplement our inventory needs to decline, which could adversely impact our development margin.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Borrower defaults on the vacation ownership notes receivable our business generates could reduce our results of operations and cash flows.</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In connection with our vacation ownership business, we provide loans to purchasers to finance their purchase of VOIs. Accordingly, we are subject to the risk that those borrowers may default on the financing that we provide. The risk of borrower defaults may increase due to man-made or natural disasters, recessions or other economic downturns that cause financial hardship for borrowers. In the past, we have experienced increased defaults as a result of economic downturns. Certain of our borrowers have been impacted by man-made and natural disasters, including the recent wildfires near Los Angeles. However, at this time, we cannot quantify the effect the wildfires near Los Angeles may have on borrower defaults. The risk of borrower defaults may also increase if we do not evaluate accurately the creditworthiness of the customers to whom we extend financing or due to the influence of timeshare relief firms. Borrower defaults have caused,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4" w:name="page35"/>
    <w:bookmarkEnd w:id="34"/>
    <w:p>
      <w:pPr>
        <w:jc w:val="both"/>
        <w:ind w:right="140"/>
        <w:spacing w:after="0" w:line="261" w:lineRule="auto"/>
        <w:rPr>
          <w:sz w:val="20"/>
          <w:szCs w:val="20"/>
          <w:color w:val="auto"/>
        </w:rPr>
      </w:pPr>
      <w:r>
        <w:rPr>
          <w:rFonts w:ascii="Times New Roman" w:cs="Times New Roman" w:eastAsia="Times New Roman" w:hAnsi="Times New Roman"/>
          <w:sz w:val="17"/>
          <w:szCs w:val="17"/>
          <w:color w:val="auto"/>
        </w:rPr>
        <w:t>and may continue to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have been required, and may in the future be required, to increase our reserve on vacation ownership notes receivable, which would adversely affect our results of operations and cash flows.</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If default rates increase beyond current projections and result in higher than expected foreclosure activity, our results of operations would be adversely affected. Borrower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Also, if a purchaser of a VOI defaults on the related loan during the early part of the amortization period, we may not have fully recovered the marketing, selling and general and administrative costs associated with the sale of that VOI. If we are unable to recover any of the principal amount of the loan from a defaulting borrower, or if the allowances for losses from such defaults are inadequate, the revenues and profits that we derive from the vacation ownership business could be reduced materially.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points-based product forms expose us to an increased risk of temporary inventory depletion.</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Selling VOIs in a system of resorts under a points-based business model increases the risk of temporary inventory depletion. Currently, our VOI sales are made primarily through a limited number of trust entities that issue VOIs. These structures can lead to a temporary depletion of inventory available for sale caused by: (1) delayed delivery of inventory under construction by us or third parties; (2) delayed receipt of required governmental registrations of inventory for sale; or (3) significant unanticipated increases in sales pace. If the inventory available for sale for a particular trust were to be depleted before new inventory is added and available for sale, we would be required to temporarily suspend sales until inventory is replenished or shift to selling an alternative product, which may increase marketing and sales costs and lower volume per guest (“VPG”).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depletion of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development activities expose us to project cost and completion risks.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Our project development activities entail risks that may cause project delays or increased project costs and therefore may adversely impact our results of operations, cash flows and financial condition, including:</w:t>
      </w:r>
    </w:p>
    <w:p>
      <w:pPr>
        <w:spacing w:after="0" w:line="1" w:lineRule="exact"/>
        <w:rPr>
          <w:sz w:val="20"/>
          <w:szCs w:val="20"/>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delays or cost overruns;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skilled labor;</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for construction defects, including claims by purchasers and owners’ associations;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of hazardous or toxic substances, or other environmental, culturally-sensitive, or related issues;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timely obtain required governmental permits and authorizations;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zoning, building codes and other local regulations;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by third parties involved in the financing and development of our projects;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availability of raw materials; and</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interference of weather-related, geological or other events, such as hurricanes, earthquakes, floods, tsunamis, fires, and volcanic eruptions.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5" w:name="page36"/>
    <w:bookmarkEnd w:id="35"/>
    <w:p>
      <w:pPr>
        <w:ind w:right="2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resort management business may be adversely affected by the loss of management contracts, failure of resorts to comply with brand standards, increased maintenance fees and disagreements with owners.</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Owners of our VOIs are required to pay maintenance fees to maintain and refurbish the vacation ownership properties and keep them in compliance with brand standards. If a resort fails to comply with applicable brand standards, the applicable licensor could terminate our rights to use its trademarks at the resort, which could result in the loss of management fees, decreased customer satisfaction, and impairment of our ability to market and sell our products at the non-compliant locations. Increases in maintenance fees to keep pace with operating expenses, maintenance and other costs may make our products less desirable, which could negatively impact sales and cause an increase in defaults on our vacation ownership notes receivable portfolio. If the owners’ associations that we manage are unable to collect sufficient maintenance fees to cover operating and maintenance costs, the related resorts may have to close or file for bankruptcy, which may result in termination of our management agreements. We may also lose resort management contracts if they are not renewed when they expire, or the contract terms may be renegotiated in a manner adverse to us. The loss or renegotiation of a significant number of our management contracts may adversely affect our cash flows and results of operations.</w:t>
      </w:r>
    </w:p>
    <w:p>
      <w:pPr>
        <w:spacing w:after="0" w:line="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From time to time, disagreements arise between us and the owners of VOIs and owners’ associations. For example, owners of our VOIs have disagreed, and may in the future disagree, with changes we make to our products or programs. Sometimes, disagreements with VOI owners and owners’ associations result in litigation and the loss of management contracts. If any such litigation results in a significant adverse judgment or settlement, we could suffer significant losses, our margins and results of operations could be reduced, our reputation could be harmed and our future ability to operate our business could be constrained.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procure insurance for general liability, property, business interruption, directors and officers liability, and other insurable risks with respect to our business operations and as customarily carried by companies in the hospitality industry. Market forces beyond our control may limit the scope, terms, and conditions of the insurance coverage we are able to obtain or our ability to obtain coverage at reasonable rates, which may affect our ability to maintain customary insurance coverages and deductibles at acceptable costs. Certain types of losses, generally of a catastrophic nature, such as earthquakes, hurricanes, wildfires, and floods, or terrorist acts, may be uninsurable or the price of coverage for such losses may be too expensive to justify obtaining insurance. The effects of climate change, such as increased storm intensity and rising temperatures or sea levels over time, may also increase the cost of property insurance and decrease our coverage levels. In addition, in the event of a substantial loss, the insurance coverage we carry may not be sufficient to pay the full market value or replacement cost of our lost property or property of owners of VOIs or third party liability. In some cases, insurance may not provide a recovery for any part of a loss due to deductibles, retentions, policy limits, coverage limitations, uninsured parts of a loss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 We may also incur liabilities or losses in the operation of our business that are only partially covered by insurance, or not covered at all. Any of these events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exchange and third-party management business.</w:t>
      </w:r>
    </w:p>
    <w:p>
      <w:pPr>
        <w:spacing w:after="0" w:line="109"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Any adverse changes in our relationships with developers, members and others could adversely affect our Exchange &amp; Third-Party Management business, financial condition, and results of operations.</w:t>
      </w:r>
    </w:p>
    <w:p>
      <w:pPr>
        <w:spacing w:after="0" w:line="45" w:lineRule="exact"/>
        <w:rPr>
          <w:sz w:val="20"/>
          <w:szCs w:val="20"/>
          <w:color w:val="auto"/>
        </w:rPr>
      </w:pPr>
    </w:p>
    <w:p>
      <w:pPr>
        <w:ind w:right="660"/>
        <w:spacing w:after="0" w:line="267" w:lineRule="auto"/>
        <w:rPr>
          <w:sz w:val="20"/>
          <w:szCs w:val="20"/>
          <w:color w:val="auto"/>
        </w:rPr>
      </w:pPr>
      <w:r>
        <w:rPr>
          <w:rFonts w:ascii="Times New Roman" w:cs="Times New Roman" w:eastAsia="Times New Roman" w:hAnsi="Times New Roman"/>
          <w:sz w:val="17"/>
          <w:szCs w:val="17"/>
          <w:color w:val="auto"/>
        </w:rPr>
        <w:t>Our Interval International business depends on vacation ownership developers for new members and on members and participants to renew their existing memberships and engage in transactions. Developers and members also supply resort accommodations for use in exchanges and Getaways. Our third-party management business depends on relationships with vacation property and hotel owners.</w:t>
      </w:r>
    </w:p>
    <w:p>
      <w:pPr>
        <w:spacing w:after="0" w:line="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If we are unable to negotiate new affiliation agreements with resort developers or secure renewals with existing members or developers in our Interval Network, as has occurred in the past, the number of new and existing members, the supply of resort accommodations available through our exchange network and related revenue could decrease. The failure to secure the renewal of affiliation agreements with developers with corporate member relationships, where the developer renews Interval International membership fees for all of its active owners, has a greater adverse effect. The loss or renegotiation on less favorable terms of several of our largest affiliation agreements could materially adversely impact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6" w:name="page37"/>
    <w:bookmarkEnd w:id="36"/>
    <w:p>
      <w:pPr>
        <w:ind w:right="520"/>
        <w:spacing w:after="0" w:line="283" w:lineRule="auto"/>
        <w:rPr>
          <w:sz w:val="20"/>
          <w:szCs w:val="20"/>
          <w:color w:val="auto"/>
        </w:rPr>
      </w:pPr>
      <w:r>
        <w:rPr>
          <w:rFonts w:ascii="Times New Roman" w:cs="Times New Roman" w:eastAsia="Times New Roman" w:hAnsi="Times New Roman"/>
          <w:sz w:val="17"/>
          <w:szCs w:val="17"/>
          <w:color w:val="auto"/>
        </w:rPr>
        <w:t>our financial condition and results of operations. Our ability to maintain affiliation agreements with resort developers is also impacted by consolidation in the vacation ownership industry.</w:t>
      </w:r>
    </w:p>
    <w:p>
      <w:pPr>
        <w:spacing w:after="0" w:line="5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In addition, we depend on third parties to make certain benefits available to members of the Interval International exchange network. The loss of such benefits could result in a decrease in the number of Interval International members, which could have a material adverse effect on our business, financial condition and results of operations.</w:t>
      </w:r>
    </w:p>
    <w:p>
      <w:pPr>
        <w:spacing w:after="0" w:line="6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Similarly, the failure of our third-party management business to maintain existing or negotiate new management agreements with vacation property and hotel owners, as a result of the sale of property to third parties, contract disputes or otherwise, or the failure of vacationers to book vacation rentals through our businesses would result in a decrease in related revenue, which would have an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Insufficient availability of exchange inventory may adversely affect our results of operations.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exchange network’s transaction levels depend on the supply of inventory in the system and demand for the available inventory. Exchange inventory is deposited in the system by members, or by developers on behalf of members, to support current or anticipated exchanges. Inventory supply and demand for specific regions and on a broader scope are influenced by a variety of factors, such as: economic conditions; health and safety concerns, including concerns and travel restrictions relating to Health Crises such as the COVID-19 pandemic; the occurrence or threat of natural disasters and severe weather; and owner decisions to travel to their home resort/vacation club system or otherwise not deposit exchange inventory. The factors that affect demand for specific destinations could significantly reduce the number of accommodations available in such areas for exchanges. The level of inventory in our system also depends on the number of developers whose resorts are in our exchange network, and the numbers of members of such resorts. The number of developers affiliated with our exchange network may decrease for a variety of reasons, such as consolidation and contraction in the industry and competition. If inventory supply and demand do not keep pace, transactions may decrease or we may purchase additional inventory to fulfill the demand, both of which could negatively affect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may restrict our operations.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As of December 31, 2024, we had approximately $3 billion of total corporate indebtedness outstanding and could borrow an additional $607 million under a revolving corporate credit facility with a borrowing capacity of $750 million (the “Revolving Corporate Credit Facility”). The credit agreement that governs our corporate credit facility (“Corporate Credit Facility”) and the indentures that govern our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The Corporate Credit Facility also requires us to maintain a specified leverage ratio. These restrictions could restrict our flexibility to react to changes in our businesses, industries and economic conditions and increase borrowing costs.</w:t>
      </w:r>
    </w:p>
    <w:p>
      <w:pPr>
        <w:spacing w:after="0" w:line="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We must dedicate a portion of our cash flow from operations to debt servicing and repayment of debt, which reduces funds available for strategic initiatives and opportunities, dividends, share repurchases, working capital, and other general corporate needs. It also increases our vulnerability to the impact of adverse economic and industry conditions.</w:t>
      </w:r>
    </w:p>
    <w:p>
      <w:pPr>
        <w:spacing w:after="0" w:line="159"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comply with our debt agreements, or to raise additional capital when needed, our business, cash flow, liquidity, and results of operations could be harmed.</w:t>
      </w:r>
    </w:p>
    <w:p>
      <w:pPr>
        <w:spacing w:after="0" w:line="4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ability to make scheduled cash payments on and to refinance our indebtedness depends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6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ability to meet our obligations under our capital efficient inventory acquisitions.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7" w:name="page38"/>
    <w:bookmarkEnd w:id="37"/>
    <w:p>
      <w:pPr>
        <w:ind w:right="120"/>
        <w:spacing w:after="0" w:line="267" w:lineRule="auto"/>
        <w:rPr>
          <w:sz w:val="20"/>
          <w:szCs w:val="20"/>
          <w:color w:val="auto"/>
        </w:rPr>
      </w:pPr>
      <w:r>
        <w:rPr>
          <w:rFonts w:ascii="Times New Roman" w:cs="Times New Roman" w:eastAsia="Times New Roman" w:hAnsi="Times New Roman"/>
          <w:sz w:val="17"/>
          <w:szCs w:val="17"/>
          <w:color w:val="auto"/>
        </w:rPr>
        <w:t>Failure to make scheduled cash payments on our existing debt, or to comply with the restrictive covenants and other requirements in our debt agreements, could result in an event of default, which, if not cured or waived, could result in acceleration of our debt repayment obligations. We may not have sufficient cash to repay any accelerated debt obligations, which would immediately and materially harm our business, results of operations and financial condition.</w:t>
      </w:r>
    </w:p>
    <w:p>
      <w:pPr>
        <w:spacing w:after="0" w:line="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may be required to raise additional capital to refinance our existing debt, or to expand or support our operations.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adversely affect our ability to obtain additional financing. There is no guarantee that debt or equity financings will be available in the future on terms favorable to us or at all. If we are unable to access additional funds on acceptable terms, we may have to adjust our business operations, and our ability to acquire additional vacation ownership inventory, repurchase VOIs, or make other investments in our business could be impaired, any of which may adversely affect our cash flows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substantially more debt, which could exacerbate further the risks associated with our leverage.</w:t>
      </w:r>
    </w:p>
    <w:p>
      <w:pPr>
        <w:spacing w:after="0" w:line="11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We and our subsidiaries may incur substantial additional indebtedness in the future, including secured indebtedness, as well as obligations that do not constitute indebtedness as defined in our debt agreements. To the extent that we and our subsidiaries incur additional indebtedness or such other obligations, the risks associated with our substantial indebtedness described above will increase.</w:t>
      </w:r>
    </w:p>
    <w:p>
      <w:pPr>
        <w:spacing w:after="0" w:line="159" w:lineRule="exact"/>
        <w:rPr>
          <w:sz w:val="20"/>
          <w:szCs w:val="20"/>
          <w:color w:val="auto"/>
        </w:rPr>
      </w:pPr>
    </w:p>
    <w:p>
      <w:pPr>
        <w:ind w:right="96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4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Our vacation ownership notes receivable portfolio performance and securitization program could be adversely affected if any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or different than those generally offered in the industry, our ability to securitize those loans may be adversely impacted. Instability in the credit markets may impact the timing and volume of the vacation ownership notes receivable that we are able to securitize, as well as the financial terms of such securitizations. If ABS issued in our securitization programs are downgraded by credit agencies in the future, our ability to complete securitization transactions on acceptable terms or at all could be jeopardized, and we could be forced to rely on other potentially more expensive and less attractive funding sources, to the extent 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our convertible notes.</w:t>
      </w:r>
    </w:p>
    <w:p>
      <w:pPr>
        <w:spacing w:after="0" w:line="117"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7"/>
          <w:szCs w:val="17"/>
          <w:color w:val="auto"/>
        </w:rPr>
        <w:t>Holders of our convertible notes may convert the convertible notes after the occurrence of certain dates or events. See Footnote 16 “Debt” to our Financial Statements for additional information. If any holders elect to convert their convertible notes, we may elect to settle all or a portion of our conversion obligation through the payment of cash, which could adversely affect our liquidity.</w:t>
      </w:r>
    </w:p>
    <w:p>
      <w:pPr>
        <w:spacing w:after="0" w:line="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way we account for our convertible notes may impact our financial results and the market price of our common stock. For example, in 2022, we adopted a new accounting standard that requires the use of the “if-converted” method for calculating diluted earnings per share, which resulted in the reduction of our reported diluted earnings per share. See Footnote 16 “Debt” and Footnote 2 “Summary of Significant Accounting Policies” to our Financial Statements for additional information regarding the accounting for our convertible notes.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our convertible note hedges and warrants.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In connection with the convertible notes, we entered into privately negotiated convertible note hedges to reduce potential dilution to our common stock and offset cash payments we must make in excess of the principal amount, in each case, upon any conversion of convertible notes. We also issued warrants to the hedge counterparties. The warrants could have a dilutive effect on our shares of common stock to the extent that the market price per share exceeds the applicable strike price of the warrants on one or more of the applicable expiration dates. Alternatively, if settled in cash, the warrants could have a negative impact on cash flow and liquidity.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7"/>
          <w:szCs w:val="17"/>
          <w:color w:val="auto"/>
        </w:rPr>
        <w:t>In connection with establishing their initial hedges of the convertible note hedges and the warrants, the hedge counterparties and their respective affiliates advised us that they expected to purchase shares of our common stock in secondary market transactions and enter into various derivative transactions with respect to our common stock. These parties may modify their hedge positions by entering into or unwinding various derivatives with respect to our common stock and buying or selling our common stock in the secondary market. Any of these activities could cause or prevent an increase or a decline in the market price of our common stock.</w:t>
      </w:r>
    </w:p>
    <w:p>
      <w:pPr>
        <w:spacing w:after="0" w:line="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are subject to the risk that one or more of the hedge counterparties may default under the convertible note hedges.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09"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share repurchase program may not enhance long-term stockholder value and could increase the volatility of the market price of our common stock and diminish our cash.</w:t>
      </w:r>
    </w:p>
    <w:p>
      <w:pPr>
        <w:spacing w:after="0" w:line="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Our share repurchase program does not obligate us to repurchase any shares of our common stock. The timing and amount of any repurchases depend upon several factors, including market conditions, business conditions, statutory and contractual restrictions, the trading price of our common stock and the nature of other investment opportunities available to us. In addition, repurchases of our common stock could affect our stock price and increase its volatility. The existence of a share repurchase program could cause our stock price to be higher than it would be absent the program and could reduce market liquidity for our stock. Use of our funds to repurchase shares could diminish our cash reserves, which may impact our ability to finance growth, pursue strategic opportunities, and discharge liabilities. Our share repurchases may not enhance stockholder value because the market price of our common stock may decline below the prices at which we repurchased shares and short-term stock price fluctuations could reduce the program’s effectiveness.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pay dividends on our stock is limited.</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may not declare or pay dividends in the future at any particular rate or at all. Our Board makes all decisions regarding our payment of dividends, subject to an evaluation of our financial condition, results of operations and capital requirements, as well as applicable law, regulatory and contractual constraints, industry practice and other business considerations that our Board considers relevant. Certain of the agreements governing our indebtedness restrict our ability and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and related warrants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Delaware law and in certain of our agreements could delay or prevent a change in control.</w:t>
      </w:r>
    </w:p>
    <w:p>
      <w:pPr>
        <w:spacing w:after="0" w:line="11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Provisions of our Charter and Bylaws, as well as provisions in the agreements with our licensors, may delay or prevent a merger or acquisition that a stockholder may consider favorable. For example, our Charter and Bylaws require advance notice of stockholder proposals and nominations, place limits on convening stockholder meetings and authorize our Board of Directors to issue one or more series of preferred stock. Delaware law also restricts some business combinations between any holder of 15% or more of our outstanding common stock and us. The fact that these provisions and statutory restrictions may discourage acquisition proposals or delay or prevent a change in control could harm our stock price.</w:t>
      </w:r>
    </w:p>
    <w:p>
      <w:pPr>
        <w:spacing w:after="0" w:line="7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Further, a change in control could result in an acceleration of our obligations under the Corporate Credit Facility or the indentures that govern our senior notes. Such debt acceleration could make it more difficult for us to attract potential buyers or to consummate a change in control transaction that would otherwise be beneficial to our stockholders.</w:t>
      </w:r>
    </w:p>
    <w:p>
      <w:pPr>
        <w:spacing w:after="0" w:line="1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39" w:name="page40"/>
    <w:bookmarkEnd w:id="39"/>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5"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We maintain a cybersecurity program designed to protect our information, and that of our customers, against cybersecurity threats that may result in adverse effects on the confidentiality, integrity, and availability of our information systems.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Board of Directors</w:t>
      </w:r>
    </w:p>
    <w:p>
      <w:pPr>
        <w:spacing w:after="0" w:line="111"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Our Board is responsible for overseeing our processes for assessing and managing enterprise risk, including with respect to cybersecurity. The Board considers our risk profile when reviewing our annual business plan and incorporates risk assessment into its decisions.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Board has delegated the primary responsibility for oversight of cybersecurity risk to the Audit Committee. The Audit Committee regularly reviews our cybersecurity and data security risks and mitigation strategies. At least twice each year, the Audit Committee receives reports and presentations from members of our team responsible for overseeing our cybersecurity risk management, including our Senior Vice President, Global Information Security (“SVP-GIS”) and our Executive Vice President and Chief Information Officer (“EVP-CIO”), and periodically receives reports and presentations from third parties. These reports may address a wide range of topics, including recent developments, evolving standards, third-party and independent reviews, the threat environment, technological trends and cybersecurity considerations arising with respect to our peers and third parties. The Audit Committee reports to the Board on cybersecurity matters. We also have protocols by which certain cybersecurity incidents that meet established reporting thresholds are escalated within the Company and, where appropriate, reported to the Audit Committee in a timely manner.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Management</w:t>
      </w:r>
    </w:p>
    <w:p>
      <w:pPr>
        <w:spacing w:after="0" w:line="11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We have implemented a cross-functional approach to identifying, preventing and mitigating cybersecurity threats and incidents, while also implementing controls and procedures that provide for the escalation of certain cybersecurity incidents.</w:t>
      </w:r>
    </w:p>
    <w:p>
      <w:pPr>
        <w:spacing w:after="0" w:line="5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At the management level, our SVP-GIS is responsible for the assessment and management of risks from cybersecurity threats. Our SVP-GIS has extensive cybersecurity knowledge and skills gained from over 25 years of experience in government and industries including retail and manufacturing, and industry certifications including Certified Information Systems Security Professional (“CISSP”) from ISC Squared and Global Information Assurance Certification (“GIAC”) from SANS Institute. Our SVP-GIS also has experience in forensic investigations, strategic cyber risk management, and cybersecurity program development. Our SVP-GIS leads the team responsible for implementing, monitoring and maintaining cybersecurity policies and practices across our business and reports directly to our EVP-CIO. Our SVP-GIS’s direct reports include a number of experienced cybersecurity leaders responsible for various aspects of our cybersecurity program, each of whom is supported by a team of experienced cybersecurity professionals.</w:t>
      </w:r>
    </w:p>
    <w:p>
      <w:pPr>
        <w:spacing w:after="0" w:line="7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The functions that report to our SVP-GIS include: cybersecurity risk management, Payment Card Industry compliance, and cybersecurity testing; operation of protective cybersecurity tools and systems; cybersecurity monitoring, incident response, and digital forensics; cybersecurity research and development and support for information technology and cybersecurity functions.</w:t>
      </w:r>
    </w:p>
    <w:p>
      <w:pPr>
        <w:spacing w:after="0" w:line="63"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Our SVP-GIS works closely with our Law Department and regularly engages expert consultants and other third parties to assist with assessing, identifying, and managing cybersecurity risks and to oversee compliance with legal, regulatory and contractual cybersecurity requirements. The EVP-CIO and SVP-GIS also periodically attend Audit Committee meetings to report on any material developments.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employ systems and processes designed to oversee, identify, and reduce the potential impact of a cybersecurity incident at a third-party vendor, service provider or customer or otherwise implicating the third-party technology and systems we use. Our processes and systems include automated tools and technical safeguards managed and monitored by our cybersecurity team. We currently carry cybersecurity insurance, however, we cannot assure you that we will be able to maintain such policies in the future or that they will be sufficient to cover all potential cybersecurity events or losses we incur in connection with such events.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40" w:name="page41"/>
    <w:bookmarkEnd w:id="40"/>
    <w:p>
      <w:pPr>
        <w:spacing w:after="0" w:line="255" w:lineRule="auto"/>
        <w:rPr>
          <w:sz w:val="20"/>
          <w:szCs w:val="20"/>
          <w:color w:val="auto"/>
        </w:rPr>
      </w:pPr>
      <w:r>
        <w:rPr>
          <w:rFonts w:ascii="Times New Roman" w:cs="Times New Roman" w:eastAsia="Times New Roman" w:hAnsi="Times New Roman"/>
          <w:sz w:val="17"/>
          <w:szCs w:val="17"/>
          <w:color w:val="auto"/>
        </w:rPr>
        <w:t>We require our associates to receive annual training on our cybersecurity policies and practices. This may include, but is not limited to, training regarding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 We also maintain written cybersecurity policies and procedures that apply to the entire Company and third parties who handle our data or have access to our information technology systems. These policies and procedures establish the framework for our cybersecurity program and cover topics such as acceptable use of information systems, cybersecurity risk management, access management, audit and logging, patching, and cybersecurity requirements for numerous technologies. These policies and procedures are reviewed at least annually, updated as necessary, and integrated into employee training programs and our technology procurement process. We are also subject to the Payment Card Industry Data Security Standard and perform an annual self-assessment according to the requirements set forth by the Payment Card Industry Security Standards Council.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Incident Response</w:t>
      </w:r>
    </w:p>
    <w:p>
      <w:pPr>
        <w:spacing w:after="0" w:line="11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have adopted an Incident Response Plan (the “IRP”) that applies in the event of a cybersecurity threat or incident to provide a standardized framework for responding to cybersecurity incidents. The IRP sets out a coordinated approach to investigating, containing, documenting and mitigating incidents, including reporting findings and keeping senior management and other key stakeholders informed and involved as appropriate. The IRP applies to all Company personnel (including third-party contractors, vendors and partners) that perform functions or services that require access to secure Company information, and to all devices and network services that are owned or managed by the Company.</w:t>
      </w:r>
    </w:p>
    <w:p>
      <w:pPr>
        <w:spacing w:after="0" w:line="7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7"/>
          <w:szCs w:val="17"/>
          <w:color w:val="auto"/>
        </w:rPr>
        <w:t>The SVP-GIS is responsible for maintaining our IRP. Potentially significant threats are escalated to an interdisciplinary data breach response team (the “DBRT”), which is led by our EVP-CIO and co-chaired by the SVP-GIS, our head of data privacy, and a representative from our Law Department. The DBRT is responsible for oversight and handling of significant cybersecurity threats, incidents, and issues through a documented process. Potentially material cybersecurity incidents are escalated by our EVP-CIO to executive management and reviewed with members of the Company’s Disclosure Committee.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Material Cybersecurity Risk, Threats &amp; Incidents</w:t>
      </w:r>
    </w:p>
    <w:p>
      <w:pPr>
        <w:spacing w:after="0" w:line="1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Routinely, we partner with and use third-party service providers and products that host, manage, or control sensitive data. We and the companies we work with have experienced cybersecurity incidents involving our data and systems, including ransomware and other forms of malware and computer virus attacks, unauthorized access, systems failures and temporary disruptions. For example, in June 2018, we identified forged and fraudulently induced electronic payment disbursements we made to third parties in an aggregate amount of $10 million resulting from unauthorized third-party access to our email system. Risks from cybersecurity incidents, including as a result of the June 2018 incident, have not materially affected us, including our business strategy, results of operations or financial condition for the periods covered by this Annual Report, and we do not believe that such risks are reasonably likely to have such an effect over the long term. Additional information on cybersecurity risks we face can be found in Part I, Item 1A “Risk Factors” of this Annual Report under the heading “Failure to maintain the integrity of internal or customer data or to protect our information systems from cyber-attacks could disrupt our business, damage our reputation, and subject us to costs, fines or lawsuits,” which should be read in conjunction with the foregoing information.</w:t>
      </w:r>
    </w:p>
    <w:p>
      <w:pPr>
        <w:spacing w:after="0" w:line="1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1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7"/>
          <w:szCs w:val="17"/>
          <w:color w:val="auto"/>
        </w:rPr>
        <w:t>As of December 31, 2024, our vacation ownership portfolio consisted of approximately 120 properties in the United States and thirteen other countries and territories. These properties are described in Part I, Item 1, “Business” of this Annual Report. Except as indicated in Part I, Item 1, “Business,” we own unsold inventory at these properties. We also own, manage or lease golf courses, fitness, spa and sports facilities, undeveloped and partially developed land and other common area assets at some of our resorts in our Vacation Ownership segment, including resort lobbies and food and beverage outlets.</w:t>
      </w:r>
    </w:p>
    <w:p>
      <w:pPr>
        <w:spacing w:after="0" w:line="70"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7"/>
          <w:szCs w:val="17"/>
          <w:color w:val="auto"/>
        </w:rPr>
        <w:t>In addition, we own or lease our regional offices and sales centers, both in the United States and internationally. We lease our corporate headquarters in Orlando, Florida under a finance lease arrangement that commenced in 2023, upon the substantial completion of construction. In the fourth quarter of 2023, we relocated from our former corporate headquarters to our new corporate headquarters office building.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1" w:name="page42"/>
    <w:bookmarkEnd w:id="4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Currently, and from time to time, we are subject to claims in legal proceedings arising in the normal course of business, including, among others, the legal actions discussed under “Loss Contingencies” in Footnote 13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w:t>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and Dividends</w:t>
      </w:r>
    </w:p>
    <w:p>
      <w:pPr>
        <w:spacing w:after="0" w:line="1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any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24, 2025, there were 21,273 holders of record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Maximum Dollar</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3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Pr>
          <w:p>
            <w:pPr>
              <w:spacing w:after="0"/>
              <w:rPr>
                <w:sz w:val="13"/>
                <w:szCs w:val="13"/>
                <w:color w:val="auto"/>
              </w:rPr>
            </w:pPr>
          </w:p>
        </w:tc>
        <w:tc>
          <w:tcPr>
            <w:tcW w:w="164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Amount of Shares That</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as Part of Publicly</w:t>
            </w:r>
          </w:p>
        </w:tc>
        <w:tc>
          <w:tcPr>
            <w:tcW w:w="100" w:type="dxa"/>
            <w:vAlign w:val="bottom"/>
          </w:tcPr>
          <w:p>
            <w:pPr>
              <w:spacing w:after="0"/>
              <w:rPr>
                <w:sz w:val="13"/>
                <w:szCs w:val="13"/>
                <w:color w:val="auto"/>
              </w:rPr>
            </w:pPr>
          </w:p>
        </w:tc>
        <w:tc>
          <w:tcPr>
            <w:tcW w:w="16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May Yet Be Purchased</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Price Paid</w:t>
            </w:r>
          </w:p>
        </w:tc>
        <w:tc>
          <w:tcPr>
            <w:tcW w:w="13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Announced Plans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78"/>
              <w:spacing w:after="0" w:line="154" w:lineRule="exact"/>
              <w:rPr>
                <w:sz w:val="20"/>
                <w:szCs w:val="20"/>
                <w:color w:val="auto"/>
              </w:rPr>
            </w:pPr>
            <w:r>
              <w:rPr>
                <w:rFonts w:ascii="Times New Roman" w:cs="Times New Roman" w:eastAsia="Times New Roman" w:hAnsi="Times New Roman"/>
                <w:sz w:val="15"/>
                <w:szCs w:val="15"/>
                <w:b w:val="1"/>
                <w:bCs w:val="1"/>
                <w:color w:val="auto"/>
              </w:rPr>
              <w:t>Under the Plans or</w:t>
            </w: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7"/>
                <w:szCs w:val="17"/>
                <w:color w:val="auto"/>
              </w:rPr>
            </w:pPr>
          </w:p>
        </w:tc>
        <w:tc>
          <w:tcPr>
            <w:tcW w:w="1060" w:type="dxa"/>
            <w:vAlign w:val="bottom"/>
            <w:gridSpan w:val="3"/>
          </w:tcPr>
          <w:p>
            <w:pPr>
              <w:jc w:val="center"/>
              <w:ind w:right="140"/>
              <w:spacing w:after="0" w:line="204" w:lineRule="exact"/>
              <w:rPr>
                <w:sz w:val="20"/>
                <w:szCs w:val="20"/>
                <w:color w:val="auto"/>
              </w:rPr>
            </w:pPr>
            <w:r>
              <w:rPr>
                <w:rFonts w:ascii="Times New Roman" w:cs="Times New Roman" w:eastAsia="Times New Roman" w:hAnsi="Times New Roman"/>
                <w:sz w:val="15"/>
                <w:szCs w:val="15"/>
                <w:b w:val="1"/>
                <w:bCs w:val="1"/>
                <w:color w:val="auto"/>
                <w:w w:val="97"/>
              </w:rPr>
              <w:t>per Share</w:t>
            </w:r>
            <w:r>
              <w:rPr>
                <w:rFonts w:ascii="Times New Roman" w:cs="Times New Roman" w:eastAsia="Times New Roman" w:hAnsi="Times New Roman"/>
                <w:sz w:val="19"/>
                <w:szCs w:val="19"/>
                <w:color w:val="auto"/>
                <w:w w:val="97"/>
                <w:vertAlign w:val="superscript"/>
              </w:rPr>
              <w:t>(2)</w:t>
            </w:r>
          </w:p>
        </w:tc>
        <w:tc>
          <w:tcPr>
            <w:tcW w:w="1320" w:type="dxa"/>
            <w:vAlign w:val="bottom"/>
          </w:tcPr>
          <w:p>
            <w:pPr>
              <w:jc w:val="center"/>
              <w:spacing w:after="0" w:line="204" w:lineRule="exact"/>
              <w:rPr>
                <w:sz w:val="20"/>
                <w:szCs w:val="20"/>
                <w:color w:val="auto"/>
              </w:rPr>
            </w:pPr>
            <w:r>
              <w:rPr>
                <w:rFonts w:ascii="Times New Roman" w:cs="Times New Roman" w:eastAsia="Times New Roman" w:hAnsi="Times New Roman"/>
                <w:sz w:val="15"/>
                <w:szCs w:val="15"/>
                <w:b w:val="1"/>
                <w:bCs w:val="1"/>
                <w:color w:val="auto"/>
                <w:w w:val="97"/>
              </w:rPr>
              <w:t>or Programs</w:t>
            </w:r>
            <w:r>
              <w:rPr>
                <w:rFonts w:ascii="Times New Roman" w:cs="Times New Roman" w:eastAsia="Times New Roman" w:hAnsi="Times New Roman"/>
                <w:sz w:val="19"/>
                <w:szCs w:val="19"/>
                <w:b w:val="1"/>
                <w:bCs w:val="1"/>
                <w:color w:val="auto"/>
                <w:w w:val="97"/>
                <w:vertAlign w:val="superscript"/>
              </w:rPr>
              <w:t>(</w:t>
            </w:r>
            <w:r>
              <w:rPr>
                <w:rFonts w:ascii="Times New Roman" w:cs="Times New Roman" w:eastAsia="Times New Roman" w:hAnsi="Times New Roman"/>
                <w:sz w:val="19"/>
                <w:szCs w:val="19"/>
                <w:color w:val="auto"/>
                <w:w w:val="97"/>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8"/>
              <w:spacing w:after="0" w:line="204" w:lineRule="exact"/>
              <w:rPr>
                <w:sz w:val="20"/>
                <w:szCs w:val="20"/>
                <w:color w:val="auto"/>
              </w:rPr>
            </w:pPr>
            <w:r>
              <w:rPr>
                <w:rFonts w:ascii="Times New Roman" w:cs="Times New Roman" w:eastAsia="Times New Roman" w:hAnsi="Times New Roman"/>
                <w:sz w:val="15"/>
                <w:szCs w:val="15"/>
                <w:b w:val="1"/>
                <w:bCs w:val="1"/>
                <w:color w:val="auto"/>
                <w:w w:val="94"/>
              </w:rPr>
              <w:t>Programs</w:t>
            </w:r>
            <w:r>
              <w:rPr>
                <w:rFonts w:ascii="Times New Roman" w:cs="Times New Roman" w:eastAsia="Times New Roman" w:hAnsi="Times New Roman"/>
                <w:sz w:val="19"/>
                <w:szCs w:val="19"/>
                <w:color w:val="auto"/>
                <w:w w:val="94"/>
                <w:vertAlign w:val="superscript"/>
              </w:rPr>
              <w:t>(1)(2)</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2024 – October 31,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390,959,238</w:t>
            </w: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2024 – November 30,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388,803,983</w:t>
            </w:r>
          </w:p>
        </w:tc>
        <w:tc>
          <w:tcPr>
            <w:tcW w:w="0" w:type="dxa"/>
            <w:vAlign w:val="bottom"/>
          </w:tcPr>
          <w:p>
            <w:pPr>
              <w:spacing w:after="0"/>
              <w:rPr>
                <w:sz w:val="1"/>
                <w:szCs w:val="1"/>
                <w:color w:val="auto"/>
              </w:rPr>
            </w:pPr>
          </w:p>
        </w:tc>
      </w:tr>
      <w:tr>
        <w:trPr>
          <w:trHeight w:val="24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2024 – December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91.65</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383,241,012</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86.84</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383,241,012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left="300" w:right="80" w:hanging="298"/>
        <w:spacing w:after="0" w:line="238" w:lineRule="auto"/>
        <w:tabs>
          <w:tab w:leader="none" w:pos="28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w:t>
      </w:r>
    </w:p>
    <w:p>
      <w:pPr>
        <w:spacing w:after="0" w:line="189" w:lineRule="exact"/>
        <w:rPr>
          <w:rFonts w:ascii="Times New Roman" w:cs="Times New Roman" w:eastAsia="Times New Roman" w:hAnsi="Times New Roman"/>
          <w:sz w:val="22"/>
          <w:szCs w:val="22"/>
          <w:color w:val="auto"/>
          <w:vertAlign w:val="superscript"/>
        </w:rPr>
      </w:pPr>
    </w:p>
    <w:p>
      <w:pPr>
        <w:ind w:left="300" w:hanging="298"/>
        <w:spacing w:after="0" w:line="228" w:lineRule="auto"/>
        <w:tabs>
          <w:tab w:leader="none" w:pos="28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dollar amounts presented exclude the nondeductible 1% excise tax on the net value of certain stock repurchases that was imposed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83820</wp:posOffset>
            </wp:positionV>
            <wp:extent cx="4543425" cy="2758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43425" cy="275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above graph compares the relative performance of our common stock, the S&amp;P MidCap 400 Index (which has included our common stock since our acquisition of ILG), and the S&amp;P Composite 1500 Hotels, Resorts &amp; Cruise Lines Index. The graph assumes that $100 was invested in our common stock and each index on December 31, 2019.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3" w:name="page44"/>
    <w:bookmarkEnd w:id="43"/>
    <w:p>
      <w:pPr>
        <w:ind w:right="3920"/>
        <w:spacing w:after="0" w:line="376" w:lineRule="auto"/>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results of operations and financial condition together with our audited historical consolidated financial statements and accompanying notes in Part II, “Item 8. Financial Statements and Supplementary Data,” and Part I, “Item 1. Business,” of this Annual Report.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6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58" w:lineRule="exact"/>
        <w:rPr>
          <w:sz w:val="20"/>
          <w:szCs w:val="20"/>
          <w:color w:val="auto"/>
        </w:rPr>
      </w:pPr>
    </w:p>
    <w:p>
      <w:pPr>
        <w:ind w:right="20"/>
        <w:spacing w:after="0" w:line="293" w:lineRule="auto"/>
        <w:rPr>
          <w:rFonts w:ascii="Times New Roman" w:cs="Times New Roman" w:eastAsia="Times New Roman" w:hAnsi="Times New Roman"/>
          <w:sz w:val="16"/>
          <w:szCs w:val="16"/>
          <w:i w:val="1"/>
          <w:iCs w:val="1"/>
          <w:color w:val="0000FF"/>
        </w:rPr>
      </w:pPr>
      <w:r>
        <w:rPr>
          <w:rFonts w:ascii="Times New Roman" w:cs="Times New Roman" w:eastAsia="Times New Roman" w:hAnsi="Times New Roman"/>
          <w:sz w:val="16"/>
          <w:szCs w:val="16"/>
          <w:i w:val="1"/>
          <w:iCs w:val="1"/>
          <w:color w:val="auto"/>
        </w:rPr>
        <w:t xml:space="preserve">Our discussion and analysis of fiscal year 2024 to fiscal year 2023 is included herein. Our discussion and analysis of fiscal year 2023 to fiscal year 2022 has been omitted from this Form 10-K and can be found in Part II, “Item 7. Management’s Discussion and Analysis of Financial Condition and Results of Operations” of our </w:t>
      </w:r>
      <w:hyperlink r:id="rId60">
        <w:r>
          <w:rPr>
            <w:rFonts w:ascii="Times New Roman" w:cs="Times New Roman" w:eastAsia="Times New Roman" w:hAnsi="Times New Roman"/>
            <w:sz w:val="16"/>
            <w:szCs w:val="16"/>
            <w:i w:val="1"/>
            <w:iCs w:val="1"/>
            <w:u w:val="single" w:color="auto"/>
            <w:color w:val="0000FF"/>
          </w:rPr>
          <w:t>Annual Report on Form 10-K for the fiscal year ended December 31, 2023</w:t>
        </w:r>
      </w:hyperlink>
      <w:r>
        <w:rPr>
          <w:rFonts w:ascii="Times New Roman" w:cs="Times New Roman" w:eastAsia="Times New Roman" w:hAnsi="Times New Roman"/>
          <w:sz w:val="16"/>
          <w:szCs w:val="16"/>
          <w:i w:val="1"/>
          <w:iCs w:val="1"/>
          <w:color w:val="000000"/>
        </w:rPr>
        <w:t>,</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i w:val="1"/>
          <w:iCs w:val="1"/>
          <w:color w:val="000000"/>
        </w:rPr>
        <w:t>which was filed with the Securities and Exchange Commission on February 27,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15"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7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5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 In April 2022, we disposed of VRI Americas after determining that the business was not a core component of our future growth strategy and operating model. This business was a component of our Exchange &amp; Third-Party Management segment through the date of the sale.</w:t>
      </w:r>
    </w:p>
    <w:p>
      <w:pPr>
        <w:spacing w:after="0" w:line="70"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17"/>
          <w:szCs w:val="17"/>
          <w:color w:val="auto"/>
        </w:rPr>
        <w:t>Corporate and other represents that portion of our results that are not allocable to our segments, including those relating to Consolidated Property Owners’ Associations.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Accounting Policies Used in Describing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Vacation Ownership Products</w:t>
      </w:r>
    </w:p>
    <w:p>
      <w:pPr>
        <w:spacing w:after="0" w:line="11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(also referred to as “VOIs”) when control of the vacation ownership product is transferred to the customer and the transaction price is deemed collectible. Based upon the different terms of our contracts with the customer and business practices, control of the vacation ownership product has historically transferred to the customer at different points in time for each brand of VOIs. In the third quarter of 2022 and the fourth quarter of 2024, we aligned our business practices and contract terms for the sale of vacation ownership products (the “Contract Alignments”), resulting in the prospective change in the timing of the transfer of control to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44" w:name="page45"/>
    <w:bookmarkEnd w:id="44"/>
    <w:p>
      <w:pPr>
        <w:spacing w:after="0" w:line="259" w:lineRule="auto"/>
        <w:rPr>
          <w:sz w:val="20"/>
          <w:szCs w:val="20"/>
          <w:color w:val="auto"/>
        </w:rPr>
      </w:pPr>
      <w:r>
        <w:rPr>
          <w:rFonts w:ascii="Times New Roman" w:cs="Times New Roman" w:eastAsia="Times New Roman" w:hAnsi="Times New Roman"/>
          <w:sz w:val="17"/>
          <w:szCs w:val="17"/>
          <w:color w:val="auto"/>
        </w:rPr>
        <w:t>customer for Marriott-branded VOIs and Hyatt-branded VOIs derived from Legacy-Welk sales contracts, respectively. Prior to these changes, control transfer occurred at closing for these vacation ownership products. Subsequent to the Contract Alignments, transfer of control of these vacation ownership products occurs at expiration of the statutory rescission period, consistent with the historical timing of Sheraton-, Westin- and Hyatt- branded transactions. Marriott-branded VOIs and Hyatt-branded VOIs derived from Legacy-Welk sales contracts executed prior to the applicable Contract Alignment have been accounted for with the transfer of control of the VOI occurring at closing.</w:t>
      </w:r>
    </w:p>
    <w:p>
      <w:pPr>
        <w:spacing w:after="0" w:line="7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50"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We also provide sales incentives to certain purchasers. These sales incentives typically include Marriott Bonvoy points, World of Hyatt points or an alternative sales incentive that we refer to as “plus points.” Plus points are redeemable for stays at our resorts or for use in other third-party offerings, generally up to two years from the date of issuance.</w:t>
      </w:r>
    </w:p>
    <w:p>
      <w:pPr>
        <w:spacing w:after="0" w:line="5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Finally, as more fully described in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below, we record the difference between the contract receivable or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a customer applies any or all of their existing ownership interests as part of the purchase price for additional interests (also referred to as an equity upgrade),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Cost of vacation ownership products includes costs to acquire,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 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 and Exchange</w:t>
      </w:r>
    </w:p>
    <w:p>
      <w:pPr>
        <w:spacing w:after="0" w:line="11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Our management and exchange revenues include revenues generated from fees we earn for managing each of our vacation ownership resorts, providing property management, owners’ association management and related services and fees we earn for providing rental services and related hotel, condominium resort, and owners’ association management services to vacation property owners.</w:t>
      </w:r>
    </w:p>
    <w:p>
      <w:pPr>
        <w:spacing w:after="0" w:line="63"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5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Management and exchange expenses include costs to operate the food and beverage outlets and other ancillary operations and to provide overall customer support services, including reservations, and certain transaction-based expenses relating to exchange service providers.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Vacation Ownership segment and Consolidated Property Owners’ Associations, we refer to these activities as “Resort Management and Other Services.”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11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We offer financing to qualified customers for the purchase of most types of our vacation ownership products. The typical financing agreement provides for monthly payments of principal and interest with the principal balance of the loan fully amortizing over the term of the related vacation ownership note receivable, which is generally ten to fifteen years. While we adjust interest rates on our financing programs from time to time, such changes are typically not made in lockstep with the timing and magnitude of changes in broader market rates. We may use incentives to encourage our customers to choose our financing. Included within our vacation ownership notes receivable are originated vacation ownership notes receivable and vacation ownership notes receivable acquired in connection with the ILG Acquisition and the Welk Acquisition.</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and defaults. We calculate financing propensity as contract sales volume of financed contracts originated in the period divided by contract sales volume of all contracts originated in the period. We do not include resales contract sales in the financing propensity calculation. First-time buyers are more likely to finance their purchases and remain an integral part of our overall marketing and sales strategy.</w:t>
      </w:r>
    </w:p>
    <w:p>
      <w:pPr>
        <w:spacing w:after="0" w:line="7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and the estimated value of collateral securing the acquired vacation ownership notes receivable.</w:t>
      </w:r>
    </w:p>
    <w:p>
      <w:pPr>
        <w:spacing w:after="0" w:line="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that result in decreases or increases to the reserve for originated vacation ownership notes receivable can increase or decrease revenues, respectively. In contrast, for acquired vacation ownership notes receivable, we record changes to the reserve as an adjustment to Financing expenses on our Income Statements.</w:t>
      </w:r>
    </w:p>
    <w:p>
      <w:pPr>
        <w:spacing w:after="0" w:line="70"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7"/>
          <w:szCs w:val="17"/>
          <w:color w:val="auto"/>
        </w:rPr>
        <w:t>As a result of the unification of our Marriott-, Sheraton- and Westin- branded vacation ownership products under the Abound by Marriott Vacations program and stabilization of the default rates, in the third quarter of 2022, we combined and aligned our reserve methodology for vacation ownership notes receivable for our Marriott, Sheraton and Westin brands. See Footnote 6 “Vacation Ownership Notes Receivable” to our Financial Statements for further information.</w:t>
      </w:r>
    </w:p>
    <w:p>
      <w:pPr>
        <w:spacing w:after="0" w:line="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considered to be an operating expense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w:t>
      </w:r>
    </w:p>
    <w:p>
      <w:pPr>
        <w:spacing w:after="0" w:line="11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In our Vacation Ownership segment, we operate a rental business to provide owner flexibility and to help mitigate carrying costs associated with our inventory. We obtain rental inventory and generate revenue from rentals of inventory that we hold for sale as interests in our vacation ownership programs, inventory that we control because our owners have elected alternative usage options permitted under our vacation ownership programs and rentals of unregistered inventory and owned-hotel properties. We also recognize rental revenue from the utilization of plus points at redemption for rental stays at one of our resorts or other third-party offerings. For rental revenues associated with vacation ownership products which we own and which are registered and held for sale, to the extent that the revenues from rental are less than costs, revenues are reported net in accordance with Accounting Standards Codification (“ASC”) Topic 978, “</w:t>
      </w:r>
      <w:r>
        <w:rPr>
          <w:rFonts w:ascii="Times New Roman" w:cs="Times New Roman" w:eastAsia="Times New Roman" w:hAnsi="Times New Roman"/>
          <w:sz w:val="17"/>
          <w:szCs w:val="17"/>
          <w:i w:val="1"/>
          <w:iCs w:val="1"/>
          <w:color w:val="auto"/>
        </w:rPr>
        <w:t>Real Estate - Time-Sharing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Activities</w:t>
      </w:r>
      <w:r>
        <w:rPr>
          <w:rFonts w:ascii="Times New Roman" w:cs="Times New Roman" w:eastAsia="Times New Roman" w:hAnsi="Times New Roman"/>
          <w:sz w:val="17"/>
          <w:szCs w:val="17"/>
          <w:color w:val="auto"/>
        </w:rPr>
        <w:t>” (“ASC 978”). The rental activity associated with discounted vacation packages requiring a tour (“preview stays”) is not included in transient rental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metrics, and because the majority of these preview stays are sourced directly or indirectly from unsold inventory, the associated revenues and expenses are reported net in Marketing and sales expense.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6" w:name="page47"/>
    <w:bookmarkEnd w:id="46"/>
    <w:p>
      <w:pPr>
        <w:ind w:right="20"/>
        <w:spacing w:after="0" w:line="259" w:lineRule="auto"/>
        <w:rPr>
          <w:sz w:val="20"/>
          <w:szCs w:val="20"/>
          <w:color w:val="auto"/>
        </w:rPr>
      </w:pPr>
      <w:r>
        <w:rPr>
          <w:rFonts w:ascii="Times New Roman" w:cs="Times New Roman" w:eastAsia="Times New Roman" w:hAnsi="Times New Roman"/>
          <w:sz w:val="17"/>
          <w:szCs w:val="17"/>
          <w:color w:val="auto"/>
        </w:rPr>
        <w:t>In our Exchange &amp; Third-Party Management segment, we offer vacation rental offers known as Getaways to members of the Interval Network and certain other membership programs. Getaways allows us to monetize excess availability of resort accommodations within the applicable exchange network, as well as provide additional vacation opportunities to members. Resort accommodations typically become available as Getaways as a result of seasonal oversupply or underutilized space in the applicable exchange program. We also source resort accommodations specifically for the Getaways program. Rental revenues associated with Getaways are reported net of related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expenses include:</w:t>
      </w:r>
    </w:p>
    <w:p>
      <w:pPr>
        <w:spacing w:after="0" w:line="60" w:lineRule="exact"/>
        <w:rPr>
          <w:sz w:val="20"/>
          <w:szCs w:val="20"/>
          <w:color w:val="auto"/>
        </w:rPr>
      </w:pPr>
    </w:p>
    <w:p>
      <w:pPr>
        <w:ind w:left="300" w:hanging="298"/>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other fees on unsold inventory;</w:t>
      </w:r>
    </w:p>
    <w:p>
      <w:pPr>
        <w:spacing w:after="0" w:line="60" w:lineRule="exact"/>
        <w:rPr>
          <w:rFonts w:ascii="Times New Roman" w:cs="Times New Roman" w:eastAsia="Times New Roman" w:hAnsi="Times New Roman"/>
          <w:sz w:val="17"/>
          <w:szCs w:val="17"/>
          <w:color w:val="auto"/>
        </w:rPr>
      </w:pPr>
    </w:p>
    <w:p>
      <w:pPr>
        <w:ind w:left="300" w:right="100" w:hanging="298"/>
        <w:spacing w:after="0" w:line="282" w:lineRule="auto"/>
        <w:tabs>
          <w:tab w:leader="none" w:pos="2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provide alternative usage options, including Marriott Bonvoy points, World of Hyatt points, and offerings available as part of third-party offerings, for owners who elect to exchange their inventory; and</w:t>
      </w:r>
    </w:p>
    <w:p>
      <w:pPr>
        <w:ind w:left="300" w:right="180" w:hanging="298"/>
        <w:spacing w:after="0" w:line="283" w:lineRule="auto"/>
        <w:tabs>
          <w:tab w:leader="none" w:pos="2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costs and direct operating and related expenses in connection with the rental business (such as housekeeping, labor costs, credit card expenses, and reservation services).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rental inventory on hand and keys allocated for preview stays. In addition, rental metrics may not correlate with rental revenues due to the requirement to report certain rental revenues net of rental expenses in accordance with ASC 978 (as discussed above). Further, as our ability to rent certain inventory may be limited on a site-by-site basis, rental operations may not generate adequate rental revenues to cover associated costs. Our Vacation Ownership segment units are either “full villas” or “lock-off” villas. Lock-off villas are units that can be separated into a primary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Reimbursements</w:t>
      </w:r>
    </w:p>
    <w:p>
      <w:pPr>
        <w:spacing w:after="0" w:line="115"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7"/>
          <w:szCs w:val="17"/>
          <w:color w:val="auto"/>
        </w:rPr>
        <w:t>Cost reimbursements include direct and indirect costs that are reimbursed to us by owners’ associations and customers under management contracts. All costs reimbursed to us by owners’ associations and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consists of all interest expense other than consumer financing interest expense, which is included within Financing expense, net of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Transaction and Integration Costs</w:t>
      </w:r>
    </w:p>
    <w:p>
      <w:pPr>
        <w:spacing w:after="0" w:line="11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Transaction and integration costs primarily include fees paid to change-management consultants, technology-related costs associated with the integrations of ILG and Welk and charges for employee retention, severance and other termination-related benefits. Transaction and integration costs also include costs related to the ILG and Welk Acquisitions, primarily for financial advisory, legal, and other professional service fees, as well as certain tax-related accruals. During the third quarter of 2023 and the second quarter of 2024, we discontinued classifying costs associated with the continued integration of ILG and Welk, respectively, in Transaction and integration costs. Further integration costs incurred after these periods are reflected in the operating results of each of our segments and/or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color w:val="auto"/>
        </w:rPr>
        <w:t>Performance Measures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operating performance using the key metrics described below:</w:t>
      </w:r>
    </w:p>
    <w:p>
      <w:pPr>
        <w:spacing w:after="0" w:line="158" w:lineRule="exact"/>
        <w:rPr>
          <w:sz w:val="20"/>
          <w:szCs w:val="20"/>
          <w:color w:val="auto"/>
        </w:rPr>
      </w:pPr>
    </w:p>
    <w:p>
      <w:pPr>
        <w:ind w:left="300" w:right="400" w:hanging="144"/>
        <w:spacing w:after="0" w:line="288"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Contract sales from the sale of vacation ownership products </w:t>
      </w:r>
      <w:r>
        <w:rPr>
          <w:rFonts w:ascii="Times New Roman" w:cs="Times New Roman" w:eastAsia="Times New Roman" w:hAnsi="Times New Roman"/>
          <w:sz w:val="17"/>
          <w:szCs w:val="17"/>
          <w:color w:val="auto"/>
        </w:rPr>
        <w:t>is considered to be an important operating measure because it reflects the pace of sales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w:t>
      </w:r>
    </w:p>
    <w:p>
      <w:pPr>
        <w:spacing w:after="0" w:line="97"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 sales include contract sales from the sale of vacation ownership products, including non-consolidated joint ventures.</w:t>
      </w:r>
    </w:p>
    <w:p>
      <w:pPr>
        <w:spacing w:after="0" w:line="162"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contract sales exclude contract sales from the sale of vacation ownership products for non-consolidated joint ventures.</w:t>
      </w:r>
    </w:p>
    <w:p>
      <w:pPr>
        <w:spacing w:after="0" w:line="158" w:lineRule="exact"/>
        <w:rPr>
          <w:rFonts w:ascii="Times New Roman" w:cs="Times New Roman" w:eastAsia="Times New Roman" w:hAnsi="Times New Roman"/>
          <w:sz w:val="17"/>
          <w:szCs w:val="17"/>
          <w:color w:val="auto"/>
        </w:rPr>
      </w:pPr>
    </w:p>
    <w:p>
      <w:pPr>
        <w:ind w:left="300" w:hanging="144"/>
        <w:spacing w:after="0" w:line="269"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Volume per guest </w:t>
      </w:r>
      <w:r>
        <w:rPr>
          <w:rFonts w:ascii="Times New Roman" w:cs="Times New Roman" w:eastAsia="Times New Roman" w:hAnsi="Times New Roman"/>
          <w:sz w:val="17"/>
          <w:szCs w:val="17"/>
          <w:color w:val="auto"/>
        </w:rPr>
        <w:t>(“VPG”) is calculated by dividing consolidated vacation ownership contract sales, excluding fractional sales, telesales, resales, and other sales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that are not attributed to a sales tour (referred to as </w:t>
      </w:r>
      <w:r>
        <w:rPr>
          <w:rFonts w:ascii="Times New Roman" w:cs="Times New Roman" w:eastAsia="Times New Roman" w:hAnsi="Times New Roman"/>
          <w:sz w:val="17"/>
          <w:szCs w:val="17"/>
          <w:i w:val="1"/>
          <w:iCs w:val="1"/>
          <w:color w:val="auto"/>
        </w:rPr>
        <w:t>Tours</w:t>
      </w:r>
      <w:r>
        <w:rPr>
          <w:rFonts w:ascii="Times New Roman" w:cs="Times New Roman" w:eastAsia="Times New Roman" w:hAnsi="Times New Roman"/>
          <w:sz w:val="17"/>
          <w:szCs w:val="17"/>
          <w:color w:val="auto"/>
        </w:rPr>
        <w:t>, see below), by the number of tours in a given period. We believe that VPG is valuable in evaluating the effectiveness of the sales process as it combines the impact of average contract price with the number of touring guests who make a purchase.</w:t>
      </w:r>
    </w:p>
    <w:p>
      <w:pPr>
        <w:spacing w:after="0" w:line="109" w:lineRule="exact"/>
        <w:rPr>
          <w:rFonts w:ascii="Times New Roman" w:cs="Times New Roman" w:eastAsia="Times New Roman" w:hAnsi="Times New Roman"/>
          <w:sz w:val="17"/>
          <w:szCs w:val="17"/>
          <w:color w:val="auto"/>
        </w:rPr>
      </w:pPr>
    </w:p>
    <w:p>
      <w:pPr>
        <w:ind w:left="300" w:right="380" w:hanging="144"/>
        <w:spacing w:after="0" w:line="288"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Tours </w:t>
      </w:r>
      <w:r>
        <w:rPr>
          <w:rFonts w:ascii="Times New Roman" w:cs="Times New Roman" w:eastAsia="Times New Roman" w:hAnsi="Times New Roman"/>
          <w:sz w:val="17"/>
          <w:szCs w:val="17"/>
          <w:color w:val="auto"/>
        </w:rPr>
        <w:t>is the number of sales tours performed during the applicable period, and generally includes virtual and offsite sales tours, and excludes telesales.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believe that Tours is a valuable metric because it represents the volume of touring guests.</w:t>
      </w:r>
    </w:p>
    <w:p>
      <w:pPr>
        <w:spacing w:after="0" w:line="93" w:lineRule="exact"/>
        <w:rPr>
          <w:rFonts w:ascii="Times New Roman" w:cs="Times New Roman" w:eastAsia="Times New Roman" w:hAnsi="Times New Roman"/>
          <w:sz w:val="17"/>
          <w:szCs w:val="17"/>
          <w:color w:val="auto"/>
        </w:rPr>
      </w:pPr>
    </w:p>
    <w:p>
      <w:pPr>
        <w:ind w:left="300" w:right="120" w:hanging="144"/>
        <w:spacing w:after="0" w:line="269" w:lineRule="auto"/>
        <w:tabs>
          <w:tab w:leader="none" w:pos="29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Development profit margin </w:t>
      </w:r>
      <w:r>
        <w:rPr>
          <w:rFonts w:ascii="Times New Roman" w:cs="Times New Roman" w:eastAsia="Times New Roman" w:hAnsi="Times New Roman"/>
          <w:sz w:val="17"/>
          <w:szCs w:val="17"/>
          <w:color w:val="auto"/>
        </w:rPr>
        <w:t>is calculated by dividing Development profit by revenues from the sale of vacation ownership products. We refer to revenues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sale of 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spacing w:after="0" w:line="109" w:lineRule="exact"/>
        <w:rPr>
          <w:rFonts w:ascii="Times New Roman" w:cs="Times New Roman" w:eastAsia="Times New Roman" w:hAnsi="Times New Roman"/>
          <w:sz w:val="17"/>
          <w:szCs w:val="17"/>
          <w:i w:val="1"/>
          <w:iCs w:val="1"/>
          <w:color w:val="auto"/>
        </w:rPr>
      </w:pPr>
    </w:p>
    <w:p>
      <w:pPr>
        <w:ind w:left="300" w:right="280" w:hanging="144"/>
        <w:spacing w:after="0" w:line="288"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active members </w:t>
      </w:r>
      <w:r>
        <w:rPr>
          <w:rFonts w:ascii="Times New Roman" w:cs="Times New Roman" w:eastAsia="Times New Roman" w:hAnsi="Times New Roman"/>
          <w:sz w:val="17"/>
          <w:szCs w:val="17"/>
          <w:color w:val="auto"/>
        </w:rPr>
        <w:t>is the number of Interval Network active members at the end of the applicable period. We consider active members to be an important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metric because it represents the population of owners eligible to book transactions using the Interval Network.</w:t>
      </w:r>
    </w:p>
    <w:p>
      <w:pPr>
        <w:spacing w:after="0" w:line="93" w:lineRule="exact"/>
        <w:rPr>
          <w:rFonts w:ascii="Times New Roman" w:cs="Times New Roman" w:eastAsia="Times New Roman" w:hAnsi="Times New Roman"/>
          <w:sz w:val="17"/>
          <w:szCs w:val="17"/>
          <w:color w:val="auto"/>
        </w:rPr>
      </w:pPr>
    </w:p>
    <w:p>
      <w:pPr>
        <w:ind w:left="300" w:right="40" w:hanging="144"/>
        <w:spacing w:after="0" w:line="269"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revenue per member </w:t>
      </w:r>
      <w:r>
        <w:rPr>
          <w:rFonts w:ascii="Times New Roman" w:cs="Times New Roman" w:eastAsia="Times New Roman" w:hAnsi="Times New Roman"/>
          <w:sz w:val="17"/>
          <w:szCs w:val="17"/>
          <w:color w:val="auto"/>
        </w:rPr>
        <w:t>is calculated by dividing membership fee revenue, transaction revenue, rental revenue, and other member revenue for the Interval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 by the monthly weighted average number of Interval Network active members during the applicable period. We believe this metric is valuable in measuring the overall engagement of our Interval Network active members.</w:t>
      </w:r>
    </w:p>
    <w:p>
      <w:pPr>
        <w:spacing w:after="0" w:line="109" w:lineRule="exact"/>
        <w:rPr>
          <w:rFonts w:ascii="Times New Roman" w:cs="Times New Roman" w:eastAsia="Times New Roman" w:hAnsi="Times New Roman"/>
          <w:sz w:val="17"/>
          <w:szCs w:val="17"/>
          <w:color w:val="auto"/>
        </w:rPr>
      </w:pPr>
    </w:p>
    <w:p>
      <w:pPr>
        <w:ind w:left="300" w:right="300" w:hanging="144"/>
        <w:spacing w:after="0" w:line="263"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financial results attributable to common stockholders </w:t>
      </w:r>
      <w:r>
        <w:rPr>
          <w:rFonts w:ascii="Times New Roman" w:cs="Times New Roman" w:eastAsia="Times New Roman" w:hAnsi="Times New Roman"/>
          <w:sz w:val="17"/>
          <w:szCs w:val="17"/>
          <w:color w:val="auto"/>
        </w:rPr>
        <w:t>represents revenues less expenses directly attributable to each applicable reportable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(Vacation Ownership and Exchange &amp; Third-Party Management). We consider this measure to be important in evaluating the performance of our reportable business segments. See Footnote 20 “Business Segments” to our Financial Statements for further information about our reportable business segments.</w:t>
      </w:r>
    </w:p>
    <w:p>
      <w:pPr>
        <w:spacing w:after="0" w:line="114" w:lineRule="exact"/>
        <w:rPr>
          <w:rFonts w:ascii="Times New Roman" w:cs="Times New Roman" w:eastAsia="Times New Roman" w:hAnsi="Times New Roman"/>
          <w:sz w:val="17"/>
          <w:szCs w:val="17"/>
          <w:color w:val="auto"/>
        </w:rPr>
      </w:pPr>
    </w:p>
    <w:p>
      <w:pPr>
        <w:ind w:left="300" w:hanging="144"/>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Adjusted EBITDA margin </w:t>
      </w:r>
      <w:r>
        <w:rPr>
          <w:rFonts w:ascii="Times New Roman" w:cs="Times New Roman" w:eastAsia="Times New Roman" w:hAnsi="Times New Roman"/>
          <w:sz w:val="17"/>
          <w:szCs w:val="17"/>
          <w:color w:val="auto"/>
        </w:rPr>
        <w:t>represents Adjusted EBITDA divided by the Company’s total revenues less cost reimbursements revenues.</w:t>
      </w:r>
    </w:p>
    <w:p>
      <w:pPr>
        <w:spacing w:after="0" w:line="162" w:lineRule="exact"/>
        <w:rPr>
          <w:rFonts w:ascii="Times New Roman" w:cs="Times New Roman" w:eastAsia="Times New Roman" w:hAnsi="Times New Roman"/>
          <w:sz w:val="17"/>
          <w:szCs w:val="17"/>
          <w:color w:val="auto"/>
        </w:rPr>
      </w:pPr>
    </w:p>
    <w:p>
      <w:pPr>
        <w:ind w:left="300" w:right="600" w:hanging="144"/>
        <w:spacing w:after="0" w:line="288" w:lineRule="auto"/>
        <w:tabs>
          <w:tab w:leader="none" w:pos="2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Adjusted EBITDA margin </w:t>
      </w:r>
      <w:r>
        <w:rPr>
          <w:rFonts w:ascii="Times New Roman" w:cs="Times New Roman" w:eastAsia="Times New Roman" w:hAnsi="Times New Roman"/>
          <w:sz w:val="17"/>
          <w:szCs w:val="17"/>
          <w:color w:val="auto"/>
        </w:rPr>
        <w:t>represents Segment Adjusted EBITDA divided by the applicable segment’s total revenues less cost reimbursements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4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gains and other (expense) income,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59"/>
        </w:trPr>
        <w:tc>
          <w:tcPr>
            <w:tcW w:w="410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INCOME BEFORE INCOME TAXES AND</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1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NET INCOME ATTRIBUTABLE TO COMMON</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12"/>
                <w:szCs w:val="12"/>
                <w:color w:val="auto"/>
              </w:rPr>
            </w:pP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2"/>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34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Operating Statistics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15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31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Vacation Ownership</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contract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tcPr>
          <w:p>
            <w:pPr>
              <w:spacing w:after="0"/>
              <w:rPr>
                <w:sz w:val="21"/>
                <w:szCs w:val="21"/>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Consolidated contract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21"/>
                <w:szCs w:val="21"/>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(43%)</w:t>
            </w:r>
          </w:p>
        </w:tc>
      </w:tr>
      <w:tr>
        <w:trPr>
          <w:trHeight w:val="24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VPG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(177)</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9"/>
              </w:rPr>
              <w:t>(4%)</w:t>
            </w: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Tours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405,825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390,593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26,891</w:t>
            </w:r>
          </w:p>
        </w:tc>
        <w:tc>
          <w:tcPr>
            <w:tcW w:w="220" w:type="dxa"/>
            <w:vAlign w:val="bottom"/>
          </w:tcPr>
          <w:p>
            <w:pPr>
              <w:spacing w:after="0"/>
              <w:rPr>
                <w:sz w:val="21"/>
                <w:szCs w:val="21"/>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43"/>
        </w:trPr>
        <w:tc>
          <w:tcPr>
            <w:tcW w:w="3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active members at end of year (000's)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(1%)</w:t>
            </w:r>
          </w:p>
        </w:tc>
      </w:tr>
      <w:tr>
        <w:trPr>
          <w:trHeight w:val="243"/>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revenue per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(2.31)</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9"/>
              </w:rPr>
              <w:t>(1%)</w:t>
            </w:r>
          </w:p>
        </w:tc>
      </w:tr>
      <w:tr>
        <w:trPr>
          <w:trHeight w:val="397"/>
        </w:trPr>
        <w:tc>
          <w:tcPr>
            <w:tcW w:w="3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7"/>
        </w:trPr>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4,730</w:t>
            </w: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w w:val="96"/>
              </w:rPr>
              <w:t>6%</w:t>
            </w:r>
          </w:p>
        </w:tc>
      </w:tr>
      <w:tr>
        <w:trPr>
          <w:trHeight w:val="24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231</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15"/>
              <w:spacing w:after="0"/>
              <w:rPr>
                <w:sz w:val="20"/>
                <w:szCs w:val="20"/>
                <w:color w:val="auto"/>
              </w:rPr>
            </w:pPr>
            <w:r>
              <w:rPr>
                <w:rFonts w:ascii="Times New Roman" w:cs="Times New Roman" w:eastAsia="Times New Roman" w:hAnsi="Times New Roman"/>
                <w:sz w:val="17"/>
                <w:szCs w:val="17"/>
                <w:color w:val="auto"/>
                <w:w w:val="98"/>
              </w:rPr>
              <w:t>(12%)</w:t>
            </w:r>
          </w:p>
        </w:tc>
      </w:tr>
      <w:tr>
        <w:trPr>
          <w:trHeight w:val="236"/>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Revenues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4,961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w w:val="96"/>
              </w:rPr>
              <w:t>5%</w:t>
            </w:r>
          </w:p>
        </w:tc>
      </w:tr>
      <w:tr>
        <w:trPr>
          <w:trHeight w:val="24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NM</w:t>
            </w:r>
          </w:p>
        </w:tc>
      </w:tr>
      <w:tr>
        <w:trPr>
          <w:trHeight w:val="235"/>
        </w:trPr>
        <w:tc>
          <w:tcPr>
            <w:tcW w:w="3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4,967</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w w:val="96"/>
              </w:rPr>
              <w:t>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Before Interest Expense, Taxes, Depreciation and Amortization (“EBITDA”) and Adjusted EBITDA</w:t>
      </w:r>
    </w:p>
    <w:p>
      <w:pPr>
        <w:spacing w:after="0" w:line="1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 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spacing w:after="0" w:line="8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43" w:right="379" w:bottom="1440" w:gutter="0" w:footer="0" w:header="0"/>
        </w:sectPr>
      </w:pPr>
    </w:p>
    <w:bookmarkStart w:id="50" w:name="page51"/>
    <w:bookmarkEnd w:id="50"/>
    <w:p>
      <w:pPr>
        <w:spacing w:after="0" w:line="283" w:lineRule="auto"/>
        <w:rPr>
          <w:sz w:val="20"/>
          <w:szCs w:val="20"/>
          <w:color w:val="auto"/>
        </w:rPr>
      </w:pPr>
      <w:r>
        <w:rPr>
          <w:rFonts w:ascii="Times New Roman" w:cs="Times New Roman" w:eastAsia="Times New Roman" w:hAnsi="Times New Roman"/>
          <w:sz w:val="17"/>
          <w:szCs w:val="17"/>
          <w:color w:val="auto"/>
        </w:rPr>
        <w:t>The table below shows our EBITDA and Adjusted EBITDA calculation and reconciles these measures with net income attributable to common stockholders, which is the most directly comparable GAAP financial measure.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left="43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(14%)</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12%</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(39%)</w:t>
            </w: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7"/>
                <w:szCs w:val="17"/>
                <w:color w:val="auto"/>
                <w:w w:val="96"/>
              </w:rPr>
              <w:t>8%</w:t>
            </w: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EBITDA</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5%</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NM</w:t>
            </w:r>
          </w:p>
        </w:tc>
      </w:tr>
      <w:tr>
        <w:trPr>
          <w:trHeight w:val="210"/>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18"/>
                <w:szCs w:val="18"/>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(4%)</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r>
      <w:tr>
        <w:trPr>
          <w:trHeight w:val="208"/>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EBITDA Margin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(1.8 pts)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fiscal years 2024 and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9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224"/>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ILG integration</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43"/>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Welk acquisition and integration</w:t>
            </w:r>
          </w:p>
        </w:tc>
        <w:tc>
          <w:tcPr>
            <w:tcW w:w="3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Early redemption of senior secured notes</w:t>
            </w:r>
          </w:p>
        </w:tc>
        <w:tc>
          <w:tcPr>
            <w:tcW w:w="360" w:type="dxa"/>
            <w:vAlign w:val="bottom"/>
          </w:tcPr>
          <w:p>
            <w:pPr>
              <w:spacing w:after="0"/>
              <w:rPr>
                <w:sz w:val="21"/>
                <w:szCs w:val="21"/>
                <w:color w:val="auto"/>
              </w:rPr>
            </w:pPr>
          </w:p>
        </w:tc>
        <w:tc>
          <w:tcPr>
            <w:tcW w:w="960" w:type="dxa"/>
            <w:vAlign w:val="bottom"/>
            <w:gridSpan w:val="3"/>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3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indemnification asset</w:t>
            </w:r>
          </w:p>
        </w:tc>
        <w:tc>
          <w:tcPr>
            <w:tcW w:w="3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estimates relating to pre-acquisition contingencies</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1"/>
                <w:szCs w:val="21"/>
                <w:color w:val="auto"/>
              </w:rPr>
            </w:pP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Pr>
          <w:p>
            <w:pPr>
              <w:spacing w:after="0"/>
              <w:rPr>
                <w:sz w:val="21"/>
                <w:szCs w:val="21"/>
                <w:color w:val="auto"/>
              </w:rPr>
            </w:pPr>
          </w:p>
        </w:tc>
        <w:tc>
          <w:tcPr>
            <w:tcW w:w="960" w:type="dxa"/>
            <w:vAlign w:val="bottom"/>
            <w:gridSpan w:val="3"/>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(gains) and other expense (income), net</w:t>
            </w:r>
          </w:p>
        </w:tc>
        <w:tc>
          <w:tcPr>
            <w:tcW w:w="3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4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3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During the third quarter of 2023 and the second quarter of 2024, we discontinued classifying costs associated with the continued integration of ILG and Welk, respectively, in Transaction and integration costs. Further integration costs incurred after these periods are reflected in the operating results of each of our segments and/or General and administrative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left="27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9"/>
              </w:rPr>
              <w:t>(4%)</w:t>
            </w: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7"/>
                <w:szCs w:val="17"/>
                <w:color w:val="auto"/>
                <w:w w:val="98"/>
              </w:rPr>
              <w:t>(21%)</w:t>
            </w: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9"/>
              </w:rPr>
              <w:t>(6%)</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11%</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6%</w:t>
            </w:r>
          </w:p>
        </w:tc>
      </w:tr>
      <w:tr>
        <w:trPr>
          <w:trHeight w:val="210"/>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18"/>
                <w:szCs w:val="18"/>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(4%)</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45" w:right="39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145" w:right="399" w:bottom="1440" w:gutter="0" w:footer="0" w:header="0"/>
          <w:type w:val="continuous"/>
        </w:sectPr>
      </w:pPr>
    </w:p>
    <w:bookmarkStart w:id="51" w:name="page52"/>
    <w:bookmarkEnd w:id="51"/>
    <w:p>
      <w:pPr>
        <w:ind w:right="1760"/>
        <w:spacing w:after="0" w:line="361" w:lineRule="auto"/>
        <w:rPr>
          <w:sz w:val="20"/>
          <w:szCs w:val="20"/>
          <w:color w:val="auto"/>
        </w:rPr>
      </w:pPr>
      <w:r>
        <w:rPr>
          <w:rFonts w:ascii="Times New Roman" w:cs="Times New Roman" w:eastAsia="Times New Roman" w:hAnsi="Times New Roman"/>
          <w:sz w:val="17"/>
          <w:szCs w:val="17"/>
          <w:color w:val="auto"/>
        </w:rPr>
        <w:t xml:space="preserve">The following tables present segment financial results attributable to common stockholders reconciled to segment Adjusted EBITDA. </w:t>
      </w:r>
      <w:r>
        <w:rPr>
          <w:rFonts w:ascii="Times New Roman" w:cs="Times New Roman" w:eastAsia="Times New Roman" w:hAnsi="Times New Roman"/>
          <w:sz w:val="17"/>
          <w:szCs w:val="17"/>
          <w:b w:val="1"/>
          <w:bCs w:val="1"/>
          <w:color w:val="auto"/>
        </w:rPr>
        <w:t>Vacation Ownership</w:t>
      </w: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left="43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7%</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w:t>
            </w: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NM</w:t>
            </w:r>
          </w:p>
        </w:tc>
      </w:tr>
      <w:tr>
        <w:trPr>
          <w:trHeight w:val="23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9"/>
              </w:rPr>
              <w:t>(4%)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 Margin</w:t>
            </w:r>
          </w:p>
        </w:tc>
        <w:tc>
          <w:tcPr>
            <w:tcW w:w="160" w:type="dxa"/>
            <w:vAlign w:val="bottom"/>
          </w:tcPr>
          <w:p>
            <w:pPr>
              <w:spacing w:after="0"/>
              <w:rPr>
                <w:sz w:val="17"/>
                <w:szCs w:val="17"/>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(2.6 pts)</w:t>
            </w:r>
          </w:p>
        </w:tc>
        <w:tc>
          <w:tcPr>
            <w:tcW w:w="640" w:type="dxa"/>
            <w:vAlign w:val="bottom"/>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the Vacation Ownership segment financial results for fiscal years 2024 and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19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indemnification asset</w:t>
            </w:r>
          </w:p>
        </w:tc>
        <w:tc>
          <w:tcPr>
            <w:tcW w:w="11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estimates relating to pre-acquisition contingencies</w:t>
            </w: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1"/>
                <w:szCs w:val="21"/>
                <w:color w:val="auto"/>
              </w:rPr>
            </w:pPr>
          </w:p>
        </w:tc>
      </w:tr>
      <w:tr>
        <w:trPr>
          <w:trHeight w:val="24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4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left="43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(26%)</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(7%)</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NM</w:t>
            </w: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NM</w:t>
            </w:r>
          </w:p>
        </w:tc>
      </w:tr>
      <w:tr>
        <w:trPr>
          <w:trHeight w:val="23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(21%)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 Margin</w:t>
            </w:r>
          </w:p>
        </w:tc>
        <w:tc>
          <w:tcPr>
            <w:tcW w:w="160" w:type="dxa"/>
            <w:vAlign w:val="bottom"/>
          </w:tcPr>
          <w:p>
            <w:pPr>
              <w:spacing w:after="0"/>
              <w:rPr>
                <w:sz w:val="17"/>
                <w:szCs w:val="17"/>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(6.6) pts</w:t>
            </w:r>
          </w:p>
        </w:tc>
        <w:tc>
          <w:tcPr>
            <w:tcW w:w="640" w:type="dxa"/>
            <w:vAlign w:val="bottom"/>
          </w:tcPr>
          <w:p>
            <w:pPr>
              <w:spacing w:after="0"/>
              <w:rPr>
                <w:sz w:val="17"/>
                <w:szCs w:val="17"/>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the Exchange &amp; Third-Party Management segment financial results for fiscal years 2024 and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160" w:type="dxa"/>
            <w:vAlign w:val="bottom"/>
            <w:tcBorders>
              <w:bottom w:val="single" w:sz="8" w:color="auto"/>
            </w:tcBorders>
          </w:tcPr>
          <w:p>
            <w:pPr>
              <w:spacing w:after="0"/>
              <w:rPr>
                <w:sz w:val="17"/>
                <w:szCs w:val="17"/>
                <w:color w:val="auto"/>
              </w:rPr>
            </w:pPr>
          </w:p>
        </w:tc>
      </w:tr>
      <w:tr>
        <w:trPr>
          <w:trHeight w:val="19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loss</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880"/>
          </w:cols>
          <w:pgMar w:left="320" w:top="1248" w:right="6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Our business is grouped into two reportable business segments: Vacation Ownership and Exchange &amp; Third-Party Management. See Footnote 20 “Business Segments” to our Financial Statements for further information about our segments.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4,468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3,717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6"/>
        </w:trPr>
        <w:tc>
          <w:tcPr>
            <w:tcW w:w="41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 ATTRIBUTABLE</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Pr>
          <w:p>
            <w:pPr>
              <w:spacing w:after="0"/>
              <w:rPr>
                <w:sz w:val="12"/>
                <w:szCs w:val="12"/>
                <w:color w:val="auto"/>
              </w:rPr>
            </w:pP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 COMMON STOCKHOLDERS</w:t>
            </w: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620"/>
          </w:cols>
          <w:pgMar w:left="320" w:top="1141" w:right="9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137"/>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2"/>
                <w:szCs w:val="12"/>
                <w:color w:val="auto"/>
              </w:rPr>
            </w:pPr>
          </w:p>
        </w:tc>
        <w:tc>
          <w:tcPr>
            <w:tcW w:w="600" w:type="dxa"/>
            <w:vAlign w:val="bottom"/>
            <w:vMerge w:val="restart"/>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Sales, Net of</w:t>
            </w:r>
          </w:p>
        </w:tc>
        <w:tc>
          <w:tcPr>
            <w:tcW w:w="120" w:type="dxa"/>
            <w:vAlign w:val="bottom"/>
          </w:tcPr>
          <w:p>
            <w:pPr>
              <w:spacing w:after="0"/>
              <w:rPr>
                <w:sz w:val="12"/>
                <w:szCs w:val="12"/>
                <w:color w:val="auto"/>
              </w:rPr>
            </w:pPr>
          </w:p>
        </w:tc>
        <w:tc>
          <w:tcPr>
            <w:tcW w:w="580" w:type="dxa"/>
            <w:vAlign w:val="bottom"/>
            <w:vMerge w:val="restart"/>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Sales, Net of</w:t>
            </w:r>
          </w:p>
        </w:tc>
        <w:tc>
          <w:tcPr>
            <w:tcW w:w="120" w:type="dxa"/>
            <w:vAlign w:val="bottom"/>
          </w:tcPr>
          <w:p>
            <w:pPr>
              <w:spacing w:after="0"/>
              <w:rPr>
                <w:sz w:val="12"/>
                <w:szCs w:val="12"/>
                <w:color w:val="auto"/>
              </w:rPr>
            </w:pPr>
          </w:p>
        </w:tc>
        <w:tc>
          <w:tcPr>
            <w:tcW w:w="600" w:type="dxa"/>
            <w:vAlign w:val="bottom"/>
            <w:vMerge w:val="restart"/>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Sales, Net of</w:t>
            </w:r>
          </w:p>
        </w:tc>
        <w:tc>
          <w:tcPr>
            <w:tcW w:w="120" w:type="dxa"/>
            <w:vAlign w:val="bottom"/>
          </w:tcPr>
          <w:p>
            <w:pPr>
              <w:spacing w:after="0"/>
              <w:rPr>
                <w:sz w:val="12"/>
                <w:szCs w:val="12"/>
                <w:color w:val="auto"/>
              </w:rPr>
            </w:pPr>
          </w:p>
        </w:tc>
        <w:tc>
          <w:tcPr>
            <w:tcW w:w="1240" w:type="dxa"/>
            <w:vAlign w:val="bottom"/>
            <w:gridSpan w:val="3"/>
            <w:vMerge w:val="restart"/>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8"/>
        </w:trPr>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Resales</w:t>
            </w: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Consolidated</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7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Joint venture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(43%)</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contract sales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7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Less resales contract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48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Less joint venture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contract sales, net of</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resales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7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3%</w:t>
            </w:r>
          </w:p>
        </w:tc>
        <w:tc>
          <w:tcPr>
            <w:tcW w:w="0" w:type="dxa"/>
            <w:vAlign w:val="bottom"/>
          </w:tcPr>
          <w:p>
            <w:pPr>
              <w:spacing w:after="0"/>
              <w:rPr>
                <w:sz w:val="1"/>
                <w:szCs w:val="1"/>
                <w:color w:val="auto"/>
              </w:rPr>
            </w:pPr>
          </w:p>
        </w:tc>
      </w:tr>
      <w:tr>
        <w:trPr>
          <w:trHeight w:val="24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48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Settlement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Resales revenue</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Revenue recognition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Reportability</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reserve</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8"/>
                <w:szCs w:val="8"/>
                <w:color w:val="auto"/>
              </w:rPr>
              <w:t>(1)</w:t>
            </w: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Sale of vacation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ownership products</w:t>
            </w:r>
          </w:p>
        </w:tc>
        <w:tc>
          <w:tcPr>
            <w:tcW w:w="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9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90%</w:t>
            </w: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7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VPG</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7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243"/>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Tours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432,716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405,825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390,593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26,891</w:t>
            </w:r>
          </w:p>
        </w:tc>
        <w:tc>
          <w:tcPr>
            <w:tcW w:w="7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7%</w:t>
            </w:r>
          </w:p>
        </w:tc>
        <w:tc>
          <w:tcPr>
            <w:tcW w:w="0" w:type="dxa"/>
            <w:vAlign w:val="bottom"/>
          </w:tcPr>
          <w:p>
            <w:pPr>
              <w:spacing w:after="0"/>
              <w:rPr>
                <w:sz w:val="1"/>
                <w:szCs w:val="1"/>
                <w:color w:val="auto"/>
              </w:rPr>
            </w:pPr>
          </w:p>
        </w:tc>
      </w:tr>
      <w:tr>
        <w:trPr>
          <w:trHeight w:val="166"/>
        </w:trPr>
        <w:tc>
          <w:tcPr>
            <w:tcW w:w="148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Financing</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propensity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53.9%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w w:val="98"/>
              </w:rPr>
              <w:t>(2.2 pts)</w:t>
            </w: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Average FICO</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Score</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24"/>
                <w:szCs w:val="24"/>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735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0" w:hanging="298"/>
        <w:spacing w:after="0" w:line="228" w:lineRule="auto"/>
        <w:tabs>
          <w:tab w:leader="none" w:pos="28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 for sales incentives that will not be recognized as Sale of vacation ownership products revenue and other adjustments to Sale of vacation ownership products revenue.</w:t>
      </w:r>
    </w:p>
    <w:p>
      <w:pPr>
        <w:spacing w:after="0" w:line="2"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customers who financed a vacation ownership purchase and for whom a credit score was available, generally U.S. and Canadian residents.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Contract sales increased in 2024 due to a 7% increase in tours, partially offset by a 4% decline in VPG. The decrease in VPG was due to a larger percentage mix of international and North America first time buyer tours, both of which carry a lower VPG than existing owner tours. While existing owner VPG was in line with the prior year, first time buyer VPG declined 9%.</w:t>
      </w:r>
    </w:p>
    <w:p>
      <w:pPr>
        <w:spacing w:after="0" w:line="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the third quarter of 2023, we increased our vacation ownership notes receivable reserve to reflect then-current trends in delinquencies and default rates. We estimated the increase in our sales reserve primarily using information from a historical period of increased defaults. The $59 million additional reserve recorded in 2023 was the result of an adjustment to our future default rate estimate to reflect then-current macroeconomic conditions, including inflation outpacing wage growth, continuing high interest rates, mixed economic indicators and increased global insecurity.</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During the second quarter of 2024, we increased our sales reserve by $70 million to reflect increases in expected cumulative loss rates for our vacation ownership notes receivable originated during 2021-2024. Consistent with our analysis in the third quarter of 2023, we considered the cumulative impact of inflation and mixed economic environment on delinquencies and default rates. We believed the related impact of higher than historical year-over-year increases in maintenance fees for 2023 and 2024 would continue to drive elevated delinquencies and defaults. As expected, maintenance fee increases for our points-based products for 2025, which were approved by the relevant property owners’ association, returned to levels consistent with historical experience. We have increased our sales reserve rate to reflect higher expected cumulative losses on new originations and do not expect to lower the sales reserve rate until we have sufficient evidence of improvement in delinquency and default rates.</w:t>
      </w:r>
    </w:p>
    <w:p>
      <w:pPr>
        <w:sectPr>
          <w:pgSz w:w="11900" w:h="16838" w:orient="portrait"/>
          <w:cols w:equalWidth="0" w:num="1">
            <w:col w:w="11180"/>
          </w:cols>
          <w:pgMar w:left="320" w:top="124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243" w:right="3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Development Profit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150"/>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3"/>
                <w:szCs w:val="13"/>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40" w:type="dxa"/>
            <w:vAlign w:val="bottom"/>
          </w:tcPr>
          <w:p>
            <w:pPr>
              <w:spacing w:after="0"/>
              <w:rPr>
                <w:sz w:val="13"/>
                <w:szCs w:val="13"/>
                <w:color w:val="auto"/>
              </w:rPr>
            </w:pPr>
          </w:p>
        </w:tc>
        <w:tc>
          <w:tcPr>
            <w:tcW w:w="620" w:type="dxa"/>
            <w:vAlign w:val="bottom"/>
            <w:vMerge w:val="restart"/>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7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640" w:type="dxa"/>
            <w:vAlign w:val="bottom"/>
            <w:vMerge w:val="restart"/>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8"/>
        </w:trPr>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2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Sale of vacation ownership</w:t>
            </w: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7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Cost of vacation ownership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7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7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7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6"/>
              </w:rPr>
              <w:t>11%</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74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7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(56%)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74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7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(12%)</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7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8"/>
              </w:rPr>
              <w:t>(20%)</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pts)</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in Development profit was due to the following:</w:t>
      </w:r>
    </w:p>
    <w:p>
      <w:pPr>
        <w:spacing w:after="0" w:line="111" w:lineRule="exact"/>
        <w:rPr>
          <w:sz w:val="20"/>
          <w:szCs w:val="20"/>
          <w:color w:val="auto"/>
        </w:rPr>
      </w:pPr>
    </w:p>
    <w:p>
      <w:pPr>
        <w:ind w:left="300" w:hanging="144"/>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sales of vacation ownership products due to the increase in sales reserve discussed above; and</w:t>
      </w:r>
    </w:p>
    <w:p>
      <w:pPr>
        <w:spacing w:after="0" w:line="111" w:lineRule="exact"/>
        <w:rPr>
          <w:rFonts w:ascii="Times New Roman" w:cs="Times New Roman" w:eastAsia="Times New Roman" w:hAnsi="Times New Roman"/>
          <w:sz w:val="17"/>
          <w:szCs w:val="17"/>
          <w:color w:val="auto"/>
        </w:rPr>
      </w:pPr>
    </w:p>
    <w:p>
      <w:pPr>
        <w:ind w:left="300" w:hanging="144"/>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marketing and sales costs due to:</w:t>
      </w:r>
    </w:p>
    <w:p>
      <w:pPr>
        <w:spacing w:after="0" w:line="111"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preview costs attributed to a $26 million increase in cost of occupancy and $4 million for higher tours volume;</w:t>
      </w:r>
    </w:p>
    <w:p>
      <w:pPr>
        <w:spacing w:after="0" w:line="111"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 million increase in tour generation costs;</w:t>
      </w:r>
    </w:p>
    <w:p>
      <w:pPr>
        <w:spacing w:after="0" w:line="111"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 million of higher compensation due to inflation and higher contract sales; and</w:t>
      </w:r>
    </w:p>
    <w:p>
      <w:pPr>
        <w:spacing w:after="0" w:line="111"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 million of higher information technology and other operating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changes were partially offset by:</w:t>
      </w:r>
    </w:p>
    <w:p>
      <w:pPr>
        <w:spacing w:after="0" w:line="111" w:lineRule="exact"/>
        <w:rPr>
          <w:sz w:val="20"/>
          <w:szCs w:val="20"/>
          <w:color w:val="auto"/>
        </w:rPr>
      </w:pPr>
    </w:p>
    <w:p>
      <w:pPr>
        <w:ind w:left="300" w:right="40" w:hanging="144"/>
        <w:spacing w:after="0" w:line="283" w:lineRule="auto"/>
        <w:tabs>
          <w:tab w:leader="none" w:pos="2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cost of vacation ownership products attributed to the sale of lower average cost inventory, including product cost true-up activity, partially offset by higher contract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Resort Management and Other Services Revenues, Expenses and Profit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left="39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207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revenues</w:t>
            </w:r>
          </w:p>
        </w:tc>
        <w:tc>
          <w:tcPr>
            <w:tcW w:w="160" w:type="dxa"/>
            <w:vAlign w:val="bottom"/>
          </w:tcPr>
          <w:p>
            <w:pPr>
              <w:spacing w:after="0"/>
              <w:rPr>
                <w:sz w:val="21"/>
                <w:szCs w:val="21"/>
                <w:color w:val="auto"/>
              </w:rPr>
            </w:pPr>
          </w:p>
        </w:tc>
        <w:tc>
          <w:tcPr>
            <w:tcW w:w="70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40" w:type="dxa"/>
            <w:vAlign w:val="bottom"/>
          </w:tcPr>
          <w:p>
            <w:pPr>
              <w:spacing w:after="0"/>
              <w:rPr>
                <w:sz w:val="21"/>
                <w:szCs w:val="21"/>
                <w:color w:val="auto"/>
              </w:rPr>
            </w:pPr>
          </w:p>
        </w:tc>
        <w:tc>
          <w:tcPr>
            <w:tcW w:w="60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management and exchange revenues</w:t>
            </w: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revenues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19"/>
                <w:szCs w:val="19"/>
                <w:color w:val="auto"/>
              </w:rPr>
            </w:pPr>
          </w:p>
        </w:tc>
        <w:tc>
          <w:tcPr>
            <w:tcW w:w="60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expenses</w:t>
            </w: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w w:val="97"/>
              </w:rPr>
              <w:t>(293)</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w w:val="97"/>
              </w:rPr>
              <w:t>(270)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w w:val="97"/>
              </w:rPr>
              <w:t>(240)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9"/>
              </w:rPr>
              <w:t>(9%)</w:t>
            </w: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7"/>
                <w:szCs w:val="17"/>
                <w:color w:val="auto"/>
              </w:rPr>
              <w:t>319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8"/>
                <w:szCs w:val="18"/>
                <w:color w:val="auto"/>
              </w:rPr>
            </w:pPr>
          </w:p>
        </w:tc>
        <w:tc>
          <w:tcPr>
            <w:tcW w:w="60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r>
      <w:tr>
        <w:trPr>
          <w:trHeight w:val="132"/>
        </w:trPr>
        <w:tc>
          <w:tcPr>
            <w:tcW w:w="352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5"/>
                <w:szCs w:val="15"/>
                <w:color w:val="auto"/>
              </w:rPr>
              <w:t>Resort management and other services profit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margin</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52.1%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55.1%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rPr>
              <w:t>(0.3 pts)</w:t>
            </w:r>
          </w:p>
        </w:tc>
        <w:tc>
          <w:tcPr>
            <w:tcW w:w="600" w:type="dxa"/>
            <w:vAlign w:val="bottom"/>
            <w:shd w:val="clear" w:color="auto" w:fill="CCEEFF"/>
          </w:tcPr>
          <w:p>
            <w:pPr>
              <w:spacing w:after="0"/>
              <w:rPr>
                <w:sz w:val="19"/>
                <w:szCs w:val="19"/>
                <w:color w:val="auto"/>
              </w:rPr>
            </w:pPr>
          </w:p>
        </w:tc>
      </w:tr>
      <w:tr>
        <w:trPr>
          <w:trHeight w:val="244"/>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occupancy</w:t>
            </w:r>
            <w:r>
              <w:rPr>
                <w:rFonts w:ascii="Times New Roman" w:cs="Times New Roman" w:eastAsia="Times New Roman" w:hAnsi="Times New Roman"/>
                <w:sz w:val="8"/>
                <w:szCs w:val="8"/>
                <w:color w:val="auto"/>
              </w:rPr>
              <w:t>(1)</w:t>
            </w:r>
          </w:p>
        </w:tc>
        <w:tc>
          <w:tcPr>
            <w:tcW w:w="16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89.8%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88.1%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89.3%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1.7 pts</w:t>
            </w:r>
          </w:p>
        </w:tc>
        <w:tc>
          <w:tcPr>
            <w:tcW w:w="600" w:type="dxa"/>
            <w:vAlign w:val="bottom"/>
          </w:tcPr>
          <w:p>
            <w:pPr>
              <w:spacing w:after="0"/>
              <w:rPr>
                <w:sz w:val="21"/>
                <w:szCs w:val="21"/>
                <w:color w:val="auto"/>
              </w:rPr>
            </w:pPr>
          </w:p>
        </w:tc>
      </w:tr>
    </w:tbl>
    <w:p>
      <w:pPr>
        <w:spacing w:after="0" w:line="130" w:lineRule="exact"/>
        <w:rPr>
          <w:sz w:val="20"/>
          <w:szCs w:val="20"/>
          <w:color w:val="auto"/>
        </w:rPr>
      </w:pPr>
    </w:p>
    <w:p>
      <w:pPr>
        <w:ind w:left="300" w:hanging="298"/>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Resort occupancy represents all transient, preview, and owner keys divided by total keys available, net of keys out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Resort management and other services revenues reflects higher management fees, higher ancillary revenues and higher club dues.</w:t>
      </w:r>
    </w:p>
    <w:p>
      <w:pPr>
        <w:spacing w:after="0" w:line="11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The increase in Resort management and other services expenses reflects an increase in ancillary expenses of $15 million due to increased volumes sold and operating costs, and an increase in customer services and exchange company expenses of $8 million due to wages, benefits, and other operating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820"/>
          </w:cols>
          <w:pgMar w:left="320" w:top="1243" w:right="7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Rental Revenues, Expenses and Margin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199"/>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35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7"/>
                <w:szCs w:val="17"/>
                <w:color w:val="auto"/>
                <w:w w:val="99"/>
              </w:rPr>
              <w:t>(7%)</w:t>
            </w:r>
          </w:p>
        </w:tc>
        <w:tc>
          <w:tcPr>
            <w:tcW w:w="0" w:type="dxa"/>
            <w:vAlign w:val="bottom"/>
          </w:tcPr>
          <w:p>
            <w:pPr>
              <w:spacing w:after="0"/>
              <w:rPr>
                <w:sz w:val="1"/>
                <w:szCs w:val="1"/>
                <w:color w:val="auto"/>
              </w:rPr>
            </w:pPr>
          </w:p>
        </w:tc>
      </w:tr>
      <w:tr>
        <w:trPr>
          <w:trHeight w:val="235"/>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Rental profit margin</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2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6"/>
              <w:spacing w:after="0" w:line="193" w:lineRule="exact"/>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6"/>
              <w:spacing w:after="0" w:line="193" w:lineRule="exact"/>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6"/>
              <w:spacing w:after="0" w:line="193" w:lineRule="exact"/>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rPr>
              <w:t>5.2 pts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Transient keys rented</w:t>
            </w:r>
            <w:r>
              <w:rPr>
                <w:rFonts w:ascii="Times New Roman" w:cs="Times New Roman" w:eastAsia="Times New Roman" w:hAnsi="Times New Roman"/>
                <w:sz w:val="8"/>
                <w:szCs w:val="8"/>
                <w:color w:val="auto"/>
              </w:rPr>
              <w:t>(1)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2,172,529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2,072,590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2,073,945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99,939</w:t>
            </w: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5%</w:t>
            </w: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transient key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w:t>
            </w:r>
          </w:p>
        </w:tc>
        <w:tc>
          <w:tcPr>
            <w:tcW w:w="300" w:type="dxa"/>
            <w:vAlign w:val="bottom"/>
          </w:tcPr>
          <w:p>
            <w:pPr>
              <w:spacing w:after="0"/>
              <w:rPr>
                <w:sz w:val="20"/>
                <w:szCs w:val="20"/>
                <w:color w:val="auto"/>
              </w:rPr>
            </w:pPr>
          </w:p>
        </w:tc>
        <w:tc>
          <w:tcPr>
            <w:tcW w:w="6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(5%)</w:t>
            </w:r>
          </w:p>
        </w:tc>
        <w:tc>
          <w:tcPr>
            <w:tcW w:w="0" w:type="dxa"/>
            <w:vAlign w:val="bottom"/>
          </w:tcPr>
          <w:p>
            <w:pPr>
              <w:spacing w:after="0"/>
              <w:rPr>
                <w:sz w:val="1"/>
                <w:szCs w:val="1"/>
                <w:color w:val="auto"/>
              </w:rPr>
            </w:pPr>
          </w:p>
        </w:tc>
      </w:tr>
      <w:tr>
        <w:trPr>
          <w:trHeight w:val="24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occupancy</w:t>
            </w:r>
            <w:r>
              <w:rPr>
                <w:rFonts w:ascii="Times New Roman" w:cs="Times New Roman" w:eastAsia="Times New Roman" w:hAnsi="Times New Roman"/>
                <w:sz w:val="8"/>
                <w:szCs w:val="8"/>
                <w:color w:val="auto"/>
              </w:rPr>
              <w:t>(2)</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70.3%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4.1 pts</w:t>
            </w: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00" w:hanging="298"/>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Transient keys rented exclude plus points and preview stays.</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Rental occupancy represents transient and preview keys divided by keys available to rent, which is total available keys excluding owner usage.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profit, excluding profit from owned hotels, increased due to:</w:t>
      </w:r>
    </w:p>
    <w:p>
      <w:pPr>
        <w:spacing w:after="0" w:line="111" w:lineRule="exact"/>
        <w:rPr>
          <w:sz w:val="20"/>
          <w:szCs w:val="20"/>
          <w:color w:val="auto"/>
        </w:rPr>
      </w:pPr>
    </w:p>
    <w:p>
      <w:pPr>
        <w:ind w:left="620" w:hanging="311"/>
        <w:spacing w:after="0" w:line="28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 million of higher plus points revenue attributed to enhanced sales incentive programs put in place during COVID, which increased the amount of plus points issued and lengthened the use period; and</w:t>
      </w:r>
    </w:p>
    <w:p>
      <w:pPr>
        <w:spacing w:after="0" w:line="50"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 million increase in costs allocated to marketing and sales expense for occupancy used for previews.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changes were partially offset by:</w:t>
      </w:r>
    </w:p>
    <w:p>
      <w:pPr>
        <w:spacing w:after="0" w:line="111" w:lineRule="exact"/>
        <w:rPr>
          <w:sz w:val="20"/>
          <w:szCs w:val="20"/>
          <w:color w:val="auto"/>
        </w:rPr>
      </w:pPr>
    </w:p>
    <w:p>
      <w:pPr>
        <w:ind w:left="620" w:hanging="31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 million of increased costs associated with higher owner utilization of third-party vacation and other offerings; and</w:t>
      </w:r>
    </w:p>
    <w:p>
      <w:pPr>
        <w:spacing w:after="0" w:line="111" w:lineRule="exact"/>
        <w:rPr>
          <w:rFonts w:ascii="Times New Roman" w:cs="Times New Roman" w:eastAsia="Times New Roman" w:hAnsi="Times New Roman"/>
          <w:sz w:val="17"/>
          <w:szCs w:val="17"/>
          <w:color w:val="auto"/>
        </w:rPr>
      </w:pPr>
    </w:p>
    <w:p>
      <w:pPr>
        <w:ind w:right="2000" w:firstLine="309"/>
        <w:spacing w:after="0" w:line="376" w:lineRule="auto"/>
        <w:tabs>
          <w:tab w:leader="none" w:pos="60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million of decreased profit due to a lower average transient rate on higher keys rented and higher tidy and variable costs. Rental profit for our owned hotels increased $2 million.</w:t>
      </w:r>
    </w:p>
    <w:p>
      <w:pPr>
        <w:spacing w:after="0" w:line="1"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7"/>
          <w:szCs w:val="17"/>
          <w:color w:val="auto"/>
        </w:rPr>
        <w:t>We expect rental profit to decline in 2025 due to a higher mix of keys in lower ADR markets, lower plus point revenue due the expiration of enhanced sales incentives programs put in place during COVID, additional preview usage and higher costs associated with unsold maintenance fees.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Revenues, Expenses and Margin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3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20</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w w:val="96"/>
              </w:rPr>
              <w:t>6%</w:t>
            </w:r>
          </w:p>
        </w:tc>
      </w:tr>
      <w:tr>
        <w:trPr>
          <w:trHeight w:val="25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expenses</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tcPr>
          <w:p>
            <w:pPr>
              <w:spacing w:after="0"/>
              <w:rPr>
                <w:sz w:val="22"/>
                <w:szCs w:val="22"/>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8"/>
              </w:rPr>
              <w:t>(13%)</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 financing 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w w:val="98"/>
              </w:rPr>
              <w:t>(36%)</w:t>
            </w: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tcPr>
          <w:p>
            <w:pPr>
              <w:spacing w:after="0"/>
              <w:rPr>
                <w:sz w:val="18"/>
                <w:szCs w:val="18"/>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9"/>
              </w:rPr>
              <w:t>(6%)</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r>
      <w:tr>
        <w:trPr>
          <w:trHeight w:val="20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profit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rPr>
              <w:t>74.5%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8"/>
              </w:rPr>
              <w:t>(7.5 pts)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44"/>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53.9%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8"/>
              </w:rPr>
              <w:t>(2.2 pts)</w:t>
            </w:r>
          </w:p>
        </w:tc>
        <w:tc>
          <w:tcPr>
            <w:tcW w:w="600" w:type="dxa"/>
            <w:vAlign w:val="bottom"/>
          </w:tcPr>
          <w:p>
            <w:pPr>
              <w:spacing w:after="0"/>
              <w:rPr>
                <w:sz w:val="21"/>
                <w:szCs w:val="2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jc w:val="both"/>
        <w:ind w:right="120"/>
        <w:spacing w:after="0" w:line="283" w:lineRule="auto"/>
        <w:rPr>
          <w:sz w:val="20"/>
          <w:szCs w:val="20"/>
          <w:color w:val="auto"/>
        </w:rPr>
      </w:pPr>
      <w:r>
        <w:rPr>
          <w:rFonts w:ascii="Times New Roman" w:cs="Times New Roman" w:eastAsia="Times New Roman" w:hAnsi="Times New Roman"/>
          <w:sz w:val="17"/>
          <w:szCs w:val="17"/>
          <w:color w:val="auto"/>
        </w:rPr>
        <w:t>The increase in Financing revenues reflects $20 million of higher interest income as a result of a higher average vacation ownership notes receivable balance and $1 million of higher late and service fees, partially offset by $1 million of higher plus point financing incentive costs (recorded as a reduction of interest income).</w:t>
      </w:r>
    </w:p>
    <w:p>
      <w:pPr>
        <w:spacing w:after="0" w:line="50"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The increase in consumer financing interest expense is attributable to the higher average securitized debt at a higher average interest rate for our more recent term securitization transactions.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20"/>
          </w:cols>
          <w:pgMar w:left="320" w:top="1244" w:right="459" w:bottom="1440" w:gutter="0" w:footer="0" w:header="0"/>
        </w:sectPr>
      </w:pPr>
    </w:p>
    <w:bookmarkStart w:id="56" w:name="page57"/>
    <w:bookmarkEnd w:id="56"/>
    <w:p>
      <w:pPr>
        <w:ind w:right="180"/>
        <w:spacing w:after="0" w:line="267" w:lineRule="auto"/>
        <w:rPr>
          <w:sz w:val="20"/>
          <w:szCs w:val="20"/>
          <w:color w:val="auto"/>
        </w:rPr>
      </w:pPr>
      <w:r>
        <w:rPr>
          <w:rFonts w:ascii="Times New Roman" w:cs="Times New Roman" w:eastAsia="Times New Roman" w:hAnsi="Times New Roman"/>
          <w:sz w:val="17"/>
          <w:szCs w:val="17"/>
          <w:color w:val="auto"/>
        </w:rPr>
        <w:t>We expect our average interest rate to continue to increase as the current interest rate environment for new securitization transactions is higher than the average interest rate on our existing securitized debt. We do not adjust interest rates on consumer financing offerings at the same pace as, or in lock-step with, broader market interest rates.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financing profit to remain flat in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3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7"/>
                <w:szCs w:val="17"/>
                <w:color w:val="auto"/>
              </w:rPr>
              <w:t>6</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54%</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2024 and 2023, litigation charges relate primarily to a land disposition in the U.S. and certain resorts in Europe.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7"/>
                <w:szCs w:val="17"/>
                <w:color w:val="auto"/>
              </w:rPr>
              <w:t>16</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r>
    </w:tbl>
    <w:p>
      <w:pPr>
        <w:spacing w:after="0" w:line="26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During 2024, we recorded a non-cash impairment charge of $28 million related to Legacy-Welk inventory. The impairment charge reflects an elongated pace of sales at a higher marketing and selling cost than that estimated in purchase accounting.</w:t>
      </w:r>
    </w:p>
    <w:p>
      <w:pPr>
        <w:spacing w:after="0" w:line="5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During 2023, we recorded non-cash impairment charges of $8 million related to our investment in a joint venture, $2 million related to an ancillary operation in Europe, and $2 million related to an owned hotel.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Other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7"/>
                <w:szCs w:val="17"/>
                <w:color w:val="auto"/>
              </w:rPr>
              <w:t>(13)</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r>
    </w:tbl>
    <w:p>
      <w:pPr>
        <w:spacing w:after="0" w:line="2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During 2024, we recorded $6 million of gains on the disposition of excess real estate, $5 million related to the receipt of business interruption insurance proceeds, and a $4 million reduction in certain pre-acquisition contingencies associated with the ILG Acquisition.</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2023, we recorded a $9 million reduction in certain pre-acquisition contingencies associated with the ILG Acquisition, $9 million related to the receipt of business interruption and property damage insurance proceeds, $7 million of gains on the disposition of excess real estate, and $4 million of gains associated with the earn out of additional proceeds from the 2019 disposition of a land parcel in Cancun, Mexico.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040"/>
          </w:cols>
          <w:pgMar w:left="320" w:top="1145"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11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Exchange &amp; Third-Party Management segment is comprised of the Interval International and Aqua-Aston businesses. Results below include VRI Americas for the period prior to its disposition in the second quarter of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9"/>
              </w:rPr>
              <w:t>Fiscal Years</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tcPr>
          <w:p>
            <w:pPr>
              <w:spacing w:after="0"/>
              <w:rPr>
                <w:sz w:val="21"/>
                <w:szCs w:val="21"/>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tcPr>
          <w:p>
            <w:pPr>
              <w:spacing w:after="0"/>
              <w:rPr>
                <w:sz w:val="21"/>
                <w:szCs w:val="21"/>
                <w:color w:val="auto"/>
              </w:rPr>
            </w:pPr>
          </w:p>
        </w:tc>
        <w:tc>
          <w:tcPr>
            <w:tcW w:w="48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82"/>
              </w:rPr>
              <w: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56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Management and Exchange Profit</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182</w:t>
            </w:r>
          </w:p>
        </w:tc>
        <w:tc>
          <w:tcPr>
            <w:tcW w:w="3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226</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92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(12%)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 and exchange expense</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left="218"/>
              <w:spacing w:after="0"/>
              <w:rPr>
                <w:sz w:val="20"/>
                <w:szCs w:val="20"/>
                <w:color w:val="auto"/>
              </w:rPr>
            </w:pPr>
            <w:r>
              <w:rPr>
                <w:rFonts w:ascii="Times New Roman" w:cs="Times New Roman" w:eastAsia="Times New Roman" w:hAnsi="Times New Roman"/>
                <w:sz w:val="17"/>
                <w:szCs w:val="17"/>
                <w:color w:val="auto"/>
                <w:w w:val="97"/>
              </w:rPr>
              <w:t>(120)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920" w:type="dxa"/>
            <w:vAlign w:val="bottom"/>
            <w:tcBorders>
              <w:bottom w:val="single" w:sz="8" w:color="CCEEFF"/>
            </w:tcBorders>
          </w:tcPr>
          <w:p>
            <w:pPr>
              <w:jc w:val="center"/>
              <w:ind w:left="55"/>
              <w:spacing w:after="0"/>
              <w:rPr>
                <w:sz w:val="20"/>
                <w:szCs w:val="20"/>
                <w:color w:val="auto"/>
              </w:rPr>
            </w:pPr>
            <w:r>
              <w:rPr>
                <w:rFonts w:ascii="Times New Roman" w:cs="Times New Roman" w:eastAsia="Times New Roman" w:hAnsi="Times New Roman"/>
                <w:sz w:val="17"/>
                <w:szCs w:val="17"/>
                <w:color w:val="auto"/>
                <w:w w:val="99"/>
              </w:rPr>
              <w:t>(3%)</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92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(31%)</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3"/>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 margin</w:t>
            </w: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47.0%</w:t>
            </w:r>
          </w:p>
        </w:tc>
        <w:tc>
          <w:tcPr>
            <w:tcW w:w="120" w:type="dxa"/>
            <w:vAlign w:val="bottom"/>
          </w:tcPr>
          <w:p>
            <w:pPr>
              <w:spacing w:after="0"/>
              <w:rPr>
                <w:sz w:val="17"/>
                <w:szCs w:val="17"/>
                <w:color w:val="auto"/>
              </w:rPr>
            </w:pPr>
          </w:p>
        </w:tc>
        <w:tc>
          <w:tcPr>
            <w:tcW w:w="840" w:type="dxa"/>
            <w:vAlign w:val="bottom"/>
            <w:gridSpan w:val="3"/>
          </w:tcPr>
          <w:p>
            <w:pPr>
              <w:jc w:val="right"/>
              <w:ind w:right="57"/>
              <w:spacing w:after="0"/>
              <w:rPr>
                <w:sz w:val="20"/>
                <w:szCs w:val="20"/>
                <w:color w:val="auto"/>
              </w:rPr>
            </w:pPr>
            <w:r>
              <w:rPr>
                <w:rFonts w:ascii="Times New Roman" w:cs="Times New Roman" w:eastAsia="Times New Roman" w:hAnsi="Times New Roman"/>
                <w:sz w:val="17"/>
                <w:szCs w:val="17"/>
                <w:color w:val="auto"/>
              </w:rPr>
              <w:t>(9.3 pts)</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Interval International management and exchange revenues declined $11 million, or 6%, as a result of 7% lower exchange transaction volume, partially offset by a 4% increase in average exchange fees. The decrease in management and exchange revenue also reflects a $13 million decline in Aqua-Aston management revenues resulting from changes in demand in Maui, along with a decline in available nights across the portfolio. The decrease in management and exchange profit was primarily attributed to lower revenues and higher information technology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60" w:type="dxa"/>
            <w:vAlign w:val="bottom"/>
            <w:tcBorders>
              <w:bottom w:val="single" w:sz="8" w:color="auto"/>
            </w:tcBorders>
          </w:tcPr>
          <w:p>
            <w:pPr>
              <w:spacing w:after="0"/>
              <w:rPr>
                <w:sz w:val="17"/>
                <w:szCs w:val="17"/>
                <w:color w:val="auto"/>
              </w:rPr>
            </w:pPr>
          </w:p>
        </w:tc>
      </w:tr>
      <w:tr>
        <w:trPr>
          <w:trHeight w:val="23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 reflect a 6% increase in average fees per transaction and lower inventory acquisition costs, partially offset by an 8% decrease in transaction volume.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243"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6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net, transaction and integration costs, and income taxes. In addition, Corporate and Other includes the revenues and expenses from the Consolidated Property Owners’ Associations.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(Losses) gains and other (expense) income,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146"/>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1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Property Owners’ Associations</w:t>
      </w:r>
    </w:p>
    <w:p>
      <w:pPr>
        <w:spacing w:after="0" w:line="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illustrates the impact of certain Consolidated Property Owners’ Associations under the relevant accounting guidance and the changes attributed to the deconsolidation of certain individual Consolidated Property Owners’ Associations.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and other expense, net</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1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809" w:right="419" w:bottom="1440" w:gutter="0" w:footer="0" w:header="0"/>
        </w:sect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809" w:right="41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(30)</w:t>
            </w:r>
          </w:p>
        </w:tc>
        <w:tc>
          <w:tcPr>
            <w:tcW w:w="6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8"/>
              </w:rPr>
              <w:t>(11%)</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The decrease in General and administrative expense is primarily due to one-time information technology expenses incurred in 2023 and lower consulting and compliance related expenses, partially offset by higher variable compensation expense and higher operating costs.</w:t>
      </w:r>
    </w:p>
    <w:p>
      <w:pPr>
        <w:spacing w:after="0" w:line="5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expect General and administrative expenses to increase in the near term due to the continued impact of increased wages and variable compensation expense and additional investment in upgrading, maintaining, and implementing new technology, including costs associated with our continued transition to software as a service, which are recorded as a component of General and administrative expense as opposed to Depreciation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60" w:type="dxa"/>
            <w:vAlign w:val="bottom"/>
            <w:tcBorders>
              <w:bottom w:val="single" w:sz="8" w:color="auto"/>
            </w:tcBorders>
          </w:tcPr>
          <w:p>
            <w:pPr>
              <w:spacing w:after="0"/>
              <w:rPr>
                <w:sz w:val="17"/>
                <w:szCs w:val="17"/>
                <w:color w:val="auto"/>
              </w:rPr>
            </w:pP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r>
    </w:tbl>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November 2024, we announced the creation of a Strategic Business Operations office focused on accelerating our growth and driving operating efficiencies in all areas of our business while increasing organizational agility. We intend to modernize and optimize our processes and systems, including through advanced technology and automation, while focusing on efforts to increase sales efficiency and inventory optimization while capturing significant savings from initiatives related to procurement and corporate overhead. We believe that we can drive $150 million to $200 million of run rate benefits from these initiatives by the end of 2026, with half coming from cost savings and efficiencies with the balance from accelerating revenue growth. We expect to incur one-time costs related to these initiatives of approximately $100 million in each of 2025 and 2026 to enhance our customer platforms, products and services to achieve these benefits. We also expect additional savings that will benefit our owners’ maintenance fees. During 2024, we incurred $4 million of severance costs and $4 million of other costs associated with these efforts.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2023, we realigned our management structure, resulting in severance costs associated with the elimination of certain positions.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Fiscal Years</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7"/>
                <w:szCs w:val="17"/>
                <w:color w:val="auto"/>
              </w:rPr>
              <w:t>(16)</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5"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During 2023, upon our relocation to our new corporate headquarters, we recorded a non-cash impairment of a right-of-use asset related to operating leases for our legacy corporate headquarters located in Orlando, Florida, as we did not expect proceeds from subleasing these spaces to exceed our future obligations under the operating leases.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(Losses) Gains and Other (Expense)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gains and other (expense) income, net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7"/>
                <w:szCs w:val="17"/>
                <w:color w:val="auto"/>
              </w:rPr>
              <w:t>(34)</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r>
    </w:tbl>
    <w:p>
      <w:pPr>
        <w:spacing w:after="0" w:line="226"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In 2024, we recorded $12 million of foreign currency translation losses and $5 million of tax related adjustments to the receivable from Marriott International for indemnified tax matters.</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In 2023, we recorded a $22 million increase to our receivable from Marriott International for indemnified income tax matters (the offsetting accrual is included in the Provision for income taxes line) and $6 million of foreign currency translation gains, partially offset by a $10 million expense attributed to the redemption premium and write-off of unamortized debt issuance costs in connection with the early redemption of our 6.125% Senior Secured Notes due 2025 (“2025 Notes”).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9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(17)</w:t>
            </w:r>
          </w:p>
        </w:tc>
        <w:tc>
          <w:tcPr>
            <w:tcW w:w="6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8"/>
              </w:rPr>
              <w:t>(12%)</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Interest expense, net is attributed to higher variable interest expense and changes in outstanding borrowings during the comparative periods.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44"/>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80" w:type="dxa"/>
            <w:vAlign w:val="bottom"/>
          </w:tcPr>
          <w:p>
            <w:pPr>
              <w:spacing w:after="0"/>
              <w:rPr>
                <w:sz w:val="21"/>
                <w:szCs w:val="21"/>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32.9%</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11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7"/>
          <w:szCs w:val="17"/>
          <w:color w:val="auto"/>
        </w:rPr>
        <w:t>The change in our income tax expense is attributable to lower income before income taxes and noncontrolling interests $23 million and benefits from changes in uncertain tax benefits and our valuation allowance ($78 million). These decreases were partially offset by certain state, foreign and permanent differences which were unfavorable to prior periods ($44 million), of which $20 million related to the removal of our permanent reinvestment assertion for earnings in certain non-U.S. entities.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Footnote 5 “Income Taxes” for additional information.</w:t>
      </w:r>
    </w:p>
    <w:p>
      <w:pPr>
        <w:spacing w:after="0" w:line="1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December 2021, the Organization for Economic Co-operation and Development (“OECD”) released model rules introducing a 15% global minimum tax rate for large multinational corporations (“Pillar 2”). Certain countries in which we operate have enacted legislation consistent with the OECD model rules effective beginning in 2024. We considered the applicable tax laws enacted in relevant jurisdictions and concluded there is not a material effect on our tax provision for the year ended December 31, 2024. We will continue to evaluate the impact of additional Pillar Two legislative changes on future reporting periods.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7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At December 31, 2024, our corporate debt, net of cash and equivalents, to Adjusted EBITDA ratio was 4.0, above our targeted range of 2.5 to 3.0, and we remain focused on reducing this ratio over time.</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second quarter of 2024, we amended the Corporate Credit Facility to provide for a new $800 million term loan facility that is scheduled to mature on April 1, 2031 (the “New Term Loan”). The proceeds of the New Term Loan were used to refinance in full the Term Loan, which had a balance of $784 million as of March 31, 2024 and was scheduled to mature on August 31, 2025. We have no material principal payment obligations on our debt prior to 2026. See Footnote 16 “Debt” to our Financial Statements for further information related to maturities of our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from Operations</w:t>
      </w:r>
    </w:p>
    <w:p>
      <w:pPr>
        <w:spacing w:after="0" w:line="11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w:t>
      </w:r>
    </w:p>
    <w:p>
      <w:pPr>
        <w:spacing w:after="0" w:line="1" w:lineRule="exact"/>
        <w:rPr>
          <w:sz w:val="20"/>
          <w:szCs w:val="20"/>
          <w:color w:val="auto"/>
        </w:rPr>
      </w:pPr>
    </w:p>
    <w:p>
      <w:pPr>
        <w:ind w:left="240" w:hanging="238"/>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generated from our rental and resort management and other services operations.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44"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Securitizations</w:t>
      </w:r>
    </w:p>
    <w:p>
      <w:pPr>
        <w:spacing w:after="0" w:line="115"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w:t>
      </w:r>
    </w:p>
    <w:p>
      <w:pPr>
        <w:spacing w:after="0" w:line="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Loan defaults under securitizations offset a portion of the excess spread we receive, on a monthly basis. We completed two term securitization transactions in 2024 resulting in net proceeds of $863 million.</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2024, and as of December 31, 2024, no securitized vacation ownership notes receivable pools were out of compliance with their respective required parameters. As of December 31, 2024, we had 12 term securitization transactions outstanding. Since 2000, we have issued approximately $10 billion of debt securities in securitization transactions in the term ABS market, excluding amounts securitized through warehouse credit facilities or private bank transactions.</w:t>
      </w:r>
    </w:p>
    <w:p>
      <w:pPr>
        <w:spacing w:after="0" w:line="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2024, we amended certain agreements associated with our Warehouse Credit Facility, which extended the revolving period from May 31, 2025 to June 11, 2026. At December 31, 2024, we had $124 million of borrowings outstanding on our Warehouse Credit Facility.</w:t>
      </w:r>
    </w:p>
    <w:p>
      <w:pPr>
        <w:spacing w:after="0" w:line="7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As of December 31, 2024, $110 million of gross vacation ownership notes receivable were eligible for securitization. See Footnote 15 “Securitized Debt’ and Footnote 19 “Variable Interest Entities” for further information on these facilities.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Corporate Credit Facility</w:t>
      </w:r>
    </w:p>
    <w:p>
      <w:pPr>
        <w:spacing w:after="0" w:line="11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7"/>
          <w:szCs w:val="17"/>
          <w:color w:val="auto"/>
        </w:rPr>
        <w:t>Our Revolving Corporate Credit Facility, which expires on March 31, 2027, provides for up to $750 million of aggregate borrowings for general corporate needs, including working capital, capital expenditures, letters of credit, and acquisitions. At December 31, 2024, $125 million of borrowings and $18 million of letters of credit were outstanding under our Revolving Corporate Credit Facility. See Footnote 16 “Debt” to our Financial Statements for more information on interest rates pertaining to this facility.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Uses of Cash</w:t>
      </w:r>
    </w:p>
    <w:p>
      <w:pPr>
        <w:spacing w:after="0" w:line="11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11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significant variable compensation-related cash outflows associated with payment of annual bonuses.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Timing of Estimated Tax Payments</w:t>
      </w:r>
    </w:p>
    <w:p>
      <w:pPr>
        <w:spacing w:after="0" w:line="1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Internal Revenue Service provided for the deferral of federal income tax payments as tax relief for businesses in parts of Florida affected by the hurricanes that occurred during the third and fourth quarters of 2024. This relief allows us to delay making certain estimated tax payments, without interest or penalty. As a result, we deferred $38 million of estimated tax payments from the third and fourth quarters of 2024 to the second quarter of 2025. Similarly, in the prior year, as tax relief for businesses in parts of Florida affected by the hurricanes that occurred in 2023, we were able to defer $32 million of estimated tax payments from the third and fourth quarters of 2023 to the first quarter of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net income and adjustments for non-cash items, the following are key drivers of our cash flow from operating activities: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Spending (In Excess of) Less Than Cost of Sales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spending</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costs</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0"/>
        </w:trPr>
        <w:tc>
          <w:tcPr>
            <w:tcW w:w="4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 spending (in excess of) less than cost of sales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Although we have adequate inventory on hand, we intend to continue selectively pursuing growth opportunities by targeting high-quality inventory that allows us to add desirable new destinations to our systems with new on-site sales locations to support anticipated future contract sales growth. Where possible, we will structure transactions to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on our balance sheet in key markets where we believe the opportunities will generate acceptable risk adjusted returns.</w:t>
      </w:r>
    </w:p>
    <w:p>
      <w:pPr>
        <w:spacing w:after="0" w:line="7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spacing w:after="0" w:line="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spending for real estate inventory in 2024 was higher than our cost of sales due to our acquisition of vacation ownership units in Waikiki and purchases under our VOI repurchase programs. Refer to Footnote 3 “Acquisitions and Dispositions” for information about acquisitions that occurred in 2024. Purchases of property for future transfer to inventory in 2023 included the acquisition of property in Charleston, South Carolina and Savannah, Georgia. To manage our inventory spending and more closely align it with future sales, we have delayed the construction of certain projects. We expect inventory spending to again be more than cost of sales for 2025 based upon our existing commitments to purchase inventory in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44"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Collections Less Than Originations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collections — non-securitized</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7"/>
                <w:szCs w:val="17"/>
                <w:color w:val="auto"/>
                <w:w w:val="93"/>
              </w:rPr>
              <w:t>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collections — securitized</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left="478"/>
              <w:spacing w:after="0"/>
              <w:rPr>
                <w:sz w:val="20"/>
                <w:szCs w:val="20"/>
                <w:color w:val="auto"/>
              </w:rPr>
            </w:pPr>
            <w:r>
              <w:rPr>
                <w:rFonts w:ascii="Times New Roman" w:cs="Times New Roman" w:eastAsia="Times New Roman" w:hAnsi="Times New Roman"/>
                <w:sz w:val="17"/>
                <w:szCs w:val="17"/>
                <w:color w:val="auto"/>
                <w:w w:val="93"/>
              </w:rPr>
              <w:t>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center"/>
              <w:ind w:left="337"/>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438"/>
              <w:spacing w:after="0"/>
              <w:rPr>
                <w:sz w:val="20"/>
                <w:szCs w:val="20"/>
                <w:color w:val="auto"/>
              </w:rPr>
            </w:pPr>
            <w:r>
              <w:rPr>
                <w:rFonts w:ascii="Times New Roman" w:cs="Times New Roman" w:eastAsia="Times New Roman" w:hAnsi="Times New Roman"/>
                <w:sz w:val="17"/>
                <w:szCs w:val="17"/>
                <w:color w:val="auto"/>
                <w:w w:val="97"/>
              </w:rPr>
              <w:t>(987)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center"/>
              <w:ind w:left="317"/>
              <w:spacing w:after="0"/>
              <w:rPr>
                <w:sz w:val="20"/>
                <w:szCs w:val="20"/>
                <w:color w:val="auto"/>
              </w:rPr>
            </w:pPr>
            <w:r>
              <w:rPr>
                <w:rFonts w:ascii="Times New Roman" w:cs="Times New Roman" w:eastAsia="Times New Roman" w:hAnsi="Times New Roman"/>
                <w:sz w:val="17"/>
                <w:szCs w:val="17"/>
                <w:color w:val="auto"/>
                <w:w w:val="97"/>
              </w:rPr>
              <w:t>(980)</w:t>
            </w:r>
          </w:p>
        </w:tc>
        <w:tc>
          <w:tcPr>
            <w:tcW w:w="0" w:type="dxa"/>
            <w:vAlign w:val="bottom"/>
          </w:tcPr>
          <w:p>
            <w:pPr>
              <w:spacing w:after="0"/>
              <w:rPr>
                <w:sz w:val="1"/>
                <w:szCs w:val="1"/>
                <w:color w:val="auto"/>
              </w:rPr>
            </w:pPr>
          </w:p>
        </w:tc>
      </w:tr>
      <w:tr>
        <w:trPr>
          <w:trHeight w:val="146"/>
        </w:trPr>
        <w:tc>
          <w:tcPr>
            <w:tcW w:w="4760" w:type="dxa"/>
            <w:vAlign w:val="bottom"/>
          </w:tcPr>
          <w:p>
            <w:pPr>
              <w:ind w:left="220"/>
              <w:spacing w:after="0" w:line="146" w:lineRule="exact"/>
              <w:rPr>
                <w:sz w:val="20"/>
                <w:szCs w:val="20"/>
                <w:color w:val="auto"/>
              </w:rPr>
            </w:pPr>
            <w:r>
              <w:rPr>
                <w:rFonts w:ascii="Times New Roman" w:cs="Times New Roman" w:eastAsia="Times New Roman" w:hAnsi="Times New Roman"/>
                <w:sz w:val="16"/>
                <w:szCs w:val="16"/>
                <w:color w:val="auto"/>
              </w:rPr>
              <w:t>Vacation ownership notes receivable collections less than</w:t>
            </w: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auto"/>
                <w:w w:val="97"/>
              </w:rPr>
              <w:t>(391)</w:t>
            </w:r>
          </w:p>
        </w:tc>
        <w:tc>
          <w:tcPr>
            <w:tcW w:w="120" w:type="dxa"/>
            <w:vAlign w:val="bottom"/>
          </w:tcPr>
          <w:p>
            <w:pPr>
              <w:spacing w:after="0"/>
              <w:rPr>
                <w:sz w:val="12"/>
                <w:szCs w:val="12"/>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center"/>
              <w:ind w:left="317"/>
              <w:spacing w:after="0"/>
              <w:rPr>
                <w:sz w:val="20"/>
                <w:szCs w:val="20"/>
                <w:color w:val="auto"/>
              </w:rPr>
            </w:pPr>
            <w:r>
              <w:rPr>
                <w:rFonts w:ascii="Times New Roman" w:cs="Times New Roman" w:eastAsia="Times New Roman" w:hAnsi="Times New Roman"/>
                <w:sz w:val="17"/>
                <w:szCs w:val="17"/>
                <w:color w:val="auto"/>
                <w:w w:val="97"/>
              </w:rPr>
              <w:t>(338)</w:t>
            </w:r>
          </w:p>
        </w:tc>
        <w:tc>
          <w:tcPr>
            <w:tcW w:w="0" w:type="dxa"/>
            <w:vAlign w:val="bottom"/>
          </w:tcPr>
          <w:p>
            <w:pPr>
              <w:spacing w:after="0"/>
              <w:rPr>
                <w:sz w:val="1"/>
                <w:szCs w:val="1"/>
                <w:color w:val="auto"/>
              </w:rPr>
            </w:pPr>
          </w:p>
        </w:tc>
      </w:tr>
      <w:tr>
        <w:trPr>
          <w:trHeight w:val="209"/>
        </w:trPr>
        <w:tc>
          <w:tcPr>
            <w:tcW w:w="4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originations</w:t>
            </w:r>
          </w:p>
        </w:tc>
        <w:tc>
          <w:tcPr>
            <w:tcW w:w="2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Vacation ownership notes receivable collections were less than originations in 2024, 2023 and 2022 due to the growth of our vacation ownership notes receivable portfolio. We expect vacation ownership notes receivable originations to continue to outpace vacation ownership notes receivable collections in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Repurchase of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current Share Repurchase Program:</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60" w:type="dxa"/>
            <w:vAlign w:val="bottom"/>
          </w:tcPr>
          <w:p>
            <w:pPr>
              <w:spacing w:after="0"/>
              <w:rPr>
                <w:sz w:val="15"/>
                <w:szCs w:val="15"/>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Cost Basis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9"/>
              <w:spacing w:after="0" w:line="154"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Paid per Share</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year ended December 31,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649,477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85.79</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25,790,550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17 “Stockholders' Equity” to our Financial Statements for further information related to our current share repurchase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 of Dividends to Common Stockholders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distributed cash dividends to holders of common stock during the year ended December 31, 2024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4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25"/>
        </w:trPr>
        <w:tc>
          <w:tcPr>
            <w:tcW w:w="2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December 7, 2023</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December 21, 2023</w:t>
            </w: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9"/>
              </w:rPr>
              <w:t>January 4, 2024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43"/>
        </w:trPr>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February 15, 2024</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February 29, 2024</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March 14, 2024</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43"/>
        </w:trPr>
        <w:tc>
          <w:tcPr>
            <w:tcW w:w="2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May 9, 2024</w:t>
            </w:r>
          </w:p>
        </w:tc>
        <w:tc>
          <w:tcPr>
            <w:tcW w:w="2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May 23, 2024</w:t>
            </w: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June 6, 2024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44"/>
        </w:trPr>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September 4, 2024</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September 19, 2024</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October 3, 2024</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bl>
    <w:p>
      <w:pPr>
        <w:spacing w:after="0" w:line="27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On December 6, 2024, our Board of Directors declared a quarterly dividend of $0.79 per share that was paid subsequent to the end of 2024, on January 3, 2025, to stockholders of record as of December 19, 2024.</w:t>
      </w:r>
    </w:p>
    <w:p>
      <w:pPr>
        <w:spacing w:after="0" w:line="50"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7"/>
          <w:szCs w:val="17"/>
          <w:color w:val="auto"/>
        </w:rPr>
        <w:t>Subsequent to the end of 2024, on February 20, 2025, our Board of Directors declared a quarterly dividend of $0.79 per share to be paid on March 19, 2025 to stockholders of record as of March 5, 2025.</w:t>
      </w:r>
    </w:p>
    <w:p>
      <w:pPr>
        <w:spacing w:after="0" w:line="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color w:val="auto"/>
        </w:rPr>
        <w:t>Material Cash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future material cash requirements from known contractual or other obligations as of December 31,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Less Than 1</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1 - 3 Years</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3 - 5 Years</w:t>
            </w:r>
          </w:p>
        </w:tc>
        <w:tc>
          <w:tcPr>
            <w:tcW w:w="120" w:type="dxa"/>
            <w:vAlign w:val="bottom"/>
          </w:tcPr>
          <w:p>
            <w:pPr>
              <w:spacing w:after="0"/>
              <w:rPr>
                <w:sz w:val="12"/>
                <w:szCs w:val="12"/>
                <w:color w:val="auto"/>
              </w:rPr>
            </w:pPr>
          </w:p>
        </w:tc>
        <w:tc>
          <w:tcPr>
            <w:tcW w:w="100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5"/>
                <w:szCs w:val="15"/>
                <w:b w:val="1"/>
                <w:bCs w:val="1"/>
                <w:color w:val="auto"/>
                <w:w w:val="99"/>
              </w:rPr>
              <w:t>More Than 5</w:t>
            </w:r>
          </w:p>
        </w:tc>
        <w:tc>
          <w:tcPr>
            <w:tcW w:w="0" w:type="dxa"/>
            <w:vAlign w:val="bottom"/>
          </w:tcPr>
          <w:p>
            <w:pPr>
              <w:spacing w:after="0"/>
              <w:rPr>
                <w:sz w:val="1"/>
                <w:szCs w:val="1"/>
                <w:color w:val="auto"/>
              </w:rPr>
            </w:pPr>
          </w:p>
        </w:tc>
      </w:tr>
      <w:tr>
        <w:trPr>
          <w:trHeight w:val="204"/>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Years</w:t>
            </w:r>
          </w:p>
        </w:tc>
        <w:tc>
          <w:tcPr>
            <w:tcW w:w="0" w:type="dxa"/>
            <w:vAlign w:val="bottom"/>
          </w:tcPr>
          <w:p>
            <w:pPr>
              <w:spacing w:after="0"/>
              <w:rPr>
                <w:sz w:val="1"/>
                <w:szCs w:val="1"/>
                <w:color w:val="auto"/>
              </w:rPr>
            </w:pPr>
          </w:p>
        </w:tc>
      </w:tr>
      <w:tr>
        <w:trPr>
          <w:trHeight w:val="236"/>
        </w:trPr>
        <w:tc>
          <w:tcPr>
            <w:tcW w:w="2260" w:type="dxa"/>
            <w:vAlign w:val="bottom"/>
            <w:tcBorders>
              <w:top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Debt</w:t>
            </w:r>
            <w:r>
              <w:rPr>
                <w:rFonts w:ascii="Times New Roman" w:cs="Times New Roman" w:eastAsia="Times New Roman" w:hAnsi="Times New Roman"/>
                <w:sz w:val="10"/>
                <w:szCs w:val="10"/>
                <w:color w:val="auto"/>
              </w:rPr>
              <w:t>(1)(2)</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0" w:type="dxa"/>
            <w:vAlign w:val="bottom"/>
          </w:tcPr>
          <w:p>
            <w:pPr>
              <w:spacing w:after="0"/>
              <w:rPr>
                <w:sz w:val="1"/>
                <w:szCs w:val="1"/>
                <w:color w:val="auto"/>
              </w:rPr>
            </w:pP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w:t>
            </w:r>
            <w:r>
              <w:rPr>
                <w:rFonts w:ascii="Times New Roman" w:cs="Times New Roman" w:eastAsia="Times New Roman" w:hAnsi="Times New Roman"/>
                <w:sz w:val="22"/>
                <w:szCs w:val="22"/>
                <w:color w:val="auto"/>
                <w:vertAlign w:val="superscript"/>
              </w:rPr>
              <w:t>(1)(3)</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c>
          <w:tcPr>
            <w:tcW w:w="0" w:type="dxa"/>
            <w:vAlign w:val="bottom"/>
          </w:tcPr>
          <w:p>
            <w:pPr>
              <w:spacing w:after="0"/>
              <w:rPr>
                <w:sz w:val="1"/>
                <w:szCs w:val="1"/>
                <w:color w:val="auto"/>
              </w:rPr>
            </w:pPr>
          </w:p>
        </w:tc>
      </w:tr>
      <w:tr>
        <w:trPr>
          <w:trHeight w:val="25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(4)</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56"/>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2"/>
                <w:szCs w:val="22"/>
                <w:color w:val="auto"/>
                <w:vertAlign w:val="superscript"/>
              </w:rPr>
              <w:t>(5)</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r>
              <w:rPr>
                <w:rFonts w:ascii="Times New Roman" w:cs="Times New Roman" w:eastAsia="Times New Roman" w:hAnsi="Times New Roman"/>
                <w:sz w:val="22"/>
                <w:szCs w:val="22"/>
                <w:color w:val="auto"/>
                <w:vertAlign w:val="superscript"/>
              </w:rPr>
              <w:t>(5)</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56"/>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obligations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00" w:hanging="298"/>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principal as well as interest payments and excludes unamortized debt discount and issuance costs.</w:t>
      </w:r>
    </w:p>
    <w:p>
      <w:pPr>
        <w:spacing w:after="0" w:line="84" w:lineRule="exact"/>
        <w:rPr>
          <w:rFonts w:ascii="Times New Roman" w:cs="Times New Roman" w:eastAsia="Times New Roman" w:hAnsi="Times New Roman"/>
          <w:sz w:val="22"/>
          <w:szCs w:val="22"/>
          <w:color w:val="auto"/>
          <w:vertAlign w:val="superscript"/>
        </w:rPr>
      </w:pPr>
    </w:p>
    <w:p>
      <w:pPr>
        <w:ind w:left="300" w:right="40" w:hanging="298"/>
        <w:spacing w:after="0" w:line="235" w:lineRule="auto"/>
        <w:tabs>
          <w:tab w:leader="none" w:pos="288"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second quarter of 2024, we amended the Corporate Credit Facility to provide for the New Term Loan, which is scheduled to mature on April 1, 2031. The proceeds from the New Term Loan were used to refinance in full the Term Loan, which had a balance of $784 million as of March 31, 2024, and was scheduled to mature on August 31, 2025.</w:t>
      </w:r>
    </w:p>
    <w:p>
      <w:pPr>
        <w:spacing w:after="0" w:line="53"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Payments based on estimated timing of cash flow associated with securitized notes receivable.</w:t>
      </w:r>
    </w:p>
    <w:p>
      <w:pPr>
        <w:spacing w:after="0" w:line="84" w:lineRule="exact"/>
        <w:rPr>
          <w:rFonts w:ascii="Times New Roman" w:cs="Times New Roman" w:eastAsia="Times New Roman" w:hAnsi="Times New Roman"/>
          <w:sz w:val="22"/>
          <w:szCs w:val="22"/>
          <w:color w:val="auto"/>
          <w:vertAlign w:val="superscript"/>
        </w:rPr>
      </w:pPr>
    </w:p>
    <w:p>
      <w:pPr>
        <w:ind w:left="300" w:right="60" w:hanging="298"/>
        <w:spacing w:after="0" w:line="238" w:lineRule="auto"/>
        <w:tabs>
          <w:tab w:leader="none" w:pos="288"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and primarily relate to future purchases of property and vacation ownership units and information technology assets (hardware and software). Amounts reflected on the consolidated balance sheet as accounts payable and accrued liabilities are excluded from the table above.</w:t>
      </w:r>
    </w:p>
    <w:p>
      <w:pPr>
        <w:spacing w:after="0" w:line="56"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w:t>
      </w:r>
    </w:p>
    <w:p>
      <w:pPr>
        <w:spacing w:after="0" w:line="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Supplemental Guarantor Information</w:t>
      </w:r>
    </w:p>
    <w:p>
      <w:pPr>
        <w:spacing w:after="0" w:line="115"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7"/>
          <w:szCs w:val="17"/>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6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following tables present consolidating financial information as of December 31, 2024, and for the fiscal year ended December 31, 2024, for MVWC and MORI on a stand-alone basis (collectively, the “Issuers”), the Senior Notes Guarantors, the combined non-guarantor subsidiaries of MVWC, and MVW on a consolidated basis.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Condensed Consolidating Balance Sheet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10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Senior Notes</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3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4"/>
                <w:szCs w:val="4"/>
                <w:color w:val="auto"/>
              </w:rPr>
            </w:pPr>
          </w:p>
        </w:tc>
        <w:tc>
          <w:tcPr>
            <w:tcW w:w="900" w:type="dxa"/>
            <w:vAlign w:val="bottom"/>
            <w:gridSpan w:val="2"/>
            <w:vMerge w:val="restart"/>
          </w:tcPr>
          <w:p>
            <w:pPr>
              <w:jc w:val="center"/>
              <w:ind w:right="32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4"/>
                <w:szCs w:val="4"/>
                <w:color w:val="auto"/>
              </w:rPr>
            </w:pPr>
          </w:p>
        </w:tc>
        <w:tc>
          <w:tcPr>
            <w:tcW w:w="820" w:type="dxa"/>
            <w:vAlign w:val="bottom"/>
            <w:vMerge w:val="restart"/>
          </w:tcPr>
          <w:p>
            <w:pPr>
              <w:jc w:val="center"/>
              <w:ind w:right="136"/>
              <w:spacing w:after="0" w:line="128"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57"/>
        </w:trPr>
        <w:tc>
          <w:tcPr>
            <w:tcW w:w="2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MVWC</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w w:val="98"/>
              </w:rPr>
              <w:t>MORI</w:t>
            </w:r>
          </w:p>
        </w:tc>
        <w:tc>
          <w:tcPr>
            <w:tcW w:w="120" w:type="dxa"/>
            <w:vAlign w:val="bottom"/>
            <w:vMerge w:val="restart"/>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vMerge w:val="restart"/>
          </w:tcPr>
          <w:p>
            <w:pPr>
              <w:spacing w:after="0"/>
              <w:rPr>
                <w:sz w:val="10"/>
                <w:szCs w:val="10"/>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vMerge w:val="restart"/>
          </w:tcPr>
          <w:p>
            <w:pPr>
              <w:spacing w:after="0"/>
              <w:rPr>
                <w:sz w:val="10"/>
                <w:szCs w:val="10"/>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78"/>
        </w:trPr>
        <w:tc>
          <w:tcPr>
            <w:tcW w:w="2320" w:type="dxa"/>
            <w:vAlign w:val="bottom"/>
            <w:tcBorders>
              <w:bottom w:val="single" w:sz="8" w:color="CCEEFF"/>
            </w:tcBorders>
            <w:vMerge w:val="continue"/>
          </w:tcPr>
          <w:p>
            <w:pPr>
              <w:spacing w:after="0"/>
              <w:rPr>
                <w:sz w:val="6"/>
                <w:szCs w:val="6"/>
                <w:color w:val="auto"/>
              </w:rPr>
            </w:pPr>
          </w:p>
        </w:tc>
        <w:tc>
          <w:tcPr>
            <w:tcW w:w="72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Accounts and contracts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Vacation ownership notes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2,440</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735</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790</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subsidiaries</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35"/>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9,808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2,136</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8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3,089</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MVW stockholders' equity</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2,442</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5"/>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9,808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60" w:type="dxa"/>
            <w:vAlign w:val="bottom"/>
            <w:gridSpan w:val="5"/>
          </w:tcPr>
          <w:p>
            <w:pPr>
              <w:spacing w:after="0"/>
              <w:rPr>
                <w:sz w:val="20"/>
                <w:szCs w:val="20"/>
                <w:color w:val="auto"/>
              </w:rPr>
            </w:pPr>
            <w:r>
              <w:rPr>
                <w:rFonts w:ascii="Times New Roman" w:cs="Times New Roman" w:eastAsia="Times New Roman" w:hAnsi="Times New Roman"/>
                <w:sz w:val="17"/>
                <w:szCs w:val="17"/>
                <w:i w:val="1"/>
                <w:iCs w:val="1"/>
                <w:color w:val="auto"/>
              </w:rPr>
              <w:t>Condensed Consolidating Statement of Income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gridSpan w:val="3"/>
          </w:tcPr>
          <w:p>
            <w:pPr>
              <w:jc w:val="center"/>
              <w:ind w:right="140"/>
              <w:spacing w:after="0" w:line="133"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b w:val="1"/>
                <w:bCs w:val="1"/>
                <w:color w:val="auto"/>
              </w:rPr>
              <w:t>Guarantor</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220" w:type="dxa"/>
            <w:vAlign w:val="bottom"/>
          </w:tcPr>
          <w:p>
            <w:pPr>
              <w:spacing w:after="0"/>
              <w:rPr>
                <w:sz w:val="12"/>
                <w:szCs w:val="12"/>
                <w:color w:val="auto"/>
              </w:rPr>
            </w:pPr>
          </w:p>
        </w:tc>
        <w:tc>
          <w:tcPr>
            <w:tcW w:w="820" w:type="dxa"/>
            <w:vAlign w:val="bottom"/>
          </w:tcPr>
          <w:p>
            <w:pPr>
              <w:jc w:val="center"/>
              <w:ind w:right="136"/>
              <w:spacing w:after="0" w:line="133" w:lineRule="exact"/>
              <w:rPr>
                <w:sz w:val="20"/>
                <w:szCs w:val="20"/>
                <w:color w:val="auto"/>
              </w:rPr>
            </w:pPr>
            <w:r>
              <w:rPr>
                <w:rFonts w:ascii="Times New Roman" w:cs="Times New Roman" w:eastAsia="Times New Roman" w:hAnsi="Times New Roman"/>
                <w:sz w:val="15"/>
                <w:szCs w:val="15"/>
                <w:b w:val="1"/>
                <w:bCs w:val="1"/>
                <w:color w:val="auto"/>
                <w:w w:val="99"/>
              </w:rPr>
              <w:t>MVW</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MVWC</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w w:val="98"/>
              </w:rPr>
              <w:t>MORI</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4,967</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(4,661)</w:t>
            </w: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Benefit from (provision for)</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Equity in net income (loss) of</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8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Net loss attributable to</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6"/>
        </w:trPr>
        <w:tc>
          <w:tcPr>
            <w:tcW w:w="232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4"/>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stockholders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See Footnote 2 “Summary of Significant Accounting Policies” to our Financial Statements for a discussion of recently issued accounting pronouncements, including information about new accounting standards and the future adoption of such standards.</w:t>
      </w:r>
    </w:p>
    <w:p>
      <w:pPr>
        <w:sectPr>
          <w:pgSz w:w="11900" w:h="16838" w:orient="portrait"/>
          <w:cols w:equalWidth="0" w:num="1">
            <w:col w:w="11220"/>
          </w:cols>
          <w:pgMar w:left="320" w:top="1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11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114"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See Footnote 2 “Summary of Significant Accounting Policies” to our Financial Statements for further information related to our critical accounting policies and estimates, which are as follows:</w:t>
      </w:r>
    </w:p>
    <w:p>
      <w:pPr>
        <w:spacing w:after="0" w:line="97" w:lineRule="exact"/>
        <w:rPr>
          <w:sz w:val="20"/>
          <w:szCs w:val="20"/>
          <w:color w:val="auto"/>
        </w:rPr>
      </w:pPr>
    </w:p>
    <w:p>
      <w:pPr>
        <w:ind w:left="300" w:right="100" w:hanging="298"/>
        <w:spacing w:after="0" w:line="260" w:lineRule="auto"/>
        <w:tabs>
          <w:tab w:leader="none" w:pos="296"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including how we recognize revenue under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for the sale of vacation ownership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including our estimates of the sales reserve (variable consideration). Revisions to estimates of variable consideration from the sale of vacation ownership products impact the reserve on originated vacation ownership notes receivable and can increase or decrease revenue. See Footnote 6 “Vacation Ownership Notes Receivable” to our Financial Statements for further information on our assessments of our originated vacation ownership notes receivable reserve.</w:t>
      </w:r>
    </w:p>
    <w:p>
      <w:pPr>
        <w:spacing w:after="0" w:line="116" w:lineRule="exact"/>
        <w:rPr>
          <w:rFonts w:ascii="Times New Roman" w:cs="Times New Roman" w:eastAsia="Times New Roman" w:hAnsi="Times New Roman"/>
          <w:sz w:val="17"/>
          <w:szCs w:val="17"/>
          <w:i w:val="1"/>
          <w:iCs w:val="1"/>
          <w:color w:val="auto"/>
        </w:rPr>
      </w:pPr>
    </w:p>
    <w:p>
      <w:pPr>
        <w:ind w:left="300" w:right="380" w:hanging="298"/>
        <w:spacing w:after="0" w:line="288" w:lineRule="auto"/>
        <w:tabs>
          <w:tab w:leader="none" w:pos="296"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Inventories and cost of vacation ownership products, </w:t>
      </w:r>
      <w:r>
        <w:rPr>
          <w:rFonts w:ascii="Times New Roman" w:cs="Times New Roman" w:eastAsia="Times New Roman" w:hAnsi="Times New Roman"/>
          <w:sz w:val="17"/>
          <w:szCs w:val="17"/>
          <w:color w:val="auto"/>
        </w:rPr>
        <w:t>which requires estimation of future revenues and product costs to apply a relative sales value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 to the vacation ownership industry and how we evaluate the fair value of our vacation ownership inventory.</w:t>
      </w:r>
    </w:p>
    <w:p>
      <w:pPr>
        <w:spacing w:after="0" w:line="93" w:lineRule="exact"/>
        <w:rPr>
          <w:rFonts w:ascii="Times New Roman" w:cs="Times New Roman" w:eastAsia="Times New Roman" w:hAnsi="Times New Roman"/>
          <w:sz w:val="17"/>
          <w:szCs w:val="17"/>
          <w:i w:val="1"/>
          <w:iCs w:val="1"/>
          <w:color w:val="auto"/>
        </w:rPr>
      </w:pPr>
    </w:p>
    <w:p>
      <w:pPr>
        <w:ind w:left="300" w:hanging="298"/>
        <w:spacing w:after="0" w:line="263" w:lineRule="auto"/>
        <w:tabs>
          <w:tab w:leader="none" w:pos="296"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Valuation of goodwill and other intangible assets, </w:t>
      </w:r>
      <w:r>
        <w:rPr>
          <w:rFonts w:ascii="Times New Roman" w:cs="Times New Roman" w:eastAsia="Times New Roman" w:hAnsi="Times New Roman"/>
          <w:sz w:val="17"/>
          <w:szCs w:val="17"/>
          <w:color w:val="auto"/>
        </w:rPr>
        <w:t>including how we determine the fair value of goodwill and our other intangible assets and reporting units,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 we determine when an impairment loss should be recorded. During the fourth quarter of 2024, we conducted our annual goodwill impairment test and did not record any impairment charges. The estimated fair values of our reporting units exceeded their carrying amounts at the date of their most recent estimated fair value determination. During 2024, we evaluated our other intangible assets for impairment and did not record any impairment charges.</w:t>
      </w:r>
    </w:p>
    <w:p>
      <w:pPr>
        <w:spacing w:after="0" w:line="114" w:lineRule="exact"/>
        <w:rPr>
          <w:rFonts w:ascii="Times New Roman" w:cs="Times New Roman" w:eastAsia="Times New Roman" w:hAnsi="Times New Roman"/>
          <w:sz w:val="17"/>
          <w:szCs w:val="17"/>
          <w:i w:val="1"/>
          <w:iCs w:val="1"/>
          <w:color w:val="auto"/>
        </w:rPr>
      </w:pPr>
    </w:p>
    <w:p>
      <w:pPr>
        <w:ind w:left="300" w:right="60" w:hanging="298"/>
        <w:spacing w:after="0" w:line="263" w:lineRule="auto"/>
        <w:tabs>
          <w:tab w:leader="none" w:pos="296" w:val="left"/>
        </w:tabs>
        <w:numPr>
          <w:ilvl w:val="0"/>
          <w:numId w:val="24"/>
        </w:numPr>
        <w:rPr>
          <w:rFonts w:ascii="Times New Roman" w:cs="Times New Roman" w:eastAsia="Times New Roman" w:hAnsi="Times New Roman"/>
          <w:sz w:val="17"/>
          <w:szCs w:val="17"/>
          <w:i w:val="1"/>
          <w:iCs w:val="1"/>
          <w:color w:val="auto"/>
          <w:strike w:val="1"/>
        </w:rPr>
      </w:pP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including information on how we account for loss contingencies. Accruals for contingent liabilities are recorded when it is probable that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has been incurred, or an asset impaired, and the amount of the loss can be reasonably estimated. Liabilities accrued for legal matters require judgments regarding projected outcomes and range of loss based on historical litigation and settlement experience, recommendations of legal counsel and, if applicable, other experts.</w:t>
      </w:r>
    </w:p>
    <w:p>
      <w:pPr>
        <w:spacing w:after="0" w:line="114" w:lineRule="exact"/>
        <w:rPr>
          <w:rFonts w:ascii="Times New Roman" w:cs="Times New Roman" w:eastAsia="Times New Roman" w:hAnsi="Times New Roman"/>
          <w:sz w:val="17"/>
          <w:szCs w:val="17"/>
          <w:i w:val="1"/>
          <w:iCs w:val="1"/>
          <w:color w:val="auto"/>
          <w:strike w:val="1"/>
        </w:rPr>
      </w:pPr>
    </w:p>
    <w:p>
      <w:pPr>
        <w:ind w:left="300" w:hanging="298"/>
        <w:spacing w:after="0" w:line="260" w:lineRule="auto"/>
        <w:tabs>
          <w:tab w:leader="none" w:pos="296"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including the accounting related to uncertain tax positions and the determination of valuation allowances on our deferred tax assets.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recognition and measurement of uncertain tax positions involves consideration of the amounts and probabilities of various outcomes that could be realized upon ultimate resolution. 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67" w:name="page68"/>
    <w:bookmarkEnd w:id="67"/>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Quantitative and Qualitative Disclosures About Market Risk.</w:t>
      </w:r>
    </w:p>
    <w:p>
      <w:pPr>
        <w:spacing w:after="0" w:line="115" w:lineRule="exact"/>
        <w:rPr>
          <w:sz w:val="20"/>
          <w:szCs w:val="20"/>
          <w:color w:val="auto"/>
        </w:rPr>
      </w:pPr>
    </w:p>
    <w:p>
      <w:pPr>
        <w:ind w:right="520"/>
        <w:spacing w:after="0" w:line="315" w:lineRule="auto"/>
        <w:rPr>
          <w:sz w:val="20"/>
          <w:szCs w:val="20"/>
          <w:color w:val="auto"/>
        </w:rPr>
      </w:pPr>
      <w:r>
        <w:rPr>
          <w:rFonts w:ascii="Times New Roman" w:cs="Times New Roman" w:eastAsia="Times New Roman" w:hAnsi="Times New Roman"/>
          <w:sz w:val="16"/>
          <w:szCs w:val="16"/>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2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vacation ownership notes receivable and our fixed-rate debt. We issue securitized debt backed by consumer loans at least twice annually. To the extent interest rates are higher relative to the interest rates in our financing programs on our loans being securitized at the time of a transaction, the excess spread we realize over the life of a securitization will be lower. While we adjust interest rates on our financing programs from time to time, such changes are typically not made in lockstep with the timing and magnitude of changes in broader market rates.</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manage the interest rate risk on our corporate debt through the use of fixed-rate debt and may also use interest rate hedges to fix a portion of our variable-rate debt. At December 31, 2024, the interest rate applicable to 68% (approximately $2 billion) of our corporate debt, excluding finance leases, was fixed and the interest rate applicable to the remaining 32% (approximately $921 million) was variable. Assuming we had no outstanding balance on our Revolving Corporate Credit Facility, a 100 basis point increase in the underlying benchmark rate on our variable-rate debt at December 31, 2024 would result in an annual increase in cash interest of approximately $8 million.</w:t>
      </w:r>
    </w:p>
    <w:p>
      <w:pPr>
        <w:spacing w:after="0" w:line="7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The following table presents the scheduled maturities and the total fair value as of December 31, 2024 for our financial instruments that are impacted by market risks: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Maturities by Period</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Average</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There-</w:t>
            </w:r>
          </w:p>
        </w:tc>
        <w:tc>
          <w:tcPr>
            <w:tcW w:w="96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72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96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w w:val="99"/>
              </w:rPr>
              <w:t>Interest</w:t>
            </w:r>
          </w:p>
        </w:tc>
        <w:tc>
          <w:tcPr>
            <w:tcW w:w="680" w:type="dxa"/>
            <w:vAlign w:val="bottom"/>
            <w:vMerge w:val="restart"/>
          </w:tcPr>
          <w:p>
            <w:pPr>
              <w:jc w:val="right"/>
              <w:ind w:right="143"/>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vMerge w:val="restart"/>
          </w:tcPr>
          <w:p>
            <w:pPr>
              <w:jc w:val="right"/>
              <w:ind w:right="143"/>
              <w:spacing w:after="0" w:line="154" w:lineRule="exact"/>
              <w:rPr>
                <w:sz w:val="20"/>
                <w:szCs w:val="20"/>
                <w:color w:val="auto"/>
              </w:rPr>
            </w:pPr>
            <w:r>
              <w:rPr>
                <w:rFonts w:ascii="Times New Roman" w:cs="Times New Roman" w:eastAsia="Times New Roman" w:hAnsi="Times New Roman"/>
                <w:sz w:val="15"/>
                <w:szCs w:val="15"/>
                <w:b w:val="1"/>
                <w:bCs w:val="1"/>
                <w:color w:val="auto"/>
              </w:rPr>
              <w:t>2026</w:t>
            </w:r>
          </w:p>
        </w:tc>
        <w:tc>
          <w:tcPr>
            <w:tcW w:w="740" w:type="dxa"/>
            <w:vAlign w:val="bottom"/>
            <w:vMerge w:val="restart"/>
          </w:tcPr>
          <w:p>
            <w:pPr>
              <w:jc w:val="right"/>
              <w:ind w:right="143"/>
              <w:spacing w:after="0" w:line="154" w:lineRule="exact"/>
              <w:rPr>
                <w:sz w:val="20"/>
                <w:szCs w:val="20"/>
                <w:color w:val="auto"/>
              </w:rPr>
            </w:pPr>
            <w:r>
              <w:rPr>
                <w:rFonts w:ascii="Times New Roman" w:cs="Times New Roman" w:eastAsia="Times New Roman" w:hAnsi="Times New Roman"/>
                <w:sz w:val="15"/>
                <w:szCs w:val="15"/>
                <w:b w:val="1"/>
                <w:bCs w:val="1"/>
                <w:color w:val="auto"/>
              </w:rPr>
              <w:t>2027</w:t>
            </w:r>
          </w:p>
        </w:tc>
        <w:tc>
          <w:tcPr>
            <w:tcW w:w="760" w:type="dxa"/>
            <w:vAlign w:val="bottom"/>
            <w:vMerge w:val="restart"/>
          </w:tcPr>
          <w:p>
            <w:pPr>
              <w:ind w:left="240"/>
              <w:spacing w:after="0" w:line="154" w:lineRule="exact"/>
              <w:rPr>
                <w:sz w:val="20"/>
                <w:szCs w:val="20"/>
                <w:color w:val="auto"/>
              </w:rPr>
            </w:pPr>
            <w:r>
              <w:rPr>
                <w:rFonts w:ascii="Times New Roman" w:cs="Times New Roman" w:eastAsia="Times New Roman" w:hAnsi="Times New Roman"/>
                <w:sz w:val="15"/>
                <w:szCs w:val="15"/>
                <w:b w:val="1"/>
                <w:bCs w:val="1"/>
                <w:color w:val="auto"/>
              </w:rPr>
              <w:t>2028</w:t>
            </w:r>
          </w:p>
        </w:tc>
        <w:tc>
          <w:tcPr>
            <w:tcW w:w="900" w:type="dxa"/>
            <w:vAlign w:val="bottom"/>
            <w:vMerge w:val="restart"/>
          </w:tcPr>
          <w:p>
            <w:pPr>
              <w:jc w:val="right"/>
              <w:ind w:right="303"/>
              <w:spacing w:after="0" w:line="154" w:lineRule="exact"/>
              <w:rPr>
                <w:sz w:val="20"/>
                <w:szCs w:val="20"/>
                <w:color w:val="auto"/>
              </w:rPr>
            </w:pPr>
            <w:r>
              <w:rPr>
                <w:rFonts w:ascii="Times New Roman" w:cs="Times New Roman" w:eastAsia="Times New Roman" w:hAnsi="Times New Roman"/>
                <w:sz w:val="15"/>
                <w:szCs w:val="15"/>
                <w:b w:val="1"/>
                <w:bCs w:val="1"/>
                <w:color w:val="auto"/>
              </w:rPr>
              <w:t>2029</w:t>
            </w:r>
          </w:p>
        </w:tc>
        <w:tc>
          <w:tcPr>
            <w:tcW w:w="660" w:type="dxa"/>
            <w:vAlign w:val="bottom"/>
            <w:vMerge w:val="continue"/>
          </w:tcPr>
          <w:p>
            <w:pPr>
              <w:spacing w:after="0"/>
              <w:rPr>
                <w:sz w:val="6"/>
                <w:szCs w:val="6"/>
                <w:color w:val="auto"/>
              </w:rPr>
            </w:pPr>
          </w:p>
        </w:tc>
        <w:tc>
          <w:tcPr>
            <w:tcW w:w="96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72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6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after</w:t>
            </w:r>
          </w:p>
        </w:tc>
        <w:tc>
          <w:tcPr>
            <w:tcW w:w="9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 in millions)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Value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77"/>
        </w:trPr>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525716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257165"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7"/>
          <w:szCs w:val="17"/>
          <w:b w:val="1"/>
          <w:bCs w:val="1"/>
          <w:color w:val="auto"/>
        </w:rPr>
        <w:t>Assets – Maturities represent expected principal receipts; fair values represent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Vacation ownership</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11.8%</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90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63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222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523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notes receivable —</w:t>
            </w:r>
          </w:p>
        </w:tc>
        <w:tc>
          <w:tcPr>
            <w:tcW w:w="6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non-securitized</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Vacation ownership</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13.4%</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164</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171</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175</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176</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1,059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1,917</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notes receivable —</w:t>
            </w:r>
          </w:p>
        </w:tc>
        <w:tc>
          <w:tcPr>
            <w:tcW w:w="62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securitized</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Contracts receivable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for financed VOI</w:t>
            </w:r>
          </w:p>
        </w:tc>
        <w:tc>
          <w:tcPr>
            <w:tcW w:w="6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net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500" w:type="dxa"/>
            <w:vAlign w:val="bottom"/>
            <w:gridSpan w:val="16"/>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Liabilities – Maturities represent expected principal payments; fair values represent liabilities</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Securitized debt</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(2,163)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0" w:type="dxa"/>
            <w:vAlign w:val="bottom"/>
          </w:tcPr>
          <w:p>
            <w:pPr>
              <w:spacing w:after="0"/>
              <w:rPr>
                <w:sz w:val="1"/>
                <w:szCs w:val="1"/>
                <w:color w:val="auto"/>
              </w:rPr>
            </w:pPr>
          </w:p>
        </w:tc>
      </w:tr>
      <w:tr>
        <w:trPr>
          <w:trHeight w:val="245"/>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Loan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6.6%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0" w:type="dxa"/>
            <w:vAlign w:val="bottom"/>
          </w:tcPr>
          <w:p>
            <w:pPr>
              <w:spacing w:after="0"/>
              <w:rPr>
                <w:sz w:val="1"/>
                <w:szCs w:val="1"/>
                <w:color w:val="auto"/>
              </w:rPr>
            </w:pPr>
          </w:p>
        </w:tc>
      </w:tr>
      <w:tr>
        <w:trPr>
          <w:trHeight w:val="154"/>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Revolving Corporate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6.3%</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(125)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128"/>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Credit Facility</w:t>
            </w:r>
          </w:p>
        </w:tc>
        <w:tc>
          <w:tcPr>
            <w:tcW w:w="62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Notes</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2028 Notes</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45"/>
        </w:trPr>
        <w:tc>
          <w:tcPr>
            <w:tcW w:w="1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2029 Notes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4.5%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154"/>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2026 Convertible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0.0%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128"/>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62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2027 Convertible</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3.3%</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0" w:type="dxa"/>
            <w:vAlign w:val="bottom"/>
          </w:tcPr>
          <w:p>
            <w:pPr>
              <w:spacing w:after="0"/>
              <w:rPr>
                <w:sz w:val="1"/>
                <w:szCs w:val="1"/>
                <w:color w:val="auto"/>
              </w:rPr>
            </w:pPr>
          </w:p>
        </w:tc>
      </w:tr>
      <w:tr>
        <w:trPr>
          <w:trHeight w:val="128"/>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62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38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We are exposed to currency exchange rate risk through investments in foreign subsidiaries that transact business in a currency other than the U.S. dollar and through the revaluation of assets and liabilities denominated in a currency other than the functional currency.</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may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44"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6"/>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8320" w:type="dxa"/>
            <w:vAlign w:val="bottom"/>
            <w:gridSpan w:val="37"/>
          </w:tcPr>
          <w:p>
            <w:pPr>
              <w:ind w:left="180"/>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Supplementary Data</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9000" w:type="dxa"/>
            <w:vAlign w:val="bottom"/>
            <w:gridSpan w:val="38"/>
          </w:tcPr>
          <w:p>
            <w:pPr>
              <w:spacing w:after="0"/>
              <w:rPr>
                <w:sz w:val="20"/>
                <w:szCs w:val="20"/>
                <w:color w:val="auto"/>
              </w:rPr>
            </w:pPr>
            <w:r>
              <w:rPr>
                <w:rFonts w:ascii="Times New Roman" w:cs="Times New Roman" w:eastAsia="Times New Roman" w:hAnsi="Times New Roman"/>
                <w:sz w:val="17"/>
                <w:szCs w:val="17"/>
                <w:color w:val="auto"/>
              </w:rPr>
              <w:t>The following financial information is included on the pages indicated.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60" w:type="dxa"/>
            <w:vAlign w:val="bottom"/>
            <w:gridSpan w:val="29"/>
          </w:tcPr>
          <w:p>
            <w:pPr>
              <w:spacing w:after="0" w:line="177" w:lineRule="exact"/>
              <w:rPr>
                <w:sz w:val="20"/>
                <w:szCs w:val="20"/>
                <w:color w:val="auto"/>
              </w:rPr>
            </w:pPr>
            <w:r>
              <w:rPr>
                <w:rFonts w:ascii="Times New Roman" w:cs="Times New Roman" w:eastAsia="Times New Roman" w:hAnsi="Times New Roman"/>
                <w:sz w:val="17"/>
                <w:szCs w:val="17"/>
                <w:color w:val="0000FF"/>
                <w:w w:val="99"/>
              </w:rPr>
              <w:t>Financial Statements and Supplementary Data</w:t>
            </w:r>
          </w:p>
        </w:tc>
        <w:tc>
          <w:tcPr>
            <w:tcW w:w="4340" w:type="dxa"/>
            <w:vAlign w:val="bottom"/>
            <w:gridSpan w:val="7"/>
          </w:tcPr>
          <w:p>
            <w:pPr>
              <w:spacing w:after="0"/>
              <w:rPr>
                <w:sz w:val="15"/>
                <w:szCs w:val="15"/>
                <w:color w:val="auto"/>
              </w:rPr>
            </w:pPr>
          </w:p>
        </w:tc>
        <w:tc>
          <w:tcPr>
            <w:tcW w:w="460" w:type="dxa"/>
            <w:vAlign w:val="bottom"/>
            <w:gridSpan w:val="2"/>
          </w:tcPr>
          <w:p>
            <w:pPr>
              <w:jc w:val="center"/>
              <w:ind w:left="215"/>
              <w:spacing w:after="0" w:line="177" w:lineRule="exact"/>
              <w:rPr>
                <w:sz w:val="20"/>
                <w:szCs w:val="20"/>
                <w:color w:val="auto"/>
              </w:rPr>
            </w:pPr>
            <w:r>
              <w:rPr>
                <w:rFonts w:ascii="Times New Roman" w:cs="Times New Roman" w:eastAsia="Times New Roman" w:hAnsi="Times New Roman"/>
                <w:sz w:val="17"/>
                <w:szCs w:val="17"/>
                <w:color w:val="0000FF"/>
                <w:w w:val="93"/>
              </w:rPr>
              <w:t>67</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50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Management’s Report on Internal Control Over Financial Reporting</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68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00" w:type="dxa"/>
            <w:vAlign w:val="bottom"/>
            <w:gridSpan w:val="36"/>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42)</w:t>
            </w:r>
          </w:p>
        </w:tc>
        <w:tc>
          <w:tcPr>
            <w:tcW w:w="460" w:type="dxa"/>
            <w:vAlign w:val="bottom"/>
            <w:gridSpan w:val="2"/>
            <w:vMerge w:val="restart"/>
          </w:tcPr>
          <w:p>
            <w:pPr>
              <w:jc w:val="center"/>
              <w:ind w:left="215"/>
              <w:spacing w:after="0"/>
              <w:rPr>
                <w:sz w:val="20"/>
                <w:szCs w:val="20"/>
                <w:color w:val="auto"/>
              </w:rPr>
            </w:pPr>
            <w:r>
              <w:rPr>
                <w:rFonts w:ascii="Times New Roman" w:cs="Times New Roman" w:eastAsia="Times New Roman" w:hAnsi="Times New Roman"/>
                <w:sz w:val="17"/>
                <w:szCs w:val="17"/>
                <w:color w:val="0000FF"/>
                <w:w w:val="93"/>
              </w:rPr>
              <w:t>69</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80" w:type="dxa"/>
            <w:vAlign w:val="bottom"/>
            <w:gridSpan w:val="28"/>
            <w:vMerge w:val="restart"/>
          </w:tcPr>
          <w:p>
            <w:pPr>
              <w:spacing w:after="0" w:line="179" w:lineRule="exact"/>
              <w:rPr>
                <w:sz w:val="20"/>
                <w:szCs w:val="20"/>
                <w:color w:val="auto"/>
              </w:rPr>
            </w:pPr>
            <w:r>
              <w:rPr>
                <w:rFonts w:ascii="Times New Roman" w:cs="Times New Roman" w:eastAsia="Times New Roman" w:hAnsi="Times New Roman"/>
                <w:sz w:val="17"/>
                <w:szCs w:val="17"/>
                <w:color w:val="0000FF"/>
                <w:w w:val="99"/>
              </w:rPr>
              <w:t>Internal Control Over Financial Reporting</w:t>
            </w:r>
          </w:p>
        </w:tc>
        <w:tc>
          <w:tcPr>
            <w:tcW w:w="4000" w:type="dxa"/>
            <w:vAlign w:val="bottom"/>
            <w:gridSpan w:val="4"/>
            <w:vMerge w:val="restart"/>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80" w:type="dxa"/>
            <w:vAlign w:val="bottom"/>
            <w:tcBorders>
              <w:bottom w:val="single" w:sz="8" w:color="0000FF"/>
            </w:tcBorders>
            <w:gridSpan w:val="28"/>
            <w:vMerge w:val="continue"/>
          </w:tcPr>
          <w:p>
            <w:pPr>
              <w:spacing w:after="0"/>
              <w:rPr>
                <w:sz w:val="4"/>
                <w:szCs w:val="4"/>
                <w:color w:val="auto"/>
              </w:rPr>
            </w:pPr>
          </w:p>
        </w:tc>
        <w:tc>
          <w:tcPr>
            <w:tcW w:w="40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00" w:type="dxa"/>
            <w:vAlign w:val="bottom"/>
            <w:gridSpan w:val="36"/>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42)</w:t>
            </w:r>
          </w:p>
        </w:tc>
        <w:tc>
          <w:tcPr>
            <w:tcW w:w="460" w:type="dxa"/>
            <w:vAlign w:val="bottom"/>
            <w:gridSpan w:val="2"/>
            <w:vMerge w:val="restart"/>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14"/>
            <w:vMerge w:val="restart"/>
          </w:tcPr>
          <w:p>
            <w:pPr>
              <w:spacing w:after="0" w:line="179" w:lineRule="exact"/>
              <w:rPr>
                <w:sz w:val="20"/>
                <w:szCs w:val="20"/>
                <w:color w:val="auto"/>
              </w:rPr>
            </w:pPr>
            <w:r>
              <w:rPr>
                <w:rFonts w:ascii="Times New Roman" w:cs="Times New Roman" w:eastAsia="Times New Roman" w:hAnsi="Times New Roman"/>
                <w:sz w:val="17"/>
                <w:szCs w:val="17"/>
                <w:color w:val="0000FF"/>
                <w:w w:val="98"/>
              </w:rPr>
              <w:t>Financial Statements</w:t>
            </w:r>
          </w:p>
        </w:tc>
        <w:tc>
          <w:tcPr>
            <w:tcW w:w="5460" w:type="dxa"/>
            <w:vAlign w:val="bottom"/>
            <w:gridSpan w:val="18"/>
            <w:vMerge w:val="restart"/>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0000FF"/>
            </w:tcBorders>
            <w:gridSpan w:val="14"/>
            <w:vMerge w:val="continue"/>
          </w:tcPr>
          <w:p>
            <w:pPr>
              <w:spacing w:after="0"/>
              <w:rPr>
                <w:sz w:val="4"/>
                <w:szCs w:val="4"/>
                <w:color w:val="auto"/>
              </w:rPr>
            </w:pPr>
          </w:p>
        </w:tc>
        <w:tc>
          <w:tcPr>
            <w:tcW w:w="5460" w:type="dxa"/>
            <w:vAlign w:val="bottom"/>
            <w:gridSpan w:val="18"/>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50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w w:val="98"/>
              </w:rPr>
              <w:t>Consolidated Statements of Income</w:t>
            </w:r>
          </w:p>
        </w:tc>
        <w:tc>
          <w:tcPr>
            <w:tcW w:w="4880" w:type="dxa"/>
            <w:vAlign w:val="bottom"/>
            <w:gridSpan w:val="11"/>
          </w:tcPr>
          <w:p>
            <w:pPr>
              <w:spacing w:after="0"/>
              <w:rPr>
                <w:sz w:val="19"/>
                <w:szCs w:val="19"/>
                <w:color w:val="auto"/>
              </w:rPr>
            </w:pP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w w:val="99"/>
              </w:rPr>
              <w:t>Consolidated Statements of Comprehensive Income</w:t>
            </w:r>
          </w:p>
        </w:tc>
        <w:tc>
          <w:tcPr>
            <w:tcW w:w="3760" w:type="dxa"/>
            <w:vAlign w:val="bottom"/>
            <w:gridSpan w:val="2"/>
          </w:tcPr>
          <w:p>
            <w:pPr>
              <w:spacing w:after="0"/>
              <w:rPr>
                <w:sz w:val="19"/>
                <w:szCs w:val="19"/>
                <w:color w:val="auto"/>
              </w:rPr>
            </w:pP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760" w:type="dxa"/>
            <w:vAlign w:val="bottom"/>
            <w:gridSpan w:val="2"/>
          </w:tcPr>
          <w:p>
            <w:pPr>
              <w:spacing w:after="0"/>
              <w:rPr>
                <w:sz w:val="19"/>
                <w:szCs w:val="19"/>
                <w:color w:val="auto"/>
              </w:rPr>
            </w:pP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8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4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w w:val="99"/>
              </w:rPr>
              <w:t>Consolidated Statements of Stockholders’ Equity</w:t>
            </w:r>
          </w:p>
        </w:tc>
        <w:tc>
          <w:tcPr>
            <w:tcW w:w="3940" w:type="dxa"/>
            <w:vAlign w:val="bottom"/>
            <w:gridSpan w:val="3"/>
          </w:tcPr>
          <w:p>
            <w:pPr>
              <w:spacing w:after="0"/>
              <w:rPr>
                <w:sz w:val="19"/>
                <w:szCs w:val="19"/>
                <w:color w:val="auto"/>
              </w:rPr>
            </w:pP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4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940" w:type="dxa"/>
            <w:vAlign w:val="bottom"/>
            <w:gridSpan w:val="3"/>
          </w:tcPr>
          <w:p>
            <w:pPr>
              <w:spacing w:after="0"/>
              <w:rPr>
                <w:sz w:val="19"/>
                <w:szCs w:val="19"/>
                <w:color w:val="auto"/>
              </w:rPr>
            </w:pP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1.</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Basis of Presentation</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2.</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Summary of Significant Accounting Policies</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79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3.</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Acquisitions and Dispositions</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90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4.</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Revenue</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91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5.</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Income Taxes</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94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6.</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Vacation Ownership Notes Receivable</w:t>
            </w:r>
          </w:p>
        </w:tc>
        <w:tc>
          <w:tcPr>
            <w:tcW w:w="46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0000FF"/>
                <w:w w:val="93"/>
              </w:rPr>
              <w:t>96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7.</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Financial Instruments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8.</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Earnings per Share</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16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0000FF"/>
                <w:w w:val="93"/>
              </w:rPr>
              <w:t>9.</w:t>
            </w:r>
          </w:p>
        </w:tc>
        <w:tc>
          <w:tcPr>
            <w:tcW w:w="7160" w:type="dxa"/>
            <w:vAlign w:val="bottom"/>
            <w:gridSpan w:val="34"/>
          </w:tcPr>
          <w:p>
            <w:pPr>
              <w:ind w:left="20"/>
              <w:spacing w:after="0"/>
              <w:rPr>
                <w:sz w:val="20"/>
                <w:szCs w:val="20"/>
                <w:color w:val="auto"/>
              </w:rPr>
            </w:pPr>
            <w:r>
              <w:rPr>
                <w:rFonts w:ascii="Times New Roman" w:cs="Times New Roman" w:eastAsia="Times New Roman" w:hAnsi="Times New Roman"/>
                <w:sz w:val="17"/>
                <w:szCs w:val="17"/>
                <w:color w:val="0000FF"/>
              </w:rPr>
              <w:t>Inventory</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10.</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Property and Equipment</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11. Goodwill</w:t>
            </w:r>
          </w:p>
        </w:tc>
        <w:tc>
          <w:tcPr>
            <w:tcW w:w="5360" w:type="dxa"/>
            <w:vAlign w:val="bottom"/>
            <w:gridSpan w:val="16"/>
          </w:tcPr>
          <w:p>
            <w:pPr>
              <w:spacing w:after="0"/>
              <w:rPr>
                <w:sz w:val="19"/>
                <w:szCs w:val="19"/>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12.</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Intangibles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13.</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Contingencies and Commitments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14.</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Leases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15.</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Securitized Debt</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16.</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Debt</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17.</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Stockholders' Equity</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18.</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Share-based Compensation</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19.</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Variable Interest Entities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20.</w:t>
            </w:r>
          </w:p>
        </w:tc>
        <w:tc>
          <w:tcPr>
            <w:tcW w:w="2080" w:type="dxa"/>
            <w:vAlign w:val="bottom"/>
            <w:gridSpan w:val="21"/>
          </w:tcPr>
          <w:p>
            <w:pPr>
              <w:ind w:left="20"/>
              <w:spacing w:after="0"/>
              <w:rPr>
                <w:sz w:val="20"/>
                <w:szCs w:val="20"/>
                <w:color w:val="auto"/>
              </w:rPr>
            </w:pPr>
            <w:r>
              <w:rPr>
                <w:rFonts w:ascii="Times New Roman" w:cs="Times New Roman" w:eastAsia="Times New Roman" w:hAnsi="Times New Roman"/>
                <w:sz w:val="17"/>
                <w:szCs w:val="17"/>
                <w:color w:val="0000FF"/>
              </w:rPr>
              <w:t>Business Segments</w:t>
            </w:r>
          </w:p>
        </w:tc>
        <w:tc>
          <w:tcPr>
            <w:tcW w:w="5000" w:type="dxa"/>
            <w:vAlign w:val="bottom"/>
            <w:gridSpan w:val="12"/>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80" w:type="dxa"/>
            <w:vAlign w:val="bottom"/>
            <w:gridSpan w:val="21"/>
            <w:shd w:val="clear" w:color="auto" w:fill="0000FF"/>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4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0000FF"/>
                <w:w w:val="93"/>
              </w:rPr>
              <w:t>21.</w:t>
            </w:r>
          </w:p>
        </w:tc>
        <w:tc>
          <w:tcPr>
            <w:tcW w:w="708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0000FF"/>
              </w:rPr>
              <w:t>Impairment and Restructuring</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295"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MANAGEMENT’S REPORT 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connection with the preparation of the Company’s annual consolidated financial statements, management has undertaken an assessment of the effectiveness of the Company’s internal control over financial reporting as of December 31, 2024, based on criteria established in Internal Control-Integrated Framework issued by the Committee of Sponsoring Organizations of the Treadway Commission (2013 framework) (the “COSO criteria”).</w:t>
      </w:r>
    </w:p>
    <w:p>
      <w:pPr>
        <w:spacing w:after="0" w:line="16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Based on this assessment, management has concluded that, applying the COSO criteria, as of December 31, 2024,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6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70" w:name="page71"/>
    <w:bookmarkEnd w:id="70"/>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Marriott Vacations Worldwide Corporation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8"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7"/>
          <w:szCs w:val="17"/>
          <w:color w:val="auto"/>
        </w:rPr>
        <w:t>We have audited Marriott Vacations Worldwide Corporation’s internal control over financial reporting as of December 31, 2024,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2024, based on the COSO criteria.</w:t>
      </w:r>
    </w:p>
    <w:p>
      <w:pPr>
        <w:spacing w:after="0" w:line="8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three years in the period ended December 31, 2024, and the related notes and our report dated February 28, 2025 expressed an unqualified opinion thereon.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Orlando, Florida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71" w:name="page72"/>
    <w:bookmarkEnd w:id="71"/>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7" w:lineRule="exact"/>
        <w:rPr>
          <w:sz w:val="20"/>
          <w:szCs w:val="20"/>
          <w:color w:val="auto"/>
        </w:rPr>
      </w:pPr>
    </w:p>
    <w:p>
      <w:pPr>
        <w:ind w:right="4860"/>
        <w:spacing w:after="0" w:line="407" w:lineRule="auto"/>
        <w:rPr>
          <w:sz w:val="20"/>
          <w:szCs w:val="20"/>
          <w:color w:val="auto"/>
        </w:rPr>
      </w:pPr>
      <w:r>
        <w:rPr>
          <w:rFonts w:ascii="Times New Roman" w:cs="Times New Roman" w:eastAsia="Times New Roman" w:hAnsi="Times New Roman"/>
          <w:sz w:val="17"/>
          <w:szCs w:val="17"/>
          <w:color w:val="auto"/>
        </w:rPr>
        <w:t xml:space="preserve">To the Stockholders and the Board of Directors of Marriott Vacations Worldwide Corporation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Marriott Vacations Worldwide Corporation (the Company) as of December 31, 2024 and 2023, the related consolidated statements of income,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0"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28, 2025 expressed an unqualified opinion thereon.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Cost of Vacation Ownership Products</w:t>
      </w:r>
    </w:p>
    <w:p>
      <w:pPr>
        <w:sectPr>
          <w:pgSz w:w="11900" w:h="16838" w:orient="portrait"/>
          <w:cols w:equalWidth="0" w:num="1">
            <w:col w:w="11240"/>
          </w:cols>
          <w:pgMar w:left="320" w:top="1192" w:right="339" w:bottom="1440" w:gutter="0" w:footer="0" w:header="0"/>
        </w:sectPr>
      </w:pPr>
    </w:p>
    <w:p>
      <w:pPr>
        <w:spacing w:after="0" w:line="73"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Company’s cost of vacation ownership products was $200 million for the year ended December 31, 2024. As discussed in Note 2 to the consolidated financial statements, the Company accounts for the cost of vacation ownership products utilizing the relative sales value method in accordance with the authoritative guidance for accounting for real estate time-sharing transactions. Changes in estimates used in applying the relative sales value method are recognized in the period that the changes occur.</w:t>
      </w:r>
    </w:p>
    <w:p>
      <w:pPr>
        <w:spacing w:after="0" w:line="2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the selection and application of assumptions, specifically future pricing assumptions, used in estimating future revenues from sale of vacation ownership products which are affected by expectations about future market and economic conditions.</w:t>
      </w:r>
    </w:p>
    <w:p>
      <w:pPr>
        <w:spacing w:after="0" w:line="200" w:lineRule="exact"/>
        <w:rPr>
          <w:sz w:val="20"/>
          <w:szCs w:val="20"/>
          <w:color w:val="auto"/>
        </w:rPr>
      </w:pPr>
    </w:p>
    <w:p>
      <w:pPr>
        <w:sectPr>
          <w:pgSz w:w="11900" w:h="16838" w:orient="portrait"/>
          <w:cols w:equalWidth="0" w:num="2">
            <w:col w:w="1240" w:space="180"/>
            <w:col w:w="9820"/>
          </w:cols>
          <w:pgMar w:left="320" w:top="11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72" w:name="page73"/>
    <w:bookmarkEnd w:id="72"/>
    <w:p>
      <w:pPr>
        <w:ind w:left="20"/>
        <w:spacing w:after="0"/>
        <w:rPr>
          <w:sz w:val="20"/>
          <w:szCs w:val="20"/>
          <w:color w:val="auto"/>
        </w:rPr>
      </w:pPr>
      <w:r>
        <w:rPr>
          <w:rFonts w:ascii="Times New Roman" w:cs="Times New Roman" w:eastAsia="Times New Roman" w:hAnsi="Times New Roman"/>
          <w:sz w:val="16"/>
          <w:szCs w:val="16"/>
          <w:b w:val="1"/>
          <w:bCs w:val="1"/>
          <w:color w:val="auto"/>
        </w:rPr>
        <w:t>Cost of Vacation Ownership Products</w:t>
      </w:r>
    </w:p>
    <w:p>
      <w:pPr>
        <w:sectPr>
          <w:pgSz w:w="11900" w:h="16838" w:orient="portrait"/>
          <w:cols w:equalWidth="0" w:num="1">
            <w:col w:w="11200"/>
          </w:cols>
          <w:pgMar w:left="320" w:top="1333" w:right="379" w:bottom="1440" w:gutter="0" w:footer="0" w:header="0"/>
        </w:sectPr>
      </w:pPr>
    </w:p>
    <w:p>
      <w:pPr>
        <w:spacing w:after="0" w:line="84"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revenues from sale of vacation ownership products.</w:t>
      </w:r>
    </w:p>
    <w:p>
      <w:pPr>
        <w:spacing w:after="0" w:line="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source documentation and evaluated the estimates used in the calculations, such as estimated future revenues from sale of vacation ownership products, utilizing historical operating results. We involved real estate subject matter resources on our team because the application of the relative sales value method is unique to companies in the real estate time-sharing industry.</w:t>
      </w:r>
    </w:p>
    <w:p>
      <w:pPr>
        <w:spacing w:after="0" w:line="200" w:lineRule="exact"/>
        <w:rPr>
          <w:sz w:val="20"/>
          <w:szCs w:val="20"/>
          <w:color w:val="auto"/>
        </w:rPr>
      </w:pPr>
    </w:p>
    <w:p>
      <w:pPr>
        <w:sectPr>
          <w:pgSz w:w="11900" w:h="16838" w:orient="portrait"/>
          <w:cols w:equalWidth="0" w:num="2">
            <w:col w:w="1340" w:space="80"/>
            <w:col w:w="9780"/>
          </w:cols>
          <w:pgMar w:left="320" w:top="1333" w:right="379" w:bottom="1440" w:gutter="0" w:footer="0" w:header="0"/>
          <w:type w:val="continuous"/>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 Reserve</w:t>
      </w:r>
    </w:p>
    <w:p>
      <w:pPr>
        <w:sectPr>
          <w:pgSz w:w="11900" w:h="16838" w:orient="portrait"/>
          <w:cols w:equalWidth="0" w:num="1">
            <w:col w:w="11200"/>
          </w:cols>
          <w:pgMar w:left="320" w:top="1333" w:right="379" w:bottom="1440" w:gutter="0" w:footer="0" w:header="0"/>
          <w:type w:val="continuous"/>
        </w:sectPr>
      </w:pPr>
    </w:p>
    <w:p>
      <w:pPr>
        <w:spacing w:after="0" w:line="8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As of December 31, 2024, the Company’s originated vacation ownership notes receivable reserve was $527 million. As discussed in Note 2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originated vacation ownership notes receivable. The estimate of the variable consideration for originated vacation ownership notes receivable is based on default rates that are an output of the Company’s static pool analyses and the estimates regarding future defaults.</w:t>
      </w:r>
    </w:p>
    <w:p>
      <w:pPr>
        <w:spacing w:after="0" w:line="7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Auditing the Company’s originated vacation ownership notes receivable reserve was challenging due to the nature and extent of audit effort required to test the static pool analyses, which are complex and contain a significant volume of data. Furthermore, the originated vacation ownership notes receivable reserve was sensitive to management’s assumptions regarding future default rates.</w:t>
      </w:r>
    </w:p>
    <w:p>
      <w:pPr>
        <w:spacing w:after="0" w:line="63"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originated vacation ownership notes receivable reserve process. For example, we tested controls over management’s review of the static pool analyses, including the significant inputs to the analyses, and review of the assumptions regarding future default rates.</w:t>
      </w:r>
    </w:p>
    <w:p>
      <w:pPr>
        <w:spacing w:after="0" w:line="6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To test the originated vacation ownership notes receivable reserve, we performed audit procedures that included, among others, assessing the methodology used, evaluating the assumptions regarding future default rates as discussed above, and testing the completeness and accuracy of the static pool analyses, including the significant inputs to the analyses. For example, we agreed inputs to the static pool analyses to historical data and source documentation. We also compared the assumptions regarding future defaults to the Company’s historical and current default rates and performed a retrospective review of the defaults projected from the analyses. We involved real estate subject matter resources on our team because the static pool analyses are unique to companies in the real estate time-sharing industry.</w:t>
      </w:r>
    </w:p>
    <w:p>
      <w:pPr>
        <w:spacing w:after="0" w:line="200" w:lineRule="exact"/>
        <w:rPr>
          <w:sz w:val="20"/>
          <w:szCs w:val="20"/>
          <w:color w:val="auto"/>
        </w:rPr>
      </w:pPr>
    </w:p>
    <w:p>
      <w:pPr>
        <w:sectPr>
          <w:pgSz w:w="11900" w:h="16838" w:orient="portrait"/>
          <w:cols w:equalWidth="0" w:num="2">
            <w:col w:w="1340" w:space="80"/>
            <w:col w:w="9780"/>
          </w:cols>
          <w:pgMar w:left="320" w:top="1333" w:right="3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Orlando,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333" w:right="379" w:bottom="1440" w:gutter="0" w:footer="0" w:header="0"/>
          <w:type w:val="continuous"/>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2024,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 except per share amounts)</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20" w:type="dxa"/>
            <w:vAlign w:val="bottom"/>
          </w:tcPr>
          <w:p>
            <w:pPr>
              <w:spacing w:after="0"/>
              <w:rPr>
                <w:sz w:val="22"/>
                <w:szCs w:val="22"/>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0" w:type="dxa"/>
            <w:vAlign w:val="bottom"/>
          </w:tcPr>
          <w:p>
            <w:pPr>
              <w:spacing w:after="0"/>
              <w:rPr>
                <w:sz w:val="1"/>
                <w:szCs w:val="1"/>
                <w:color w:val="auto"/>
              </w:rPr>
            </w:pPr>
          </w:p>
        </w:tc>
      </w:tr>
      <w:tr>
        <w:trPr>
          <w:trHeight w:val="23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gains and other (expense) income,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59"/>
        </w:trPr>
        <w:tc>
          <w:tcPr>
            <w:tcW w:w="400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INCOME BEFORE INCOME TAXES AND</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0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NET INCOME ATTRIBUTABLE TO COMMON</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2"/>
                <w:szCs w:val="12"/>
                <w:color w:val="auto"/>
              </w:rPr>
            </w:pPr>
          </w:p>
        </w:tc>
        <w:tc>
          <w:tcPr>
            <w:tcW w:w="460" w:type="dxa"/>
            <w:vAlign w:val="bottom"/>
            <w:vMerge w:val="restart"/>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12"/>
                <w:szCs w:val="12"/>
                <w:color w:val="auto"/>
              </w:rPr>
            </w:pPr>
          </w:p>
        </w:tc>
        <w:tc>
          <w:tcPr>
            <w:tcW w:w="32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0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b w:val="1"/>
                <w:bCs w:val="1"/>
                <w:color w:val="auto"/>
              </w:rPr>
              <w:t>EARNINGS PER SHARE ATTRIBUTABLE TO</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20" w:type="dxa"/>
            <w:vAlign w:val="bottom"/>
          </w:tcPr>
          <w:p>
            <w:pPr>
              <w:spacing w:after="0"/>
              <w:rPr>
                <w:sz w:val="22"/>
                <w:szCs w:val="22"/>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DIVIDENDS DECLARED PER SHARE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22"/>
                <w:szCs w:val="22"/>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447"/>
        </w:trPr>
        <w:tc>
          <w:tcPr>
            <w:tcW w:w="5920" w:type="dxa"/>
            <w:vAlign w:val="bottom"/>
            <w:gridSpan w:val="5"/>
          </w:tcPr>
          <w:p>
            <w:pPr>
              <w:ind w:left="2420"/>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1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75565</wp:posOffset>
            </wp:positionV>
            <wp:extent cx="7165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2024,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25"/>
        </w:trPr>
        <w:tc>
          <w:tcPr>
            <w:tcW w:w="40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9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66"/>
        </w:trPr>
        <w:tc>
          <w:tcPr>
            <w:tcW w:w="402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Reclassification of foreign currency translation</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realized upon disposition of entities</w:t>
            </w:r>
          </w:p>
        </w:tc>
        <w:tc>
          <w:tcPr>
            <w:tcW w:w="9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Derivative instrument adjustment, net of tax</w:t>
            </w:r>
          </w:p>
        </w:tc>
        <w:tc>
          <w:tcPr>
            <w:tcW w:w="9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46"/>
        </w:trPr>
        <w:tc>
          <w:tcPr>
            <w:tcW w:w="40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OTHER COMPREHENSIVE (LOSS) INCOME, NET</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OF TAX</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COMPREHENSIVE LOSS ATTRIBUTABLE TO</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b w:val="1"/>
                <w:bCs w:val="1"/>
                <w:color w:val="auto"/>
              </w:rPr>
              <w:t>COMPREHENSIVE INCOME ATTRIBUTABLE TO</w:t>
            </w:r>
          </w:p>
        </w:tc>
        <w:tc>
          <w:tcPr>
            <w:tcW w:w="900" w:type="dxa"/>
            <w:vAlign w:val="bottom"/>
            <w:vMerge w:val="restart"/>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68580</wp:posOffset>
            </wp:positionV>
            <wp:extent cx="7165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Year-End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 except share and per share data)</w:t>
      </w:r>
    </w:p>
    <w:p>
      <w:pPr>
        <w:spacing w:after="0" w:line="103"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5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(including $82 and $79 from VIEs, respectively)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166"/>
        </w:trPr>
        <w:tc>
          <w:tcPr>
            <w:tcW w:w="546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Accounts and contracts receivable, net (including $16 and $15 from VIEs,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179"/>
        </w:trPr>
        <w:tc>
          <w:tcPr>
            <w:tcW w:w="54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Vacation ownership notes receivable, net (including $1,917 and $1,912 from</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VIEs,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5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(including $131 and $99 from VIEs, respectively)</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3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 (including $4 and $4 from VIEs,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 net (including $2,163 and $2,121 from VIEs,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3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Contingencies and Commitments (Note 13)</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9"/>
        </w:trPr>
        <w:tc>
          <w:tcPr>
            <w:tcW w:w="54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Preferred stock — $0.01 par value; 2,000,000 shares authorized; none issued or</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54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Common stock — $0.01 par value; 100,000,000 shares authorized; 75,852,678</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75,807,882 shares issued,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stock — at cost; 40,974,753 and 40,488,576 shares,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36"/>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MVW STOCKHOLDERS' EQUITY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w:t>
            </w:r>
          </w:p>
        </w:tc>
      </w:tr>
      <w:tr>
        <w:trPr>
          <w:trHeight w:val="23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abbreviation VIEs above means Variable Interest Entities.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ectPr>
          <w:pgSz w:w="11900" w:h="16838" w:orient="portrait"/>
          <w:cols w:equalWidth="0" w:num="1">
            <w:col w:w="9019"/>
          </w:cols>
          <w:pgMar w:left="1440" w:top="11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75565</wp:posOffset>
            </wp:positionV>
            <wp:extent cx="7165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2024,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03"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3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179"/>
        </w:trPr>
        <w:tc>
          <w:tcPr>
            <w:tcW w:w="47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Adjustments to reconcile net income to net cash, cash equivalents,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restricted cash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intangibles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reserve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charges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assets and liabilities: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and contracts receivable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collections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 advance deposits and accrued liabilities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Payroll and benefit liabilities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56"/>
        </w:trPr>
        <w:tc>
          <w:tcPr>
            <w:tcW w:w="4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56"/>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166"/>
        </w:trPr>
        <w:tc>
          <w:tcPr>
            <w:tcW w:w="478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Deconsolidation of certain Consolidated Property Owners'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Associations</w:t>
            </w: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5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59"/>
        </w:trPr>
        <w:tc>
          <w:tcPr>
            <w:tcW w:w="4780" w:type="dxa"/>
            <w:vAlign w:val="bottom"/>
            <w:shd w:val="clear" w:color="auto" w:fill="CCEEFF"/>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provided by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0"/>
        </w:trPr>
        <w:tc>
          <w:tcPr>
            <w:tcW w:w="4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66"/>
        </w:trPr>
        <w:tc>
          <w:tcPr>
            <w:tcW w:w="4780" w:type="dxa"/>
            <w:vAlign w:val="bottom"/>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Proceeds from disposition of subsidiaries, net of cash and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cash transferred</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166"/>
        </w:trPr>
        <w:tc>
          <w:tcPr>
            <w:tcW w:w="478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Capital expenditures for property and equipment (excluding</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Issuance of note receivable to VIE</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collection of note receivable from VIE</w:t>
            </w:r>
          </w:p>
        </w:tc>
        <w:tc>
          <w:tcPr>
            <w:tcW w:w="2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company owned life insurance</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and development of property for future sale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Dispositions, net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59"/>
        </w:trPr>
        <w:tc>
          <w:tcPr>
            <w:tcW w:w="4780" w:type="dxa"/>
            <w:vAlign w:val="bottom"/>
            <w:tcBorders>
              <w:top w:val="single" w:sz="8" w:color="CCEEFF"/>
            </w:tcBorders>
            <w:shd w:val="clear" w:color="auto" w:fill="CCEEFF"/>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(used in)</w:t>
            </w: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230"/>
        </w:trPr>
        <w:tc>
          <w:tcPr>
            <w:tcW w:w="4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provided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ectPr>
          <w:pgSz w:w="11900" w:h="16838" w:orient="portrait"/>
          <w:cols w:equalWidth="0" w:num="1">
            <w:col w:w="9019"/>
          </w:cols>
          <w:pgMar w:left="1440" w:top="10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75565</wp:posOffset>
            </wp:positionV>
            <wp:extent cx="7165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2024,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securitization transactions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r>
      <w:tr>
        <w:trPr>
          <w:trHeight w:val="24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 of debt related to securitization transactions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debt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w:t>
            </w:r>
          </w:p>
        </w:tc>
      </w:tr>
      <w:tr>
        <w:trPr>
          <w:trHeight w:val="24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of debt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convertible note hedges</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4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of warrants</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incentive</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payment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 of debt and securitized debt issuance costs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 of dividends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4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withholding taxes on vesting of restricted stock units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159"/>
        </w:trPr>
        <w:tc>
          <w:tcPr>
            <w:tcW w:w="4780" w:type="dxa"/>
            <w:vAlign w:val="bottom"/>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used in</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30"/>
        </w:trPr>
        <w:tc>
          <w:tcPr>
            <w:tcW w:w="47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159"/>
        </w:trPr>
        <w:tc>
          <w:tcPr>
            <w:tcW w:w="47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7"/>
                <w:szCs w:val="17"/>
                <w:color w:val="auto"/>
              </w:rPr>
              <w:t>Effect of changes in exchange rates on cash, cash equivalents, and</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5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year</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4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issuance of debt in connection with asset acquisition</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transfer from inventory to property and equipment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transfer from property and equipment to inventory</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transfer from property and equipment to other assets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transfer from other assets to property and equipment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166"/>
        </w:trPr>
        <w:tc>
          <w:tcPr>
            <w:tcW w:w="4780" w:type="dxa"/>
            <w:vAlign w:val="bottom"/>
          </w:tcPr>
          <w:p>
            <w:pPr>
              <w:ind w:left="120"/>
              <w:spacing w:after="0" w:line="166" w:lineRule="exact"/>
              <w:rPr>
                <w:sz w:val="20"/>
                <w:szCs w:val="20"/>
                <w:color w:val="auto"/>
              </w:rPr>
            </w:pPr>
            <w:r>
              <w:rPr>
                <w:rFonts w:ascii="Times New Roman" w:cs="Times New Roman" w:eastAsia="Times New Roman" w:hAnsi="Times New Roman"/>
                <w:sz w:val="17"/>
                <w:szCs w:val="17"/>
                <w:color w:val="auto"/>
              </w:rPr>
              <w:t>Non-cash issuance of treasury stock for employee stock purchase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plan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6"/>
        </w:trPr>
        <w:tc>
          <w:tcPr>
            <w:tcW w:w="4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6"/>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Dividends payable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5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paid, net of amounts capitalized</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44"/>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68580</wp:posOffset>
            </wp:positionV>
            <wp:extent cx="716534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78" w:name="page79"/>
    <w:bookmarkEnd w:id="78"/>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Fiscal Years 2024, 2023 and 2022</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Total MVW</w:t>
            </w:r>
          </w:p>
        </w:tc>
        <w:tc>
          <w:tcPr>
            <w:tcW w:w="80" w:type="dxa"/>
            <w:vAlign w:val="bottom"/>
          </w:tcPr>
          <w:p>
            <w:pPr>
              <w:spacing w:after="0"/>
              <w:rPr>
                <w:sz w:val="13"/>
                <w:szCs w:val="13"/>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4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1"/>
        </w:trPr>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33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200" w:type="dxa"/>
            <w:vAlign w:val="bottom"/>
            <w:gridSpan w:val="3"/>
          </w:tcPr>
          <w:p>
            <w:pPr>
              <w:jc w:val="right"/>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6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75.5</w:t>
            </w:r>
          </w:p>
        </w:tc>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AT YEAR-END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2,976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2,986</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Impact of adoption of ASU 2020-06</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0"/>
        </w:trPr>
        <w:tc>
          <w:tcPr>
            <w:tcW w:w="6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75.5</w:t>
            </w:r>
          </w:p>
        </w:tc>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OPENING BALANCE 2022</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2,896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2,906</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4"/>
        </w:trPr>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line="154" w:lineRule="exact"/>
              <w:rPr>
                <w:sz w:val="20"/>
                <w:szCs w:val="20"/>
                <w:color w:val="auto"/>
              </w:rPr>
            </w:pPr>
            <w:r>
              <w:rPr>
                <w:rFonts w:ascii="Times New Roman" w:cs="Times New Roman" w:eastAsia="Times New Roman" w:hAnsi="Times New Roman"/>
                <w:sz w:val="15"/>
                <w:szCs w:val="15"/>
                <w:color w:val="auto"/>
              </w:rPr>
              <w:t>Reclassification of foreign currency translation</w:t>
            </w:r>
          </w:p>
        </w:tc>
        <w:tc>
          <w:tcPr>
            <w:tcW w:w="160" w:type="dxa"/>
            <w:vAlign w:val="bottom"/>
          </w:tcPr>
          <w:p>
            <w:pPr>
              <w:spacing w:after="0"/>
              <w:rPr>
                <w:sz w:val="13"/>
                <w:szCs w:val="13"/>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3380" w:type="dxa"/>
            <w:vAlign w:val="bottom"/>
          </w:tcPr>
          <w:p>
            <w:pPr>
              <w:ind w:left="320"/>
              <w:spacing w:after="0" w:line="154" w:lineRule="exact"/>
              <w:rPr>
                <w:sz w:val="20"/>
                <w:szCs w:val="20"/>
                <w:color w:val="auto"/>
              </w:rPr>
            </w:pPr>
            <w:r>
              <w:rPr>
                <w:rFonts w:ascii="Times New Roman" w:cs="Times New Roman" w:eastAsia="Times New Roman" w:hAnsi="Times New Roman"/>
                <w:sz w:val="15"/>
                <w:szCs w:val="15"/>
                <w:color w:val="auto"/>
              </w:rPr>
              <w:t>adjustments realized upon disposition of</w:t>
            </w: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subsidiary</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Derivative instrument adjustment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Adjustment for 2022 Convertible Note Hedges</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Tax effect on equity, convertible notes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Share-based compensation plans</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Purchase of convertible note hedges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Issuance of warrants</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Expiration of warrants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Dividends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Employee stock plan issuance</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7"/>
        </w:trPr>
        <w:tc>
          <w:tcPr>
            <w:tcW w:w="6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5"/>
                <w:szCs w:val="15"/>
                <w:color w:val="auto"/>
              </w:rPr>
              <w:t>Deconsolidation of certain Consolidated</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4"/>
        </w:trPr>
        <w:tc>
          <w:tcPr>
            <w:tcW w:w="640" w:type="dxa"/>
            <w:vAlign w:val="bottom"/>
            <w:vMerge w:val="continue"/>
            <w:shd w:val="clear" w:color="auto" w:fill="CCEEFF"/>
          </w:tcPr>
          <w:p>
            <w:pPr>
              <w:spacing w:after="0"/>
              <w:rPr>
                <w:sz w:val="17"/>
                <w:szCs w:val="17"/>
                <w:color w:val="auto"/>
              </w:rPr>
            </w:pP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Property Owners' Associations</w:t>
            </w: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75.7</w:t>
            </w:r>
          </w:p>
        </w:tc>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AT YEAR-END 2022</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593</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2,496</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2,498</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Derivative instrument adjustment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Share-based compensation plans</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202"/>
        </w:trPr>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Dividends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200"/>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75.8</w:t>
            </w: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AT YEAR-END 2023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2,382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Derivative instrument adjustment</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Share-based compensation plans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2"/>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Dividends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0" w:type="dxa"/>
            <w:vAlign w:val="bottom"/>
          </w:tcPr>
          <w:p>
            <w:pPr>
              <w:spacing w:after="0"/>
              <w:rPr>
                <w:sz w:val="1"/>
                <w:szCs w:val="1"/>
                <w:color w:val="auto"/>
              </w:rPr>
            </w:pPr>
          </w:p>
        </w:tc>
      </w:tr>
      <w:tr>
        <w:trPr>
          <w:trHeight w:val="195"/>
        </w:trPr>
        <w:tc>
          <w:tcPr>
            <w:tcW w:w="6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75.9</w:t>
            </w:r>
          </w:p>
        </w:tc>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AT YEAR-END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852</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2,442</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2,441</w:t>
            </w:r>
          </w:p>
        </w:tc>
        <w:tc>
          <w:tcPr>
            <w:tcW w:w="0" w:type="dxa"/>
            <w:vAlign w:val="bottom"/>
          </w:tcPr>
          <w:p>
            <w:pPr>
              <w:spacing w:after="0"/>
              <w:rPr>
                <w:sz w:val="1"/>
                <w:szCs w:val="1"/>
                <w:color w:val="auto"/>
              </w:rPr>
            </w:pP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40"/>
          </w:cols>
          <w:pgMar w:left="320" w:top="729" w:right="239" w:bottom="1440" w:gutter="0" w:footer="0" w:header="0"/>
        </w:sectPr>
      </w:pPr>
    </w:p>
    <w:bookmarkStart w:id="79" w:name="page80"/>
    <w:bookmarkEnd w:id="79"/>
    <w:p>
      <w:pPr>
        <w:ind w:left="33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 Financial Statements, unless otherwise noted. We refer to Marriott International, Inc. as “Marriott International” and Marriott International’s Marriott Bonvoy customer loyalty program as “Marriott Bonvoy.” Additionally, we use the term “Marriott Vacation Ownership” to refer to our Marriott, Sheraton, and Westin branded businesses and the term “Hyatt Vacation Ownership” to refer to our Hyatt branded business. We also use certain other terms that are defined within these Financial Statements.</w:t>
      </w:r>
    </w:p>
    <w:p>
      <w:pPr>
        <w:spacing w:after="0" w:line="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in the broader macroeconomic environment, including inflation,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Welk</w:t>
      </w:r>
    </w:p>
    <w:p>
      <w:pPr>
        <w:spacing w:after="0" w:line="1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On April 1, 2021 (the “Welk Acquisition Date”), we completed the acquisition of Welk Hospitality Group, Inc. (“Welk”) through a series of transactions (the “Welk Acquisition”), after which Welk became our indirect wholly-owned subsidiary. We refer to the business and brand that we acquired in the Welk Acquisition as “Legacy-Welk.” During 2023, we rebranded all Legacy-Welk resorts as Hyatt Vacation Club resorts.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ILG and Disposition of VRI Americas</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The businesses acquired from ILG that we currently operate as part of our Vacation Ownership business include Vistana Signature Experiences, which includes vacation ownership products branded as Sheraton or Westin, and Hyatt Vacation Ownership. The businesses acquired from ILG that we currently operate as part of our Exchange &amp; Third-Party Management business include Interval International and Aqua-Aston Hospitality.</w:t>
      </w:r>
    </w:p>
    <w:p>
      <w:pPr>
        <w:spacing w:after="0" w:line="7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7"/>
          <w:szCs w:val="17"/>
          <w:color w:val="auto"/>
        </w:rPr>
        <w:t>As part of the ILG Acquisition, we also acquired the Vacation Resorts International and Trading Places International businesses (together, the “VRI Americas” business). Our Financial Statements reflect the disposition of the VRI Americas business on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revenue in accordance with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(“ASC 606”).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Vacation Ownership Products</w:t>
      </w:r>
    </w:p>
    <w:p>
      <w:pPr>
        <w:spacing w:after="0" w:line="11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connection with the sale of vacation ownership products, we provide sales incentives to certain purchasers.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third-party tour operators (the “Explorer Collection” or “BEYOND”), generally up to two years from the date of issuance.</w:t>
      </w:r>
    </w:p>
    <w:p>
      <w:pPr>
        <w:spacing w:after="0" w:line="7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Times New Roman" w:cs="Times New Roman" w:eastAsia="Times New Roman" w:hAnsi="Times New Roman"/>
          <w:sz w:val="17"/>
          <w:szCs w:val="17"/>
          <w:i w:val="1"/>
          <w:iCs w:val="1"/>
          <w:color w:val="auto"/>
        </w:rPr>
        <w:t>Financing Revenues</w:t>
      </w:r>
      <w:r>
        <w:rPr>
          <w:rFonts w:ascii="Times New Roman" w:cs="Times New Roman" w:eastAsia="Times New Roman" w:hAnsi="Times New Roman"/>
          <w:sz w:val="17"/>
          <w:szCs w:val="17"/>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Our assessment of collectability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primarily rely on historical payment data by customer class. 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 Variable consideration which has not been included within the transaction price is presented as a reserve on contracts receivable or vacation ownership notes receivable. Revisions to estimates of variable consideration from the sale of vacation ownership products impact the reserve on contracts receivable and originated vacation ownership notes receivable and can increase or decrease revenue. Revenues were reduced during 2024 by $68 million due to changes in our estimates of variable consideration for performance obligations that were satisfied in prior periods due to the increase in our reserve for originated vacation ownership notes receivable.</w:t>
      </w:r>
    </w:p>
    <w:p>
      <w:pPr>
        <w:spacing w:after="0" w:line="7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See Footnote 6 “Vacation Ownership Notes Receivable” for additional information on our reserve for vacation ownership notes receivable and adjustments recorded for the years presented.</w:t>
      </w:r>
    </w:p>
    <w:p>
      <w:pPr>
        <w:spacing w:after="0" w:line="46"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In addition, we account for cash incentives provided to customers as a reduction of the transaction price. Refer to “</w:t>
      </w:r>
      <w:r>
        <w:rPr>
          <w:rFonts w:ascii="Times New Roman" w:cs="Times New Roman" w:eastAsia="Times New Roman" w:hAnsi="Times New Roman"/>
          <w:sz w:val="17"/>
          <w:szCs w:val="17"/>
          <w:i w:val="1"/>
          <w:iCs w:val="1"/>
          <w:color w:val="auto"/>
        </w:rPr>
        <w:t>Arrangements with Multiple Performance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r>
        <w:rPr>
          <w:rFonts w:ascii="Times New Roman" w:cs="Times New Roman" w:eastAsia="Times New Roman" w:hAnsi="Times New Roman"/>
          <w:sz w:val="17"/>
          <w:szCs w:val="17"/>
          <w:color w:val="auto"/>
        </w:rPr>
        <w:t>” below for a description of our methods of allocating transaction price to each performance obligation.</w:t>
      </w:r>
    </w:p>
    <w:p>
      <w:pPr>
        <w:spacing w:after="0" w:line="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when control of the vacation ownership product is transferred to the customer and the transaction price is deemed collectible. Based upon the different terms of our contracts with the customer and business practices, control of the vacation ownership product has historically transferred to the customer at different points in time for each brand of VOIs. In the third quarter of 2022 and the fourth quarter of 2024, we aligned our business practices and contract terms for the sale of vacation ownership products (the “Contract Alignments”), resulting in the prospective change in the timing of the transfer of control to the customer for Marriott-branded VOIs and Hyatt-branded VOIs derived from Legacy-Welk sales contracts, respectively. Prior to these changes, control transfer occurred at closing for these vacation ownership products. Subsequent to the Contract Alignments, transfer of control of these vacation ownership products occurs at expiration of the statutory rescission period, consistent with the historical timing of Sheraton-, Westin- and Hyatt- branded transactions. Marriott-branded VOIs and Hyatt-branded VOIs derived from Legacy-Welk sales contracts executed prior to the applicable Contract Alignment have been accounted for with the transfer of control of the VOI occurring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43" w:right="379" w:bottom="1440" w:gutter="0" w:footer="0" w:header="0"/>
        </w:sectPr>
      </w:pPr>
    </w:p>
    <w:bookmarkStart w:id="81" w:name="page82"/>
    <w:bookmarkEnd w:id="81"/>
    <w:p>
      <w:pPr>
        <w:ind w:right="300"/>
        <w:spacing w:after="0" w:line="283" w:lineRule="auto"/>
        <w:rPr>
          <w:sz w:val="20"/>
          <w:szCs w:val="20"/>
          <w:color w:val="auto"/>
        </w:rPr>
      </w:pPr>
      <w:r>
        <w:rPr>
          <w:rFonts w:ascii="Times New Roman" w:cs="Times New Roman" w:eastAsia="Times New Roman" w:hAnsi="Times New Roman"/>
          <w:sz w:val="17"/>
          <w:szCs w:val="17"/>
          <w:color w:val="auto"/>
        </w:rPr>
        <w:t>At the time at which we recognize revenue for VOIs, we temporarily record a contract receivable for both cash contracts and financed contracts, until the time at which we collect the cash or originate a vacation ownership note receivable, which occurs at closing.</w:t>
      </w:r>
    </w:p>
    <w:p>
      <w:pPr>
        <w:spacing w:after="0" w:line="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Revenue for plus points is recorded as Deferred revenue on our Balance Sheets at closing and is recognized as rental revenue upon transfer of control to the customer, which typically occurs upon delivery of the incentive, or at the point in time when the incentive is redeemed. For incentives provided by third parties (i.e. Marriott Bonvoy points, World of Hyatt points, third-party Explorer Collection offerings, or BEYOND), we evaluated whether we control the underlying good or service prior to delivery to the customer. We concluded that we are an agent for those incentives which we do not control prior to delivery and as such record the related revenue net of the related cost upon recognition.</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Management and Exchange Revenues and Cost Reimbursements Revenues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Ancillary Revenues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Management Fee Revenues and Cost Reimbursements Revenues</w:t>
      </w:r>
    </w:p>
    <w:p>
      <w:pPr>
        <w:spacing w:after="0" w:line="117"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17"/>
          <w:szCs w:val="17"/>
          <w:color w:val="auto"/>
        </w:rPr>
        <w:t>We provide day-to-day-management services, including housekeeping services, operation of reservation systems, maintenance and certain accounting and administrative services for owners’ associations, condominium owners and hotels.</w:t>
      </w:r>
    </w:p>
    <w:p>
      <w:pPr>
        <w:spacing w:after="0" w:line="5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w:t>
      </w:r>
    </w:p>
    <w:p>
      <w:pPr>
        <w:ind w:right="20" w:firstLine="2"/>
        <w:spacing w:after="0" w:line="253" w:lineRule="auto"/>
        <w:tabs>
          <w:tab w:leader="none" w:pos="20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owners’ associations related to maintenance fees for unsold vacation ownership products, as we have concluded that such payments are consideration payable to a customer.</w:t>
      </w:r>
    </w:p>
    <w:p>
      <w:pPr>
        <w:spacing w:after="0" w:line="7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70"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2" w:name="page83"/>
    <w:bookmarkEnd w:id="82"/>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Other Services Revenues</w:t>
      </w:r>
    </w:p>
    <w:p>
      <w:pPr>
        <w:spacing w:after="0" w:line="11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7"/>
          <w:szCs w:val="17"/>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Network memberships are cancellable and refundable on a pro-rata basis, with the exception of the Interval Network’s Platinum tier which is non-refundable.</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Transaction-based fees are typically collected at a point in time and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 Revenues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to fifteen years. Generally, payments commence under the financing contracts 30 to 60 days after closing. We earn interest income from the financing arrangements on the principal balance outstanding over the life of the arrangement and record that interest income in Financing revenues on our Income Statements.</w:t>
      </w:r>
    </w:p>
    <w:p>
      <w:pPr>
        <w:spacing w:after="0" w:line="70"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Financing revenues include transaction-based fees we charge to owners and other third parties for services. We recognize fee revenues when services have been rendered</w:t>
      </w:r>
      <w:r>
        <w:rPr>
          <w:rFonts w:ascii="Times New Roman" w:cs="Times New Roman" w:eastAsia="Times New Roman" w:hAnsi="Times New Roman"/>
          <w:sz w:val="17"/>
          <w:szCs w:val="17"/>
          <w:color w:val="EE2724"/>
        </w:rPr>
        <w: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Rental Revenues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Network and certain other membership programs from seasonal oversupply or underutilized space, as well as sourced resort accommodations.</w:t>
      </w:r>
    </w:p>
    <w:p>
      <w:pPr>
        <w:spacing w:after="0" w:line="7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We receive payments for rentals primarily through credit card charges. We generally recognize rental revenues when occupancy has occurred, which is consistent with the period in which the customer benefits from such service. We recognize rental revenue from the utilization of plus points issued in connection with the sale of vacation ownership products, as described in “</w:t>
      </w:r>
      <w:r>
        <w:rPr>
          <w:rFonts w:ascii="Times New Roman" w:cs="Times New Roman" w:eastAsia="Times New Roman" w:hAnsi="Times New Roman"/>
          <w:sz w:val="17"/>
          <w:szCs w:val="17"/>
          <w:i w:val="1"/>
          <w:iCs w:val="1"/>
          <w:color w:val="auto"/>
        </w:rPr>
        <w:t>Sale of Vacation Ownership Products</w:t>
      </w:r>
      <w:r>
        <w:rPr>
          <w:rFonts w:ascii="Times New Roman" w:cs="Times New Roman" w:eastAsia="Times New Roman" w:hAnsi="Times New Roman"/>
          <w:sz w:val="17"/>
          <w:szCs w:val="17"/>
          <w:color w:val="auto"/>
        </w:rPr>
        <w:t>” above, when occupancy has occurred.</w:t>
      </w:r>
    </w:p>
    <w:p>
      <w:pPr>
        <w:spacing w:after="0" w:line="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Times New Roman" w:cs="Times New Roman" w:eastAsia="Times New Roman" w:hAnsi="Times New Roman"/>
          <w:sz w:val="17"/>
          <w:szCs w:val="17"/>
          <w:i w:val="1"/>
          <w:iCs w:val="1"/>
          <w:color w:val="auto"/>
        </w:rPr>
        <w:t>Real Estate</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Time-Sharing Activities</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7"/>
          <w:szCs w:val="17"/>
          <w:color w:val="auto"/>
        </w:rPr>
        <w:t>For certain rental revenues associated with our Exchange &amp; Third-Party Management segment, revenue is recognized when confirmation of the transaction is provided because we concluded we are an agent for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83" w:name="page84"/>
    <w:bookmarkEnd w:id="83"/>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Arrangements with Multiple Performance Obligations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Receivables, Contract Assets &amp; Contract Liabilities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4 “Revenue and Receivables” for additional information related to our receivables, contract assets and contract liabilities.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Incurred to Sell Vacation Ownership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charge marketing and sales costs we incur to sell vacation ownership products to expense when incurred.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 Attributable to Common Stockholders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Basic earnings per share attributable to common stockholders is calculated by dividing the net income attributable to common stockholders by the weighted average number of shares of common stock outstanding during the reporting period. Treasury stock is excluded from the weighted average number of shares of common stock outstanding. Diluted earnings per share attributable to common stockholders is calculated to give effect to all potentially dilutive common shares that were outstanding during the reporting period. The dilutive effect of outstanding equity-based compensation awards is reflected in diluted earnings per share attributable to common stockholders by application of the treasury stock method.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04"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6"/>
          <w:szCs w:val="16"/>
          <w:color w:val="auto"/>
        </w:rPr>
        <w:t>We have several financial instruments that we are required to disclose at fair value on a recurring basis. See Footnote 7 “Financial Instruments” for further information. We also apply the provisions of fair value measurement to various non-recurring measurements for our financial and non-financial assets and liabilities.</w:t>
      </w:r>
    </w:p>
    <w:p>
      <w:pPr>
        <w:spacing w:after="0" w:line="3"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7"/>
          <w:szCs w:val="17"/>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12" w:lineRule="exact"/>
        <w:rPr>
          <w:sz w:val="20"/>
          <w:szCs w:val="20"/>
          <w:color w:val="auto"/>
        </w:rPr>
      </w:pPr>
    </w:p>
    <w:p>
      <w:pPr>
        <w:ind w:left="460" w:hanging="304"/>
        <w:spacing w:after="0"/>
        <w:tabs>
          <w:tab w:leader="none" w:pos="4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unadjusted quoted prices in active markets for identical assets or liabilities that we have the ability to access at the measurement date.</w:t>
      </w:r>
    </w:p>
    <w:p>
      <w:pPr>
        <w:spacing w:after="0" w:line="60" w:lineRule="exact"/>
        <w:rPr>
          <w:rFonts w:ascii="Times New Roman" w:cs="Times New Roman" w:eastAsia="Times New Roman" w:hAnsi="Times New Roman"/>
          <w:sz w:val="17"/>
          <w:szCs w:val="17"/>
          <w:color w:val="auto"/>
        </w:rPr>
      </w:pPr>
    </w:p>
    <w:p>
      <w:pPr>
        <w:ind w:left="460" w:right="20" w:hanging="304"/>
        <w:spacing w:after="0" w:line="267" w:lineRule="auto"/>
        <w:tabs>
          <w:tab w:leader="none" w:pos="4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1" w:lineRule="exact"/>
        <w:rPr>
          <w:rFonts w:ascii="Times New Roman" w:cs="Times New Roman" w:eastAsia="Times New Roman" w:hAnsi="Times New Roman"/>
          <w:sz w:val="17"/>
          <w:szCs w:val="17"/>
          <w:color w:val="auto"/>
        </w:rPr>
      </w:pPr>
    </w:p>
    <w:p>
      <w:pPr>
        <w:ind w:left="460" w:right="540" w:hanging="304"/>
        <w:spacing w:after="0" w:line="283" w:lineRule="auto"/>
        <w:tabs>
          <w:tab w:leader="none" w:pos="4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with an initial purchase maturity of three months or less at the date of purchase to be cash equivalents.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Restricted cash primarily consists of cash restricted for use by consolidated owners’ associations which is designated for resort operations and other specific uses, such as reserves, cash held in a reserve account related to vacation ownership notes receivable securitizations, cash collected for maintenance fees to be remitted to owners’ associations, and deposits received and held in escrow, primarily associated with the sale of vacation ownership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Accounts receivable are comprised of amounts due from customers, primarily owners’ associations, resort developers, owners and members, credit card receivables, amounts due from taxing authorities, indemnification assets, and other miscellaneous receivables. Accounts receivable outstanding longer than the contractual payment terms are considered past due. We determine our credit loss reserve for accounts receivable by considering a number of factors, including previous loss history, our judgment as to the specific customer’s current ability to pay its obligation and the condition of the general economy. We write off accounts receivable when they become uncollectible once we have exhausted all means of collection. Accounts receivable is presented net of a reserve for credit losses of $10 million and $5 million at December 31, 2024 and December 31, 2023, respectively. Accounts receivable also includes interest receivable on vacation ownership notes receivable. Write-offs of interest receivable are recorded as a reversal of previously recorded interest income.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Loss Reserves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 Reserve for Credit Losses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As part of both the ILG Acquisition and Welk Acquisition, we acquired existing portfolios of vacation ownership notes receivable. We account for these acquired vacation ownership notes receivable using the purchased credit deteriorated assets provision of the current expected credit loss model, whereby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 For acquired vacation ownership notes receivable, the estimated collateral value is transferred from vacation ownership notes receivable to inventory upon foreclosure or revocation of the related vacation ownership note receivable.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and Originated Vacation Ownership Notes Receivable Reserve</w:t>
      </w:r>
    </w:p>
    <w:p>
      <w:pPr>
        <w:spacing w:after="0" w:line="11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We record the difference between the contract receivable or vacation ownership note receivable and the variable consideration included in the transaction price for the sale of the related vacation ownership product as a reserve on our contracts receivable or originated vacation ownership notes receivable, as applicable. See Footnote 6 “Vacation Ownership Notes Receivable” for further information.</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Past Due and Defaulted</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Although we consider loans to owners to be past due if we do not receive payment within 30 days of the due date, we suspend accrual of interest only on those loans that are over 90 days past due. For Legacy-MVW vacation ownership notes receivable, we consider loans over 150 days past due to be in default and fully reserve such amounts, less an estimate for reinstatement. For Legacy-ILG and Legacy-Welk vacation ownership notes receivable, we consider loans over 120 days past due to be in default and fully reserve such amounts, less an estimate for reinstatement.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certain circumstances, when revocation is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3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1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Our inventory consists primarily of completed vacation ownership products.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the cost of vacation ownership products related to variable consideration which has not been included within the transaction price (accordingly, no adjustment is made when inventory is reacquired upon default of the related originated vacation ownership note receivable). These standards provide for changes in estimates within the relative sales value calculations to be accounted for as real estate inventory true-ups, which we refer to as product cost true-up activity, and to be recorded in Cost of vacation ownership product expenses on the Income Statements to retrospectively adjust the margin previously recorded subject to those estimates to the amounts that would have been recorded historically had the revised estimates been used. Product cost true-up activity relating to vacation ownership products increased carrying values of inventory by $39 million, $36 million and $24 million during 2024,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Property and equipment includes our sales centers, golf courses, information technology, including internal use software, finance lease assets,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VOIs are classified as property and equipment until they are registered and available for sale. We record property and equipment at cost, including capitalized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Cloud Computing Arrangements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have entered into various cloud computing arrangements that are considered service contracts. We capitalize certain qualified implementation costs incurred in connection with these arrangements, including both internal and external costs. Capitalization of costs begins when the preliminary project stage is completed, management with the relevant authority authorizes and commits to the funding of the project, and it is probable that the project will be completed and will be used to perform the function intended. We cease capitalization of such costs when the implementation activities are complete. Capitalized implementation costs of $35 million and $28 million are recorded in Other assets on our Balance Sheets as of December 31, 2024 and December 31, 2023, respectively.</w:t>
      </w:r>
    </w:p>
    <w:p>
      <w:pPr>
        <w:spacing w:after="0" w:line="7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7"/>
          <w:szCs w:val="17"/>
          <w:color w:val="auto"/>
        </w:rPr>
        <w:t>We amortize capitalized implementation costs to an operating expense using the straight-line method over the term of the cloud computing arrangement (3 to 5 years). To the extent that we conclude we will not complete a project, we expect to cease using the services such capitalized costs are related to or expect to terminate the cloud computing arrangement early, we write off the remaining capitalized cost.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We account for leases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(“ASC 842”). We determine if an arrangement is or contains a lease at contract inception. Operating leases include lease arrangements for land, office space, real estate, sales centers, as well as various facilities and equipment supporting our operations, with varying terms and renewal option periods.</w:t>
      </w:r>
    </w:p>
    <w:p>
      <w:pPr>
        <w:spacing w:after="0" w:line="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Finance leases include lease arrangements for our corporate headquarters in Orlando, Florida, as well as other operations space. We also have a long-term finance lease for land underlying an operating hotel. In addition, we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86" w:name="page87"/>
    <w:bookmarkEnd w:id="86"/>
    <w:p>
      <w:pPr>
        <w:spacing w:after="0" w:line="255" w:lineRule="auto"/>
        <w:rPr>
          <w:sz w:val="20"/>
          <w:szCs w:val="20"/>
          <w:color w:val="auto"/>
        </w:rPr>
      </w:pPr>
      <w:r>
        <w:rPr>
          <w:rFonts w:ascii="Times New Roman" w:cs="Times New Roman" w:eastAsia="Times New Roman" w:hAnsi="Times New Roman"/>
          <w:sz w:val="17"/>
          <w:szCs w:val="17"/>
          <w:color w:val="auto"/>
        </w:rPr>
        <w:t>Right-of-use assets and lease liabilities are recognized based on the present value of lease payments over the lease term at commencement date. Short-term leases, which have an initial term of a year or less, are not recorded on the balance sheet.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Right-of-use assets exclude the unamortized portion of lease incentives received. Certain of our lease agreements include variable rental payments that are based on a percentage of sales over contractual levels and others include rental payments adjusted periodically for inflation. Additionally, with respect to our real estate leases, we do not separate lease and non-lease components.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 and Other Intangible Assets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perform an annual review for the potential impairment of the carrying value of goodwill in the fourth quarter,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45"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the first quarter of 2022, we adopted Accounting Standards Update (“ASU”) 2020-06 – “</w:t>
      </w:r>
      <w:r>
        <w:rPr>
          <w:rFonts w:ascii="Times New Roman" w:cs="Times New Roman" w:eastAsia="Times New Roman" w:hAnsi="Times New Roman"/>
          <w:sz w:val="17"/>
          <w:szCs w:val="17"/>
          <w:i w:val="1"/>
          <w:iCs w:val="1"/>
          <w:color w:val="auto"/>
        </w:rPr>
        <w:t>Debt — Debt With Conversion and Other Options (Subtopic 470-20)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Derivatives and Hedging — 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using the modified retrospective method. Subsequent to the adoption of ASU 2020-06, our convertible senior notes are accounted for entirely as a liability and measured at their amortized cost as we are no longer required to separate our convertible notes into liability and equity components, and are required to calculate the impact of our convertible notes on diluted earnings per share using the “if-converted” method, regardless of intent to settle or partially settle the debt in cash. Under the “if-converted” method, diluted earnings per share is generally calculated assuming that all of our convertible notes are converted solely into shares of common stock at the beginning of the reporting period, unless the result would be anti-dilutive. The application of the “if-converted” method reduces our reported diluted earnings per share. The impacts of the adoption were recorded as a cumulative effect in the opening balance of retained earnings and the conversion feature related to our convertible notes was reclassified from equity to liabilities. In addition, we eliminated the related equity adjustment associated with the deferred tax liability. The adoption of ASU 2020-06 on January 1, 2022 resulted in an increase in debt of $107 million, a decrease in additional paid-in capital of $111 million, and a decrease in deferred taxes of $27 million, as well as a cumulative effect adjustment to the opening balance of retained earnings of $31 million. We continue to amortize the remaining debt issuance costs associated with our convertible notes over the respective terms of our convertible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7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may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 outstanding derivative instruments as of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Contribution Plan</w:t>
      </w:r>
    </w:p>
    <w:p>
      <w:pPr>
        <w:spacing w:after="0" w:line="11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owners’ associations) for our participating employees totaling $24 million in 2024, $24 million in 2023, and $23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who were employees of Marriott Vacations Worldwide at the time of the Marriott Spin-Off, including earnings thereon.</w:t>
      </w:r>
    </w:p>
    <w:p>
      <w:pPr>
        <w:spacing w:after="0" w:line="7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2024 and 2023, participants were able to select a rate of return based on market-based investment alternatives for up to 100% of their contributions and existing balances, with one of those options being a fixed rate of return of 3.5%.</w:t>
      </w:r>
    </w:p>
    <w:p>
      <w:pPr>
        <w:spacing w:after="0" w:line="7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7"/>
          <w:szCs w:val="17"/>
          <w:color w:val="auto"/>
        </w:rPr>
        <w:t>We consolidate the liabilities of the Deferred Compensation Plan and the related assets, which consist of the COLI policies held in the rabbi trust. The rabbi trust is considered a VIE. We are the primary beneficiary of the rabbi trust because we direct the activities of the trust and are the beneficiary of the trust. At December 31, 2024 and December 31, 2023, the value of the assets held in the rabbi trust was $131 million and $99 million, respectively, and is included in the Other line within assets on our Balance Sheets.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Costs</w:t>
      </w:r>
    </w:p>
    <w:p>
      <w:pPr>
        <w:spacing w:after="0" w:line="11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During the second quarter of 2024, our stockholders approved the Amended and Restated Marriott Vacations Worldwide Corporation 2020 Equity Incentive Plan (the “MVW Equity Plan”), which supersedes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70" w:lineRule="exact"/>
        <w:rPr>
          <w:sz w:val="20"/>
          <w:szCs w:val="20"/>
          <w:color w:val="auto"/>
        </w:rPr>
      </w:pPr>
    </w:p>
    <w:p>
      <w:pPr>
        <w:jc w:val="both"/>
        <w:ind w:right="540"/>
        <w:spacing w:after="0" w:line="267" w:lineRule="auto"/>
        <w:rPr>
          <w:sz w:val="20"/>
          <w:szCs w:val="20"/>
          <w:color w:val="auto"/>
        </w:rPr>
      </w:pPr>
      <w:r>
        <w:rPr>
          <w:rFonts w:ascii="Times New Roman" w:cs="Times New Roman" w:eastAsia="Times New Roman" w:hAnsi="Times New Roman"/>
          <w:sz w:val="17"/>
          <w:szCs w:val="17"/>
          <w:color w:val="auto"/>
        </w:rPr>
        <w:t>The MVW Equity Plan is maintained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w:t>
      </w:r>
    </w:p>
    <w:p>
      <w:pPr>
        <w:spacing w:after="0" w:line="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We follow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performance period (typically three years) based upon the achievement over that period of specific quantitative operating financial measures and we recognize compensation expense once it is probable that the corresponding performance condition will be achieved.</w:t>
      </w:r>
    </w:p>
    <w:p>
      <w:pPr>
        <w:spacing w:after="0" w:line="7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SARs awarded under the MVW Equity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per year in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7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89" w:name="page90"/>
    <w:bookmarkEnd w:id="89"/>
    <w:p>
      <w:pPr>
        <w:ind w:right="140"/>
        <w:spacing w:after="0" w:line="261" w:lineRule="auto"/>
        <w:rPr>
          <w:sz w:val="20"/>
          <w:szCs w:val="20"/>
          <w:color w:val="auto"/>
        </w:rPr>
      </w:pPr>
      <w:r>
        <w:rPr>
          <w:rFonts w:ascii="Times New Roman" w:cs="Times New Roman" w:eastAsia="Times New Roman" w:hAnsi="Times New Roman"/>
          <w:sz w:val="17"/>
          <w:szCs w:val="17"/>
          <w:color w:val="auto"/>
        </w:rPr>
        <w:t>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issue shares from authorized shares upon the exercise of SARs held by our employees and directors.</w:t>
      </w:r>
    </w:p>
    <w:p>
      <w:pPr>
        <w:spacing w:after="0" w:line="70"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For share-based awards granted to non-employee directors, we recognize compensation expense on the grant date based on the fair value of the awards as of that date. See Footnote 18 “Share-Based Compensation” for more information on the MVW Equity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During 2015, our Board of Directors adopted, and our stockholders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Non-U.S. Operations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in the (Losses) gains and other (expense) income, net line on our Income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provision for income tax in the period that includes the enactment date.</w:t>
      </w:r>
    </w:p>
    <w:p>
      <w:pPr>
        <w:spacing w:after="0" w:line="7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record a valuation allowance on deferred taxes if we determine it is more likely than not that we will not fully realize the future benefit of deferred tax assets.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7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We file tax returns after the close of our fiscal year end and adjust our estimated tax receivable or liability to the actual tax receivable or tax due per the filed tax returns in the provision for income tax.</w:t>
      </w:r>
    </w:p>
    <w:p>
      <w:pPr>
        <w:spacing w:after="0" w:line="5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For purposes of Global Intangible Low-Taxed Income, we have elected to use the period cost method and therefore have not recorded deferred taxes for basis differences expected to reverse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90" w:name="page91"/>
    <w:bookmarkEnd w:id="90"/>
    <w:p>
      <w:pPr>
        <w:spacing w:after="0" w:line="259" w:lineRule="auto"/>
        <w:rPr>
          <w:sz w:val="20"/>
          <w:szCs w:val="20"/>
          <w:color w:val="auto"/>
        </w:rPr>
      </w:pPr>
      <w:r>
        <w:rPr>
          <w:rFonts w:ascii="Times New Roman" w:cs="Times New Roman" w:eastAsia="Times New Roman" w:hAnsi="Times New Roman"/>
          <w:sz w:val="17"/>
          <w:szCs w:val="17"/>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2023-07 –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(“ASU 2023-07”)</w:t>
      </w:r>
    </w:p>
    <w:p>
      <w:pPr>
        <w:spacing w:after="0" w:line="11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7"/>
          <w:szCs w:val="17"/>
          <w:color w:val="auto"/>
        </w:rPr>
        <w:t>In the fourth quarter of 2024, we adopted ASU 2023-07, which updated reportable segment disclosure requirements, primarily through enhanced disclosures about significant segment expenses and information to help users of financial statements understand how the chief operating decision maker evaluates segment expenses and operating results. The ASU did not change how we identify operating segments. The adoption of ASU 2023-07 on a retrospective basis, did not have a material impact on our financial statements, but rather enhanced our disclosure of segment information. See Footnote 20 “Business Segments” for the additional disclosures required by the adoption of ASU 2023-07.</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Adoption of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2023-09 –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expect to begin providing the enhanced disclosures required by this ASU in our Annual Report on Form 10-K for the year ending December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2024-03 - </w:t>
      </w:r>
      <w:r>
        <w:rPr>
          <w:rFonts w:ascii="Times New Roman" w:cs="Times New Roman" w:eastAsia="Times New Roman" w:hAnsi="Times New Roman"/>
          <w:sz w:val="17"/>
          <w:szCs w:val="17"/>
          <w:i w:val="1"/>
          <w:iCs w:val="1"/>
          <w:color w:val="auto"/>
        </w:rPr>
        <w:t>“Income Statement - Reporting Comprehensive Income - Expense Disaggregation Disclosures (Subtopic 220-40):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Disaggregation of Income Statement Expenses” </w:t>
      </w:r>
      <w:r>
        <w:rPr>
          <w:rFonts w:ascii="Times New Roman" w:cs="Times New Roman" w:eastAsia="Times New Roman" w:hAnsi="Times New Roman"/>
          <w:sz w:val="17"/>
          <w:szCs w:val="17"/>
          <w:color w:val="auto"/>
        </w:rPr>
        <w:t>(“ASU 2024-03”)</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with early adoption permitted. We are evaluating the impact that the adoption of this update, including the timing of implementation, will have on our disclosures.</w:t>
      </w:r>
    </w:p>
    <w:p>
      <w:pPr>
        <w:spacing w:after="0" w:line="168"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 xml:space="preserve">Accounting Standards Update 2024-04 - </w:t>
      </w:r>
      <w:r>
        <w:rPr>
          <w:rFonts w:ascii="Times New Roman" w:cs="Times New Roman" w:eastAsia="Times New Roman" w:hAnsi="Times New Roman"/>
          <w:sz w:val="17"/>
          <w:szCs w:val="17"/>
          <w:i w:val="1"/>
          <w:iCs w:val="1"/>
          <w:color w:val="auto"/>
        </w:rPr>
        <w:t>“Debt - Debt with Conversion and Other Options (Subtopic 470-20): Induced Conversions of Convertible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Instruments” </w:t>
      </w:r>
      <w:r>
        <w:rPr>
          <w:rFonts w:ascii="Times New Roman" w:cs="Times New Roman" w:eastAsia="Times New Roman" w:hAnsi="Times New Roman"/>
          <w:sz w:val="17"/>
          <w:szCs w:val="17"/>
          <w:color w:val="auto"/>
        </w:rPr>
        <w:t>(“ASU 2024-04”)</w:t>
      </w:r>
    </w:p>
    <w:p>
      <w:pPr>
        <w:spacing w:after="0" w:line="4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November 2024, the FASB issued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This update is effective for annual periods beginning after December 15, 2025, and interim periods within those annual reporting periods, with early adoption permitted for all entities that have adopted the amendments in ASU 2020-06. We adopted ASU 2020-06 on January 1, 2022 using the modified retrospective method. We are evaluating the impact that the adoption of this update, including the timing of implementation, will have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3. ACQUISITIONS AND DISPOSITIONS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Orlando, Florida</w:t>
      </w:r>
    </w:p>
    <w:p>
      <w:pPr>
        <w:spacing w:after="0" w:line="1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During the fourth quarter of 2024, we acquired a parcel of land in Orlando, Florida for $11 million, which we plan to develop into a 289-unit Hyatt-branded vacation ownership property. The transaction was accounted for as an asset acquisition and was recorded in Property and equipment, net.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Waikiki, Hawaii</w:t>
      </w:r>
    </w:p>
    <w:p>
      <w:pPr>
        <w:spacing w:after="0" w:line="117"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During the third quarter of 2024, we acquired 38 completed vacation ownership units located at our Marriott Vacation Club, Waikiki property for $65 million. The transaction was accounted for as an asset acquisition with all of the purchase price allocated to Inventory. See Footnote 19 “Variable Interest Entities” for additional information about this transaction, including our remaining commitment related to this property, and our activities relating to the VIE involved in this transaction.</w:t>
      </w:r>
    </w:p>
    <w:p>
      <w:pPr>
        <w:spacing w:after="0" w:line="4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Additionally, during the first quarter of 2024, we acquired retail space located at our Marriott Vacation Club, Waikiki property for $48 million. The transaction was accounted for as an asset acquisition and was classified as held-for-sale and included in Other assets as of December 31,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Savannah, Georgia</w:t>
      </w:r>
    </w:p>
    <w:p>
      <w:pPr>
        <w:spacing w:after="0" w:line="117"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7"/>
          <w:szCs w:val="17"/>
          <w:color w:val="auto"/>
        </w:rPr>
        <w:t>During 2023, we acquired a property in Savannah, Georgia for $19 million. We plan to convert the property into a 73-unit Westin-branded vacation ownership property. The transaction was accounted for as an asset acquisition and was recorded in Property and equipment, net.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Charleston, South Carolina</w:t>
      </w:r>
    </w:p>
    <w:p>
      <w:pPr>
        <w:spacing w:after="0" w:line="117"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7"/>
          <w:szCs w:val="17"/>
          <w:color w:val="auto"/>
        </w:rPr>
        <w:t>During 2023, we acquired a parcel of land and an adjacent retail space in Charleston, South Carolina for $17 million. We plan to develop the parcel of land into a 50-unit Westin-branded vacation ownership property and use a portion of the retail space to operate a sales center. The transaction was accounted for as an asset acquisition and was recorded in Property and equipment,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Bali</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During 2022, we acquired 88 completed vacation ownership units, as well as a sales center, located in Bali, Indonesia for $36 million. The transaction was accounted for as an asset acquisition and the purchase price was allocated to Property and equipment, net. As consideration for the acquisition, we paid $12 million in cash and issued a non-interest bearing note payable for $11 million, of which $6 million was repaid in the first quarter of 2023 and the remainder was repaid in the first quarter of 2024. Further, we reclassified $13 million of previous deposits associated with the project from Other assets to Property and equipment, net.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Dispositions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During 2022, we disposed of VRI Americas for proceeds of $56 million, net of cash and restricted cash transferred to the buyer of $12 million, after determining that this business was not a core component of our future growth strategy and operating model. The results of VRI Americas are included in our Exchange and Third-Party Management segment through the date of the sale. The net carrying value of VRI Americas as of the date of the disposition was $51 million, including $25 million of goodwill and $20 million of intangible assets. As a result of the disposition, we recorded a gain of $17 million in (Losses) gains and other (expense) income, net on our Income Statement for the year ended December 31, 2022.</w:t>
      </w:r>
    </w:p>
    <w:p>
      <w:pPr>
        <w:spacing w:after="0" w:line="7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Additionally, during 2022, we disposed of entities that owned and operated a Vacation Ownership segment hotel in Puerto Vallarta, Mexico, for proceeds of $38 million, net of cash and restricted cash transferred to the buyer of $3 million, consistent with our strategy to dispose of non-strategic assets. The net carrying value of the business disposed of as of the date of the disposition, excluding the cumulative translation adjustment, was $18 million, substantially all of which was for property and equipment. As a result of this disposition, we recorded a gain of $33 million in (Losses) gains and other (expense) income, net on our Income Statement for the year ended December 31, 2022, which included the realization of cumulative foreign currency translation gains of $10 million associated with the disposition of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color w:val="auto"/>
        </w:rPr>
        <w:t>4. REVENUE AND RECEIVABLES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3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243"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Revenue from Contracts with Customers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timing of revenue from contracts with customers by segment for each of the last three fiscal years.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2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16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160" w:type="dxa"/>
            <w:vAlign w:val="bottom"/>
          </w:tcPr>
          <w:p>
            <w:pPr>
              <w:jc w:val="center"/>
              <w:ind w:left="163"/>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680" w:type="dxa"/>
            <w:vAlign w:val="bottom"/>
            <w:vMerge w:val="continue"/>
          </w:tcPr>
          <w:p>
            <w:pPr>
              <w:spacing w:after="0"/>
              <w:rPr>
                <w:sz w:val="13"/>
                <w:szCs w:val="13"/>
                <w:color w:val="auto"/>
              </w:rPr>
            </w:pPr>
          </w:p>
        </w:tc>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160" w:type="dxa"/>
            <w:vAlign w:val="bottom"/>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 Contracts with Customers, Contract Assets, &amp; Contract Liabilities</w:t>
      </w:r>
    </w:p>
    <w:p>
      <w:pPr>
        <w:spacing w:after="0" w:line="168" w:lineRule="exact"/>
        <w:rPr>
          <w:sz w:val="20"/>
          <w:szCs w:val="20"/>
          <w:color w:val="auto"/>
        </w:rPr>
      </w:pPr>
    </w:p>
    <w:p>
      <w:pPr>
        <w:ind w:right="880"/>
        <w:spacing w:after="0" w:line="283" w:lineRule="auto"/>
        <w:rPr>
          <w:sz w:val="20"/>
          <w:szCs w:val="20"/>
          <w:color w:val="auto"/>
        </w:rPr>
      </w:pPr>
      <w:r>
        <w:rPr>
          <w:rFonts w:ascii="Times New Roman" w:cs="Times New Roman" w:eastAsia="Times New Roman" w:hAnsi="Times New Roman"/>
          <w:sz w:val="17"/>
          <w:szCs w:val="17"/>
          <w:color w:val="auto"/>
        </w:rPr>
        <w:t>The following table shows the composition of our receivables from contracts with customers and contract liabilities. We had no contract assets at either December 31, 2024 or December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40" w:type="dxa"/>
            <w:vAlign w:val="bottom"/>
          </w:tcPr>
          <w:p>
            <w:pPr>
              <w:spacing w:after="0"/>
              <w:rPr>
                <w:sz w:val="17"/>
                <w:szCs w:val="17"/>
                <w:color w:val="auto"/>
              </w:rPr>
            </w:pPr>
          </w:p>
        </w:tc>
        <w:tc>
          <w:tcPr>
            <w:tcW w:w="162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and contracts receivable,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10"/>
        </w:trPr>
        <w:tc>
          <w:tcPr>
            <w:tcW w:w="4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2,608</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57"/>
        </w:trPr>
        <w:tc>
          <w:tcPr>
            <w:tcW w:w="4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1"/>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Advance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43"/>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35"/>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recognized during the year ended December 31, 2024 that was included in our contract liabilities balance at December 31, 2023 was $367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17" w:lineRule="exact"/>
        <w:rPr>
          <w:sz w:val="20"/>
          <w:szCs w:val="20"/>
          <w:color w:val="auto"/>
        </w:rPr>
      </w:pPr>
    </w:p>
    <w:p>
      <w:pPr>
        <w:jc w:val="both"/>
        <w:ind w:right="160"/>
        <w:spacing w:after="0" w:line="283" w:lineRule="auto"/>
        <w:rPr>
          <w:sz w:val="20"/>
          <w:szCs w:val="20"/>
          <w:color w:val="auto"/>
        </w:rPr>
      </w:pPr>
      <w:r>
        <w:rPr>
          <w:rFonts w:ascii="Times New Roman" w:cs="Times New Roman" w:eastAsia="Times New Roman" w:hAnsi="Times New Roman"/>
          <w:sz w:val="17"/>
          <w:szCs w:val="17"/>
          <w:color w:val="auto"/>
        </w:rPr>
        <w:t>Our remaining performance obligations represent the expected transaction price allocated to our contracts that we expect to recognize as revenue in future periods when we perform under the contracts. At December 31, 2024, approximately 95% of this amount is expected to be recognized as revenue over the next two years.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and Contracts Receivable</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40" w:type="dxa"/>
            <w:vAlign w:val="bottom"/>
          </w:tcPr>
          <w:p>
            <w:pPr>
              <w:spacing w:after="0"/>
              <w:rPr>
                <w:sz w:val="17"/>
                <w:szCs w:val="17"/>
                <w:color w:val="auto"/>
              </w:rPr>
            </w:pPr>
          </w:p>
        </w:tc>
        <w:tc>
          <w:tcPr>
            <w:tcW w:w="162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from contracts with customers,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assets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tax credit receivable</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5"/>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39"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color w:val="auto"/>
        </w:rPr>
        <w:t>5. INCOME TAXES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our Income before income taxes and noncontrolling interests for the last three fiscal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2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Non-U.S. jurisdictions</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35"/>
        </w:trPr>
        <w:tc>
          <w:tcPr>
            <w:tcW w:w="70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Our (provision for) benefit from income taxes consisted of:</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5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25"/>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U.S. Federal</w:t>
            </w:r>
          </w:p>
        </w:tc>
        <w:tc>
          <w:tcPr>
            <w:tcW w:w="2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U.S. State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Non-U.S.</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U.S. Federal</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U.S. State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43"/>
        </w:trPr>
        <w:tc>
          <w:tcPr>
            <w:tcW w:w="70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 Non-U.S.</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3"/>
        </w:trPr>
        <w:tc>
          <w:tcPr>
            <w:tcW w:w="70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Reconciliation of U.S. Federal Statutory Income Tax Rate to Actual Income Tax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U.S. statutory income tax rate to our effective income tax rate: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statutory income tax rate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state income taxes, net of U.S. federal tax benefit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net of Section 162(m) limitation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(0.2)</w:t>
            </w: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Other permanent differences</w:t>
            </w:r>
            <w:r>
              <w:rPr>
                <w:rFonts w:ascii="Times New Roman" w:cs="Times New Roman" w:eastAsia="Times New Roman" w:hAnsi="Times New Roman"/>
                <w:sz w:val="22"/>
                <w:szCs w:val="22"/>
                <w:color w:val="auto"/>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rate changes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Non-U.S. 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(0.2)</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(2.7)</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items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(0.8)</w:t>
            </w:r>
          </w:p>
        </w:tc>
      </w:tr>
      <w:tr>
        <w:trPr>
          <w:trHeight w:val="235"/>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Effective rate</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hanging="298"/>
        <w:spacing w:after="0" w:line="235" w:lineRule="auto"/>
        <w:tabs>
          <w:tab w:leader="none" w:pos="288"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2024 permanent differences are primarily related to non-deductible interest, other expenses and foreign taxes partially offset by non-taxable income. The 2023 permanent differences are primarily related to non-taxable income and foreign taxes deducted in the U.S. The 2022 permanent differences primarily relate to non-deductible interest.</w:t>
      </w:r>
    </w:p>
    <w:p>
      <w:pPr>
        <w:spacing w:after="0" w:line="18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conduct business in countries that grant “holidays” from income taxes for ten to thirty-year periods. These holidays expire through 2034 and may be impacted by the global minimum tax rules (Pillar 2) set forth for large multinational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44"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significant components of our deferred tax assets and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2024</w:t>
            </w:r>
          </w:p>
        </w:tc>
        <w:tc>
          <w:tcPr>
            <w:tcW w:w="160" w:type="dxa"/>
            <w:vAlign w:val="bottom"/>
          </w:tcPr>
          <w:p>
            <w:pPr>
              <w:spacing w:after="0"/>
              <w:rPr>
                <w:sz w:val="17"/>
                <w:szCs w:val="17"/>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At Year-End 2023</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Convertible debt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compensation</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compensation</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and capital loss carryforwards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credits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Right-of-use asset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4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3"/>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tax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4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23"/>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deferred tax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43"/>
        </w:trPr>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 lived intangible assets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sales of VOIs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Right-of-use liability</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43"/>
        </w:trPr>
        <w:tc>
          <w:tcPr>
            <w:tcW w:w="49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10"/>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net deferred tax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2024, the change in our valuation allowance is primarily related to realization of non-U.S. loss carryforwards.</w:t>
      </w:r>
    </w:p>
    <w:p>
      <w:pPr>
        <w:spacing w:after="0" w:line="1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have $6 million in foreign capital loss carryforwards and $126 million of foreign net operating loss carryforwards, some of which begin expiring in 2025; however, a significant portion of the net operating loss carryforwards have indefinite carryforward periods. We have $8 million of state net operating loss carryforwards, the majority of which will not expire within the next five years, $3 million of business interest deduction carryforwards and $7 million of state tax credit carryforwards, both of which have an indefinite carryforward period.</w:t>
      </w:r>
    </w:p>
    <w:p>
      <w:pPr>
        <w:spacing w:after="0" w:line="7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2024, we elected to remove our permanent reinvestment assertion related to the undistributed earnings of certain foreign subsidiaries and accrued the applicable taxes of $20 million related to this decision. Subsequent to this change, we no longer have any subsidiaries for which undistributed earnings are treated as permanently reinvested.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Unrecognized Tax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(excluding interest and penalties)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beginning of year</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Increases related to tax positions taken during a prior period</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Decreases related to tax positions taken during a prior period</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66"/>
        </w:trPr>
        <w:tc>
          <w:tcPr>
            <w:tcW w:w="480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Decreases as a result of a lapse of the applicable statute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limitations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end of year</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19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080"/>
          </w:cols>
          <w:pgMar w:left="320" w:top="1190" w:right="499" w:bottom="1440" w:gutter="0" w:footer="0" w:header="0"/>
          <w:type w:val="continuous"/>
        </w:sectPr>
      </w:pPr>
    </w:p>
    <w:bookmarkStart w:id="97" w:name="page98"/>
    <w:bookmarkEnd w:id="97"/>
    <w:p>
      <w:pPr>
        <w:ind w:right="140"/>
        <w:spacing w:after="0" w:line="283" w:lineRule="auto"/>
        <w:rPr>
          <w:sz w:val="20"/>
          <w:szCs w:val="20"/>
          <w:color w:val="auto"/>
        </w:rPr>
      </w:pPr>
      <w:r>
        <w:rPr>
          <w:rFonts w:ascii="Times New Roman" w:cs="Times New Roman" w:eastAsia="Times New Roman" w:hAnsi="Times New Roman"/>
          <w:sz w:val="17"/>
          <w:szCs w:val="17"/>
          <w:color w:val="auto"/>
        </w:rPr>
        <w:t>The increase in the unrecognized tax benefits during 2023 and subsequent decrease during 2024 is primarily related to an $80 million proposed tax method change in 2023, which was filed with the IRS in 2024.</w:t>
      </w:r>
    </w:p>
    <w:p>
      <w:pPr>
        <w:spacing w:after="0" w:line="5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total amount of gross interest and penalties accrued relating to unrecognized tax benefits was $37 million at December 31, 2024 and $48 million at December 31, 2023, which is predominantly attributable to non-U.S. jurisdictions. We recognized an income tax benefit of $11 million in 2024, an income tax expense of $20 million in 2023, and an income tax benefit of $14 million in 2022, related to accrued interest and penalties. Unrecognized tax benefits (including interest and penalties) of $29 million and $38 million, net of indemnification, would have impacted the effective tax rate for the years ended December 31, 2024 and December 31, 2023, respectively, if recognized.</w:t>
      </w:r>
    </w:p>
    <w:p>
      <w:pPr>
        <w:spacing w:after="0" w:line="7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We anticipate $31 million of unrecognized tax benefits, including interest and penalties, will be indemnified pursuant to a Tax Matters Agreement dated May 11, 2016 by and among Starwood Hotels &amp; Resorts Worldwide, Inc., Vistana Signature Experiences, Inc., and Interval Leisure Group, Inc., (the “Tax Matters Agreement”) and consequently have recorded a corresponding indemnification asset. The unrecognized tax benefits, including accrued interest and penalties, are included in Other liabilities on our Balance Sheets.</w:t>
      </w:r>
    </w:p>
    <w:p>
      <w:pPr>
        <w:spacing w:after="0" w:line="70"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7"/>
          <w:szCs w:val="17"/>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As of December 31, 2024, the $16 million tax reserve for non-income tax issues is predominantly related to the ILG Acquisition. We expect that we will be indemnified for liabilities of $3 million in connection with the Legacy-ILG non-income tax matters pursuant to the Tax Matters Agreement and consequently have recorded a corresponding indemnification asset.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VACATION OWNERSHIP NOTES RECEIVABLE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vacation ownership notes receivable balances, net of reserves.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6"/>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r>
      <w:tr>
        <w:trPr>
          <w:trHeight w:val="153"/>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43"/>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Eligible for securitization</w:t>
            </w: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166"/>
        </w:trPr>
        <w:tc>
          <w:tcPr>
            <w:tcW w:w="2200" w:type="dxa"/>
            <w:vAlign w:val="bottom"/>
          </w:tcPr>
          <w:p>
            <w:pPr>
              <w:ind w:left="100"/>
              <w:spacing w:after="0" w:line="166" w:lineRule="exact"/>
              <w:rPr>
                <w:sz w:val="20"/>
                <w:szCs w:val="20"/>
                <w:color w:val="auto"/>
              </w:rPr>
            </w:pPr>
            <w:r>
              <w:rPr>
                <w:rFonts w:ascii="Times New Roman" w:cs="Times New Roman" w:eastAsia="Times New Roman" w:hAnsi="Times New Roman"/>
                <w:sz w:val="17"/>
                <w:szCs w:val="17"/>
                <w:color w:val="auto"/>
              </w:rPr>
              <w:t>Not eligible for</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0"/>
        </w:trPr>
        <w:tc>
          <w:tcPr>
            <w:tcW w:w="2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securitization</w:t>
            </w:r>
            <w:r>
              <w:rPr>
                <w:rFonts w:ascii="Times New Roman" w:cs="Times New Roman" w:eastAsia="Times New Roman" w:hAnsi="Times New Roman"/>
                <w:sz w:val="8"/>
                <w:szCs w:val="8"/>
                <w:color w:val="auto"/>
              </w:rPr>
              <w:t>(1)</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133"/>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3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00" w:hanging="298"/>
        <w:spacing w:after="0"/>
        <w:tabs>
          <w:tab w:leader="none" w:pos="3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Footnote 7 “Financial Instruments” for discussion of eligibility of our vacation ownership notes receivable for securitization.</w:t>
      </w:r>
    </w:p>
    <w:p>
      <w:pPr>
        <w:spacing w:after="0" w:line="18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49"/>
        </w:trPr>
        <w:tc>
          <w:tcPr>
            <w:tcW w:w="5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Interest income associated with vacation ownership notes receivable —</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166"/>
        </w:trPr>
        <w:tc>
          <w:tcPr>
            <w:tcW w:w="51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Interest income associated with vacation ownership notes receivable —</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 associated with vacation ownership notes receivable</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Reserve</w:t>
      </w:r>
    </w:p>
    <w:p>
      <w:pPr>
        <w:spacing w:after="0" w:line="11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5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In the third quarter of 2023, we increased our vacation ownership notes receivable reserve to reflect then-current trends in delinquencies and default rates. As a result, we increased our originated vacation ownership notes receivable reserve by $59 million. We estimated the amount of the increase in our sales reserve primarily using information from a historical period of increased defaults. The additional reserve recorded in 2023 was the result of an adjustment to our future default rate estimate to reflect then-current macroeconomic conditions, including inflation outpacing wage growth, continuing high interest rates, mixed economic indicators and increased global insecurity.</w:t>
      </w:r>
    </w:p>
    <w:p>
      <w:pPr>
        <w:spacing w:after="0" w:line="7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During the second quarter of 2024, we increased our sales reserve to reflect increases in expected cumulative loss rates for our vacation ownership notes receivable originated during 2021 to 2024. As a result, we increased our originated vacation ownership notes receivable reserve by $70 million. Consistent with our analysis in the third quarter of 2023, we considered the cumulative impact of inflation and the mixed economic environment on delinquencies and default rates. We believed the related impact of higher than historical year-over-year increases in maintenance fees for 2023 and 2024 would continue to drive elevated delinquencies and defaults. As expected, maintenance fee increases for our points-based products for 2025, which were approved by the relevant property owners’ association, returned to levels consistent with historical experience.</w:t>
      </w:r>
    </w:p>
    <w:p>
      <w:pPr>
        <w:spacing w:after="0" w:line="73"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have increased our sales reserve rate to reflect higher expected cumulative losses on new originations and do not expect to lower the sales reserve rate until we have sufficient evidence of improvement in delinquency and default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Quality Indicators - Vacation Ownership Notes Receivable</w:t>
      </w:r>
    </w:p>
    <w:p>
      <w:pPr>
        <w:spacing w:after="0" w:line="11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w:t>
      </w:r>
    </w:p>
    <w:p>
      <w:pPr>
        <w:spacing w:after="0" w:line="63"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The weighted average FICO score within our consolidated vacation ownership notes receivable pool was 725 and 723 at December 31, 2024 and December 31, 2023, respectively, based upon the FICO score of the borrower at the time of origination.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Originated Vacation Ownership Notes Receivable</w:t>
      </w:r>
    </w:p>
    <w:p>
      <w:pPr>
        <w:spacing w:after="0" w:line="11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40" w:type="dxa"/>
            <w:vAlign w:val="bottom"/>
          </w:tcPr>
          <w:p>
            <w:pPr>
              <w:spacing w:after="0"/>
              <w:rPr>
                <w:sz w:val="17"/>
                <w:szCs w:val="17"/>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w w:val="95"/>
              </w:rPr>
              <w:t>11.7%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rPr>
              <w:t>0.0% to 20.9%</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0.0% to 20.9%</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8"/>
              </w:rPr>
              <w:t>0.0% to 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9" w:name="page100"/>
    <w:bookmarkEnd w:id="99"/>
    <w:p>
      <w:pPr>
        <w:spacing w:after="0" w:line="266" w:lineRule="auto"/>
        <w:rPr>
          <w:sz w:val="20"/>
          <w:szCs w:val="20"/>
          <w:color w:val="auto"/>
        </w:rPr>
      </w:pPr>
      <w:r>
        <w:rPr>
          <w:rFonts w:ascii="Times New Roman" w:cs="Times New Roman" w:eastAsia="Times New Roman" w:hAnsi="Times New Roman"/>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Reserve</w:t>
            </w: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320" w:type="dxa"/>
            <w:vAlign w:val="bottom"/>
          </w:tcPr>
          <w:p>
            <w:pPr>
              <w:spacing w:after="0"/>
              <w:rPr>
                <w:sz w:val="17"/>
                <w:szCs w:val="17"/>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175"/>
        </w:trPr>
        <w:tc>
          <w:tcPr>
            <w:tcW w:w="380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reserve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175"/>
        </w:trPr>
        <w:tc>
          <w:tcPr>
            <w:tcW w:w="380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175"/>
        </w:trPr>
        <w:tc>
          <w:tcPr>
            <w:tcW w:w="380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reserve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175"/>
        </w:trPr>
        <w:tc>
          <w:tcPr>
            <w:tcW w:w="380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175"/>
        </w:trPr>
        <w:tc>
          <w:tcPr>
            <w:tcW w:w="380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reserve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175"/>
        </w:trPr>
        <w:tc>
          <w:tcPr>
            <w:tcW w:w="380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right="120" w:hanging="298"/>
        <w:spacing w:after="0" w:line="228" w:lineRule="auto"/>
        <w:tabs>
          <w:tab w:leader="none" w:pos="288"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originated vacation ownership notes receivable, before reserves, by brand and borrower FICO score at origination.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gridSpan w:val="13"/>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2024</w:t>
            </w: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20" w:type="dxa"/>
            <w:vAlign w:val="bottom"/>
          </w:tcPr>
          <w:p>
            <w:pPr>
              <w:jc w:val="right"/>
              <w:ind w:right="25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Pr>
          <w:p>
            <w:pPr>
              <w:spacing w:after="0"/>
              <w:rPr>
                <w:sz w:val="17"/>
                <w:szCs w:val="17"/>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r>
      <w:tr>
        <w:trPr>
          <w:trHeight w:val="24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35"/>
        </w:trPr>
        <w:tc>
          <w:tcPr>
            <w:tcW w:w="26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2"/>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13"/>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2023</w:t>
            </w: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20" w:type="dxa"/>
            <w:vAlign w:val="bottom"/>
          </w:tcPr>
          <w:p>
            <w:pPr>
              <w:jc w:val="right"/>
              <w:ind w:right="25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Pr>
          <w:p>
            <w:pPr>
              <w:spacing w:after="0"/>
              <w:rPr>
                <w:sz w:val="17"/>
                <w:szCs w:val="17"/>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r>
      <w:tr>
        <w:trPr>
          <w:trHeight w:val="24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35"/>
        </w:trPr>
        <w:tc>
          <w:tcPr>
            <w:tcW w:w="26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20"/>
          </w:cols>
          <w:pgMar w:left="320" w:top="1158" w:right="459" w:bottom="1440" w:gutter="0" w:footer="0" w:header="0"/>
        </w:sectPr>
      </w:pPr>
    </w:p>
    <w:bookmarkStart w:id="100" w:name="page101"/>
    <w:bookmarkEnd w:id="100"/>
    <w:p>
      <w:pPr>
        <w:ind w:right="500"/>
        <w:spacing w:after="0" w:line="274" w:lineRule="auto"/>
        <w:rPr>
          <w:sz w:val="20"/>
          <w:szCs w:val="20"/>
          <w:color w:val="auto"/>
        </w:rPr>
      </w:pPr>
      <w:r>
        <w:rPr>
          <w:rFonts w:ascii="Times New Roman" w:cs="Times New Roman" w:eastAsia="Times New Roman" w:hAnsi="Times New Roman"/>
          <w:sz w:val="17"/>
          <w:szCs w:val="17"/>
          <w:color w:val="auto"/>
        </w:rPr>
        <w:t>The following tables detail the origination year of our originated vacation ownership notes receivable, before reserves, by brand and borrower FICO score at origination as of December 31, 2024, and gross write-offs by brand for the year ended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0" w:type="dxa"/>
            <w:vAlign w:val="bottom"/>
            <w:tcBorders>
              <w:bottom w:val="single" w:sz="8" w:color="auto"/>
            </w:tcBorders>
            <w:gridSpan w:val="25"/>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Marriott Vacation Ownership</w:t>
            </w:r>
          </w:p>
        </w:tc>
      </w:tr>
      <w:tr>
        <w:trPr>
          <w:trHeight w:val="199"/>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2020 &amp; Prior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1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43"/>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35"/>
        </w:trPr>
        <w:tc>
          <w:tcPr>
            <w:tcW w:w="3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r>
      <w:tr>
        <w:trPr>
          <w:trHeight w:val="20"/>
        </w:trPr>
        <w:tc>
          <w:tcPr>
            <w:tcW w:w="16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521"/>
        </w:trPr>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4"/>
          </w:tcPr>
          <w:p>
            <w:pPr>
              <w:jc w:val="right"/>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Hyatt Vacation Ownership</w:t>
            </w:r>
          </w:p>
        </w:tc>
        <w:tc>
          <w:tcPr>
            <w:tcW w:w="720" w:type="dxa"/>
            <w:vAlign w:val="bottom"/>
            <w:tcBorders>
              <w:bottom w:val="single" w:sz="8" w:color="auto"/>
            </w:tcBorders>
          </w:tcPr>
          <w:p>
            <w:pPr>
              <w:spacing w:after="0"/>
              <w:rPr>
                <w:sz w:val="24"/>
                <w:szCs w:val="24"/>
                <w:color w:val="auto"/>
              </w:rPr>
            </w:pPr>
          </w:p>
        </w:tc>
      </w:tr>
      <w:tr>
        <w:trPr>
          <w:trHeight w:val="199"/>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2020 &amp; Prior</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5"/>
        </w:trPr>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0"/>
        </w:trPr>
        <w:tc>
          <w:tcPr>
            <w:tcW w:w="16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4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Acquired vacation ownership notes receivable represent vacation ownership notes receivable acquired as part of the ILG Acquisition and the Welk Acquisition. The following table shows future contractual principal payments, net of a $9 million reserve, and interest rates for our acquired vacation ownership notes receivable at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7"/>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40" w:type="dxa"/>
            <w:vAlign w:val="bottom"/>
          </w:tcPr>
          <w:p>
            <w:pPr>
              <w:spacing w:after="0"/>
              <w:rPr>
                <w:sz w:val="17"/>
                <w:szCs w:val="17"/>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w w:val="98"/>
              </w:rPr>
              <w:t>0.0% to 21.9%</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0.0% to 21.9%</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8"/>
              </w:rPr>
              <w:t>0.0% to 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247"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t>The following tables show acquired vacation ownership notes receivable, before reserves, by brand and borrower FICO score at origination.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gridSpan w:val="13"/>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December 31, 2024</w:t>
            </w:r>
          </w:p>
        </w:tc>
      </w:tr>
      <w:tr>
        <w:trPr>
          <w:trHeight w:val="19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20" w:type="dxa"/>
            <w:vAlign w:val="bottom"/>
          </w:tcPr>
          <w:p>
            <w:pPr>
              <w:spacing w:after="0"/>
              <w:rPr>
                <w:sz w:val="17"/>
                <w:szCs w:val="17"/>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5"/>
        </w:trPr>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0"/>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13"/>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December 31, 2023</w:t>
            </w:r>
          </w:p>
        </w:tc>
      </w:tr>
      <w:tr>
        <w:trPr>
          <w:trHeight w:val="19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20" w:type="dxa"/>
            <w:vAlign w:val="bottom"/>
          </w:tcPr>
          <w:p>
            <w:pPr>
              <w:spacing w:after="0"/>
              <w:rPr>
                <w:sz w:val="17"/>
                <w:szCs w:val="17"/>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4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on Non-Accrual Status</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For both non-securitized and securitized vacation ownership notes receivable, we estimated the average remaining default rate of 13.96% as of December 31, 2024 and 13.00% as of December 31, 2023. A 0.5 percentage point increase in the estimated default rate would have resulted in an increase in the related vacation ownership notes receivable reserve of $14 million as of December 31, 2024 and $13 million as of December 31, 2023.</w:t>
      </w:r>
    </w:p>
    <w:p>
      <w:pPr>
        <w:spacing w:after="0" w:line="6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100"/>
          </w:cols>
          <w:pgMar w:left="320" w:top="1196" w:right="479" w:bottom="1440" w:gutter="0" w:footer="0" w:header="0"/>
        </w:sect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39"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7"/>
          <w:szCs w:val="17"/>
          <w:color w:val="auto"/>
        </w:rPr>
        <w:t>Investment in vacation ownership notes receivable on non-accrual status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-250190</wp:posOffset>
            </wp:positionV>
            <wp:extent cx="5257165" cy="2514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left="20"/>
        <w:spacing w:after="0" w:line="246" w:lineRule="auto"/>
        <w:rPr>
          <w:sz w:val="20"/>
          <w:szCs w:val="20"/>
          <w:color w:val="auto"/>
        </w:rPr>
      </w:pPr>
      <w:r>
        <w:rPr>
          <w:rFonts w:ascii="Times New Roman" w:cs="Times New Roman" w:eastAsia="Times New Roman" w:hAnsi="Times New Roman"/>
          <w:sz w:val="17"/>
          <w:szCs w:val="17"/>
          <w:color w:val="auto"/>
        </w:rPr>
        <w:t>Investment in vacation ownership notes receivable on non-accrual status at December 31, 2023</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b w:val="1"/>
          <w:bCs w:val="1"/>
          <w:color w:val="auto"/>
        </w:rPr>
        <w:t>Vacation Ownership Notes Receivable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88"/>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tcPr>
          <w:p>
            <w:pPr>
              <w:spacing w:after="0"/>
              <w:rPr>
                <w:sz w:val="24"/>
                <w:szCs w:val="24"/>
                <w:color w:val="auto"/>
              </w:rPr>
            </w:pPr>
          </w:p>
        </w:tc>
        <w:tc>
          <w:tcPr>
            <w:tcW w:w="1000" w:type="dxa"/>
            <w:vAlign w:val="bottom"/>
            <w:tcBorders>
              <w:top w:val="single" w:sz="8" w:color="auto"/>
            </w:tcBorders>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24</w:t>
            </w:r>
          </w:p>
        </w:tc>
        <w:tc>
          <w:tcPr>
            <w:tcW w:w="120" w:type="dxa"/>
            <w:vAlign w:val="bottom"/>
          </w:tcPr>
          <w:p>
            <w:pPr>
              <w:spacing w:after="0"/>
              <w:rPr>
                <w:sz w:val="24"/>
                <w:szCs w:val="24"/>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24"/>
                <w:szCs w:val="24"/>
                <w:color w:val="auto"/>
              </w:rPr>
            </w:pPr>
          </w:p>
        </w:tc>
        <w:tc>
          <w:tcPr>
            <w:tcW w:w="100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27</w:t>
            </w:r>
          </w:p>
        </w:tc>
        <w:tc>
          <w:tcPr>
            <w:tcW w:w="120" w:type="dxa"/>
            <w:vAlign w:val="bottom"/>
          </w:tcPr>
          <w:p>
            <w:pPr>
              <w:spacing w:after="0"/>
              <w:rPr>
                <w:sz w:val="24"/>
                <w:szCs w:val="24"/>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bl>
    <w:p>
      <w:pPr>
        <w:spacing w:after="0" w:line="294" w:lineRule="exact"/>
        <w:rPr>
          <w:sz w:val="20"/>
          <w:szCs w:val="20"/>
          <w:color w:val="auto"/>
        </w:rPr>
      </w:pPr>
    </w:p>
    <w:p>
      <w:pPr>
        <w:sectPr>
          <w:pgSz w:w="11900" w:h="16838" w:orient="portrait"/>
          <w:cols w:equalWidth="0" w:num="2">
            <w:col w:w="4040" w:space="240"/>
            <w:col w:w="6820"/>
          </w:cols>
          <w:pgMar w:left="320" w:top="1196" w:right="479" w:bottom="1440" w:gutter="0" w:footer="0" w:header="0"/>
          <w:type w:val="continuous"/>
        </w:sectPr>
      </w:pPr>
    </w:p>
    <w:p>
      <w:pPr>
        <w:spacing w:after="0" w:line="7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The following table shows the aging of the recorded investment in principal, before reserves, in vacation ownership notes receivable as of December 31, 2024 and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31 – 90 days past due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43"/>
        </w:trPr>
        <w:tc>
          <w:tcPr>
            <w:tcW w:w="1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91 – 120 days past due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ind w:left="120"/>
              <w:spacing w:after="0" w:line="166" w:lineRule="exact"/>
              <w:rPr>
                <w:sz w:val="20"/>
                <w:szCs w:val="20"/>
                <w:color w:val="auto"/>
              </w:rPr>
            </w:pPr>
            <w:r>
              <w:rPr>
                <w:rFonts w:ascii="Times New Roman" w:cs="Times New Roman" w:eastAsia="Times New Roman" w:hAnsi="Times New Roman"/>
                <w:sz w:val="17"/>
                <w:szCs w:val="17"/>
                <w:color w:val="auto"/>
              </w:rPr>
              <w:t>Greater than 120 days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past due</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23"/>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past due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0" w:type="dxa"/>
            <w:vAlign w:val="bottom"/>
          </w:tcPr>
          <w:p>
            <w:pPr>
              <w:spacing w:after="0"/>
              <w:rPr>
                <w:sz w:val="1"/>
                <w:szCs w:val="1"/>
                <w:color w:val="auto"/>
              </w:rPr>
            </w:pPr>
          </w:p>
        </w:tc>
      </w:tr>
      <w:tr>
        <w:trPr>
          <w:trHeight w:val="146"/>
        </w:trPr>
        <w:tc>
          <w:tcPr>
            <w:tcW w:w="19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Total vacation ownership</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120" w:type="dxa"/>
            <w:vAlign w:val="bottom"/>
          </w:tcPr>
          <w:p>
            <w:pPr>
              <w:spacing w:after="0"/>
              <w:rPr>
                <w:sz w:val="12"/>
                <w:szCs w:val="12"/>
                <w:color w:val="auto"/>
              </w:rPr>
            </w:pPr>
          </w:p>
        </w:tc>
        <w:tc>
          <w:tcPr>
            <w:tcW w:w="20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0" w:type="dxa"/>
            <w:vAlign w:val="bottom"/>
          </w:tcPr>
          <w:p>
            <w:pPr>
              <w:spacing w:after="0"/>
              <w:rPr>
                <w:sz w:val="1"/>
                <w:szCs w:val="1"/>
                <w:color w:val="auto"/>
              </w:rPr>
            </w:pPr>
          </w:p>
        </w:tc>
      </w:tr>
      <w:tr>
        <w:trPr>
          <w:trHeight w:val="204"/>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w:t>
            </w: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00"/>
          </w:cols>
          <w:pgMar w:left="320" w:top="1196" w:right="4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7. FINANCIAL INSTRUMENTS</w:t>
      </w:r>
    </w:p>
    <w:p>
      <w:pPr>
        <w:spacing w:after="0" w:line="11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and Accrued liabilities, all of which had fair values approximating their carrying amounts due to the short maturities and liquidity of these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8"/>
          </w:tcPr>
          <w:p>
            <w:pPr>
              <w:ind w:left="260"/>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36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7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24"/>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Contracts receivable for financed VOI sales, net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0"/>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financial assets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100" w:type="dxa"/>
            <w:vAlign w:val="bottom"/>
          </w:tcPr>
          <w:p>
            <w:pPr>
              <w:spacing w:after="0"/>
              <w:rPr>
                <w:sz w:val="21"/>
                <w:szCs w:val="21"/>
                <w:color w:val="auto"/>
              </w:rPr>
            </w:pP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Corporate Credit Facility, net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Notes, net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 Notes, net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Convertible notes, net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 Convertible notes, net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 net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0"/>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(4,749)</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8"/>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10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3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204"/>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Eligible for securitization</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Not eligible for securitization</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103" w:name="page104"/>
    <w:bookmarkEnd w:id="103"/>
    <w:p>
      <w:pPr>
        <w:spacing w:after="0" w:line="283" w:lineRule="auto"/>
        <w:rPr>
          <w:sz w:val="20"/>
          <w:szCs w:val="20"/>
          <w:color w:val="auto"/>
        </w:rPr>
      </w:pPr>
      <w:r>
        <w:rPr>
          <w:rFonts w:ascii="Times New Roman" w:cs="Times New Roman" w:eastAsia="Times New Roman" w:hAnsi="Times New Roman"/>
          <w:sz w:val="17"/>
          <w:szCs w:val="17"/>
          <w:color w:val="auto"/>
        </w:rPr>
        <w:t>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for Financed VOI Sales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11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Other assets include $131 million and $99 million of COLI policies acquired on the lives of certain participants in the Marriott Vacations Worldwide Deferred Compensation Plan at December 31, 2024 and December 31, 2023, respectively, that are held in a rabbi trust. The carrying value of the COLI policies is equal to their cash surrender value (Level 2 inputs).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Securitized Debt</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1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Term Loan (as defined in Footnote 16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Corporate Credit Facility</w:t>
      </w:r>
    </w:p>
    <w:p>
      <w:pPr>
        <w:spacing w:after="0" w:line="11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estimate that the gross carrying value of our Revolving Corporate Credit Facility (as defined in Footnote 16 “Debt”) approximates fair value as the contractual interest rate is variable plus an applicable margin. We concluded that this fair value measurement should be categorized within Level 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2028 Notes and 2029 Notes (each as defined in Footnote 16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EARNINGS PER SHARE</w:t>
      </w:r>
    </w:p>
    <w:p>
      <w:pPr>
        <w:spacing w:after="0" w:line="1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Basic earnings per share attributable to common stockholders is calculated by dividing net income attributable to common stockholders by the weighted average number of shares of common stock outstanding during the reporting period. Treasury stock is excluded from the weighted average number of shares of common stock outstanding. Diluted earnings per share attributable to common stockholders is calculated to give effect to all potentially dilutive common shares that were outstanding during the reporting period. The dilutive effect of outstanding equity-based compensation awards is reflected in diluted earnings per share applicable to common stockholders by application of the treasury stock method using average market prices during the period.</w:t>
      </w:r>
    </w:p>
    <w:p>
      <w:pPr>
        <w:spacing w:after="0" w:line="7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the convertible notes are considered to be anti-dilutive and do not impact our calculation of diluted earnings per share attributable to common stockholders for any periods presented herein.</w:t>
      </w:r>
    </w:p>
    <w:p>
      <w:pPr>
        <w:spacing w:after="0" w:line="73"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7"/>
          <w:szCs w:val="17"/>
          <w:color w:val="auto"/>
        </w:rPr>
        <w:t>The tables below illustrate the reconciliation of the earnings and number of shares used in our calculation of basic and diluted earnings per share attributable to common stockholders.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4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for basic earnings per share</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23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260" w:type="dxa"/>
            <w:vAlign w:val="bottom"/>
            <w:tcBorders>
              <w:bottom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92"/>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4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back of interest expense related to convertible notes, net of tax</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used to calculate diluted earnings per share</w:t>
            </w:r>
          </w:p>
        </w:tc>
        <w:tc>
          <w:tcPr>
            <w:tcW w:w="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43"/>
        </w:trPr>
        <w:tc>
          <w:tcPr>
            <w:tcW w:w="4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for basic earnings per share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shares outstanding</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Employee SARs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43"/>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Restricted stock units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43"/>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2022 Convertible Notes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43"/>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2026 Convertible Notes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3"/>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2027 Convertible Notes</w:t>
            </w: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for diluted earnings per share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23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computations of diluted earnings per share attributable to common stockholders above exclude approximately 222,000, 193,000, and 129,000 shares of common stock, the maximum number of shares issuable as of December 31, 2024, December 31, 2023, and December 31, 2022, respectively, upon the vesting of certain performance-based awards, because the performance conditions required to be met for the shares subject to such awards to vest were not achieved by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05" w:name="page106"/>
    <w:bookmarkEnd w:id="105"/>
    <w:p>
      <w:pPr>
        <w:ind w:right="80"/>
        <w:spacing w:after="0" w:line="267" w:lineRule="auto"/>
        <w:rPr>
          <w:sz w:val="20"/>
          <w:szCs w:val="20"/>
          <w:color w:val="auto"/>
        </w:rPr>
      </w:pPr>
      <w:r>
        <w:rPr>
          <w:rFonts w:ascii="Times New Roman" w:cs="Times New Roman" w:eastAsia="Times New Roman" w:hAnsi="Times New Roman"/>
          <w:sz w:val="17"/>
          <w:szCs w:val="17"/>
          <w:color w:val="auto"/>
        </w:rPr>
        <w:t>In accordance with the applicable accounting guidance for calculating earnings per share, for the year ended December 31, 2024, we excluded from our calculation of diluted earnings per share 643,167 shares underlying SARs that may settle in shares of common stock because the exercise prices of such SARs, which ranged from $93.73 to $173.88, were greater than the average market price of our common stock for the applicable period.</w:t>
      </w:r>
    </w:p>
    <w:p>
      <w:pPr>
        <w:spacing w:after="0" w:line="63"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2023, we excluded from our calculation of diluted earnings per share 287,125 shares underlying SARs that may settle in shares of common stock because the exercise prices of such SARS, which ranged from $143.38 to $173.88, were greater than the average market price of our common stock for the applicable period.</w:t>
      </w:r>
    </w:p>
    <w:p>
      <w:pPr>
        <w:spacing w:after="0" w:line="63"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2022, we excluded from our calculation of diluted earnings per share 199,813 shares underlying SARs that may settle in shares of common stock because the exercise prices of such SARS, which ranged from $159.27 to $173.88, were greater than the average market price of our common stock for the applicable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INVENTORY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inventory balances: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2024</w:t>
            </w:r>
          </w:p>
        </w:tc>
        <w:tc>
          <w:tcPr>
            <w:tcW w:w="160" w:type="dxa"/>
            <w:vAlign w:val="bottom"/>
          </w:tcPr>
          <w:p>
            <w:pPr>
              <w:spacing w:after="0"/>
              <w:rPr>
                <w:sz w:val="17"/>
                <w:szCs w:val="17"/>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At Year-End 2023</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inventory</w:t>
            </w:r>
            <w:r>
              <w:rPr>
                <w:rFonts w:ascii="Times New Roman" w:cs="Times New Roman" w:eastAsia="Times New Roman" w:hAnsi="Times New Roman"/>
                <w:sz w:val="9"/>
                <w:szCs w:val="9"/>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right="300" w:hanging="298"/>
        <w:spacing w:after="0" w:line="228" w:lineRule="auto"/>
        <w:tabs>
          <w:tab w:leader="none" w:pos="288"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completed inventory that is registered for sale as VOIs and vacation ownership inventory expected to be reacquired pursuant to estimated future defaults on originated vacation ownership notes receivable.</w:t>
      </w:r>
    </w:p>
    <w:p>
      <w:pPr>
        <w:spacing w:after="0" w:line="13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addition to the above, at December 31, 2024 and December 31, 2023, we had $271 million and $370 million, respectively, of completed vacation ownership units which are classified as a component of Property and equipment, net until the time at which they are available and legally registered for sale as vacation ownership products.</w:t>
      </w:r>
    </w:p>
    <w:p>
      <w:pPr>
        <w:spacing w:after="0" w:line="114"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also had deposits on future purchases of inventory of $33 million at December 31, 2024, of which $29 million was included in Other assets and $4 million was included in Accounts and contracts receivable, net on our Balance Sheet, and $3 million at December 31, 2023, which was included in Other assets on our Balance Sheet.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21 “Impairment and Restructuring” for information on the impairment of inventory recorded during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PROPERTY AND EQUIPMENT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composition of our property and equipment balances: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2024</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2023</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 equipment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Information technology</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r>
      <w:tr>
        <w:trPr>
          <w:trHeight w:val="210"/>
        </w:trPr>
        <w:tc>
          <w:tcPr>
            <w:tcW w:w="49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GOODWILL</w:t>
      </w:r>
    </w:p>
    <w:p>
      <w:pPr>
        <w:spacing w:after="0" w:line="115"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7"/>
          <w:szCs w:val="17"/>
          <w:color w:val="auto"/>
        </w:rPr>
        <w:t>At both December 31, 2024 and December 31, 2023, the balance of our goodwill was $3,117 million, of which $2,770 million was in our Vacation Ownership reporting unit and $347 million was in our Exchange &amp; Third-Party Management reporting unit, and reflects goodwill attributed to the ILG Acquisition and the Welk Acquisition.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performed our annual goodwill impairment test as of October 1, 2024 and prepared a qualitative assessment for both the Vacation Ownership and the Exchange</w:t>
      </w:r>
    </w:p>
    <w:p>
      <w:pPr>
        <w:spacing w:after="0" w:line="26" w:lineRule="exact"/>
        <w:rPr>
          <w:sz w:val="20"/>
          <w:szCs w:val="20"/>
          <w:color w:val="auto"/>
        </w:rPr>
      </w:pPr>
    </w:p>
    <w:p>
      <w:pPr>
        <w:ind w:left="180" w:hanging="178"/>
        <w:spacing w:after="0"/>
        <w:tabs>
          <w:tab w:leader="none" w:pos="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Management reporting units, and determined that no impairment exists.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0" w:lineRule="exact"/>
        <w:rPr>
          <w:rFonts w:ascii="Times New Roman" w:cs="Times New Roman" w:eastAsia="Times New Roman" w:hAnsi="Times New Roman"/>
          <w:sz w:val="17"/>
          <w:szCs w:val="17"/>
          <w:color w:val="auto"/>
        </w:rPr>
      </w:pPr>
    </w:p>
    <w:p>
      <w:pPr>
        <w:ind w:left="5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45"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t>12. INTANGIBLE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composition of our intangible asset 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2024</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2023</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Definite-lived intangible 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Member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contracts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Trade names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Definite-Lived Intangible Assets</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Definite-lived intangible assets, all of which were acquired as part of the ILG and Welk Acquisitions, are amortized on a straight-line basis over their estimated useful lives, ranging from 15 to 20 years. We recorded amortization expense of $60 million for the year ended December 31, 2024, and $61 million for each of the years ended December 31, 2023 and 2022, in the Depreciation and amortization line of our Income Statements. We estimate that our annual amortization expense will continue to be approximately $60 million for each of the next five fiscal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w:t>
      </w:r>
    </w:p>
    <w:p>
      <w:pPr>
        <w:spacing w:after="0" w:line="115"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7"/>
          <w:szCs w:val="17"/>
          <w:color w:val="auto"/>
        </w:rPr>
        <w:t>All of our indefinite-lived intangible assets are related to the Exchange &amp; Third-Party Management segment. We performed our annual impairment test of indefinite-lived intangible assets during the fourth quarters of 2024 and 2023, and no impairment charges were recorded in either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CONTINGENCIES AND COMMITMENTS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Letters of Credit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we had the following commitments outstanding:</w:t>
      </w:r>
    </w:p>
    <w:p>
      <w:pPr>
        <w:spacing w:after="0" w:line="162" w:lineRule="exact"/>
        <w:rPr>
          <w:sz w:val="20"/>
          <w:szCs w:val="20"/>
          <w:color w:val="auto"/>
        </w:rPr>
      </w:pPr>
    </w:p>
    <w:p>
      <w:pPr>
        <w:ind w:left="300" w:hanging="298"/>
        <w:spacing w:after="0" w:line="267" w:lineRule="auto"/>
        <w:tabs>
          <w:tab w:leader="none" w:pos="2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various contracts for the use of information technology hardware and software, including cloud computing arrangements, that we use in the normal course of business. Our aggregate commitment under these contracts was $82 million, of which we expect $49 million, $24 million, $7 million, and $2 million will be paid in 2025, 2026, 2027, and 2028, respectively.</w:t>
      </w:r>
    </w:p>
    <w:p>
      <w:pPr>
        <w:spacing w:after="0" w:line="114" w:lineRule="exact"/>
        <w:rPr>
          <w:rFonts w:ascii="Times New Roman" w:cs="Times New Roman" w:eastAsia="Times New Roman" w:hAnsi="Times New Roman"/>
          <w:sz w:val="17"/>
          <w:szCs w:val="17"/>
          <w:color w:val="auto"/>
        </w:rPr>
      </w:pPr>
    </w:p>
    <w:p>
      <w:pPr>
        <w:ind w:left="300" w:right="80" w:hanging="298"/>
        <w:spacing w:after="0" w:line="261" w:lineRule="auto"/>
        <w:tabs>
          <w:tab w:leader="none" w:pos="2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of $122 million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as follows: $14 million in 2026 and $108 million in 2027.</w:t>
      </w:r>
    </w:p>
    <w:p>
      <w:pPr>
        <w:spacing w:after="0" w:line="120" w:lineRule="exact"/>
        <w:rPr>
          <w:rFonts w:ascii="Times New Roman" w:cs="Times New Roman" w:eastAsia="Times New Roman" w:hAnsi="Times New Roman"/>
          <w:sz w:val="17"/>
          <w:szCs w:val="17"/>
          <w:color w:val="auto"/>
        </w:rPr>
      </w:pPr>
    </w:p>
    <w:p>
      <w:pPr>
        <w:ind w:left="300" w:right="40" w:hanging="298"/>
        <w:spacing w:after="0" w:line="283" w:lineRule="auto"/>
        <w:tabs>
          <w:tab w:leader="none" w:pos="2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remaining commitments of $32 million to purchase vacation ownership units located in Bali, Indonesia in two separate transactions, contingent upon completion of construction to agreed-upon standards within specified timeframes, for use in our Vacation Ownership segment.</w:t>
      </w:r>
    </w:p>
    <w:p>
      <w:pPr>
        <w:spacing w:after="0" w:line="101" w:lineRule="exact"/>
        <w:rPr>
          <w:rFonts w:ascii="Times New Roman" w:cs="Times New Roman" w:eastAsia="Times New Roman" w:hAnsi="Times New Roman"/>
          <w:sz w:val="17"/>
          <w:szCs w:val="17"/>
          <w:color w:val="auto"/>
        </w:rPr>
      </w:pPr>
    </w:p>
    <w:p>
      <w:pPr>
        <w:ind w:left="620" w:right="20" w:hanging="311"/>
        <w:spacing w:after="0" w:line="283" w:lineRule="auto"/>
        <w:tabs>
          <w:tab w:leader="none" w:pos="61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complete the acquisition of 32 vacation ownership units in 2025 pursuant to one of the commitments, and to make remaining payments with respect to these units when specific construction milestones are completed as follows: $10 million in 2025 and $1 million in 2026.</w:t>
      </w:r>
    </w:p>
    <w:p>
      <w:pPr>
        <w:spacing w:after="0" w:line="101" w:lineRule="exact"/>
        <w:rPr>
          <w:rFonts w:ascii="Times New Roman" w:cs="Times New Roman" w:eastAsia="Times New Roman" w:hAnsi="Times New Roman"/>
          <w:sz w:val="17"/>
          <w:szCs w:val="17"/>
          <w:color w:val="auto"/>
        </w:rPr>
      </w:pPr>
    </w:p>
    <w:p>
      <w:pPr>
        <w:ind w:left="620" w:right="180" w:hanging="311"/>
        <w:spacing w:after="0" w:line="315" w:lineRule="auto"/>
        <w:tabs>
          <w:tab w:leader="none" w:pos="616"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complete the acquisition of 26 vacation ownership units in 2026 pursuant to the other commitment, and to make remaining payments with respect to these units when specific construction milestones are completed as follows: $6 million in 2025, $14 million in 2026, and $1 million in 2027.</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20"/>
          </w:cols>
          <w:pgMar w:left="320" w:top="1243" w:right="459" w:bottom="1440" w:gutter="0" w:footer="0" w:header="0"/>
        </w:sectPr>
      </w:pPr>
    </w:p>
    <w:bookmarkStart w:id="107" w:name="page108"/>
    <w:bookmarkEnd w:id="107"/>
    <w:p>
      <w:pPr>
        <w:ind w:left="300" w:right="120" w:hanging="298"/>
        <w:spacing w:after="0" w:line="283" w:lineRule="auto"/>
        <w:tabs>
          <w:tab w:leader="none" w:pos="2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remaining commitments of $80 million to purchase vacation ownership units located in Thailand, in two separate transactions for use in our Vacation Ownership segment.</w:t>
      </w:r>
    </w:p>
    <w:p>
      <w:pPr>
        <w:spacing w:after="0" w:line="101" w:lineRule="exact"/>
        <w:rPr>
          <w:rFonts w:ascii="Times New Roman" w:cs="Times New Roman" w:eastAsia="Times New Roman" w:hAnsi="Times New Roman"/>
          <w:sz w:val="17"/>
          <w:szCs w:val="17"/>
          <w:color w:val="auto"/>
        </w:rPr>
      </w:pPr>
    </w:p>
    <w:p>
      <w:pPr>
        <w:ind w:left="620" w:right="100" w:hanging="311"/>
        <w:spacing w:after="0" w:line="283" w:lineRule="auto"/>
        <w:tabs>
          <w:tab w:leader="none" w:pos="616"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complete the acquisition of 52 vacation ownership units in 2025 pursuant to one of the commitments, subject to performance of agreed-upon pre-closing obligations by the seller, and to make a remaining payment with respect to these units upon closing as follows: $43 million in 2025.</w:t>
      </w:r>
    </w:p>
    <w:p>
      <w:pPr>
        <w:spacing w:after="0" w:line="101" w:lineRule="exact"/>
        <w:rPr>
          <w:rFonts w:ascii="Times New Roman" w:cs="Times New Roman" w:eastAsia="Times New Roman" w:hAnsi="Times New Roman"/>
          <w:sz w:val="17"/>
          <w:szCs w:val="17"/>
          <w:color w:val="auto"/>
        </w:rPr>
      </w:pPr>
    </w:p>
    <w:p>
      <w:pPr>
        <w:ind w:left="620" w:right="40" w:hanging="311"/>
        <w:spacing w:after="0" w:line="267" w:lineRule="auto"/>
        <w:tabs>
          <w:tab w:leader="none" w:pos="616"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complete the acquisition of 60 vacation ownership units in 2026 pursuant to the other commitment, contingent upon completion of construction to agreed-upon standards within specified timeframes, and to make remaining payments with respect to these units when specific construction milestones are completed as follows: $4 million in 2025, $31 million in 2026, and $2 million in 2027.</w:t>
      </w:r>
    </w:p>
    <w:p>
      <w:pPr>
        <w:spacing w:after="0" w:line="114" w:lineRule="exact"/>
        <w:rPr>
          <w:rFonts w:ascii="Times New Roman" w:cs="Times New Roman" w:eastAsia="Times New Roman" w:hAnsi="Times New Roman"/>
          <w:sz w:val="17"/>
          <w:szCs w:val="17"/>
          <w:color w:val="auto"/>
        </w:rPr>
      </w:pPr>
    </w:p>
    <w:p>
      <w:pPr>
        <w:ind w:left="300" w:right="40" w:hanging="298"/>
        <w:spacing w:after="0" w:line="267" w:lineRule="auto"/>
        <w:tabs>
          <w:tab w:leader="none" w:pos="2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acquire real estate in Waikiki, Hawaii for use in our Vacation Ownership segment via our involvement with a VIE. Refer to Footnote 3 “Acquisitions and Dispositions” for information about purchases that occurred in 2024 pursuant to this commitment and Footnote 19 “Variable Interest Entities” for additional information about this commitment and our activities relating to the VIE involved in this commitment.</w:t>
      </w:r>
    </w:p>
    <w:p>
      <w:pPr>
        <w:spacing w:after="0" w:line="11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Surety bonds issued as of December 31, 2024 totaled $130 million, the majority of which were requested by federal, state or local governments in connection with our operations.</w:t>
      </w:r>
    </w:p>
    <w:p>
      <w:pPr>
        <w:spacing w:after="0" w:line="10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As of December 31, 2024, we had $18 million of letters of credit outstanding under our Revolving Corporate Credit Facility (as defined in Footnote 16 “Debt”), of which $17 million were related to and in lieu of reserves required for our outstanding securitization transactions completed during the first quarter of 2024 and the fourth quarter of 2023. In addition, as of December 31, 2024, we had $22 million in letters of credit outstanding that were related to and in lieu of reserves required for our most recent outstanding securitization transaction completed in the third quarter of 2024, which were not issued pursuant to, nor do they impact our borrowing capacity under, the Revolving Corporate Credit Facility.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Guarantees</w:t>
      </w:r>
    </w:p>
    <w:p>
      <w:pPr>
        <w:spacing w:after="0" w:line="1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of the rental revenue (if any) as our fee or we make up the deficit if the owners have not received their guaranteed amounts. At December 31, 2024, our maximum exposure under fixed dollar guarantees was $3 million, of which $1 million, $1 million, $1 million, and less than $1 million relate to 2025, 2026, 2027, and 2028, respectively.</w:t>
      </w:r>
    </w:p>
    <w:p>
      <w:pPr>
        <w:spacing w:after="0" w:line="1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December 31, 2024, our expected commitment for 2025 is $20 million, which will ultimately be recorded as a component of rental expense on our income 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Contingencies</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alleged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sought unspecified damages, punitive damages and disgorgement of payments under the management and purchase agreements. In February 2022, the Court granted our motion to dismiss the complaint and dismissed with prejudice all claims except one (such claim, the “Remaining Claim”), with respect to which the plaintiff was granted leave to amend its complaint. The plaintiff filed an amended complaint with respect to the Remaining Claim and appealed the dismissal of the other claims. In June 2023, the appellate court upheld the dismissal of those claims. Plaintiff filed a motion for reconsideration of that appellate ruling, and in October 2023, the appellate court denied that motion. In November 2022, the Court granted our motion to dismiss the amended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108" w:name="page109"/>
    <w:bookmarkEnd w:id="108"/>
    <w:p>
      <w:pPr>
        <w:ind w:right="180"/>
        <w:spacing w:after="0" w:line="261" w:lineRule="auto"/>
        <w:rPr>
          <w:sz w:val="20"/>
          <w:szCs w:val="20"/>
          <w:color w:val="auto"/>
        </w:rPr>
      </w:pPr>
      <w:r>
        <w:rPr>
          <w:rFonts w:ascii="Times New Roman" w:cs="Times New Roman" w:eastAsia="Times New Roman" w:hAnsi="Times New Roman"/>
          <w:sz w:val="17"/>
          <w:szCs w:val="17"/>
          <w:color w:val="auto"/>
        </w:rPr>
        <w:t>with respect to the Remaining Claim and again granted plaintiff leave to amend its complaint. The plaintiff filed an amended complaint with respect to the Remaining Claim and again appealed the dismissal of the other claims. In January 2024, the appellate court upheld the dismissal of the other claims. In September 2023, the Court granted our motion to dismiss the amended complaint with respect to the Remaining Claim and denied plaintiff permission to file any additional amended complaints. Plaintiff’s appeal of the September 2023 ruling was dismissed as untimely by the appellate court on June 10, 2024.</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1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We have not accrued for the matter described above and we cannot estimate a range of the potential liability associated with this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carrying values of our leases and the classification on our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Balance Sheet Classification</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Other assets</w:t>
            </w:r>
          </w:p>
        </w:tc>
        <w:tc>
          <w:tcPr>
            <w:tcW w:w="66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43"/>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2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35"/>
        </w:trPr>
        <w:tc>
          <w:tcPr>
            <w:tcW w:w="228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2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Accrued liabilities</w:t>
            </w:r>
          </w:p>
        </w:tc>
        <w:tc>
          <w:tcPr>
            <w:tcW w:w="66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43"/>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Debt, net</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35"/>
        </w:trPr>
        <w:tc>
          <w:tcPr>
            <w:tcW w:w="228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costs and the classification on our Income Statements for 2024, 2023, and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Income Statement Classification</w:t>
            </w:r>
          </w:p>
        </w:tc>
        <w:tc>
          <w:tcPr>
            <w:tcW w:w="24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61"/>
        </w:trPr>
        <w:tc>
          <w:tcPr>
            <w:tcW w:w="254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26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Marketing and sales expense</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66"/>
        </w:trPr>
        <w:tc>
          <w:tcPr>
            <w:tcW w:w="2540" w:type="dxa"/>
            <w:vAlign w:val="bottom"/>
            <w:vMerge w:val="continue"/>
            <w:shd w:val="clear" w:color="auto" w:fill="CCEEFF"/>
          </w:tcPr>
          <w:p>
            <w:pPr>
              <w:spacing w:after="0"/>
              <w:rPr>
                <w:sz w:val="14"/>
                <w:szCs w:val="14"/>
                <w:color w:val="auto"/>
              </w:rPr>
            </w:pPr>
          </w:p>
        </w:tc>
        <w:tc>
          <w:tcPr>
            <w:tcW w:w="2360" w:type="dxa"/>
            <w:vAlign w:val="bottom"/>
            <w:gridSpan w:val="2"/>
            <w:shd w:val="clear" w:color="auto" w:fill="CCEEFF"/>
          </w:tcPr>
          <w:p>
            <w:pPr>
              <w:jc w:val="center"/>
              <w:ind w:right="120"/>
              <w:spacing w:after="0" w:line="166" w:lineRule="exact"/>
              <w:rPr>
                <w:sz w:val="20"/>
                <w:szCs w:val="20"/>
                <w:color w:val="auto"/>
              </w:rPr>
            </w:pPr>
            <w:r>
              <w:rPr>
                <w:rFonts w:ascii="Times New Roman" w:cs="Times New Roman" w:eastAsia="Times New Roman" w:hAnsi="Times New Roman"/>
                <w:sz w:val="17"/>
                <w:szCs w:val="17"/>
                <w:color w:val="auto"/>
                <w:w w:val="99"/>
              </w:rPr>
              <w:t>General and administrative</w:t>
            </w:r>
          </w:p>
        </w:tc>
        <w:tc>
          <w:tcPr>
            <w:tcW w:w="2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43"/>
        </w:trPr>
        <w:tc>
          <w:tcPr>
            <w:tcW w:w="2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Financing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Marketing and sales expense</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t>The following table presents the maturity of our operating and finance lease liabilities as of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 in millions)</w:t>
            </w: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32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35"/>
        </w:trPr>
        <w:tc>
          <w:tcPr>
            <w:tcW w:w="3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 and Discount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additional information about our lease obligations.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6.2 years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 years</w:t>
            </w:r>
          </w:p>
        </w:tc>
      </w:tr>
      <w:tr>
        <w:trPr>
          <w:trHeight w:val="24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35.1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36.4 years</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w:t>
            </w:r>
          </w:p>
        </w:tc>
      </w:tr>
      <w:tr>
        <w:trPr>
          <w:trHeight w:val="244"/>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for 2024, 2023, and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58"/>
        </w:trPr>
        <w:tc>
          <w:tcPr>
            <w:tcW w:w="45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Cash paid for amounts included in measurement of lease</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2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1"/>
                <w:szCs w:val="21"/>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43"/>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1"/>
                <w:szCs w:val="21"/>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1"/>
                <w:szCs w:val="21"/>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19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t>15. SECURITIZED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securitized debt, net of unamortized debt discount and issuance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5"/>
        </w:trPr>
        <w:tc>
          <w:tcPr>
            <w:tcW w:w="49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Vacation ownership notes receivable securitizations, gross</w:t>
            </w:r>
            <w:r>
              <w:rPr>
                <w:rFonts w:ascii="Times New Roman" w:cs="Times New Roman" w:eastAsia="Times New Roman" w:hAnsi="Times New Roman"/>
                <w:sz w:val="22"/>
                <w:szCs w:val="22"/>
                <w:color w:val="auto"/>
                <w:vertAlign w:val="superscript"/>
              </w:rPr>
              <w:t>(1)</w:t>
            </w: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3"/>
        </w:trPr>
        <w:tc>
          <w:tcPr>
            <w:tcW w:w="4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r>
      <w:tr>
        <w:trPr>
          <w:trHeight w:val="243"/>
        </w:trPr>
        <w:tc>
          <w:tcPr>
            <w:tcW w:w="4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49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Warehouse Credit Facility, gross</w:t>
            </w:r>
            <w:r>
              <w:rPr>
                <w:rFonts w:ascii="Times New Roman" w:cs="Times New Roman" w:eastAsia="Times New Roman" w:hAnsi="Times New Roman"/>
                <w:sz w:val="22"/>
                <w:szCs w:val="22"/>
                <w:color w:val="auto"/>
                <w:vertAlign w:val="superscript"/>
              </w:rPr>
              <w:t>(2)</w:t>
            </w: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43"/>
        </w:trPr>
        <w:tc>
          <w:tcPr>
            <w:tcW w:w="49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300" w:hanging="298"/>
        <w:spacing w:after="0"/>
        <w:tabs>
          <w:tab w:leader="none" w:pos="30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rates as of December 31, 2024 range from 1.5% to 6.6%, with a weighted average interest rate of 4.7%.</w:t>
      </w:r>
    </w:p>
    <w:p>
      <w:pPr>
        <w:spacing w:after="0" w:line="63" w:lineRule="exact"/>
        <w:rPr>
          <w:rFonts w:ascii="Times New Roman" w:cs="Times New Roman" w:eastAsia="Times New Roman" w:hAnsi="Times New Roman"/>
          <w:sz w:val="22"/>
          <w:szCs w:val="22"/>
          <w:color w:val="auto"/>
          <w:vertAlign w:val="superscript"/>
        </w:rPr>
      </w:pPr>
    </w:p>
    <w:p>
      <w:pPr>
        <w:ind w:left="300" w:hanging="298"/>
        <w:spacing w:after="0" w:line="230" w:lineRule="auto"/>
        <w:tabs>
          <w:tab w:leader="none" w:pos="30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interest rate as of December 31, 2024 was 5.7%.</w:t>
      </w:r>
    </w:p>
    <w:p>
      <w:pPr>
        <w:spacing w:after="0" w:line="18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All of our securitized debt is non-recourse. See Footnote 19 “Variable Interest Entities” for a discussion of the collateral for the non-recourse debt associated with our securitized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anticipated future principal payments for our securitized debt as of December 31,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160" w:type="dxa"/>
            <w:vAlign w:val="bottom"/>
          </w:tcPr>
          <w:p>
            <w:pPr>
              <w:spacing w:after="0"/>
              <w:rPr>
                <w:sz w:val="15"/>
                <w:szCs w:val="15"/>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Warehouse Credit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line="204" w:lineRule="exact"/>
              <w:rPr>
                <w:sz w:val="20"/>
                <w:szCs w:val="20"/>
                <w:color w:val="auto"/>
              </w:rPr>
            </w:pPr>
            <w:r>
              <w:rPr>
                <w:rFonts w:ascii="Times New Roman" w:cs="Times New Roman" w:eastAsia="Times New Roman" w:hAnsi="Times New Roman"/>
                <w:sz w:val="15"/>
                <w:szCs w:val="15"/>
                <w:b w:val="1"/>
                <w:bCs w:val="1"/>
                <w:color w:val="auto"/>
                <w:w w:val="95"/>
              </w:rPr>
              <w:t>Facility</w:t>
            </w:r>
            <w:r>
              <w:rPr>
                <w:rFonts w:ascii="Times New Roman" w:cs="Times New Roman" w:eastAsia="Times New Roman" w:hAnsi="Times New Roman"/>
                <w:sz w:val="19"/>
                <w:szCs w:val="19"/>
                <w:b w:val="1"/>
                <w:bCs w:val="1"/>
                <w:color w:val="auto"/>
                <w:w w:val="95"/>
                <w:vertAlign w:val="superscript"/>
              </w:rPr>
              <w:t>(1)</w:t>
            </w:r>
          </w:p>
        </w:tc>
        <w:tc>
          <w:tcPr>
            <w:tcW w:w="3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Payments Year</w:t>
            </w: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future Warehouse Credit Facility renewals.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Securitizations</w:t>
      </w:r>
    </w:p>
    <w:p>
      <w:pPr>
        <w:spacing w:after="0" w:line="1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2024, and as of December 31, 2024, no securitized vacation ownership notes receivable pools were out of compliance with their respective established parameters. As of December 31, 2024, we had 12 securitized vacation ownership notes receivable pools outstanding.</w:t>
      </w:r>
    </w:p>
    <w:p>
      <w:pPr>
        <w:spacing w:after="0" w:line="12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111" w:name="page112"/>
    <w:bookmarkEnd w:id="111"/>
    <w:p>
      <w:pPr>
        <w:ind w:right="40"/>
        <w:spacing w:after="0" w:line="257" w:lineRule="auto"/>
        <w:rPr>
          <w:sz w:val="20"/>
          <w:szCs w:val="20"/>
          <w:color w:val="auto"/>
        </w:rPr>
      </w:pPr>
      <w:r>
        <w:rPr>
          <w:rFonts w:ascii="Times New Roman" w:cs="Times New Roman" w:eastAsia="Times New Roman" w:hAnsi="Times New Roman"/>
          <w:sz w:val="17"/>
          <w:szCs w:val="17"/>
          <w:color w:val="auto"/>
        </w:rPr>
        <w:t>During the first quarter of 2024, we securitized a pool of $439 million of vacation ownership notes receivable. In connection with the securitization, $430 million in vacation ownership loan backed notes were issued by MVW 2024-1 LLC (the “2024-1 LLC”) in a private placement. Three classes of vacation ownership loan backed notes were issued by the 2024-1 LLC: $284 million of Class A Notes, $89 million of Class B Notes, and $57 million of Class C Notes. The Class A Notes have an interest rate of 5.32%, the Class B Notes have an interest rate of 5.51%, and the Class C Notes have an interest rate of 6.20%, for an overall weighted average interest rate of 5.48%. Proceeds from the transaction, net of fees, were used to repay the outstanding obligations on our warehouse credit facility (as defined below) and for other general corporate purposes.</w:t>
      </w:r>
    </w:p>
    <w:p>
      <w:pPr>
        <w:spacing w:after="0" w:line="12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During the third quarter of 2024, we securitized a pool of $454 million of vacation ownership notes receivable. In connection with the securitization, $445 million in vacation ownership loan backed notes were issued by MVW 2024-2 LLC (the “2024-2 LLC”) in a private placement. Three classes of vacation ownership loan backed notes were issued by the 2024-2 LLC: $307 million of Class A Notes, $86 million of Class B Notes, and $52 million of Class C Notes. The Class A Notes have an interest rate of 4.43%, the Class B Notes have an interest rate of 4.58%, and the Class C Notes have an interest rate of 4.92%, for an overall weighted average interest rate of 4.52%. Proceeds from the transaction, net of fees, were used to repay the outstanding obligations on our warehouse credit facility (as defined below) and for other general corporate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Warehouse Credit Facility</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warehouse credit facility (the “Warehouse Credit Facility”), which has a borrowing capacity of $500 million, allows for the securitization of vacation ownership notes receivable on a revolving non-recourse basis. If not renewed prior to termination, any amounts outstanding under the Warehouse Credit Facility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w:t>
      </w:r>
    </w:p>
    <w:p>
      <w:pPr>
        <w:spacing w:after="0" w:line="12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During the second quarter of 2024, we amended certain agreements associated with our Warehouse Credit Facility (the “Warehouse Amendment”). The Warehouse Amendment extended the revolving period from May 31, 2025 to June 11, 2026, and modified the benchmark interest rate applicable to most borrowings under the Warehouse Credit Facility to the Secured Overnight Financing Rate (“SOFR”). The Warehouse Amendment also removed the use of Adjusted SOFR, which was defined as SOFR plus a 0.10% adjustment. Additionally, as part of the Warehouse Amendment, the credit spread was changed from 135 basis points over Adjusted SOFR to 115 basis points over SOFR. The Warehouse Amendment made no other material changes to the Warehouse Credit Facility.</w:t>
      </w:r>
    </w:p>
    <w:p>
      <w:pPr>
        <w:spacing w:after="0" w:line="11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typically twice a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16.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debt balances, net of unamortized debt discount and issuance costs: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20" w:type="dxa"/>
            <w:vAlign w:val="bottom"/>
          </w:tcPr>
          <w:p>
            <w:pPr>
              <w:spacing w:after="0"/>
              <w:rPr>
                <w:sz w:val="17"/>
                <w:szCs w:val="17"/>
                <w:color w:val="auto"/>
              </w:rPr>
            </w:pPr>
          </w:p>
        </w:tc>
        <w:tc>
          <w:tcPr>
            <w:tcW w:w="1600" w:type="dxa"/>
            <w:vAlign w:val="bottom"/>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Credit Facility</w:t>
            </w: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Term Loan</w:t>
            </w:r>
            <w:r>
              <w:rPr>
                <w:rFonts w:ascii="Times New Roman" w:cs="Times New Roman" w:eastAsia="Times New Roman" w:hAnsi="Times New Roman"/>
                <w:sz w:val="9"/>
                <w:szCs w:val="9"/>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Revolving Corporate Credit Facility</w:t>
            </w:r>
            <w:r>
              <w:rPr>
                <w:rFonts w:ascii="Times New Roman" w:cs="Times New Roman" w:eastAsia="Times New Roman" w:hAnsi="Times New Roman"/>
                <w:sz w:val="8"/>
                <w:szCs w:val="8"/>
                <w:color w:val="auto"/>
              </w:rPr>
              <w:t>(2)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Senior Unsecured Notes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2028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2029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Convertible Notes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2026 Convertible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2027 Convertible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3"/>
        </w:trPr>
        <w:tc>
          <w:tcPr>
            <w:tcW w:w="4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w:t>
            </w:r>
          </w:p>
        </w:tc>
        <w:tc>
          <w:tcPr>
            <w:tcW w:w="1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5"/>
        </w:trPr>
        <w:tc>
          <w:tcPr>
            <w:tcW w:w="4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300" w:hanging="298"/>
        <w:spacing w:after="0"/>
        <w:tabs>
          <w:tab w:leader="none" w:pos="30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effective interest rate as of December 31, 2024 was 6.6%.</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effective interest rate as of December 31, 2024 was 6.3%.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scheduled principal payments for our debt, excluding finance leases, as of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Payments Year</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9"/>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600" w:type="dxa"/>
            <w:vAlign w:val="bottom"/>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180" w:type="dxa"/>
            <w:vAlign w:val="bottom"/>
          </w:tcPr>
          <w:p>
            <w:pPr>
              <w:spacing w:after="0"/>
              <w:rPr>
                <w:sz w:val="17"/>
                <w:szCs w:val="17"/>
                <w:color w:val="auto"/>
              </w:rPr>
            </w:pPr>
          </w:p>
        </w:tc>
        <w:tc>
          <w:tcPr>
            <w:tcW w:w="700" w:type="dxa"/>
            <w:vAlign w:val="bottom"/>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r>
      <w:tr>
        <w:trPr>
          <w:trHeight w:val="166"/>
        </w:trPr>
        <w:tc>
          <w:tcPr>
            <w:tcW w:w="16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Revolving Corporate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Facility</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4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Notes</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 Notes</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166"/>
        </w:trPr>
        <w:tc>
          <w:tcPr>
            <w:tcW w:w="1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2026 Convertible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166"/>
        </w:trPr>
        <w:tc>
          <w:tcPr>
            <w:tcW w:w="16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2027 Convertible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35"/>
        </w:trPr>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295" w:right="1440"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Credit Facility</w:t>
      </w:r>
    </w:p>
    <w:p>
      <w:pPr>
        <w:spacing w:after="0" w:line="117"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17"/>
          <w:szCs w:val="17"/>
          <w:color w:val="auto"/>
        </w:rPr>
        <w:t>Our corporate credit facility (the “Corporate Credit Facility”), which consists of a term loan facility (the “Term Loan”) and a revolving credit facility (the “Revolving Corporate Credit Facility”), provides support for our business, including ongoing liquidity and letters of credit.</w:t>
      </w:r>
    </w:p>
    <w:p>
      <w:pPr>
        <w:spacing w:after="0" w:line="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During the second quarter of 2024, we entered into an amendment to the Corporate Credit Facility (the “Amendment”), which, among other things, provided for a new $800 million term loan facility scheduled to mature on April 1, 2031 (the “New Term Loan”). Prior to the Amendment, the Corporate Credit Facility included a $900 million term loan facility. The proceeds of the New Term Loan were used to refinance, in full, the Term Loan, which had a balance of $784 million as of March 31, 2024 and was scheduled to mature on August 31, 2025. The interest rate applicable to the New Term Loan is SOFR plus 2.25%. There were no changes to the borrowing capacity or the termination date of the Revolving Corporate Credit Facility or its letter of credit sub-facility.</w:t>
      </w:r>
    </w:p>
    <w:p>
      <w:pPr>
        <w:spacing w:after="0" w:line="7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Our Revolving Corporate Credit Facility has a borrowing capacity of $750 million, which includes a letter of credit sub-facility of $75 million, and terminates on March 31, 2027. Borrowings under the Revolving Corporate Credit Facility generally bear interest at a floating rate plus an applicable margin that varies from</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0.75% to 2.25% depending on the type of loan and our leverage. The interest rate applicable to borrowings under the Revolving Corporate Credit Facility references SOFR and is based on “Adjusted Term SOFR,” which is calculated as Term SOFR (as defined in the Revolver Amendment), plus a 0.10% adjustment, subject to a 0.00% floor. In addition, we pay a commitment fee on the unused availability under the Revolving Corporate Credit Facility at a rate that varies from 25 to 35 basis points per annum, also depending on our leverage.</w:t>
      </w:r>
    </w:p>
    <w:p>
      <w:pPr>
        <w:spacing w:after="0" w:line="7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Any amounts borrowed under the Corporate Credit Facility, as well as obligations with respect to letters of credit issued pursuant to the Revolving Corporate Credit Facility, are secured by a perfected first priority security interest in substantially all of the assets of the borrower under, and guarantors of, that facility (which include MVWC and certain of our direct and indirect, existing and future, domestic subsidiaries, excluding certain bankruptcy remote special purpose entities).</w:t>
      </w:r>
    </w:p>
    <w:p>
      <w:pPr>
        <w:spacing w:after="0" w:line="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During the second quarter of 2024, $200 million of interest rate swaps and a $100 million interest rate collar that were entered into prior to 2023 to hedge a portion of our interest rate risk on the Term Loan expired and are no longer recorded on our Balance Sheet as of December 31, 2024. We characterized payments we made or received in connection with these derivative instruments as interest expense and a reclassification of accumulated other comprehensive income or loss for presentation purposes.</w:t>
      </w:r>
    </w:p>
    <w:p>
      <w:pPr>
        <w:spacing w:after="0" w:line="7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The following table reflects the activity in accumulated other comprehensive income or loss related to our derivative instruments during 2024, 2023 and 2022. There were no reclassifications to the Income Statement for any of the periods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Beginning of Year</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color w:val="auto"/>
                <w:w w:val="98"/>
              </w:rPr>
              <w:t>(18)</w:t>
            </w:r>
          </w:p>
        </w:tc>
      </w:tr>
      <w:tr>
        <w:trPr>
          <w:trHeight w:val="24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(loss) gain before reclassifications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7"/>
                <w:szCs w:val="17"/>
                <w:color w:val="auto"/>
                <w:w w:val="93"/>
              </w:rPr>
              <w:t>31</w:t>
            </w: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End of Year</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13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senior notes include:</w:t>
      </w:r>
    </w:p>
    <w:p>
      <w:pPr>
        <w:spacing w:after="0" w:line="111" w:lineRule="exact"/>
        <w:rPr>
          <w:sz w:val="20"/>
          <w:szCs w:val="20"/>
          <w:color w:val="auto"/>
        </w:rPr>
      </w:pPr>
    </w:p>
    <w:p>
      <w:pPr>
        <w:ind w:left="300" w:right="440" w:hanging="298"/>
        <w:spacing w:after="0" w:line="283" w:lineRule="auto"/>
        <w:tabs>
          <w:tab w:leader="none" w:pos="29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4.750% Senior Unsecured Notes due 2028 issued in 2019 with a maturity date of January 15, 2028 (the “2028 Notes”).</w:t>
      </w:r>
    </w:p>
    <w:p>
      <w:pPr>
        <w:spacing w:after="0" w:line="5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4.500% Senior Unsecured Notes due 2029 issued in 2021 with a maturity date of June 15, 2029 (the “2029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2028 Notes</w:t>
      </w:r>
    </w:p>
    <w:p>
      <w:pPr>
        <w:spacing w:after="0" w:line="11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issued the 2028 Notes under an indenture with The Bank of New York Mellon Trust Company, N.A., as trustee. We received net proceeds of $346 million from the offering, after deducting the underwriting discount and estimated expenses. We pay interest on the 2028 Notes on March 15 and September 15 of each year. We may redeem some or all of the 2028 Notes prior to maturity under the terms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i w:val="1"/>
          <w:iCs w:val="1"/>
          <w:color w:val="auto"/>
        </w:rPr>
        <w:t>2029 Notes</w:t>
      </w:r>
    </w:p>
    <w:p>
      <w:pPr>
        <w:spacing w:after="0" w:line="11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issued the 2029 Notes under an indenture with The Bank of New York Mellon Trust Company, N.A., as trustee. We received net proceeds of $493 million from the offering, after deducting the underwriting fees and transaction expenses. We pay interest on the 2029 Notes on June 15 and December 15 of each year. We may redeem some or all of the 2029 Notes prior to maturity under the terms provided in the indenture.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2021, we issued $575 million aggregate principal amount of convertible senior notes (the “2026 Convertible Notes”) that bear interest at a rate of 0.00%.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2026 Convertible Notes mature on January 15, 2026, unless earlier repurchased or converted in accordance with their terms prior to that date.</w:t>
      </w:r>
    </w:p>
    <w:p>
      <w:pPr>
        <w:spacing w:after="0" w:line="9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The conversion rate of the 2026 Convertible Notes is subject to adjustment for certain events as described in the indenture governing the notes and was subject to adjustment as of December 31, 2024 to 6.3809 shares of common stock per $1,000 principal amount of 2026 Convertible Notes (equivalent to a conversion price of $156.72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December 31, 2024, the effective interest rate was 0.55%. Amortization of debt issuance costs related to the 2026 Convertible Notes was $3 million in each of the three years ended December 31, 2024, 2023, and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 Hedges and Warrants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3.7 million shares of our common stock, and warrant transactions (the “2026 Warrants”), whereby we sold to the counterparties to the 2026 Convertible Note Hedges warrants to acquire 3.7 million shares of our common stock, in each case, as of December 31, 2024. The strike prices of the 2026 Convertible Note Hedges and the 2026 Warrants were subject to adjustment to $156.72 and $195.89, respectively, as of December 31, 2024 and no 2026 Convertible Note Hedges or 2026 Warrants have been exercised.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2022, we issued $575 million aggregate principal amount of convertible senior notes (the “2027 Convertible Notes”) that bear interest at a rate of 3.25%.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2027 Convertible Notes mature on December 15, 2027, unless earlier repurchased or converted in accordance with their terms prior to that date.</w:t>
      </w:r>
    </w:p>
    <w:p>
      <w:pPr>
        <w:spacing w:after="0" w:line="9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The conversion rate of the 2027 Convertible Notes is subject to adjustment for certain events as described in the indenture governing the notes and was subject to adjustment as of December 31, 2024 to 5.2870 shares of common stock per $1,000 principal amount of 2027 Convertible Notes (equivalent to a conversion price of $189.14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December 31, 2024, the effective interest rate was 3.88%.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components of interest expense related to the 2027 Convertible Notes.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 Hedges and Warrants</w:t>
      </w:r>
    </w:p>
    <w:p>
      <w:pPr>
        <w:spacing w:after="0" w:line="11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115" w:name="page116"/>
    <w:bookmarkEnd w:id="115"/>
    <w:p>
      <w:pPr>
        <w:ind w:right="80"/>
        <w:spacing w:after="0" w:line="267" w:lineRule="auto"/>
        <w:rPr>
          <w:sz w:val="20"/>
          <w:szCs w:val="20"/>
          <w:color w:val="auto"/>
        </w:rPr>
      </w:pPr>
      <w:r>
        <w:rPr>
          <w:rFonts w:ascii="Times New Roman" w:cs="Times New Roman" w:eastAsia="Times New Roman" w:hAnsi="Times New Roman"/>
          <w:sz w:val="17"/>
          <w:szCs w:val="17"/>
          <w:color w:val="auto"/>
        </w:rPr>
        <w:t>“2027 Warrants”), whereby we sold to the counterparties to the 2027 Convertible Note Hedges warrants to acquire 3.0 million shares of our common stock, in each case, as of December 31, 2024. The strike prices of the 2027 Convertible Note Hedges and the 2027 Warrants were subject to adjustment to $189.14 and $285.49, respectively, as of December 31, 2024, and no 2027 Convertible Note Hedges or 2027 Warrants have been exercised.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Leases</w:t>
      </w:r>
    </w:p>
    <w:p>
      <w:pPr>
        <w:spacing w:after="0" w:line="11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See Footnote 14 “Leases” for information on our finance leases. Non-cash financing activities related to our lease liabilities during 2024, 2023, and 2022, were $16 million, $108 million, and $7 million, respectively</w:t>
      </w:r>
      <w:r>
        <w:rPr>
          <w:rFonts w:ascii="Times New Roman" w:cs="Times New Roman" w:eastAsia="Times New Roman" w:hAnsi="Times New Roman"/>
          <w:sz w:val="17"/>
          <w:szCs w:val="17"/>
          <w:color w:val="EE2724"/>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Security and Guarantees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entities.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STOCKHOLDERS’ EQUITY</w:t>
      </w:r>
    </w:p>
    <w:p>
      <w:pPr>
        <w:spacing w:after="0" w:line="11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Marriott Vacations Worldwide has 100,000,000 authorized shares of common stock, par value of $0.01 per share. At December 31, 2024, there were 75,852,678 shares of Marriott Vacations Worldwide common stock issued, of which 34,877,925 shares were outstanding and 40,974,753 shares were held as treasury stock. At December 31, 2023, there were 75,807,882 shares of Marriott Vacations Worldwide common stock issued, of which 35,319,306 shares were outstanding and 40,488,576 shares were held as treasury stock. Marriott Vacations Worldwide has 2,000,000 authorized shares of preferred stock, par value of $0.01 per share, none of which were issued or outstanding as of December 31, 2024 or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From time to time, with the approval of our Board of Directors, we may undertake programs to purchase shares of our common stock (each, a “Share Repurchase Program”). During the second quarter of 2023, our Board of Directors increased the then-remaining authorization under our previously approved Share Repurchase Program to authorize purchases up to $600 million and extended the term of this program to December 31, 2024. During the fourth quarter of 2024, our Board of Directors extended the term of this program to December 31, 2025. As of December 31, 2024, approximately $383 million remained available for share repurchases under the current Share Repurchase Program.</w:t>
      </w:r>
    </w:p>
    <w:p>
      <w:pPr>
        <w:spacing w:after="0" w:line="7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Cost Basis 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Average Price</w:t>
            </w:r>
          </w:p>
        </w:tc>
      </w:tr>
      <w:tr>
        <w:trPr>
          <w:trHeight w:val="204"/>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Paid per Share</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r>
      <w:tr>
        <w:trPr>
          <w:trHeight w:val="243"/>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year ended December 31,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649,477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85.79</w:t>
            </w:r>
          </w:p>
        </w:tc>
      </w:tr>
      <w:tr>
        <w:trPr>
          <w:trHeight w:val="23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25,790,550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declared cash dividends to holders of common stock during the year ended December 31, 2024 as follows. Any future dividend payments will be subject to the restrictions imposed under the agreements covering our debt and approval of our Board of Directors. There can be no assurance that we will pay dividends in the future.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25"/>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15, 2024</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29, 2024</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14, 2024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37"/>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May 9, 2024</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May 23, 2024</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June 6, 2024</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49"/>
        </w:trPr>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September 4, 2024</w:t>
            </w:r>
          </w:p>
        </w:tc>
        <w:tc>
          <w:tcPr>
            <w:tcW w:w="2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September 19, 2024</w:t>
            </w:r>
          </w:p>
        </w:tc>
        <w:tc>
          <w:tcPr>
            <w:tcW w:w="2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October 3, 2024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44"/>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December 6, 2024</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December 19, 2024</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January 3, 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$0.79</w:t>
            </w:r>
          </w:p>
        </w:tc>
      </w:tr>
    </w:tbl>
    <w:p>
      <w:pPr>
        <w:spacing w:after="0" w:line="225"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Subsequent to the end of 2024, on February 20, 2025, our Board of Directors declared a quarterly dividend of $0.79 per share to be paid on March 19, 2025 to stockholders of record as of March 5,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SHARE-BASED COMPENSATION</w:t>
      </w:r>
    </w:p>
    <w:p>
      <w:pPr>
        <w:spacing w:after="0" w:line="1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The MVW Equity Plan is maintained for the benefit of our officers, directors, and employees. Under the MVW Equity Plan, we are authorized to award: (1) RSUs of our common stock, (2) SARs relating to our common stock, and (3) stock options to purchase our common stock. A total of approximately 3 million shares are authorized for issuance pursuant to grants under the MVW Equity Plan. As of December 31, 2024, approximately 2 million shares were available for grants under the MVW Equity Plan.</w:t>
      </w:r>
    </w:p>
    <w:p>
      <w:pPr>
        <w:spacing w:after="0" w:line="12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The following table details our share-based compensation expense related to award grants to our officers, directors, and employees. We recognized $7 million, $7 million, and $6 million of tax benefits associated with share-based compensation during 2024, 2023, and 2022,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3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34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5"/>
        </w:trPr>
        <w:tc>
          <w:tcPr>
            <w:tcW w:w="3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deferred compensation costs related to unvested awards: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Year-End 2024</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8"/>
                <w:szCs w:val="18"/>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2023</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4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right="460" w:hanging="298"/>
        <w:spacing w:after="0" w:line="228" w:lineRule="auto"/>
        <w:tabs>
          <w:tab w:leader="none" w:pos="288"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 the weighted average remaining term for RSU grants outstanding at year-end 2024 was one to three years and we expect that deferred compensation expense will be recognized over a weighted average period of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00"/>
          </w:cols>
          <w:pgMar w:left="320" w:top="1190"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We have issued RSUs that vest over time, which we refer to as service-based RSUs, and RSUs that vest based on performance with respect to established criteria, which we refer to as performance-based RSUs.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our outstanding RSUs and the associated weighted average grant-date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rPr>
                <w:sz w:val="17"/>
                <w:szCs w:val="17"/>
                <w:color w:val="auto"/>
              </w:rPr>
            </w:pPr>
          </w:p>
        </w:tc>
        <w:tc>
          <w:tcPr>
            <w:tcW w:w="20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Service-based</w:t>
            </w:r>
          </w:p>
        </w:tc>
        <w:tc>
          <w:tcPr>
            <w:tcW w:w="100" w:type="dxa"/>
            <w:vAlign w:val="bottom"/>
          </w:tcPr>
          <w:p>
            <w:pPr>
              <w:spacing w:after="0"/>
              <w:rPr>
                <w:sz w:val="17"/>
                <w:szCs w:val="17"/>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Performance-based</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7"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020" w:type="dxa"/>
            <w:vAlign w:val="bottom"/>
            <w:vMerge w:val="restart"/>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020" w:type="dxa"/>
            <w:vAlign w:val="bottom"/>
            <w:gridSpan w:val="3"/>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rPr>
              <w:t>Grant-Date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18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06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Date Fair</w:t>
            </w: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137"/>
              <w:spacing w:after="0" w:line="154" w:lineRule="exact"/>
              <w:rPr>
                <w:sz w:val="20"/>
                <w:szCs w:val="20"/>
                <w:color w:val="auto"/>
              </w:rPr>
            </w:pPr>
            <w:r>
              <w:rPr>
                <w:rFonts w:ascii="Times New Roman" w:cs="Times New Roman" w:eastAsia="Times New Roman" w:hAnsi="Times New Roman"/>
                <w:sz w:val="15"/>
                <w:szCs w:val="15"/>
                <w:b w:val="1"/>
                <w:bCs w:val="1"/>
                <w:color w:val="auto"/>
                <w:w w:val="97"/>
              </w:rPr>
              <w:t>Date Fair</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1020" w:type="dxa"/>
            <w:vAlign w:val="bottom"/>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Per RSU</w:t>
            </w:r>
          </w:p>
        </w:tc>
        <w:tc>
          <w:tcPr>
            <w:tcW w:w="840" w:type="dxa"/>
            <w:vAlign w:val="bottom"/>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Value Per RSU</w:t>
            </w:r>
          </w:p>
        </w:tc>
        <w:tc>
          <w:tcPr>
            <w:tcW w:w="840" w:type="dxa"/>
            <w:vAlign w:val="bottom"/>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Value Per RSU</w:t>
            </w:r>
          </w:p>
        </w:tc>
        <w:tc>
          <w:tcPr>
            <w:tcW w:w="0" w:type="dxa"/>
            <w:vAlign w:val="bottom"/>
          </w:tcPr>
          <w:p>
            <w:pPr>
              <w:spacing w:after="0"/>
              <w:rPr>
                <w:sz w:val="1"/>
                <w:szCs w:val="1"/>
                <w:color w:val="auto"/>
              </w:rPr>
            </w:pPr>
          </w:p>
        </w:tc>
      </w:tr>
      <w:tr>
        <w:trPr>
          <w:trHeight w:val="147"/>
        </w:trPr>
        <w:tc>
          <w:tcPr>
            <w:tcW w:w="19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color w:val="auto"/>
              </w:rPr>
              <w:t>Outstanding at year-end</w:t>
            </w: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655,114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192,724</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847,838</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129.45</w:t>
            </w: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403,071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87.54</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204,020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607,091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86.73</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(249,097)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134.08</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(25,561)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107.54</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(20,912)</w:t>
            </w:r>
          </w:p>
        </w:tc>
        <w:tc>
          <w:tcPr>
            <w:tcW w:w="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109.86</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(46,473)</w:t>
            </w:r>
          </w:p>
        </w:tc>
        <w:tc>
          <w:tcPr>
            <w:tcW w:w="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108.59</w:t>
            </w: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Outstanding at year-end</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783,527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375,832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1,159,359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116.13</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The weighted average grant-date fair value per RSU granted in 2023 and 2022 was $143.08 and $151.86, respectively. The fair value of the RSUs which vested in 2024, 2023, and 2022 was $22 million, $36 million, and $65 million,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our outstanding SARs and the associated weighted average exercise prices: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171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49"/>
        </w:trPr>
        <w:tc>
          <w:tcPr>
            <w:tcW w:w="43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jc w:val="right"/>
              <w:ind w:right="357"/>
              <w:spacing w:after="0" w:line="149" w:lineRule="exact"/>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4"/>
        </w:trPr>
        <w:tc>
          <w:tcPr>
            <w:tcW w:w="436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SARs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Exercise Price Per SAR</w:t>
            </w:r>
          </w:p>
        </w:tc>
      </w:tr>
      <w:tr>
        <w:trPr>
          <w:trHeight w:val="22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year-end 2023</w:t>
            </w:r>
          </w:p>
        </w:tc>
        <w:tc>
          <w:tcPr>
            <w:tcW w:w="17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720,028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116.56</w:t>
            </w:r>
          </w:p>
        </w:tc>
      </w:tr>
      <w:tr>
        <w:trPr>
          <w:trHeight w:val="243"/>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86,759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93.73</w:t>
            </w:r>
          </w:p>
        </w:tc>
      </w:tr>
      <w:tr>
        <w:trPr>
          <w:trHeight w:val="24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73.65</w:t>
            </w:r>
          </w:p>
        </w:tc>
      </w:tr>
      <w:tr>
        <w:trPr>
          <w:trHeight w:val="243"/>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 or expired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(3,036)</w:t>
            </w:r>
          </w:p>
        </w:tc>
        <w:tc>
          <w:tcPr>
            <w:tcW w:w="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93.73</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year-end 2024</w:t>
            </w:r>
            <w:r>
              <w:rPr>
                <w:rFonts w:ascii="Times New Roman" w:cs="Times New Roman" w:eastAsia="Times New Roman" w:hAnsi="Times New Roman"/>
                <w:sz w:val="8"/>
                <w:szCs w:val="8"/>
                <w:color w:val="auto"/>
              </w:rPr>
              <w:t>(1)(2)</w:t>
            </w:r>
          </w:p>
        </w:tc>
        <w:tc>
          <w:tcPr>
            <w:tcW w:w="172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758,729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 outstanding SARs had an aggregate intrinsic value of $3 million and a weighted average remaining term of 5 years.</w:t>
      </w:r>
    </w:p>
    <w:p>
      <w:pPr>
        <w:spacing w:after="0" w:line="51" w:lineRule="exact"/>
        <w:rPr>
          <w:rFonts w:ascii="Times New Roman" w:cs="Times New Roman" w:eastAsia="Times New Roman" w:hAnsi="Times New Roman"/>
          <w:sz w:val="22"/>
          <w:szCs w:val="22"/>
          <w:color w:val="auto"/>
          <w:vertAlign w:val="superscript"/>
        </w:rPr>
      </w:pPr>
    </w:p>
    <w:p>
      <w:pPr>
        <w:ind w:left="300" w:right="80" w:hanging="298"/>
        <w:spacing w:after="0" w:line="218" w:lineRule="auto"/>
        <w:tabs>
          <w:tab w:leader="none" w:pos="288"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 580,534 SARs with a weighted average exercise price of $112.42, an aggregate intrinsic value of $3 million and a weighted average remaining contractual term of 4 years were exercisable.</w:t>
      </w:r>
    </w:p>
    <w:p>
      <w:pPr>
        <w:spacing w:after="0" w:line="13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weighted average grant-date fair value per SAR granted in 2024, 2023, and 2022 was $34.58, $58.50, and $59.68, respectively. The SARs which vested in 2024 and 2023 did not have any intrinsic value. The intrinsic value of SARs which vested in 2022 was $2 million. The aggregate intrinsic value of SARs which were exercised in 2024, 2023, and 2022 was $1 million, less than $1 million, and $1 million, respectively.</w:t>
      </w:r>
    </w:p>
    <w:p>
      <w:pPr>
        <w:spacing w:after="0" w:line="1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41"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The following table outlines the assumptions used to estimate the fair value of grants in 2024,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45.78%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40.47%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42.86%</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1.53%</w:t>
            </w: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4.23%</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1.77%</w:t>
            </w:r>
          </w:p>
        </w:tc>
      </w:tr>
      <w:tr>
        <w:trPr>
          <w:trHeight w:val="244"/>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6.25</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VARIABLE INTEREST ENTITIES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 Related to Our Vacation Ownership Notes Receivable Securitizations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several classes of debt securities issued by a special purpose entity are generally collateralized by a single pool of transferred assets, which consist of vacation ownership notes receivable. With each vacation ownership notes receivable securitization, we may retain all or a portion of the securities that are issued, and certain residual interests.</w:t>
      </w:r>
    </w:p>
    <w:p>
      <w:pPr>
        <w:spacing w:after="0" w:line="7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7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The following table shows consolidated assets, which are collateral for the obligations of the VIEs related to our vacation ownership notes receivable securitizations, and consolidated liabilities included on our Balance Sheet at December 31, 2024:</w:t>
      </w:r>
    </w:p>
    <w:p>
      <w:pPr>
        <w:sectPr>
          <w:pgSz w:w="11900" w:h="16838" w:orient="portrait"/>
          <w:cols w:equalWidth="0" w:num="1">
            <w:col w:w="11240"/>
          </w:cols>
          <w:pgMar w:left="320" w:top="1145" w:right="339" w:bottom="1440" w:gutter="0" w:footer="0" w:header="0"/>
        </w:sect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Assets</w:t>
      </w:r>
    </w:p>
    <w:p>
      <w:pPr>
        <w:spacing w:after="0" w:line="51" w:lineRule="exact"/>
        <w:rPr>
          <w:sz w:val="20"/>
          <w:szCs w:val="20"/>
          <w:color w:val="auto"/>
        </w:rPr>
      </w:pPr>
    </w:p>
    <w:p>
      <w:pPr>
        <w:ind w:left="100"/>
        <w:spacing w:after="0" w:line="238" w:lineRule="auto"/>
        <w:rPr>
          <w:sz w:val="20"/>
          <w:szCs w:val="20"/>
          <w:color w:val="auto"/>
        </w:rPr>
      </w:pPr>
      <w:r>
        <w:rPr>
          <w:rFonts w:ascii="Times New Roman" w:cs="Times New Roman" w:eastAsia="Times New Roman" w:hAnsi="Times New Roman"/>
          <w:sz w:val="17"/>
          <w:szCs w:val="17"/>
          <w:color w:val="auto"/>
        </w:rPr>
        <w:t>Vacation ownership notes receivable, net of reserves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Interest receivable</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Restricted cash</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Warehouse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6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540" w:type="dxa"/>
            <w:vAlign w:val="bottom"/>
            <w:gridSpan w:val="2"/>
            <w:vMerge w:val="continue"/>
          </w:tcPr>
          <w:p>
            <w:pPr>
              <w:spacing w:after="0"/>
              <w:rPr>
                <w:sz w:val="13"/>
                <w:szCs w:val="13"/>
                <w:color w:val="auto"/>
              </w:rPr>
            </w:pP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Credit Facility</w:t>
            </w:r>
          </w:p>
        </w:tc>
        <w:tc>
          <w:tcPr>
            <w:tcW w:w="120" w:type="dxa"/>
            <w:vAlign w:val="bottom"/>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-7620</wp:posOffset>
            </wp:positionV>
            <wp:extent cx="525716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257165" cy="15430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120" w:type="dxa"/>
            <w:vAlign w:val="bottom"/>
          </w:tcPr>
          <w:p>
            <w:pPr>
              <w:spacing w:after="0"/>
              <w:rPr>
                <w:sz w:val="19"/>
                <w:szCs w:val="19"/>
                <w:color w:val="auto"/>
              </w:rPr>
            </w:pPr>
          </w:p>
        </w:tc>
        <w:tc>
          <w:tcPr>
            <w:tcW w:w="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w:t>
            </w:r>
          </w:p>
        </w:tc>
      </w:tr>
      <w:tr>
        <w:trPr>
          <w:trHeight w:val="243"/>
        </w:trPr>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2"/>
        </w:trPr>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10"/>
        </w:trPr>
        <w:tc>
          <w:tcPr>
            <w:tcW w:w="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2,015</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-486410</wp:posOffset>
            </wp:positionV>
            <wp:extent cx="525716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-177800</wp:posOffset>
            </wp:positionV>
            <wp:extent cx="525716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257165" cy="16256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3080" w:space="680"/>
            <w:col w:w="7480"/>
          </w:cols>
          <w:pgMar w:left="320" w:top="114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payable</w:t>
            </w: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3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Securitized debt</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2,163</w:t>
            </w:r>
          </w:p>
        </w:tc>
      </w:tr>
      <w:tr>
        <w:trPr>
          <w:trHeight w:val="235"/>
        </w:trPr>
        <w:tc>
          <w:tcPr>
            <w:tcW w:w="3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interest income and expense recognized as a result of our involvement with these VIEs during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5"/>
                <w:szCs w:val="15"/>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4" w:lineRule="exact"/>
              <w:rPr>
                <w:sz w:val="20"/>
                <w:szCs w:val="20"/>
                <w:color w:val="auto"/>
              </w:rPr>
            </w:pPr>
            <w:r>
              <w:rPr>
                <w:rFonts w:ascii="Times New Roman" w:cs="Times New Roman" w:eastAsia="Times New Roman" w:hAnsi="Times New Roman"/>
                <w:sz w:val="15"/>
                <w:szCs w:val="15"/>
                <w:b w:val="1"/>
                <w:bCs w:val="1"/>
                <w:color w:val="auto"/>
              </w:rPr>
              <w:t>Credit</w:t>
            </w:r>
          </w:p>
        </w:tc>
        <w:tc>
          <w:tcPr>
            <w:tcW w:w="320" w:type="dxa"/>
            <w:vAlign w:val="bottom"/>
          </w:tcPr>
          <w:p>
            <w:pPr>
              <w:spacing w:after="0"/>
              <w:rPr>
                <w:sz w:val="13"/>
                <w:szCs w:val="13"/>
                <w:color w:val="auto"/>
              </w:rPr>
            </w:pPr>
          </w:p>
        </w:tc>
        <w:tc>
          <w:tcPr>
            <w:tcW w:w="1060" w:type="dxa"/>
            <w:vAlign w:val="bottom"/>
            <w:vMerge w:val="restart"/>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Facility</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1"/>
                <w:szCs w:val="21"/>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vacation ownership notes receivable securitization VIEs: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proceeds from vacation ownership notes receivable securitizations</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receipts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receipts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Reserve release</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3"/>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payments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Voluntary clean-up call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payments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3"/>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Warehouse Credit Facility VIE: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vacation ownership notes receivable securitizations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21"/>
                <w:szCs w:val="21"/>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receipts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receipts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Reserve release</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payments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Repayment of Warehouse Credit Facility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payments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4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3"/>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of $164 million during 2024, $123 million during 2023 and $94 million during 2022. We also made voluntary repurchases of $615 million, $774 million and $338 million of other non-defaulted vacation ownership notes receivable during 2024, 2023 and 2022, respectively, to retire previous vacation ownership notes receivable securitizations.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Variable Interest Entities</w:t>
      </w:r>
    </w:p>
    <w:p>
      <w:pPr>
        <w:spacing w:after="0" w:line="11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because we cannot prevent the variable interest entity from selling the property at a higher price. Accordingly, we have not consolidated the VIE. We expect to acquire the property over time and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20"/>
          </w:cols>
          <w:pgMar w:left="320" w:top="1248" w:right="459" w:bottom="1440" w:gutter="0" w:footer="0" w:header="0"/>
        </w:sectPr>
      </w:pPr>
    </w:p>
    <w:bookmarkStart w:id="120" w:name="page121"/>
    <w:bookmarkEnd w:id="120"/>
    <w:p>
      <w:pPr>
        <w:ind w:right="40"/>
        <w:spacing w:after="0" w:line="259" w:lineRule="auto"/>
        <w:rPr>
          <w:sz w:val="20"/>
          <w:szCs w:val="20"/>
          <w:color w:val="auto"/>
        </w:rPr>
      </w:pPr>
      <w:r>
        <w:rPr>
          <w:rFonts w:ascii="Times New Roman" w:cs="Times New Roman" w:eastAsia="Times New Roman" w:hAnsi="Times New Roman"/>
          <w:sz w:val="17"/>
          <w:szCs w:val="17"/>
          <w:color w:val="auto"/>
        </w:rPr>
        <w:t>December 31, 2024, we expect to make payments for the property as follows: $82 million in 2025, and $41 million in 2026. As of December 31, 2024, our Balance Sheet reflected $1 million in Accounts and contracts receivable, net, including a note receivable of less than $1 million, $12 million in Property and equipment, net, and $1 million in the Other line within liabilities on our Balance Sheet. We believe that our maximum exposure to loss as a result of our involvement with this VIE is approximately $15 million as of December 31, 2024. Refer to Footnote 3 “Acquisitions and Dispositions” for information about purchases pursuant to this commitment that occurred during 2024</w:t>
      </w:r>
      <w:r>
        <w:rPr>
          <w:rFonts w:ascii="Times New Roman" w:cs="Times New Roman" w:eastAsia="Times New Roman" w:hAnsi="Times New Roman"/>
          <w:sz w:val="17"/>
          <w:szCs w:val="17"/>
          <w:color w:val="EE2724"/>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BUSINESS SEGMENTS</w:t>
      </w:r>
    </w:p>
    <w:p>
      <w:pPr>
        <w:spacing w:after="0" w:line="11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 These segments are managed independently due to the differing nature of their products and services.</w:t>
      </w:r>
    </w:p>
    <w:p>
      <w:pPr>
        <w:spacing w:after="0" w:line="9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124"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 VRI Americas was part of the Exchange &amp; Third-Party Management segment through the date of sale in April 2022. See Footnote 3 “Acquisitions and Dispositions” for more information on the disposition of VRI Americas.</w:t>
      </w:r>
    </w:p>
    <w:p>
      <w:pPr>
        <w:spacing w:after="0" w:line="1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Our CODM reviews budget-to-actual variances on a monthly basis using Adjusted EBITDA to make decisions about capital allocation and resource distribution to the segments. Adjusted EBITDA is defined as net income attributable to common stockholders,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attributable to common stockholders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45"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Revenues and Adjusted EBITDA</w:t>
      </w:r>
    </w:p>
    <w:p>
      <w:pPr>
        <w:spacing w:after="0" w:line="6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attributable to common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40" w:type="dxa"/>
            <w:vAlign w:val="bottom"/>
          </w:tcPr>
          <w:p>
            <w:pPr>
              <w:spacing w:after="0"/>
              <w:rPr>
                <w:sz w:val="13"/>
                <w:szCs w:val="13"/>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60" w:type="dxa"/>
            <w:vAlign w:val="bottom"/>
          </w:tcPr>
          <w:p>
            <w:pPr>
              <w:spacing w:after="0"/>
              <w:rPr>
                <w:sz w:val="13"/>
                <w:szCs w:val="13"/>
                <w:color w:val="auto"/>
              </w:rPr>
            </w:pPr>
          </w:p>
        </w:tc>
        <w:tc>
          <w:tcPr>
            <w:tcW w:w="560" w:type="dxa"/>
            <w:vAlign w:val="bottom"/>
            <w:vMerge w:val="restart"/>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60" w:type="dxa"/>
            <w:vAlign w:val="bottom"/>
          </w:tcPr>
          <w:p>
            <w:pPr>
              <w:spacing w:after="0"/>
              <w:rPr>
                <w:sz w:val="13"/>
                <w:szCs w:val="13"/>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of revenues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revenues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Cost of vacation ownership</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tcPr>
          <w:p>
            <w:pPr>
              <w:ind w:left="220"/>
              <w:spacing w:after="0" w:line="24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(2)</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146"/>
        </w:trPr>
        <w:tc>
          <w:tcPr>
            <w:tcW w:w="246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Net income attributable to</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stockholders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 w:right="300" w:hanging="298"/>
        <w:spacing w:after="0" w:line="235" w:lineRule="auto"/>
        <w:tabs>
          <w:tab w:leader="none" w:pos="288"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Other consist of results that are not allocable to our segments, including company-wide general and administrative expenses, corporate interest expense, transaction and integration costs, and income taxes. In addition, Corporate and Other includes revenues and expenses from Consolidated Property Owners’ Associations. Our CODM does not use this information for operating segment resource allocations.</w:t>
      </w:r>
    </w:p>
    <w:p>
      <w:pPr>
        <w:spacing w:after="0" w:line="84" w:lineRule="exact"/>
        <w:rPr>
          <w:rFonts w:ascii="Times New Roman" w:cs="Times New Roman" w:eastAsia="Times New Roman" w:hAnsi="Times New Roman"/>
          <w:sz w:val="22"/>
          <w:szCs w:val="22"/>
          <w:color w:val="auto"/>
          <w:vertAlign w:val="superscript"/>
        </w:rPr>
      </w:pPr>
    </w:p>
    <w:p>
      <w:pPr>
        <w:ind w:left="300" w:right="320" w:hanging="298"/>
        <w:spacing w:after="0" w:line="228" w:lineRule="auto"/>
        <w:tabs>
          <w:tab w:leader="none" w:pos="288"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 cost reimbursements, non-cash share-based compensation, purchase accounting adjustments related to the Welk acquisition,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40"/>
          </w:cols>
          <w:pgMar w:left="320" w:top="1139"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540" w:type="dxa"/>
            <w:vAlign w:val="bottom"/>
            <w:gridSpan w:val="5"/>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depreciation and amortization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Assets</w:t>
            </w: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8,296</w:t>
            </w:r>
          </w:p>
        </w:tc>
        <w:tc>
          <w:tcPr>
            <w:tcW w:w="120" w:type="dxa"/>
            <w:vAlign w:val="bottom"/>
            <w:shd w:val="clear" w:color="auto" w:fill="CCEEFF"/>
          </w:tcPr>
          <w:p>
            <w:pPr>
              <w:spacing w:after="0"/>
              <w:rPr>
                <w:sz w:val="19"/>
                <w:szCs w:val="19"/>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8,167</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assets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 (including inventory)</w:t>
            </w: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540" w:type="dxa"/>
            <w:vAlign w:val="bottom"/>
            <w:gridSpan w:val="5"/>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capital expenditures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234</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Excluding Cost Reimbursements</w:t>
            </w: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w:t>
            </w:r>
          </w:p>
        </w:tc>
        <w:tc>
          <w:tcPr>
            <w:tcW w:w="540" w:type="dxa"/>
            <w:vAlign w:val="bottom"/>
            <w:gridSpan w:val="5"/>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2,722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444</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3,166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At December 31, 2024</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20" w:type="dxa"/>
            <w:vAlign w:val="bottom"/>
            <w:shd w:val="clear" w:color="auto" w:fill="CCEEFF"/>
          </w:tcPr>
          <w:p>
            <w:pPr>
              <w:spacing w:after="0"/>
              <w:rPr>
                <w:sz w:val="20"/>
                <w:szCs w:val="20"/>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21. IMPAIRMENT AND RESTRUCTURING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incurred impairment charges during 2024, 2023, and 2022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w:t>
            </w:r>
          </w:p>
        </w:tc>
        <w:tc>
          <w:tcPr>
            <w:tcW w:w="3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management contract</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Hotel</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&amp; equipment</w:t>
            </w:r>
          </w:p>
        </w:tc>
        <w:tc>
          <w:tcPr>
            <w:tcW w:w="3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35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Impairment</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During 2024, we recorded a non-cash impairment charge of $28 million related to Legacy-Welk inventory. The impairment charge reflects an elongated pace of sales at a higher marketing and selling cost than that estimated in purchase accounting. We used the income approach to estimate the fair value less costs to sell of the assets. Under the income approach, a Level 3 input, fair value is measured through a discounted cash flow. Under the income approach, we contemplated alternative uses to comply with the highest and best use provisions of ASC Topic 820, “Fair Value Measurements.”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Impairment</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first quarter of 2023, the lease term commenced for the finance lease arrangement for our new corporate headquarters in Orlando, Florida, upon the substantial completion of construction. Upon our relocation to the new corporate headquarters during the fourth quarter of 2023, we recorded a non-cash impairment charge of $16 million to the right-to-use asset related to the operating leases for our previous corporate headquarters as we did not expect proceeds from subleasing these spaces to exceed our future obligations under the operating leases.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Costs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November 2024, we announced the creation of a Strategic Business Operations office focused on accelerating our growth and driving operating efficiencies in all areas of our business while increasing organizational agility. We intend to modernize and optimize our processes and systems, including through advanced technology and automation, while focusing on efforts to increase sales efficiency and inventory optimization while capturing significant savings from initiatives related to procurement and corporate overhead. During 2024, we incurred $10 million of restructuring charges, including $6 million of severance and $4 million of other costs associated with these efforts. As of December 31, 2024, $6 million was accrued on our Balance Sheet related to these charges.</w:t>
      </w:r>
    </w:p>
    <w:p>
      <w:pPr>
        <w:spacing w:after="0" w:line="7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During 2023, we realigned our management structure and made headcount reductions, resulting in severance costs of $6 million associated with the elimination of certain positions. As of December 31, 2023, $5 million was accrued on our Balance Sheet related to these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4" w:name="page125"/>
    <w:bookmarkEnd w:id="124"/>
    <w:p>
      <w:pPr>
        <w:ind w:left="2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1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2024,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Internal Control Over Financial Reporting</w:t>
      </w:r>
    </w:p>
    <w:p>
      <w:pPr>
        <w:spacing w:after="0" w:line="11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15"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We made no changes in our internal control over financial reporting during the fourth quarter of 2024 that have materially affected, or are reasonably likely to materially affect, our internal control over financial reporting.</w:t>
      </w:r>
    </w:p>
    <w:p>
      <w:pPr>
        <w:spacing w:after="0" w:line="18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Trading Plans</w:t>
      </w:r>
    </w:p>
    <w:p>
      <w:pPr>
        <w:spacing w:after="0" w:line="111"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During the quarter ended December 31, 2024, no director or Section 16 officer adopted or terminated any Rule 10b5-1 trading arrangements or non-Rule 10b5-1 trading arrangements (in each case, as defined in Item 408(a) of Regulation S-K).</w:t>
      </w:r>
    </w:p>
    <w:p>
      <w:pPr>
        <w:spacing w:after="0" w:line="18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As described below, we incorporate by reference in this Annual Report certain information appearing in the Proxy Statement that we will furnish to our stockholders for our 2025 Annual Meeting of Stockholders (the “Proxy Statement”).</w:t>
      </w:r>
    </w:p>
    <w:p>
      <w:pPr>
        <w:spacing w:after="0" w:line="84"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Proxy Statement will be filed with the SEC in connection with our 2025 Annual Meeting of Stockholders.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and information relating to insider trading is incorporated by reference to the material captioned “Insider Trading, Pledging, Hedging, and Derivative Transactions”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25" w:name="page126"/>
    <w:bookmarkEnd w:id="125"/>
    <w:p>
      <w:pPr>
        <w:spacing w:after="0" w:line="261" w:lineRule="auto"/>
        <w:rPr>
          <w:sz w:val="20"/>
          <w:szCs w:val="20"/>
          <w:color w:val="auto"/>
        </w:rPr>
      </w:pPr>
      <w:r>
        <w:rPr>
          <w:rFonts w:ascii="Times New Roman" w:cs="Times New Roman" w:eastAsia="Times New Roman" w:hAnsi="Times New Roman"/>
          <w:sz w:val="17"/>
          <w:szCs w:val="17"/>
          <w:color w:val="auto"/>
        </w:rPr>
        <w:t>our Proxy Statement. The section entitled, “Delinquent Section 16(a) Reports” in our Proxy Statement is incorporated by reference. The Company has adopted a securities trading policy (the “Insider Trading Policy”), which governs the purchase, sale and other dispositions of our securities by directors, officers and employees (including, as applicable, their family members and controlled entities, in each case, as defined in the Insider Trading Policy) and the Company. The Insider Trading Policy is filed as an exhibit to this Annual Report on Form 10-K.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Board of Directors has adopted a code of conduct, our Business Conduct Guide, that applies to all of our directors, officers, and associates, including our Principal Executive Officer, Principal Financial Officer, and Principal Accounting Officer. Our Business Conduct Guide is available in the Investor Relations section of our website (marriottvacationsworldwide.com)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in the Investor Relations section of our of our website within four business days following the date of the amendment or waiver or on a Current Report on Form 8-K.</w:t>
      </w:r>
    </w:p>
    <w:p>
      <w:pPr>
        <w:spacing w:after="0" w:line="10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5"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“Executive and Director Compensation” and “Compensation Committee Interlocks and Insider Participation” sections of our Proxy Statement.</w:t>
      </w:r>
    </w:p>
    <w:p>
      <w:pPr>
        <w:spacing w:after="0" w:line="84"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15"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“Securities Authorized for Issuance Under Equity Compensation Plans” and “Stock Ownership” sections of our Proxy Statement.</w:t>
      </w:r>
    </w:p>
    <w:p>
      <w:pPr>
        <w:spacing w:after="0" w:line="84"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incorporate this information by reference to the “Transactions with Related Persons” and “Director Independence” sections of our Proxy Statement.</w:t>
      </w:r>
    </w:p>
    <w:p>
      <w:pPr>
        <w:spacing w:after="0" w:line="145"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1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“Independent Registered Public Accounting Firm Fee Disclosure” and “Pre-Approval of Independent Auditor Fees and Services Policy” sections of our Proxy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49"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filed as part of this Annual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Financial Statements</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include this portion of Item 15 under Part II, Item 8 of this Annual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60" w:lineRule="exact"/>
        <w:rPr>
          <w:sz w:val="20"/>
          <w:szCs w:val="20"/>
          <w:color w:val="auto"/>
        </w:rPr>
      </w:pPr>
    </w:p>
    <w:p>
      <w:pPr>
        <w:ind w:left="620" w:right="560"/>
        <w:spacing w:after="0" w:line="282" w:lineRule="auto"/>
        <w:rPr>
          <w:sz w:val="20"/>
          <w:szCs w:val="20"/>
          <w:color w:val="auto"/>
        </w:rPr>
      </w:pPr>
      <w:r>
        <w:rPr>
          <w:rFonts w:ascii="Times New Roman" w:cs="Times New Roman" w:eastAsia="Times New Roman" w:hAnsi="Times New Roman"/>
          <w:sz w:val="17"/>
          <w:szCs w:val="17"/>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Exhibits</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documents referenced below are being filed as a part of this Annual Report, unless otherwise noted.</w:t>
      </w:r>
    </w:p>
    <w:p>
      <w:pPr>
        <w:sectPr>
          <w:pgSz w:w="11900" w:h="16838" w:orient="portrait"/>
          <w:cols w:equalWidth="0" w:num="1">
            <w:col w:w="11240"/>
          </w:cols>
          <w:pgMar w:left="320" w:top="1145" w:right="339" w:bottom="1440" w:gutter="0" w:footer="0" w:header="0"/>
        </w:sectPr>
      </w:pP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95250</wp:posOffset>
            </wp:positionV>
            <wp:extent cx="7139940" cy="4705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9940" cy="470535"/>
                    </a:xfrm>
                    <a:prstGeom prst="rect">
                      <a:avLst/>
                    </a:prstGeom>
                    <a:noFill/>
                  </pic:spPr>
                </pic:pic>
              </a:graphicData>
            </a:graphic>
          </wp:anchor>
        </w:drawing>
      </w:r>
    </w:p>
    <w:p>
      <w:pPr>
        <w:spacing w:after="0" w:line="139" w:lineRule="exact"/>
        <w:rPr>
          <w:sz w:val="20"/>
          <w:szCs w:val="20"/>
          <w:color w:val="auto"/>
        </w:rPr>
      </w:pPr>
    </w:p>
    <w:p>
      <w:pPr>
        <w:spacing w:after="0" w:line="236" w:lineRule="auto"/>
        <w:rPr>
          <w:rFonts w:ascii="Times New Roman" w:cs="Times New Roman" w:eastAsia="Times New Roman" w:hAnsi="Times New Roman"/>
          <w:sz w:val="16"/>
          <w:szCs w:val="16"/>
          <w:u w:val="single" w:color="auto"/>
          <w:color w:val="0000FF"/>
        </w:rPr>
      </w:pPr>
      <w:hyperlink r:id="rId149">
        <w:r>
          <w:rPr>
            <w:rFonts w:ascii="Times New Roman" w:cs="Times New Roman" w:eastAsia="Times New Roman" w:hAnsi="Times New Roman"/>
            <w:sz w:val="16"/>
            <w:szCs w:val="16"/>
            <w:u w:val="single" w:color="auto"/>
            <w:color w:val="0000FF"/>
          </w:rPr>
          <w:t>Separation and Distribution Agreement, entered into on November 17, 2011,</w:t>
        </w:r>
      </w:hyperlink>
      <w:r>
        <w:rPr>
          <w:rFonts w:ascii="Times New Roman" w:cs="Times New Roman" w:eastAsia="Times New Roman" w:hAnsi="Times New Roman"/>
          <w:sz w:val="16"/>
          <w:szCs w:val="16"/>
          <w:u w:val="single" w:color="auto"/>
          <w:color w:val="0000FF"/>
        </w:rPr>
        <w:t xml:space="preserve"> </w:t>
      </w:r>
      <w:hyperlink r:id="rId149">
        <w:r>
          <w:rPr>
            <w:rFonts w:ascii="Times New Roman" w:cs="Times New Roman" w:eastAsia="Times New Roman" w:hAnsi="Times New Roman"/>
            <w:sz w:val="16"/>
            <w:szCs w:val="16"/>
            <w:u w:val="single" w:color="auto"/>
            <w:color w:val="0000FF"/>
          </w:rPr>
          <w:t>among Marriott International, Inc., Marriott Vacations Worldwide Corporation,</w:t>
        </w:r>
      </w:hyperlink>
    </w:p>
    <w:p>
      <w:pPr>
        <w:spacing w:after="0" w:line="1" w:lineRule="exact"/>
        <w:rPr>
          <w:sz w:val="20"/>
          <w:szCs w:val="20"/>
          <w:color w:val="auto"/>
        </w:rPr>
      </w:pPr>
    </w:p>
    <w:p>
      <w:pPr>
        <w:ind w:right="220"/>
        <w:spacing w:after="0" w:line="227" w:lineRule="auto"/>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Marriott Ownership Resorts, Inc., Marriott Resorts Hospitality Corporation,</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MVCI Asia Pacific Pte. Ltd. and MVCO Series LLC</w:t>
        </w:r>
      </w:hyperlink>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Filed</w:t>
            </w:r>
          </w:p>
        </w:tc>
        <w:tc>
          <w:tcPr>
            <w:tcW w:w="322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6"/>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Herewith</w:t>
            </w:r>
          </w:p>
        </w:tc>
        <w:tc>
          <w:tcPr>
            <w:tcW w:w="100" w:type="dxa"/>
            <w:vAlign w:val="bottom"/>
            <w:vMerge w:val="restart"/>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467"/>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right"/>
              <w:ind w:right="299"/>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4"/>
                <w:szCs w:val="24"/>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11/22/2011</w:t>
            </w:r>
          </w:p>
        </w:tc>
        <w:tc>
          <w:tcPr>
            <w:tcW w:w="0" w:type="dxa"/>
            <w:vAlign w:val="bottom"/>
          </w:tcPr>
          <w:p>
            <w:pPr>
              <w:spacing w:after="0"/>
              <w:rPr>
                <w:sz w:val="1"/>
                <w:szCs w:val="1"/>
                <w:color w:val="auto"/>
              </w:rPr>
            </w:pPr>
          </w:p>
        </w:tc>
      </w:tr>
    </w:tbl>
    <w:p>
      <w:pPr>
        <w:spacing w:after="0" w:line="455" w:lineRule="exact"/>
        <w:rPr>
          <w:sz w:val="20"/>
          <w:szCs w:val="20"/>
          <w:color w:val="auto"/>
        </w:rPr>
      </w:pPr>
    </w:p>
    <w:p>
      <w:pPr>
        <w:sectPr>
          <w:pgSz w:w="11900" w:h="16838" w:orient="portrait"/>
          <w:cols w:equalWidth="0" w:num="3">
            <w:col w:w="780" w:space="360"/>
            <w:col w:w="5400" w:space="380"/>
            <w:col w:w="4320"/>
          </w:cols>
          <w:pgMar w:left="320" w:top="11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26" w:name="page127"/>
    <w:bookmarkEnd w:id="126"/>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34290</wp:posOffset>
            </wp:positionV>
            <wp:extent cx="6407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2.2</w:t>
      </w: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2.3</w:t>
      </w: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3.1</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3.2</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4.1</w:t>
      </w: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4.2</w:t>
      </w: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4.3</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4.4</w:t>
      </w: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4.5</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4.6</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4.7</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4.8</w:t>
      </w: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4.9</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4.10</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4.11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95250</wp:posOffset>
            </wp:positionV>
            <wp:extent cx="36106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610610" cy="8255"/>
                    </a:xfrm>
                    <a:prstGeom prst="rect">
                      <a:avLst/>
                    </a:prstGeom>
                    <a:noFill/>
                  </pic:spPr>
                </pic:pic>
              </a:graphicData>
            </a:graphic>
          </wp:anchor>
        </w:drawing>
      </w:r>
    </w:p>
    <w:p>
      <w:pPr>
        <w:spacing w:after="0" w:line="139" w:lineRule="exact"/>
        <w:rPr>
          <w:sz w:val="20"/>
          <w:szCs w:val="20"/>
          <w:color w:val="auto"/>
        </w:rPr>
      </w:pPr>
    </w:p>
    <w:p>
      <w:pPr>
        <w:ind w:right="20"/>
        <w:spacing w:after="0" w:line="206"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Agreement and Plan of Merger, dated as of April 30, 2018, by and among Marriott</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Vacations Worldwide Corporation, ILG, Inc., Ignite Holdco, Inc., Ignite Holdco</w:t>
        </w:r>
      </w:hyperlink>
    </w:p>
    <w:p>
      <w:pPr>
        <w:spacing w:after="0"/>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Subsidiary, Inc., Volt Merger Sub LLC</w:t>
        </w:r>
        <w:r>
          <w:rPr>
            <w:rFonts w:ascii="Times New Roman" w:cs="Times New Roman" w:eastAsia="Times New Roman" w:hAnsi="Times New Roman"/>
            <w:sz w:val="17"/>
            <w:szCs w:val="17"/>
            <w:u w:val="single" w:color="auto"/>
            <w:color w:val="0000FF"/>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21590</wp:posOffset>
            </wp:positionV>
            <wp:extent cx="7139940" cy="4622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9940" cy="462280"/>
                    </a:xfrm>
                    <a:prstGeom prst="rect">
                      <a:avLst/>
                    </a:prstGeom>
                    <a:noFill/>
                  </pic:spPr>
                </pic:pic>
              </a:graphicData>
            </a:graphic>
          </wp:anchor>
        </w:drawing>
      </w:r>
    </w:p>
    <w:p>
      <w:pPr>
        <w:spacing w:after="0" w:line="15" w:lineRule="exact"/>
        <w:rPr>
          <w:sz w:val="20"/>
          <w:szCs w:val="20"/>
          <w:color w:val="auto"/>
        </w:rPr>
      </w:pPr>
    </w:p>
    <w:p>
      <w:pPr>
        <w:ind w:right="420"/>
        <w:spacing w:after="0" w:line="233" w:lineRule="auto"/>
        <w:rPr>
          <w:rFonts w:ascii="Times New Roman" w:cs="Times New Roman" w:eastAsia="Times New Roman" w:hAnsi="Times New Roman"/>
          <w:sz w:val="16"/>
          <w:szCs w:val="16"/>
          <w:u w:val="single" w:color="auto"/>
          <w:color w:val="0000FF"/>
        </w:rPr>
      </w:pPr>
      <w:hyperlink r:id="rId155">
        <w:r>
          <w:rPr>
            <w:rFonts w:ascii="Times New Roman" w:cs="Times New Roman" w:eastAsia="Times New Roman" w:hAnsi="Times New Roman"/>
            <w:sz w:val="16"/>
            <w:szCs w:val="16"/>
            <w:u w:val="single" w:color="auto"/>
            <w:color w:val="0000FF"/>
          </w:rPr>
          <w:t>Agreement and Plan of Merger by and among Marriott Vacations Worldwide</w:t>
        </w:r>
      </w:hyperlink>
      <w:r>
        <w:rPr>
          <w:rFonts w:ascii="Times New Roman" w:cs="Times New Roman" w:eastAsia="Times New Roman" w:hAnsi="Times New Roman"/>
          <w:sz w:val="16"/>
          <w:szCs w:val="16"/>
          <w:u w:val="single" w:color="auto"/>
          <w:color w:val="0000FF"/>
        </w:rPr>
        <w:t xml:space="preserve"> </w:t>
      </w:r>
      <w:hyperlink r:id="rId155">
        <w:r>
          <w:rPr>
            <w:rFonts w:ascii="Times New Roman" w:cs="Times New Roman" w:eastAsia="Times New Roman" w:hAnsi="Times New Roman"/>
            <w:sz w:val="16"/>
            <w:szCs w:val="16"/>
            <w:u w:val="single" w:color="auto"/>
            <w:color w:val="0000FF"/>
          </w:rPr>
          <w:t>Corporation, Sommelier Acquisition Corp., Champagne Resorts, Inc., Welk</w:t>
        </w:r>
      </w:hyperlink>
    </w:p>
    <w:p>
      <w:pPr>
        <w:spacing w:after="0" w:line="1" w:lineRule="exact"/>
        <w:rPr>
          <w:sz w:val="20"/>
          <w:szCs w:val="20"/>
          <w:color w:val="auto"/>
        </w:rPr>
      </w:pPr>
    </w:p>
    <w:p>
      <w:pPr>
        <w:ind w:right="220"/>
        <w:spacing w:after="0" w:line="227" w:lineRule="auto"/>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Hospitality Group, Inc. and the Shareholder Representative, dated as of January</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26, 2021</w:t>
        </w:r>
      </w:hyperlink>
    </w:p>
    <w:p>
      <w:pPr>
        <w:ind w:right="320"/>
        <w:spacing w:after="0" w:line="235" w:lineRule="auto"/>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Second Restated Certificate of Incorporation of Marriott Vacations Worldwide</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Corporation</w:t>
        </w:r>
      </w:hyperlink>
    </w:p>
    <w:p>
      <w:pPr>
        <w:spacing w:after="0" w:line="9" w:lineRule="exact"/>
        <w:rPr>
          <w:sz w:val="20"/>
          <w:szCs w:val="20"/>
          <w:color w:val="auto"/>
        </w:rPr>
      </w:pPr>
    </w:p>
    <w:p>
      <w:pPr>
        <w:ind w:right="60"/>
        <w:spacing w:after="0" w:line="238"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Restated Bylaws of Marriott Vacations Worldwide Corporation (effective May 12,</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-243205</wp:posOffset>
            </wp:positionV>
            <wp:extent cx="7139940" cy="2514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ind w:right="400"/>
        <w:spacing w:after="0" w:line="238"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Form of certificate representing shares of common stock, par value $0.01 per</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share, of Marriott Vacations Worldwide Corporation</w:t>
        </w:r>
      </w:hyperlink>
    </w:p>
    <w:p>
      <w:pPr>
        <w:spacing w:after="0" w:line="8" w:lineRule="exact"/>
        <w:rPr>
          <w:sz w:val="20"/>
          <w:szCs w:val="20"/>
          <w:color w:val="auto"/>
        </w:rPr>
      </w:pPr>
    </w:p>
    <w:p>
      <w:pPr>
        <w:ind w:right="180"/>
        <w:spacing w:after="0" w:line="236" w:lineRule="auto"/>
        <w:rPr>
          <w:rFonts w:ascii="Times New Roman" w:cs="Times New Roman" w:eastAsia="Times New Roman" w:hAnsi="Times New Roman"/>
          <w:sz w:val="16"/>
          <w:szCs w:val="16"/>
          <w:u w:val="single" w:color="auto"/>
          <w:color w:val="0000FF"/>
        </w:rPr>
      </w:pPr>
      <w:hyperlink r:id="rId160">
        <w:r>
          <w:rPr>
            <w:rFonts w:ascii="Times New Roman" w:cs="Times New Roman" w:eastAsia="Times New Roman" w:hAnsi="Times New Roman"/>
            <w:sz w:val="16"/>
            <w:szCs w:val="16"/>
            <w:u w:val="single" w:color="auto"/>
            <w:color w:val="0000FF"/>
          </w:rPr>
          <w:t>Indenture, dated as of October 1, 2019, by and among Marriott Ownership</w:t>
        </w:r>
      </w:hyperlink>
      <w:r>
        <w:rPr>
          <w:rFonts w:ascii="Times New Roman" w:cs="Times New Roman" w:eastAsia="Times New Roman" w:hAnsi="Times New Roman"/>
          <w:sz w:val="16"/>
          <w:szCs w:val="16"/>
          <w:u w:val="single" w:color="auto"/>
          <w:color w:val="0000FF"/>
        </w:rPr>
        <w:t xml:space="preserve"> </w:t>
      </w:r>
      <w:hyperlink r:id="rId160">
        <w:r>
          <w:rPr>
            <w:rFonts w:ascii="Times New Roman" w:cs="Times New Roman" w:eastAsia="Times New Roman" w:hAnsi="Times New Roman"/>
            <w:sz w:val="16"/>
            <w:szCs w:val="16"/>
            <w:u w:val="single" w:color="auto"/>
            <w:color w:val="0000FF"/>
          </w:rPr>
          <w:t>Resorts, Inc., Marriott Vacations Worldwide Corporation, as guarantor, the other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-226695</wp:posOffset>
            </wp:positionV>
            <wp:extent cx="7139940" cy="4622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9940" cy="462280"/>
                    </a:xfrm>
                    <a:prstGeom prst="rect">
                      <a:avLst/>
                    </a:prstGeom>
                    <a:noFill/>
                  </pic:spPr>
                </pic:pic>
              </a:graphicData>
            </a:graphic>
          </wp:anchor>
        </w:drawing>
      </w:r>
    </w:p>
    <w:p>
      <w:pPr>
        <w:ind w:right="20"/>
        <w:spacing w:after="0" w:line="227"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guarantors party thereto and The Bank of New York Mellon Trust Company, N.A.,</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as trustee</w:t>
        </w:r>
      </w:hyperlink>
    </w:p>
    <w:p>
      <w:pPr>
        <w:ind w:right="380"/>
        <w:spacing w:after="0" w:line="235" w:lineRule="auto"/>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u w:val="single" w:color="auto"/>
            <w:color w:val="0000FF"/>
          </w:rPr>
          <w:t>Form of 4.750% Senior Notes due 2028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Exhibit A to Exhibit 4.2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above)</w:t>
      </w:r>
    </w:p>
    <w:p>
      <w:pPr>
        <w:spacing w:after="0" w:line="9" w:lineRule="exact"/>
        <w:rPr>
          <w:sz w:val="20"/>
          <w:szCs w:val="20"/>
          <w:color w:val="auto"/>
        </w:rPr>
      </w:pPr>
    </w:p>
    <w:p>
      <w:pPr>
        <w:ind w:right="160"/>
        <w:spacing w:after="0" w:line="236" w:lineRule="auto"/>
        <w:rPr>
          <w:rFonts w:ascii="Times New Roman" w:cs="Times New Roman" w:eastAsia="Times New Roman" w:hAnsi="Times New Roman"/>
          <w:sz w:val="16"/>
          <w:szCs w:val="16"/>
          <w:u w:val="single" w:color="auto"/>
          <w:color w:val="0000FF"/>
        </w:rPr>
      </w:pPr>
      <w:hyperlink r:id="rId162">
        <w:r>
          <w:rPr>
            <w:rFonts w:ascii="Times New Roman" w:cs="Times New Roman" w:eastAsia="Times New Roman" w:hAnsi="Times New Roman"/>
            <w:sz w:val="16"/>
            <w:szCs w:val="16"/>
            <w:u w:val="single" w:color="auto"/>
            <w:color w:val="0000FF"/>
          </w:rPr>
          <w:t>Registration Rights Agreement, dated as of October 1, 2019, by and among</w:t>
        </w:r>
      </w:hyperlink>
      <w:r>
        <w:rPr>
          <w:rFonts w:ascii="Times New Roman" w:cs="Times New Roman" w:eastAsia="Times New Roman" w:hAnsi="Times New Roman"/>
          <w:sz w:val="16"/>
          <w:szCs w:val="16"/>
          <w:u w:val="single" w:color="auto"/>
          <w:color w:val="0000FF"/>
        </w:rPr>
        <w:t xml:space="preserve"> </w:t>
      </w:r>
      <w:hyperlink r:id="rId162">
        <w:r>
          <w:rPr>
            <w:rFonts w:ascii="Times New Roman" w:cs="Times New Roman" w:eastAsia="Times New Roman" w:hAnsi="Times New Roman"/>
            <w:sz w:val="16"/>
            <w:szCs w:val="16"/>
            <w:u w:val="single" w:color="auto"/>
            <w:color w:val="0000FF"/>
          </w:rPr>
          <w:t>Marriott Ownership Resorts, Inc., Marriott Vacations Worldwide Corporation,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-226695</wp:posOffset>
            </wp:positionV>
            <wp:extent cx="7139940" cy="356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39940" cy="356870"/>
                    </a:xfrm>
                    <a:prstGeom prst="rect">
                      <a:avLst/>
                    </a:prstGeom>
                    <a:noFill/>
                  </pic:spPr>
                </pic:pic>
              </a:graphicData>
            </a:graphic>
          </wp:anchor>
        </w:drawing>
      </w:r>
    </w:p>
    <w:p>
      <w:pPr>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guarantor, the other guarantors party thereto and J.P. Morgan Securities LLC</w:t>
        </w:r>
      </w:hyperlink>
    </w:p>
    <w:p>
      <w:pPr>
        <w:spacing w:after="0" w:line="8" w:lineRule="exact"/>
        <w:rPr>
          <w:sz w:val="20"/>
          <w:szCs w:val="20"/>
          <w:color w:val="auto"/>
        </w:rPr>
      </w:pPr>
    </w:p>
    <w:p>
      <w:pPr>
        <w:spacing w:after="0" w:line="220" w:lineRule="auto"/>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Indenture, dated as of February 2, 2021, by and among Marriott Vacations</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Worldwide Corporation, Marriott Ownership Resorts, Inc. and the other guarantors</w:t>
        </w:r>
      </w:hyperlink>
    </w:p>
    <w:p>
      <w:pPr>
        <w:spacing w:after="0"/>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party thereto and The Bank of New York Mellon Trust Company,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4445</wp:posOffset>
            </wp:positionV>
            <wp:extent cx="7139940" cy="2514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ind w:right="480"/>
        <w:spacing w:after="0" w:line="235" w:lineRule="auto"/>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u w:val="single" w:color="auto"/>
            <w:color w:val="0000FF"/>
          </w:rPr>
          <w:t>Form of 0.00% Convertible Senior Note due 2026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Exhibit A 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4.5 above)</w:t>
      </w:r>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6"/>
          <w:szCs w:val="16"/>
          <w:u w:val="single" w:color="auto"/>
          <w:color w:val="0000FF"/>
        </w:rPr>
      </w:pPr>
      <w:hyperlink r:id="rId166">
        <w:r>
          <w:rPr>
            <w:rFonts w:ascii="Times New Roman" w:cs="Times New Roman" w:eastAsia="Times New Roman" w:hAnsi="Times New Roman"/>
            <w:sz w:val="16"/>
            <w:szCs w:val="16"/>
            <w:u w:val="single" w:color="auto"/>
            <w:color w:val="0000FF"/>
          </w:rPr>
          <w:t>Indenture, dated as of June 21, 2021, by and among Marriott Ownership Resorts,</w:t>
        </w:r>
      </w:hyperlink>
      <w:r>
        <w:rPr>
          <w:rFonts w:ascii="Times New Roman" w:cs="Times New Roman" w:eastAsia="Times New Roman" w:hAnsi="Times New Roman"/>
          <w:sz w:val="16"/>
          <w:szCs w:val="16"/>
          <w:u w:val="single" w:color="auto"/>
          <w:color w:val="0000FF"/>
        </w:rPr>
        <w:t xml:space="preserve"> </w:t>
      </w:r>
      <w:hyperlink r:id="rId166">
        <w:r>
          <w:rPr>
            <w:rFonts w:ascii="Times New Roman" w:cs="Times New Roman" w:eastAsia="Times New Roman" w:hAnsi="Times New Roman"/>
            <w:sz w:val="16"/>
            <w:szCs w:val="16"/>
            <w:u w:val="single" w:color="auto"/>
            <w:color w:val="0000FF"/>
          </w:rPr>
          <w:t>Inc., Marriott Vacations Worldwide Corporation, as guarantor, the other guarantors</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party thereto and The Bank of New York Mellon Trust Company,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4445</wp:posOffset>
            </wp:positionV>
            <wp:extent cx="7139940" cy="2514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ind w:right="380"/>
        <w:spacing w:after="0" w:line="235" w:lineRule="auto"/>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u w:val="single" w:color="auto"/>
            <w:color w:val="0000FF"/>
          </w:rPr>
          <w:t>Form of 4.500% Senior Notes due 2029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Exhibit A to Exhibit 4.7</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above)</w:t>
      </w:r>
    </w:p>
    <w:p>
      <w:pPr>
        <w:spacing w:after="0" w:line="9" w:lineRule="exact"/>
        <w:rPr>
          <w:sz w:val="20"/>
          <w:szCs w:val="20"/>
          <w:color w:val="auto"/>
        </w:rPr>
      </w:pPr>
    </w:p>
    <w:p>
      <w:pPr>
        <w:ind w:right="100"/>
        <w:spacing w:after="0" w:line="236" w:lineRule="auto"/>
        <w:rPr>
          <w:rFonts w:ascii="Times New Roman" w:cs="Times New Roman" w:eastAsia="Times New Roman" w:hAnsi="Times New Roman"/>
          <w:sz w:val="16"/>
          <w:szCs w:val="16"/>
          <w:u w:val="single" w:color="auto"/>
          <w:color w:val="0000FF"/>
        </w:rPr>
      </w:pPr>
      <w:hyperlink r:id="rId169">
        <w:r>
          <w:rPr>
            <w:rFonts w:ascii="Times New Roman" w:cs="Times New Roman" w:eastAsia="Times New Roman" w:hAnsi="Times New Roman"/>
            <w:sz w:val="16"/>
            <w:szCs w:val="16"/>
            <w:u w:val="single" w:color="auto"/>
            <w:color w:val="0000FF"/>
          </w:rPr>
          <w:t>Indenture, dated as of December 8, 2022, by and among Marriott Vacations</w:t>
        </w:r>
      </w:hyperlink>
      <w:r>
        <w:rPr>
          <w:rFonts w:ascii="Times New Roman" w:cs="Times New Roman" w:eastAsia="Times New Roman" w:hAnsi="Times New Roman"/>
          <w:sz w:val="16"/>
          <w:szCs w:val="16"/>
          <w:u w:val="single" w:color="auto"/>
          <w:color w:val="0000FF"/>
        </w:rPr>
        <w:t xml:space="preserve"> </w:t>
      </w:r>
      <w:hyperlink r:id="rId169">
        <w:r>
          <w:rPr>
            <w:rFonts w:ascii="Times New Roman" w:cs="Times New Roman" w:eastAsia="Times New Roman" w:hAnsi="Times New Roman"/>
            <w:sz w:val="16"/>
            <w:szCs w:val="16"/>
            <w:u w:val="single" w:color="auto"/>
            <w:color w:val="0000FF"/>
          </w:rPr>
          <w:t>Worldwide Corporation, as issuer, Marriott Ownership Resorts, Inc. and the other</w:t>
        </w:r>
      </w:hyperlink>
    </w:p>
    <w:p>
      <w:pPr>
        <w:spacing w:after="0" w:line="1" w:lineRule="exact"/>
        <w:rPr>
          <w:sz w:val="20"/>
          <w:szCs w:val="20"/>
          <w:color w:val="auto"/>
        </w:rPr>
      </w:pPr>
    </w:p>
    <w:p>
      <w:pPr>
        <w:ind w:right="340"/>
        <w:spacing w:after="0" w:line="227" w:lineRule="auto"/>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7"/>
            <w:szCs w:val="17"/>
            <w:u w:val="single" w:color="auto"/>
            <w:color w:val="0000FF"/>
          </w:rPr>
          <w:t>guarantors party thereto from time to time and The New York Bank of Mellon</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Trust Company,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0</wp:posOffset>
            </wp:positionV>
            <wp:extent cx="7139940" cy="2514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ind w:right="420"/>
        <w:spacing w:after="0" w:line="235" w:lineRule="auto"/>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u w:val="single" w:color="auto"/>
            <w:color w:val="0000FF"/>
          </w:rPr>
          <w:t>Form of 3.25% Convertible Senior Notes due 2027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Exhibit A 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4.9 above)</w:t>
      </w:r>
    </w:p>
    <w:p>
      <w:pPr>
        <w:spacing w:after="0" w:line="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72">
        <w:r>
          <w:rPr>
            <w:rFonts w:ascii="Times New Roman" w:cs="Times New Roman" w:eastAsia="Times New Roman" w:hAnsi="Times New Roman"/>
            <w:sz w:val="17"/>
            <w:szCs w:val="17"/>
            <w:u w:val="single" w:color="auto"/>
            <w:color w:val="0000FF"/>
          </w:rPr>
          <w:t>Description of Registered Securities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68580</wp:posOffset>
            </wp:positionV>
            <wp:extent cx="716534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34290</wp:posOffset>
            </wp:positionV>
            <wp:extent cx="6248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Date Filed</w:t>
            </w:r>
          </w:p>
        </w:tc>
      </w:tr>
      <w:tr>
        <w:trPr>
          <w:trHeight w:val="377"/>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5/1/2018</w:t>
            </w:r>
          </w:p>
        </w:tc>
      </w:tr>
      <w:tr>
        <w:trPr>
          <w:trHeight w:val="65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1/26/2021</w:t>
            </w:r>
          </w:p>
        </w:tc>
      </w:tr>
      <w:tr>
        <w:trPr>
          <w:trHeight w:val="56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5/15/2023</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r>
      <w:tr>
        <w:trPr>
          <w:trHeight w:val="396"/>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10/14/2011</w:t>
            </w:r>
          </w:p>
        </w:tc>
      </w:tr>
      <w:tr>
        <w:trPr>
          <w:trHeight w:val="56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56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473"/>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56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r>
      <w:tr>
        <w:trPr>
          <w:trHeight w:val="486"/>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r>
      <w:tr>
        <w:trPr>
          <w:trHeight w:val="473"/>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r>
      <w:tr>
        <w:trPr>
          <w:trHeight w:val="486"/>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r>
      <w:tr>
        <w:trPr>
          <w:trHeight w:val="56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r>
      <w:tr>
        <w:trPr>
          <w:trHeight w:val="56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r>
      <w:tr>
        <w:trPr>
          <w:trHeight w:val="307"/>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3/2/2020</w:t>
            </w:r>
          </w:p>
        </w:tc>
      </w:tr>
    </w:tbl>
    <w:p>
      <w:pPr>
        <w:sectPr>
          <w:pgSz w:w="11900" w:h="16838" w:orient="portrait"/>
          <w:cols w:equalWidth="0" w:num="4">
            <w:col w:w="540" w:space="360"/>
            <w:col w:w="5660" w:space="320"/>
            <w:col w:w="600" w:space="300"/>
            <w:col w:w="3220"/>
          </w:cols>
          <w:pgMar w:left="560" w:top="1133" w:right="339" w:bottom="1440" w:gutter="0" w:footer="0" w:header="0"/>
        </w:sectPr>
      </w:pPr>
    </w:p>
    <w:bookmarkStart w:id="127" w:name="page128"/>
    <w:bookmarkEnd w:id="127"/>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10.2</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10.3</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10.4</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10.5</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10.6</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10.8</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10.9</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10.10</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10.11</w:t>
      </w:r>
    </w:p>
    <w:p>
      <w:pPr>
        <w:spacing w:after="0" w:line="1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10.12</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10.13</w:t>
      </w:r>
    </w:p>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10.14</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10.15</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10.16</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95250</wp:posOffset>
            </wp:positionV>
            <wp:extent cx="7139940" cy="689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39940" cy="689610"/>
                    </a:xfrm>
                    <a:prstGeom prst="rect">
                      <a:avLst/>
                    </a:prstGeom>
                    <a:noFill/>
                  </pic:spPr>
                </pic:pic>
              </a:graphicData>
            </a:graphic>
          </wp:anchor>
        </w:drawing>
      </w:r>
    </w:p>
    <w:p>
      <w:pPr>
        <w:spacing w:after="0" w:line="139" w:lineRule="exact"/>
        <w:rPr>
          <w:sz w:val="20"/>
          <w:szCs w:val="20"/>
          <w:color w:val="auto"/>
        </w:rPr>
      </w:pPr>
    </w:p>
    <w:p>
      <w:pPr>
        <w:ind w:right="180"/>
        <w:spacing w:after="0" w:line="222" w:lineRule="auto"/>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Amended and Restated License, Services and Development Agreement between</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Marriott International, Inc. and Marriott Worldwide Corporation and Marriott</w:t>
        </w:r>
      </w:hyperlink>
    </w:p>
    <w:p>
      <w:pPr>
        <w:spacing w:after="0" w:line="1" w:lineRule="exact"/>
        <w:rPr>
          <w:sz w:val="20"/>
          <w:szCs w:val="20"/>
          <w:color w:val="auto"/>
        </w:rPr>
      </w:pPr>
    </w:p>
    <w:p>
      <w:pPr>
        <w:ind w:right="140"/>
        <w:spacing w:after="0" w:line="222" w:lineRule="auto"/>
        <w:rPr>
          <w:rFonts w:ascii="Times New Roman" w:cs="Times New Roman" w:eastAsia="Times New Roman" w:hAnsi="Times New Roman"/>
          <w:sz w:val="16"/>
          <w:szCs w:val="16"/>
          <w:u w:val="single" w:color="auto"/>
          <w:color w:val="0000FF"/>
        </w:rPr>
      </w:pPr>
      <w:hyperlink r:id="rId176">
        <w:r>
          <w:rPr>
            <w:rFonts w:ascii="Times New Roman" w:cs="Times New Roman" w:eastAsia="Times New Roman" w:hAnsi="Times New Roman"/>
            <w:sz w:val="16"/>
            <w:szCs w:val="16"/>
            <w:u w:val="single" w:color="auto"/>
            <w:color w:val="0000FF"/>
          </w:rPr>
          <w:t>Vacations Worldwide Corporation for Marriott Vacation Club, Sheraton Vacation</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Club, Westin Vacation Club, Grand Residences by Marriott, The Specified</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Fractional Projects and the Licensed Unbranded Projects executed on September</w:t>
        </w:r>
      </w:hyperlink>
    </w:p>
    <w:p>
      <w:pPr>
        <w:spacing w:after="0" w:line="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20, 2024 and effective as of January 1, 2024</w:t>
        </w:r>
      </w:hyperlink>
    </w:p>
    <w:p>
      <w:pPr>
        <w:spacing w:after="0" w:line="8" w:lineRule="exact"/>
        <w:rPr>
          <w:rFonts w:ascii="Times New Roman" w:cs="Times New Roman" w:eastAsia="Times New Roman" w:hAnsi="Times New Roman"/>
          <w:sz w:val="16"/>
          <w:szCs w:val="16"/>
          <w:u w:val="single" w:color="auto"/>
          <w:color w:val="0000FF"/>
        </w:rPr>
      </w:pPr>
    </w:p>
    <w:p>
      <w:pPr>
        <w:ind w:right="260"/>
        <w:spacing w:after="0" w:line="220"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License, Services, and Development Agreement, entered into on November 17,</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2011, among The Ritz-Carlton Hotel Company, L.L.C., Marriott Vacations</w:t>
        </w:r>
      </w:hyperlink>
    </w:p>
    <w:p>
      <w:pPr>
        <w:spacing w:after="0"/>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Worldwide Corporation and the other signatories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4445</wp:posOffset>
            </wp:positionV>
            <wp:extent cx="7139940" cy="356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39940" cy="356870"/>
                    </a:xfrm>
                    <a:prstGeom prst="rect">
                      <a:avLst/>
                    </a:prstGeom>
                    <a:noFill/>
                  </pic:spPr>
                </pic:pic>
              </a:graphicData>
            </a:graphic>
          </wp:anchor>
        </w:drawing>
      </w:r>
    </w:p>
    <w:p>
      <w:pPr>
        <w:ind w:right="140"/>
        <w:spacing w:after="0" w:line="220" w:lineRule="auto"/>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First Amendment to License, Services, and Development Agreement, dated as of</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February 26, 2018, among The Ritz-Carlton Hotel Company, L.L.C., Marriott</w:t>
        </w:r>
      </w:hyperlink>
    </w:p>
    <w:p>
      <w:pPr>
        <w:spacing w:after="0"/>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Vacations Worldwide Corporation and the other signatures thereto</w:t>
        </w:r>
      </w:hyperlink>
    </w:p>
    <w:p>
      <w:pPr>
        <w:spacing w:after="0" w:line="8" w:lineRule="exact"/>
        <w:rPr>
          <w:sz w:val="20"/>
          <w:szCs w:val="20"/>
          <w:color w:val="auto"/>
        </w:rPr>
      </w:pPr>
    </w:p>
    <w:p>
      <w:pPr>
        <w:spacing w:after="0" w:line="220"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Employee Benefits and Other Employment Matters Allocation Agreement, entered</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into on November 17, 2011, between Marriott International, Inc. and Marriott</w:t>
        </w:r>
      </w:hyperlink>
    </w:p>
    <w:p>
      <w:pPr>
        <w:spacing w:after="0"/>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Vacations Worldwide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4445</wp:posOffset>
            </wp:positionV>
            <wp:extent cx="7139940" cy="3568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39940" cy="356870"/>
                    </a:xfrm>
                    <a:prstGeom prst="rect">
                      <a:avLst/>
                    </a:prstGeom>
                    <a:noFill/>
                  </pic:spPr>
                </pic:pic>
              </a:graphicData>
            </a:graphic>
          </wp:anchor>
        </w:drawing>
      </w:r>
    </w:p>
    <w:p>
      <w:pPr>
        <w:ind w:right="80"/>
        <w:spacing w:after="0" w:line="220"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Tax Sharing and Indemnification Agreement, entered into on November 17, 2011,</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between Marriott International, Inc. and Marriott Vacations Worldwide</w:t>
        </w:r>
      </w:hyperlink>
    </w:p>
    <w:p>
      <w:pPr>
        <w:spacing w:after="0"/>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Corporation</w:t>
        </w:r>
      </w:hyperlink>
    </w:p>
    <w:p>
      <w:pPr>
        <w:spacing w:after="0" w:line="8" w:lineRule="exact"/>
        <w:rPr>
          <w:sz w:val="20"/>
          <w:szCs w:val="20"/>
          <w:color w:val="auto"/>
        </w:rPr>
      </w:pPr>
    </w:p>
    <w:p>
      <w:pPr>
        <w:ind w:right="460"/>
        <w:spacing w:after="0" w:line="220" w:lineRule="auto"/>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Amendment, dated August 2, 2012, between Marriott International, Inc. and</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Marriott Vacations Worldwide Corporation, to the Tax Sharing and</w:t>
        </w:r>
      </w:hyperlink>
    </w:p>
    <w:p>
      <w:pPr>
        <w:spacing w:after="0"/>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Indemnification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4445</wp:posOffset>
            </wp:positionV>
            <wp:extent cx="7139940" cy="356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9940" cy="356870"/>
                    </a:xfrm>
                    <a:prstGeom prst="rect">
                      <a:avLst/>
                    </a:prstGeom>
                    <a:noFill/>
                  </pic:spPr>
                </pic:pic>
              </a:graphicData>
            </a:graphic>
          </wp:anchor>
        </w:drawing>
      </w:r>
    </w:p>
    <w:p>
      <w:pPr>
        <w:ind w:right="180"/>
        <w:spacing w:after="0" w:line="220" w:lineRule="auto"/>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Marriott Bonvoy Affiliation Agreement, dated as of November 10, 2021, by and</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among Marriott International, Inc., Marriott Rewards, LLC, Marriott Vacations</w:t>
        </w:r>
      </w:hyperlink>
    </w:p>
    <w:p>
      <w:pPr>
        <w:spacing w:after="0"/>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Worldwide Corporation and Marriott Ownership Resorts, Inc.</w:t>
        </w:r>
      </w:hyperlink>
    </w:p>
    <w:p>
      <w:pPr>
        <w:spacing w:after="0" w:line="8" w:lineRule="exact"/>
        <w:rPr>
          <w:sz w:val="20"/>
          <w:szCs w:val="20"/>
          <w:color w:val="auto"/>
        </w:rPr>
      </w:pPr>
    </w:p>
    <w:p>
      <w:pPr>
        <w:ind w:right="380"/>
        <w:spacing w:after="0" w:line="235" w:lineRule="auto"/>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u w:val="single" w:color="auto"/>
            <w:color w:val="0000FF"/>
          </w:rPr>
          <w:t>Marriott Vacations Worldwide Corporation Amended and Restated Stock and</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Cash Incentive Plan</w:t>
        </w:r>
        <w:r>
          <w:rPr>
            <w:rFonts w:ascii="Times New Roman" w:cs="Times New Roman" w:eastAsia="Times New Roman" w:hAnsi="Times New Roman"/>
            <w:sz w:val="17"/>
            <w:szCs w:val="17"/>
            <w:color w:val="000000"/>
          </w:rPr>
          <w:t>*</w:t>
        </w:r>
      </w:hyperlink>
    </w:p>
    <w:p>
      <w:pPr>
        <w:spacing w:after="0" w:line="9" w:lineRule="exact"/>
        <w:rPr>
          <w:sz w:val="20"/>
          <w:szCs w:val="20"/>
          <w:color w:val="auto"/>
        </w:rPr>
      </w:pPr>
    </w:p>
    <w:p>
      <w:pPr>
        <w:ind w:right="560"/>
        <w:spacing w:after="0" w:line="238" w:lineRule="auto"/>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u w:val="single" w:color="auto"/>
            <w:color w:val="0000FF"/>
          </w:rPr>
          <w:t>Form of Restricted Stock Unit Agreement – Marriott Vacations Worldwide</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Corporation Stock and Cash 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-243205</wp:posOffset>
            </wp:positionV>
            <wp:extent cx="7139940" cy="2514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ind w:right="280"/>
        <w:spacing w:after="0" w:line="238" w:lineRule="auto"/>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u w:val="single" w:color="auto"/>
            <w:color w:val="0000FF"/>
          </w:rPr>
          <w:t>Form of Stock Appreciation Right Agreement – Marriott Vacations Worldwide</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Corporation Stock and Cash Incentive Plan</w:t>
        </w:r>
        <w:r>
          <w:rPr>
            <w:rFonts w:ascii="Times New Roman" w:cs="Times New Roman" w:eastAsia="Times New Roman" w:hAnsi="Times New Roman"/>
            <w:sz w:val="17"/>
            <w:szCs w:val="17"/>
            <w:color w:val="000000"/>
          </w:rPr>
          <w:t>*</w:t>
        </w:r>
      </w:hyperlink>
    </w:p>
    <w:p>
      <w:pPr>
        <w:spacing w:after="0" w:line="8" w:lineRule="exact"/>
        <w:rPr>
          <w:sz w:val="20"/>
          <w:szCs w:val="20"/>
          <w:color w:val="auto"/>
        </w:rPr>
      </w:pPr>
    </w:p>
    <w:p>
      <w:pPr>
        <w:ind w:right="320"/>
        <w:spacing w:after="0" w:line="238" w:lineRule="auto"/>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u w:val="single" w:color="auto"/>
            <w:color w:val="0000FF"/>
          </w:rPr>
          <w:t>Form of Performance Unit Award Agreement – Marriott Vacations Worldwide</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Corporation Stock and Cash 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-243205</wp:posOffset>
            </wp:positionV>
            <wp:extent cx="7139940" cy="2514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spacing w:after="0" w:line="1" w:lineRule="exact"/>
        <w:rPr>
          <w:sz w:val="20"/>
          <w:szCs w:val="20"/>
          <w:color w:val="auto"/>
        </w:rPr>
      </w:pPr>
    </w:p>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u w:val="single" w:color="auto"/>
            <w:color w:val="0000FF"/>
          </w:rPr>
          <w:t>Form of Non-Employee Director Share Award Confirmation</w:t>
        </w:r>
      </w:hyperlink>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32385</wp:posOffset>
            </wp:positionV>
            <wp:extent cx="713994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39940" cy="162560"/>
                    </a:xfrm>
                    <a:prstGeom prst="rect">
                      <a:avLst/>
                    </a:prstGeom>
                    <a:noFill/>
                  </pic:spPr>
                </pic:pic>
              </a:graphicData>
            </a:graphic>
          </wp:anchor>
        </w:drawing>
      </w:r>
    </w:p>
    <w:p>
      <w:pPr>
        <w:spacing w:after="0" w:line="40" w:lineRule="exact"/>
        <w:rPr>
          <w:sz w:val="20"/>
          <w:szCs w:val="20"/>
          <w:color w:val="auto"/>
        </w:rPr>
      </w:pPr>
    </w:p>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u w:val="single" w:color="auto"/>
            <w:color w:val="0000FF"/>
          </w:rPr>
          <w:t>Form of Non-Employee Director Stock Appreciation Right Award Agreement</w:t>
        </w:r>
      </w:hyperlink>
      <w:r>
        <w:rPr>
          <w:rFonts w:ascii="Times New Roman" w:cs="Times New Roman" w:eastAsia="Times New Roman" w:hAnsi="Times New Roman"/>
          <w:sz w:val="17"/>
          <w:szCs w:val="17"/>
          <w:color w:val="000000"/>
        </w:rPr>
        <w:t>*</w:t>
      </w:r>
    </w:p>
    <w:p>
      <w:pPr>
        <w:spacing w:after="0" w:line="47" w:lineRule="exact"/>
        <w:rPr>
          <w:sz w:val="20"/>
          <w:szCs w:val="20"/>
          <w:color w:val="auto"/>
        </w:rPr>
      </w:pPr>
    </w:p>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u w:val="single" w:color="auto"/>
            <w:color w:val="0000FF"/>
          </w:rPr>
          <w:t>Form of Director Stock Unit Agreement</w:t>
        </w:r>
      </w:hyperlink>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15875</wp:posOffset>
            </wp:positionV>
            <wp:extent cx="7139940" cy="2514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spacing w:after="0" w:line="6" w:lineRule="exact"/>
        <w:rPr>
          <w:sz w:val="20"/>
          <w:szCs w:val="20"/>
          <w:color w:val="auto"/>
        </w:rPr>
      </w:pPr>
    </w:p>
    <w:p>
      <w:pPr>
        <w:ind w:right="320"/>
        <w:spacing w:after="0" w:line="235" w:lineRule="auto"/>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u w:val="single" w:color="auto"/>
            <w:color w:val="0000FF"/>
          </w:rPr>
          <w:t>Form of Stock Appreciation Right Agreement - Marriott Vacations Worldwide</w:t>
        </w:r>
      </w:hyperlink>
      <w:r>
        <w:rPr>
          <w:rFonts w:ascii="Times New Roman" w:cs="Times New Roman" w:eastAsia="Times New Roman" w:hAnsi="Times New Roman"/>
          <w:sz w:val="17"/>
          <w:szCs w:val="17"/>
          <w:u w:val="single" w:color="auto"/>
          <w:color w:val="0000FF"/>
        </w:rPr>
        <w:t xml:space="preserve"> </w:t>
      </w:r>
      <w:hyperlink r:id="rId197">
        <w:r>
          <w:rPr>
            <w:rFonts w:ascii="Times New Roman" w:cs="Times New Roman" w:eastAsia="Times New Roman" w:hAnsi="Times New Roman"/>
            <w:sz w:val="17"/>
            <w:szCs w:val="17"/>
            <w:u w:val="single" w:color="auto"/>
            <w:color w:val="0000FF"/>
          </w:rPr>
          <w:t>Corporation 2020 Equity Incentive Plan</w:t>
        </w:r>
        <w:r>
          <w:rPr>
            <w:rFonts w:ascii="Times New Roman" w:cs="Times New Roman" w:eastAsia="Times New Roman" w:hAnsi="Times New Roman"/>
            <w:sz w:val="17"/>
            <w:szCs w:val="17"/>
            <w:color w:val="000000"/>
          </w:rPr>
          <w:t>*</w:t>
        </w:r>
      </w:hyperlink>
    </w:p>
    <w:p>
      <w:pPr>
        <w:spacing w:after="0" w:line="9" w:lineRule="exact"/>
        <w:rPr>
          <w:sz w:val="20"/>
          <w:szCs w:val="20"/>
          <w:color w:val="auto"/>
        </w:rPr>
      </w:pPr>
    </w:p>
    <w:p>
      <w:pPr>
        <w:ind w:right="580"/>
        <w:spacing w:after="0" w:line="238" w:lineRule="auto"/>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u w:val="single" w:color="auto"/>
            <w:color w:val="0000FF"/>
          </w:rPr>
          <w:t>Form of Restricted Stock Unit Agreement - Marriott Vacations Worldwide</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Corporation 2020 Equity Incentive Plan</w:t>
        </w:r>
        <w:r>
          <w:rPr>
            <w:rFonts w:ascii="Times New Roman" w:cs="Times New Roman" w:eastAsia="Times New Roman" w:hAnsi="Times New Roman"/>
            <w:sz w:val="17"/>
            <w:szCs w:val="17"/>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68580</wp:posOffset>
            </wp:positionV>
            <wp:extent cx="716534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22225</wp:posOffset>
            </wp:positionV>
            <wp:extent cx="2044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25" w:lineRule="exact"/>
        <w:rPr>
          <w:sz w:val="20"/>
          <w:szCs w:val="20"/>
          <w:color w:val="auto"/>
        </w:rPr>
      </w:pPr>
    </w:p>
    <w:p>
      <w:pPr>
        <w:spacing w:after="0"/>
        <w:tabs>
          <w:tab w:leader="none" w:pos="900" w:val="left"/>
          <w:tab w:leader="none" w:pos="2040" w:val="left"/>
        </w:tabs>
        <w:rPr>
          <w:sz w:val="20"/>
          <w:szCs w:val="20"/>
          <w:color w:val="auto"/>
        </w:rPr>
      </w:pPr>
      <w:r>
        <w:rPr>
          <w:rFonts w:ascii="Times New Roman" w:cs="Times New Roman" w:eastAsia="Times New Roman" w:hAnsi="Times New Roman"/>
          <w:sz w:val="15"/>
          <w:szCs w:val="15"/>
          <w:b w:val="1"/>
          <w:bCs w:val="1"/>
          <w:color w:val="auto"/>
        </w:rPr>
        <w:t>Form</w:t>
      </w:r>
      <w:r>
        <w:rPr>
          <w:sz w:val="20"/>
          <w:szCs w:val="20"/>
          <w:color w:val="auto"/>
        </w:rPr>
        <w:tab/>
      </w: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Date Filed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1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8"/>
              </w:rPr>
              <w:t>11/7/2024</w:t>
            </w:r>
          </w:p>
        </w:tc>
      </w:tr>
      <w:tr>
        <w:trPr>
          <w:trHeight w:val="818"/>
        </w:trPr>
        <w:tc>
          <w:tcPr>
            <w:tcW w:w="66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8"/>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8"/>
              </w:rPr>
              <w:t>11/22/2011</w:t>
            </w:r>
          </w:p>
        </w:tc>
      </w:tr>
      <w:tr>
        <w:trPr>
          <w:trHeight w:val="562"/>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2/27/2018</w:t>
            </w:r>
          </w:p>
        </w:tc>
      </w:tr>
      <w:tr>
        <w:trPr>
          <w:trHeight w:val="562"/>
        </w:trPr>
        <w:tc>
          <w:tcPr>
            <w:tcW w:w="66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8"/>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1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8"/>
              </w:rPr>
              <w:t>11/22/2011</w:t>
            </w:r>
          </w:p>
        </w:tc>
      </w:tr>
      <w:tr>
        <w:trPr>
          <w:trHeight w:val="562"/>
        </w:trPr>
        <w:tc>
          <w:tcPr>
            <w:tcW w:w="66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8"/>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8"/>
              </w:rPr>
              <w:t>11/22/2011</w:t>
            </w:r>
          </w:p>
        </w:tc>
      </w:tr>
      <w:tr>
        <w:trPr>
          <w:trHeight w:val="562"/>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10/18/2012</w:t>
            </w:r>
          </w:p>
        </w:tc>
      </w:tr>
      <w:tr>
        <w:trPr>
          <w:trHeight w:val="562"/>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3/1/2022</w:t>
            </w:r>
          </w:p>
        </w:tc>
      </w:tr>
      <w:tr>
        <w:trPr>
          <w:trHeight w:val="486"/>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2/23/2017</w:t>
            </w:r>
          </w:p>
        </w:tc>
      </w:tr>
      <w:tr>
        <w:trPr>
          <w:trHeight w:val="396"/>
        </w:trPr>
        <w:tc>
          <w:tcPr>
            <w:tcW w:w="66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8"/>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8"/>
              </w:rPr>
              <w:t>12/9/2011</w:t>
            </w:r>
          </w:p>
        </w:tc>
      </w:tr>
      <w:tr>
        <w:trPr>
          <w:trHeight w:val="396"/>
        </w:trPr>
        <w:tc>
          <w:tcPr>
            <w:tcW w:w="66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8"/>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8"/>
              </w:rPr>
              <w:t>12/9/2011</w:t>
            </w:r>
          </w:p>
        </w:tc>
      </w:tr>
      <w:tr>
        <w:trPr>
          <w:trHeight w:val="396"/>
        </w:trPr>
        <w:tc>
          <w:tcPr>
            <w:tcW w:w="66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8"/>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3/16/2012</w:t>
            </w:r>
          </w:p>
        </w:tc>
      </w:tr>
      <w:tr>
        <w:trPr>
          <w:trHeight w:val="319"/>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8/4/2023</w:t>
            </w:r>
          </w:p>
        </w:tc>
      </w:tr>
      <w:tr>
        <w:trPr>
          <w:trHeight w:val="256"/>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8/4/2023</w:t>
            </w:r>
          </w:p>
        </w:tc>
      </w:tr>
      <w:tr>
        <w:trPr>
          <w:trHeight w:val="243"/>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8/4/2023</w:t>
            </w:r>
          </w:p>
        </w:tc>
      </w:tr>
      <w:tr>
        <w:trPr>
          <w:trHeight w:val="307"/>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10.22</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2/27/2023</w:t>
            </w:r>
          </w:p>
        </w:tc>
      </w:tr>
      <w:tr>
        <w:trPr>
          <w:trHeight w:val="396"/>
        </w:trPr>
        <w:tc>
          <w:tcPr>
            <w:tcW w:w="66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10.23</w:t>
            </w:r>
          </w:p>
        </w:tc>
        <w:tc>
          <w:tcPr>
            <w:tcW w:w="110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2/27/2023</w:t>
            </w:r>
          </w:p>
        </w:tc>
      </w:tr>
    </w:tbl>
    <w:p>
      <w:pPr>
        <w:sectPr>
          <w:pgSz w:w="11900" w:h="16838" w:orient="portrait"/>
          <w:cols w:equalWidth="0" w:num="4">
            <w:col w:w="540" w:space="360"/>
            <w:col w:w="5660" w:space="320"/>
            <w:col w:w="600" w:space="520"/>
            <w:col w:w="2780"/>
          </w:cols>
          <w:pgMar w:left="560" w:top="1133" w:right="559" w:bottom="1440" w:gutter="0" w:footer="0" w:header="0"/>
        </w:sectPr>
      </w:pPr>
    </w:p>
    <w:bookmarkStart w:id="128" w:name="page129"/>
    <w:bookmarkEnd w:id="128"/>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10.17</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10.18</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10.19</w:t>
      </w:r>
    </w:p>
    <w:p>
      <w:pPr>
        <w:spacing w:after="0" w:line="1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10.20</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10.21</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10.22</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10.23</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10.24</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10.25</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10.27</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10.28</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10.29</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10.30</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10.31</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10.32</w:t>
      </w:r>
    </w:p>
    <w:p>
      <w:pPr>
        <w:spacing w:after="0" w:line="3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10.33</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95250</wp:posOffset>
            </wp:positionV>
            <wp:extent cx="7139940" cy="259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39940" cy="259715"/>
                    </a:xfrm>
                    <a:prstGeom prst="rect">
                      <a:avLst/>
                    </a:prstGeom>
                    <a:noFill/>
                  </pic:spPr>
                </pic:pic>
              </a:graphicData>
            </a:graphic>
          </wp:anchor>
        </w:drawing>
      </w:r>
    </w:p>
    <w:p>
      <w:pPr>
        <w:spacing w:after="0" w:line="139" w:lineRule="exact"/>
        <w:rPr>
          <w:sz w:val="20"/>
          <w:szCs w:val="20"/>
          <w:color w:val="auto"/>
        </w:rPr>
      </w:pPr>
    </w:p>
    <w:p>
      <w:pPr>
        <w:ind w:right="800"/>
        <w:spacing w:after="0" w:line="238" w:lineRule="auto"/>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u w:val="single" w:color="auto"/>
            <w:color w:val="0000FF"/>
          </w:rPr>
          <w:t>Form of Performance Unit Agreement - Marriott Vacations Worldwide</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Corporation 2020 Equity Incentive Plan</w:t>
        </w:r>
        <w:r>
          <w:rPr>
            <w:rFonts w:ascii="Times New Roman" w:cs="Times New Roman" w:eastAsia="Times New Roman" w:hAnsi="Times New Roman"/>
            <w:sz w:val="17"/>
            <w:szCs w:val="17"/>
            <w:color w:val="000000"/>
          </w:rPr>
          <w:t>*</w:t>
        </w:r>
      </w:hyperlink>
    </w:p>
    <w:p>
      <w:pPr>
        <w:spacing w:after="0" w:line="8" w:lineRule="exact"/>
        <w:rPr>
          <w:sz w:val="20"/>
          <w:szCs w:val="20"/>
          <w:color w:val="auto"/>
        </w:rPr>
      </w:pPr>
    </w:p>
    <w:p>
      <w:pPr>
        <w:ind w:right="220"/>
        <w:spacing w:after="0" w:line="286" w:lineRule="auto"/>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u w:val="single" w:color="auto"/>
          <w:color w:val="0000FF"/>
        </w:rPr>
        <w:t>Marriott Vacations Worldwide Corporation Change in Control Severance Plan</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hyperlink r:id="rId203">
        <w:r>
          <w:rPr>
            <w:rFonts w:ascii="Times New Roman" w:cs="Times New Roman" w:eastAsia="Times New Roman" w:hAnsi="Times New Roman"/>
            <w:sz w:val="16"/>
            <w:szCs w:val="16"/>
            <w:u w:val="single" w:color="auto"/>
            <w:color w:val="0000FF"/>
          </w:rPr>
          <w:t>Form of Participation Agreement for Change in Control Severance Plan</w:t>
        </w:r>
      </w:hyperlink>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-137795</wp:posOffset>
            </wp:positionV>
            <wp:extent cx="7139940" cy="1377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39940" cy="137795"/>
                    </a:xfrm>
                    <a:prstGeom prst="rect">
                      <a:avLst/>
                    </a:prstGeom>
                    <a:noFill/>
                  </pic:spPr>
                </pic:pic>
              </a:graphicData>
            </a:graphic>
          </wp:anchor>
        </w:drawing>
      </w:r>
    </w:p>
    <w:p>
      <w:pPr>
        <w:ind w:right="80"/>
        <w:spacing w:after="0" w:line="235" w:lineRule="auto"/>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u w:val="single" w:color="auto"/>
            <w:color w:val="0000FF"/>
          </w:rPr>
          <w:t>Marriott Vacations Worldwide Corporation Deferred Compensation Plan Revised</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July 29, 2022</w:t>
        </w:r>
        <w:r>
          <w:rPr>
            <w:rFonts w:ascii="Times New Roman" w:cs="Times New Roman" w:eastAsia="Times New Roman" w:hAnsi="Times New Roman"/>
            <w:sz w:val="17"/>
            <w:szCs w:val="17"/>
            <w:color w:val="000000"/>
          </w:rPr>
          <w:t>*</w:t>
        </w:r>
      </w:hyperlink>
    </w:p>
    <w:p>
      <w:pPr>
        <w:spacing w:after="0" w:line="9" w:lineRule="exact"/>
        <w:rPr>
          <w:sz w:val="20"/>
          <w:szCs w:val="20"/>
          <w:color w:val="auto"/>
        </w:rPr>
      </w:pPr>
    </w:p>
    <w:p>
      <w:pPr>
        <w:spacing w:after="0" w:line="286" w:lineRule="auto"/>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u w:val="single" w:color="auto"/>
            <w:color w:val="0000FF"/>
          </w:rPr>
          <w:t>Marriott Vacations Worldwide Corporation Executive Long-Term Disability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hyperlink r:id="rId207">
        <w:r>
          <w:rPr>
            <w:rFonts w:ascii="Times New Roman" w:cs="Times New Roman" w:eastAsia="Times New Roman" w:hAnsi="Times New Roman"/>
            <w:sz w:val="16"/>
            <w:szCs w:val="16"/>
            <w:u w:val="single" w:color="auto"/>
            <w:color w:val="0000FF"/>
          </w:rPr>
          <w:t>Marriott Vacations Worldwide Corporation Employee Stock Purchase Plan</w:t>
        </w:r>
      </w:hyperlink>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-275590</wp:posOffset>
            </wp:positionV>
            <wp:extent cx="7139940" cy="1377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0</wp:posOffset>
            </wp:positionV>
            <wp:extent cx="7139940" cy="356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39940" cy="356870"/>
                    </a:xfrm>
                    <a:prstGeom prst="rect">
                      <a:avLst/>
                    </a:prstGeom>
                    <a:noFill/>
                  </pic:spPr>
                </pic:pic>
              </a:graphicData>
            </a:graphic>
          </wp:anchor>
        </w:drawing>
      </w:r>
    </w:p>
    <w:p>
      <w:pPr>
        <w:ind w:right="440"/>
        <w:spacing w:after="0" w:line="233" w:lineRule="auto"/>
        <w:rPr>
          <w:rFonts w:ascii="Times New Roman" w:cs="Times New Roman" w:eastAsia="Times New Roman" w:hAnsi="Times New Roman"/>
          <w:sz w:val="16"/>
          <w:szCs w:val="16"/>
          <w:u w:val="single" w:color="auto"/>
          <w:color w:val="0000FF"/>
        </w:rPr>
      </w:pPr>
      <w:hyperlink r:id="rId210">
        <w:r>
          <w:rPr>
            <w:rFonts w:ascii="Times New Roman" w:cs="Times New Roman" w:eastAsia="Times New Roman" w:hAnsi="Times New Roman"/>
            <w:sz w:val="16"/>
            <w:szCs w:val="16"/>
            <w:u w:val="single" w:color="auto"/>
            <w:color w:val="0000FF"/>
          </w:rPr>
          <w:t>Credit Agreement, dated as of August 31, 2018, among Marriott Vacations</w:t>
        </w:r>
      </w:hyperlink>
      <w:r>
        <w:rPr>
          <w:rFonts w:ascii="Times New Roman" w:cs="Times New Roman" w:eastAsia="Times New Roman" w:hAnsi="Times New Roman"/>
          <w:sz w:val="16"/>
          <w:szCs w:val="16"/>
          <w:u w:val="single" w:color="auto"/>
          <w:color w:val="0000FF"/>
        </w:rPr>
        <w:t xml:space="preserve"> </w:t>
      </w:r>
      <w:hyperlink r:id="rId210">
        <w:r>
          <w:rPr>
            <w:rFonts w:ascii="Times New Roman" w:cs="Times New Roman" w:eastAsia="Times New Roman" w:hAnsi="Times New Roman"/>
            <w:sz w:val="16"/>
            <w:szCs w:val="16"/>
            <w:u w:val="single" w:color="auto"/>
            <w:color w:val="0000FF"/>
          </w:rPr>
          <w:t>Worldwide Corporation, Marriott Ownership Resorts, Inc., the lenders party</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thereto and JPMorgan Chase Bank, N.A., as administrative agent</w:t>
        </w:r>
      </w:hyperlink>
    </w:p>
    <w:p>
      <w:pPr>
        <w:spacing w:after="0" w:line="8" w:lineRule="exact"/>
        <w:rPr>
          <w:sz w:val="20"/>
          <w:szCs w:val="20"/>
          <w:color w:val="auto"/>
        </w:rPr>
      </w:pPr>
    </w:p>
    <w:p>
      <w:pPr>
        <w:jc w:val="both"/>
        <w:ind w:right="240"/>
        <w:spacing w:after="0" w:line="220"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Amendment No. 1 to Credit Agreement, dated as of December 3, 2019, among</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Marriott Vacations Worldwide Corporation, Marriott Ownership Resorts, Inc.,</w:t>
        </w:r>
      </w:hyperlink>
    </w:p>
    <w:p>
      <w:pPr>
        <w:ind w:right="160"/>
        <w:spacing w:after="0" w:line="227"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Interval Acquisition Corp., the lenders party thereto and JPMorgan Chase Bank,</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N.A., as administrative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0</wp:posOffset>
            </wp:positionV>
            <wp:extent cx="7139940" cy="356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139940" cy="356870"/>
                    </a:xfrm>
                    <a:prstGeom prst="rect">
                      <a:avLst/>
                    </a:prstGeom>
                    <a:noFill/>
                  </pic:spPr>
                </pic:pic>
              </a:graphicData>
            </a:graphic>
          </wp:anchor>
        </w:drawing>
      </w:r>
    </w:p>
    <w:p>
      <w:pPr>
        <w:ind w:right="20"/>
        <w:spacing w:after="0" w:line="233" w:lineRule="auto"/>
        <w:rPr>
          <w:rFonts w:ascii="Times New Roman" w:cs="Times New Roman" w:eastAsia="Times New Roman" w:hAnsi="Times New Roman"/>
          <w:sz w:val="16"/>
          <w:szCs w:val="16"/>
          <w:u w:val="single" w:color="auto"/>
          <w:color w:val="0000FF"/>
        </w:rPr>
      </w:pPr>
      <w:hyperlink r:id="rId213">
        <w:r>
          <w:rPr>
            <w:rFonts w:ascii="Times New Roman" w:cs="Times New Roman" w:eastAsia="Times New Roman" w:hAnsi="Times New Roman"/>
            <w:sz w:val="16"/>
            <w:szCs w:val="16"/>
            <w:u w:val="single" w:color="auto"/>
            <w:color w:val="0000FF"/>
          </w:rPr>
          <w:t>Amendment No. 2 to Credit Agreement dated as of April 27, 2023, among</w:t>
        </w:r>
      </w:hyperlink>
      <w:r>
        <w:rPr>
          <w:rFonts w:ascii="Times New Roman" w:cs="Times New Roman" w:eastAsia="Times New Roman" w:hAnsi="Times New Roman"/>
          <w:sz w:val="16"/>
          <w:szCs w:val="16"/>
          <w:u w:val="single" w:color="auto"/>
          <w:color w:val="0000FF"/>
        </w:rPr>
        <w:t xml:space="preserve"> </w:t>
      </w:r>
      <w:hyperlink r:id="rId213">
        <w:r>
          <w:rPr>
            <w:rFonts w:ascii="Times New Roman" w:cs="Times New Roman" w:eastAsia="Times New Roman" w:hAnsi="Times New Roman"/>
            <w:sz w:val="16"/>
            <w:szCs w:val="16"/>
            <w:u w:val="single" w:color="auto"/>
            <w:color w:val="0000FF"/>
          </w:rPr>
          <w:t>Marriott Vacations Worldwide Corporation, Marriott Ownership Resorts, Inc., and</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7"/>
            <w:szCs w:val="17"/>
            <w:u w:val="single" w:color="auto"/>
            <w:color w:val="0000FF"/>
          </w:rPr>
          <w:t>JPMorgan Chase Bank, N.A., as administrative agent and collateral agent</w:t>
        </w:r>
      </w:hyperlink>
    </w:p>
    <w:p>
      <w:pPr>
        <w:spacing w:after="0" w:line="8" w:lineRule="exact"/>
        <w:rPr>
          <w:sz w:val="20"/>
          <w:szCs w:val="20"/>
          <w:color w:val="auto"/>
        </w:rPr>
      </w:pPr>
    </w:p>
    <w:p>
      <w:pPr>
        <w:ind w:right="120"/>
        <w:spacing w:after="0" w:line="233" w:lineRule="auto"/>
        <w:rPr>
          <w:rFonts w:ascii="Times New Roman" w:cs="Times New Roman" w:eastAsia="Times New Roman" w:hAnsi="Times New Roman"/>
          <w:sz w:val="16"/>
          <w:szCs w:val="16"/>
          <w:u w:val="single" w:color="auto"/>
          <w:color w:val="0000FF"/>
        </w:rPr>
      </w:pPr>
      <w:hyperlink r:id="rId214">
        <w:r>
          <w:rPr>
            <w:rFonts w:ascii="Times New Roman" w:cs="Times New Roman" w:eastAsia="Times New Roman" w:hAnsi="Times New Roman"/>
            <w:sz w:val="16"/>
            <w:szCs w:val="16"/>
            <w:u w:val="single" w:color="auto"/>
            <w:color w:val="0000FF"/>
          </w:rPr>
          <w:t>Incremental Facility Amendment, dated as of March 31, 2022, by and among</w:t>
        </w:r>
      </w:hyperlink>
      <w:r>
        <w:rPr>
          <w:rFonts w:ascii="Times New Roman" w:cs="Times New Roman" w:eastAsia="Times New Roman" w:hAnsi="Times New Roman"/>
          <w:sz w:val="16"/>
          <w:szCs w:val="16"/>
          <w:u w:val="single" w:color="auto"/>
          <w:color w:val="0000FF"/>
        </w:rPr>
        <w:t xml:space="preserve"> </w:t>
      </w:r>
      <w:hyperlink r:id="rId214">
        <w:r>
          <w:rPr>
            <w:rFonts w:ascii="Times New Roman" w:cs="Times New Roman" w:eastAsia="Times New Roman" w:hAnsi="Times New Roman"/>
            <w:sz w:val="16"/>
            <w:szCs w:val="16"/>
            <w:u w:val="single" w:color="auto"/>
            <w:color w:val="0000FF"/>
          </w:rPr>
          <w:t>Marriott Vacations Worldwide Corporation, Marriott Ownership Resorts, Inc., as</w:t>
        </w:r>
      </w:hyperlink>
    </w:p>
    <w:p>
      <w:pPr>
        <w:spacing w:after="0" w:line="1" w:lineRule="exact"/>
        <w:rPr>
          <w:sz w:val="20"/>
          <w:szCs w:val="20"/>
          <w:color w:val="auto"/>
        </w:rPr>
      </w:pPr>
    </w:p>
    <w:p>
      <w:pPr>
        <w:ind w:right="320"/>
        <w:spacing w:after="0" w:line="227" w:lineRule="auto"/>
        <w:rPr>
          <w:rFonts w:ascii="Times New Roman" w:cs="Times New Roman" w:eastAsia="Times New Roman" w:hAnsi="Times New Roman"/>
          <w:sz w:val="17"/>
          <w:szCs w:val="17"/>
          <w:u w:val="single" w:color="auto"/>
          <w:color w:val="0000FF"/>
        </w:rPr>
      </w:pPr>
      <w:hyperlink r:id="rId214">
        <w:r>
          <w:rPr>
            <w:rFonts w:ascii="Times New Roman" w:cs="Times New Roman" w:eastAsia="Times New Roman" w:hAnsi="Times New Roman"/>
            <w:sz w:val="17"/>
            <w:szCs w:val="17"/>
            <w:u w:val="single" w:color="auto"/>
            <w:color w:val="0000FF"/>
          </w:rPr>
          <w:t>borrower, JPMorgan Chase Bank, N.A., as administrative agent and collateral</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agent, and the incremental lenders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0</wp:posOffset>
            </wp:positionV>
            <wp:extent cx="7139940" cy="5759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7139940" cy="575945"/>
                    </a:xfrm>
                    <a:prstGeom prst="rect">
                      <a:avLst/>
                    </a:prstGeom>
                    <a:noFill/>
                  </pic:spPr>
                </pic:pic>
              </a:graphicData>
            </a:graphic>
          </wp:anchor>
        </w:drawing>
      </w:r>
    </w:p>
    <w:p>
      <w:pPr>
        <w:ind w:right="360"/>
        <w:spacing w:after="0" w:line="220"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Incremental Facility Amendment and Amendment No. 3, dated as of April 1,</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2024, by and among Marriott Vacations Worldwide Corporation, Marriott</w:t>
        </w:r>
      </w:hyperlink>
    </w:p>
    <w:p>
      <w:pPr>
        <w:ind w:right="20"/>
        <w:spacing w:after="0" w:line="219"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Ownership Resorts, Inc., as borrower, the subsidiary guarantors party thereto,</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JPMorgan Chase Bank, N.A., as administrative agent and collateral agent, and the</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lenders party thereto</w:t>
        </w:r>
      </w:hyperlink>
    </w:p>
    <w:p>
      <w:pPr>
        <w:spacing w:after="0" w:line="9" w:lineRule="exact"/>
        <w:rPr>
          <w:rFonts w:ascii="Times New Roman" w:cs="Times New Roman" w:eastAsia="Times New Roman" w:hAnsi="Times New Roman"/>
          <w:sz w:val="17"/>
          <w:szCs w:val="17"/>
          <w:u w:val="single" w:color="auto"/>
          <w:color w:val="0000FF"/>
        </w:rPr>
      </w:pPr>
    </w:p>
    <w:p>
      <w:pPr>
        <w:ind w:right="220"/>
        <w:spacing w:after="0" w:line="238"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Joinder Agreement, dated as of September 1, 2018, among Interval Acquisition</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Corp. and JPMorgan Chase Bank, N.A.</w:t>
        </w:r>
      </w:hyperlink>
    </w:p>
    <w:p>
      <w:pPr>
        <w:spacing w:after="0" w:line="8" w:lineRule="exact"/>
        <w:rPr>
          <w:sz w:val="20"/>
          <w:szCs w:val="20"/>
          <w:color w:val="auto"/>
        </w:rPr>
      </w:pPr>
    </w:p>
    <w:p>
      <w:pPr>
        <w:spacing w:after="0"/>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u w:val="single" w:color="auto"/>
            <w:color w:val="0000FF"/>
          </w:rPr>
          <w:t>Deferred Compensation Plan for Non-Employee Directors</w:t>
        </w:r>
      </w:hyperlink>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-121285</wp:posOffset>
            </wp:positionV>
            <wp:extent cx="7139940" cy="1377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139940" cy="137795"/>
                    </a:xfrm>
                    <a:prstGeom prst="rect">
                      <a:avLst/>
                    </a:prstGeom>
                    <a:noFill/>
                  </pic:spPr>
                </pic:pic>
              </a:graphicData>
            </a:graphic>
          </wp:anchor>
        </w:drawing>
      </w:r>
    </w:p>
    <w:p>
      <w:pPr>
        <w:spacing w:after="0" w:line="6" w:lineRule="exact"/>
        <w:rPr>
          <w:sz w:val="20"/>
          <w:szCs w:val="20"/>
          <w:color w:val="auto"/>
        </w:rPr>
      </w:pPr>
    </w:p>
    <w:p>
      <w:pPr>
        <w:ind w:right="340"/>
        <w:spacing w:after="0" w:line="235" w:lineRule="auto"/>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u w:val="single" w:color="auto"/>
            <w:color w:val="0000FF"/>
          </w:rPr>
          <w:t>Interval Leisure Group, Inc. 2013 Stock and Incentive Compensation Plan, as</w:t>
        </w:r>
      </w:hyperlink>
      <w:r>
        <w:rPr>
          <w:rFonts w:ascii="Times New Roman" w:cs="Times New Roman" w:eastAsia="Times New Roman" w:hAnsi="Times New Roman"/>
          <w:sz w:val="17"/>
          <w:szCs w:val="17"/>
          <w:u w:val="single" w:color="auto"/>
          <w:color w:val="0000FF"/>
        </w:rPr>
        <w:t xml:space="preserve"> </w:t>
      </w:r>
      <w:hyperlink r:id="rId220">
        <w:r>
          <w:rPr>
            <w:rFonts w:ascii="Times New Roman" w:cs="Times New Roman" w:eastAsia="Times New Roman" w:hAnsi="Times New Roman"/>
            <w:sz w:val="17"/>
            <w:szCs w:val="17"/>
            <w:u w:val="single" w:color="auto"/>
            <w:color w:val="0000FF"/>
          </w:rPr>
          <w:t>amended</w:t>
        </w:r>
        <w:r>
          <w:rPr>
            <w:rFonts w:ascii="Times New Roman" w:cs="Times New Roman" w:eastAsia="Times New Roman" w:hAnsi="Times New Roman"/>
            <w:sz w:val="17"/>
            <w:szCs w:val="17"/>
            <w:color w:val="000000"/>
          </w:rPr>
          <w:t>*</w:t>
        </w:r>
      </w:hyperlink>
    </w:p>
    <w:p>
      <w:pPr>
        <w:spacing w:after="0" w:line="9" w:lineRule="exact"/>
        <w:rPr>
          <w:sz w:val="20"/>
          <w:szCs w:val="20"/>
          <w:color w:val="auto"/>
        </w:rPr>
      </w:pPr>
    </w:p>
    <w:p>
      <w:pPr>
        <w:spacing w:after="0" w:line="238" w:lineRule="auto"/>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u w:val="single" w:color="auto"/>
            <w:color w:val="0000FF"/>
          </w:rPr>
          <w:t>Form of Terms and Conditions for Annual RSU Awards under the Interval Leisure</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Group, Inc. 2013 Stock and Incentive Compensation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-243205</wp:posOffset>
            </wp:positionV>
            <wp:extent cx="7139940" cy="251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39940" cy="251460"/>
                    </a:xfrm>
                    <a:prstGeom prst="rect">
                      <a:avLst/>
                    </a:prstGeom>
                    <a:noFill/>
                  </pic:spPr>
                </pic:pic>
              </a:graphicData>
            </a:graphic>
          </wp:anchor>
        </w:drawing>
      </w:r>
    </w:p>
    <w:p>
      <w:pPr>
        <w:ind w:right="340"/>
        <w:spacing w:after="0" w:line="236" w:lineRule="auto"/>
        <w:rPr>
          <w:rFonts w:ascii="Times New Roman" w:cs="Times New Roman" w:eastAsia="Times New Roman" w:hAnsi="Times New Roman"/>
          <w:sz w:val="16"/>
          <w:szCs w:val="16"/>
          <w:u w:val="single" w:color="auto"/>
          <w:color w:val="0000FF"/>
        </w:rPr>
      </w:pPr>
      <w:hyperlink r:id="rId223">
        <w:r>
          <w:rPr>
            <w:rFonts w:ascii="Times New Roman" w:cs="Times New Roman" w:eastAsia="Times New Roman" w:hAnsi="Times New Roman"/>
            <w:sz w:val="16"/>
            <w:szCs w:val="16"/>
            <w:u w:val="single" w:color="auto"/>
            <w:color w:val="0000FF"/>
          </w:rPr>
          <w:t>Employee Matters Agreement, dated as of October 27, 2015 among Interval</w:t>
        </w:r>
      </w:hyperlink>
      <w:r>
        <w:rPr>
          <w:rFonts w:ascii="Times New Roman" w:cs="Times New Roman" w:eastAsia="Times New Roman" w:hAnsi="Times New Roman"/>
          <w:sz w:val="16"/>
          <w:szCs w:val="16"/>
          <w:u w:val="single" w:color="auto"/>
          <w:color w:val="0000FF"/>
        </w:rPr>
        <w:t xml:space="preserve"> </w:t>
      </w:r>
      <w:hyperlink r:id="rId223">
        <w:r>
          <w:rPr>
            <w:rFonts w:ascii="Times New Roman" w:cs="Times New Roman" w:eastAsia="Times New Roman" w:hAnsi="Times New Roman"/>
            <w:sz w:val="16"/>
            <w:szCs w:val="16"/>
            <w:u w:val="single" w:color="auto"/>
            <w:color w:val="0000FF"/>
          </w:rPr>
          <w:t>Leisure Group, Inc., Starwood Hotels &amp; Resorts Worldwide, Inc. and Vistana</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23">
        <w:r>
          <w:rPr>
            <w:rFonts w:ascii="Times New Roman" w:cs="Times New Roman" w:eastAsia="Times New Roman" w:hAnsi="Times New Roman"/>
            <w:sz w:val="17"/>
            <w:szCs w:val="17"/>
            <w:u w:val="single" w:color="auto"/>
            <w:color w:val="0000FF"/>
          </w:rPr>
          <w:t>Signature Experiences, Inc.,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4445</wp:posOffset>
            </wp:positionV>
            <wp:extent cx="7139940" cy="356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139940" cy="356870"/>
                    </a:xfrm>
                    <a:prstGeom prst="rect">
                      <a:avLst/>
                    </a:prstGeom>
                    <a:noFill/>
                  </pic:spPr>
                </pic:pic>
              </a:graphicData>
            </a:graphic>
          </wp:anchor>
        </w:drawing>
      </w:r>
    </w:p>
    <w:p>
      <w:pPr>
        <w:spacing w:after="0" w:line="220" w:lineRule="auto"/>
        <w:rPr>
          <w:rFonts w:ascii="Times New Roman" w:cs="Times New Roman" w:eastAsia="Times New Roman" w:hAnsi="Times New Roman"/>
          <w:sz w:val="17"/>
          <w:szCs w:val="17"/>
          <w:u w:val="single" w:color="auto"/>
          <w:color w:val="0000FF"/>
        </w:rPr>
      </w:pPr>
      <w:hyperlink r:id="rId225">
        <w:r>
          <w:rPr>
            <w:rFonts w:ascii="Times New Roman" w:cs="Times New Roman" w:eastAsia="Times New Roman" w:hAnsi="Times New Roman"/>
            <w:sz w:val="17"/>
            <w:szCs w:val="17"/>
            <w:u w:val="single" w:color="auto"/>
            <w:color w:val="0000FF"/>
          </w:rPr>
          <w:t>Tax Matters Agreement, dated as of May 11, 2016, among Interval Leisure Group,</w:t>
        </w:r>
      </w:hyperlink>
      <w:r>
        <w:rPr>
          <w:rFonts w:ascii="Times New Roman" w:cs="Times New Roman" w:eastAsia="Times New Roman" w:hAnsi="Times New Roman"/>
          <w:sz w:val="17"/>
          <w:szCs w:val="17"/>
          <w:u w:val="single" w:color="auto"/>
          <w:color w:val="0000FF"/>
        </w:rPr>
        <w:t xml:space="preserve"> </w:t>
      </w:r>
      <w:hyperlink r:id="rId225">
        <w:r>
          <w:rPr>
            <w:rFonts w:ascii="Times New Roman" w:cs="Times New Roman" w:eastAsia="Times New Roman" w:hAnsi="Times New Roman"/>
            <w:sz w:val="17"/>
            <w:szCs w:val="17"/>
            <w:u w:val="single" w:color="auto"/>
            <w:color w:val="0000FF"/>
          </w:rPr>
          <w:t>Inc., Starwood Hotels &amp; Resorts Worldwide, Inc. and Vistana Signature</w:t>
        </w:r>
      </w:hyperlink>
    </w:p>
    <w:p>
      <w:pPr>
        <w:spacing w:after="0"/>
        <w:rPr>
          <w:rFonts w:ascii="Times New Roman" w:cs="Times New Roman" w:eastAsia="Times New Roman" w:hAnsi="Times New Roman"/>
          <w:sz w:val="17"/>
          <w:szCs w:val="17"/>
          <w:u w:val="single" w:color="auto"/>
          <w:color w:val="0000FF"/>
        </w:rPr>
      </w:pPr>
      <w:hyperlink r:id="rId225">
        <w:r>
          <w:rPr>
            <w:rFonts w:ascii="Times New Roman" w:cs="Times New Roman" w:eastAsia="Times New Roman" w:hAnsi="Times New Roman"/>
            <w:sz w:val="17"/>
            <w:szCs w:val="17"/>
            <w:u w:val="single" w:color="auto"/>
            <w:color w:val="0000FF"/>
          </w:rPr>
          <w:t>Experiences, Inc.</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68580</wp:posOffset>
            </wp:positionV>
            <wp:extent cx="716534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Date Filed</w:t>
            </w:r>
          </w:p>
        </w:tc>
      </w:tr>
      <w:tr>
        <w:trPr>
          <w:trHeight w:val="30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2/27/2023</w:t>
            </w:r>
          </w:p>
        </w:tc>
      </w:tr>
      <w:tr>
        <w:trPr>
          <w:trHeight w:val="5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2/27/2023</w:t>
            </w:r>
          </w:p>
        </w:tc>
      </w:tr>
      <w:tr>
        <w:trPr>
          <w:trHeight w:val="307"/>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8/9/2022</w:t>
            </w:r>
          </w:p>
        </w:tc>
      </w:tr>
      <w:tr>
        <w:trPr>
          <w:trHeight w:val="302"/>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r>
      <w:tr>
        <w:trPr>
          <w:trHeight w:val="22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6/11/2015</w:t>
            </w:r>
          </w:p>
        </w:tc>
      </w:tr>
      <w:tr>
        <w:trPr>
          <w:trHeight w:val="383"/>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9/5/2018</w:t>
            </w:r>
          </w:p>
        </w:tc>
      </w:tr>
      <w:tr>
        <w:trPr>
          <w:trHeight w:val="652"/>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3/2/2020</w:t>
            </w:r>
          </w:p>
        </w:tc>
      </w:tr>
      <w:tr>
        <w:trPr>
          <w:trHeight w:val="639"/>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r>
      <w:tr>
        <w:trPr>
          <w:trHeight w:val="65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4/6/2022</w:t>
            </w:r>
          </w:p>
        </w:tc>
      </w:tr>
      <w:tr>
        <w:trPr>
          <w:trHeight w:val="818"/>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4/2/2024</w:t>
            </w:r>
          </w:p>
        </w:tc>
      </w:tr>
      <w:tr>
        <w:trPr>
          <w:trHeight w:val="65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9/5/2018</w:t>
            </w:r>
          </w:p>
        </w:tc>
      </w:tr>
      <w:tr>
        <w:trPr>
          <w:trHeight w:val="392"/>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34"/>
                <w:szCs w:val="34"/>
                <w:color w:val="auto"/>
                <w:w w:val="83"/>
                <w:vertAlign w:val="subscript"/>
              </w:rPr>
              <w:t>S-1</w:t>
            </w:r>
            <w:r>
              <w:rPr>
                <w:rFonts w:ascii="Times New Roman" w:cs="Times New Roman" w:eastAsia="Times New Roman" w:hAnsi="Times New Roman"/>
                <w:sz w:val="10"/>
                <w:szCs w:val="10"/>
                <w:color w:val="auto"/>
                <w:w w:val="83"/>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8/1/2018</w:t>
            </w:r>
          </w:p>
        </w:tc>
      </w:tr>
      <w:tr>
        <w:trPr>
          <w:trHeight w:val="222"/>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S-8</w:t>
            </w:r>
            <w:r>
              <w:rPr>
                <w:rFonts w:ascii="Times New Roman" w:cs="Times New Roman" w:eastAsia="Times New Roman" w:hAnsi="Times New Roman"/>
                <w:sz w:val="9"/>
                <w:szCs w:val="9"/>
                <w:color w:val="auto"/>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8/5/2016</w:t>
            </w:r>
          </w:p>
        </w:tc>
      </w:tr>
      <w:tr>
        <w:trPr>
          <w:trHeight w:val="443"/>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10-Q</w:t>
            </w:r>
            <w:r>
              <w:rPr>
                <w:rFonts w:ascii="Times New Roman" w:cs="Times New Roman" w:eastAsia="Times New Roman" w:hAnsi="Times New Roman"/>
                <w:sz w:val="19"/>
                <w:szCs w:val="19"/>
                <w:color w:val="auto"/>
                <w:w w:val="96"/>
                <w:vertAlign w:val="superscript"/>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5/8/2014</w:t>
            </w:r>
          </w:p>
        </w:tc>
      </w:tr>
      <w:tr>
        <w:trPr>
          <w:trHeight w:val="425"/>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r>
              <w:rPr>
                <w:rFonts w:ascii="Times New Roman" w:cs="Times New Roman" w:eastAsia="Times New Roman" w:hAnsi="Times New Roman"/>
                <w:sz w:val="9"/>
                <w:szCs w:val="9"/>
                <w:color w:val="auto"/>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5/12/2016</w:t>
            </w:r>
          </w:p>
        </w:tc>
      </w:tr>
      <w:tr>
        <w:trPr>
          <w:trHeight w:val="56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r>
              <w:rPr>
                <w:rFonts w:ascii="Times New Roman" w:cs="Times New Roman" w:eastAsia="Times New Roman" w:hAnsi="Times New Roman"/>
                <w:sz w:val="9"/>
                <w:szCs w:val="9"/>
                <w:color w:val="auto"/>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5/12/2016</w:t>
            </w:r>
          </w:p>
        </w:tc>
      </w:tr>
    </w:tbl>
    <w:p>
      <w:pPr>
        <w:sectPr>
          <w:pgSz w:w="11900" w:h="16838" w:orient="portrait"/>
          <w:cols w:equalWidth="0" w:num="4">
            <w:col w:w="540" w:space="360"/>
            <w:col w:w="5620" w:space="360"/>
            <w:col w:w="600" w:space="300"/>
            <w:col w:w="3220"/>
          </w:cols>
          <w:pgMar w:left="560" w:top="1133" w:right="339" w:bottom="1440" w:gutter="0" w:footer="0" w:header="0"/>
        </w:sectPr>
      </w:pPr>
    </w:p>
    <w:bookmarkStart w:id="129" w:name="page130"/>
    <w:bookmarkEnd w:id="129"/>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19"/>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23"/>
        </w:trPr>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20" w:type="dxa"/>
            <w:vAlign w:val="bottom"/>
            <w:gridSpan w:val="1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60" w:type="dxa"/>
            <w:vAlign w:val="bottom"/>
            <w:tcBorders>
              <w:bottom w:val="single" w:sz="8" w:color="0000FF"/>
            </w:tcBorders>
            <w:gridSpan w:val="21"/>
          </w:tcPr>
          <w:p>
            <w:pPr>
              <w:spacing w:after="0" w:line="172" w:lineRule="exact"/>
              <w:rPr>
                <w:rFonts w:ascii="Times New Roman" w:cs="Times New Roman" w:eastAsia="Times New Roman" w:hAnsi="Times New Roman"/>
                <w:sz w:val="17"/>
                <w:szCs w:val="17"/>
                <w:color w:val="0000FF"/>
                <w:w w:val="98"/>
              </w:rPr>
            </w:pPr>
            <w:hyperlink r:id="rId227">
              <w:r>
                <w:rPr>
                  <w:rFonts w:ascii="Times New Roman" w:cs="Times New Roman" w:eastAsia="Times New Roman" w:hAnsi="Times New Roman"/>
                  <w:sz w:val="17"/>
                  <w:szCs w:val="17"/>
                  <w:color w:val="0000FF"/>
                  <w:w w:val="98"/>
                </w:rPr>
                <w:t>Amendment No. 2 to the Interval Leisure Group, Inc. 2013 Stock and Incentive</w:t>
              </w:r>
            </w:hyperlink>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20" w:type="dxa"/>
            <w:vAlign w:val="bottom"/>
            <w:gridSpan w:val="24"/>
            <w:vMerge w:val="restart"/>
          </w:tcPr>
          <w:p>
            <w:pPr>
              <w:spacing w:after="0" w:line="146"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Compensation Plan, dated February 25, 2018</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6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w w:val="98"/>
              </w:rPr>
            </w:pPr>
            <w:hyperlink r:id="rId228">
              <w:r>
                <w:rPr>
                  <w:rFonts w:ascii="Times New Roman" w:cs="Times New Roman" w:eastAsia="Times New Roman" w:hAnsi="Times New Roman"/>
                  <w:sz w:val="17"/>
                  <w:szCs w:val="17"/>
                  <w:color w:val="0000FF"/>
                  <w:w w:val="98"/>
                </w:rPr>
                <w:t>2020 Amended and Restated Employment Agreement between Marriott Vacations</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20" w:type="dxa"/>
            <w:vAlign w:val="bottom"/>
            <w:gridSpan w:val="24"/>
            <w:vMerge w:val="restart"/>
          </w:tcPr>
          <w:p>
            <w:pPr>
              <w:spacing w:after="0" w:line="146"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Worldwide Corporation and Jeanette E. Marbert</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20" w:type="dxa"/>
            <w:vAlign w:val="bottom"/>
            <w:gridSpan w:val="24"/>
          </w:tcPr>
          <w:p>
            <w:pPr>
              <w:spacing w:after="0"/>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2020 Salary Reduction Agreement between Marriott Vacations Worldwide</w:t>
              </w:r>
            </w:hyperlink>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20" w:type="dxa"/>
            <w:vAlign w:val="bottom"/>
            <w:tcBorders>
              <w:top w:val="single" w:sz="8" w:color="0000FF"/>
            </w:tcBorders>
            <w:gridSpan w:val="18"/>
            <w:vMerge w:val="restart"/>
          </w:tcPr>
          <w:p>
            <w:pPr>
              <w:spacing w:after="0" w:line="146"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Corporation and Jeanette E. Marbert</w:t>
              </w:r>
              <w:r>
                <w:rPr>
                  <w:rFonts w:ascii="Times New Roman" w:cs="Times New Roman" w:eastAsia="Times New Roman" w:hAnsi="Times New Roman"/>
                  <w:sz w:val="16"/>
                  <w:szCs w:val="16"/>
                  <w:color w:val="000000"/>
                </w:rPr>
                <w:t>*</w:t>
              </w:r>
            </w:hyperlink>
          </w:p>
        </w:tc>
        <w:tc>
          <w:tcPr>
            <w:tcW w:w="600" w:type="dxa"/>
            <w:vAlign w:val="bottom"/>
            <w:gridSpan w:val="6"/>
            <w:vMerge w:val="restart"/>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20" w:type="dxa"/>
            <w:vAlign w:val="bottom"/>
            <w:gridSpan w:val="18"/>
            <w:vMerge w:val="continue"/>
          </w:tcPr>
          <w:p>
            <w:pPr>
              <w:spacing w:after="0"/>
              <w:rPr>
                <w:sz w:val="3"/>
                <w:szCs w:val="3"/>
                <w:color w:val="auto"/>
              </w:rPr>
            </w:pPr>
          </w:p>
        </w:tc>
        <w:tc>
          <w:tcPr>
            <w:tcW w:w="6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8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w w:val="98"/>
              </w:rPr>
            </w:pPr>
            <w:hyperlink r:id="rId230">
              <w:r>
                <w:rPr>
                  <w:rFonts w:ascii="Times New Roman" w:cs="Times New Roman" w:eastAsia="Times New Roman" w:hAnsi="Times New Roman"/>
                  <w:sz w:val="17"/>
                  <w:szCs w:val="17"/>
                  <w:color w:val="0000FF"/>
                  <w:w w:val="98"/>
                </w:rPr>
                <w:t>Amended and Restated Marriott Vacations Worldwide Corporation 2020 Equity</w:t>
              </w:r>
            </w:hyperlink>
          </w:p>
        </w:tc>
        <w:tc>
          <w:tcPr>
            <w:tcW w:w="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20" w:type="dxa"/>
            <w:vAlign w:val="bottom"/>
            <w:gridSpan w:val="24"/>
            <w:vMerge w:val="restart"/>
          </w:tcPr>
          <w:p>
            <w:pPr>
              <w:spacing w:after="0" w:line="146"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Incentive Plan</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w w:val="97"/>
              </w:rPr>
            </w:pPr>
            <w:hyperlink r:id="rId231">
              <w:r>
                <w:rPr>
                  <w:rFonts w:ascii="Times New Roman" w:cs="Times New Roman" w:eastAsia="Times New Roman" w:hAnsi="Times New Roman"/>
                  <w:sz w:val="17"/>
                  <w:szCs w:val="17"/>
                  <w:color w:val="0000FF"/>
                  <w:w w:val="97"/>
                </w:rPr>
                <w:t>Form of Call Option Transaction Confirmation</w:t>
              </w:r>
            </w:hyperlink>
          </w:p>
        </w:tc>
        <w:tc>
          <w:tcPr>
            <w:tcW w:w="24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gridSpan w:val="24"/>
          </w:tcPr>
          <w:p>
            <w:pPr>
              <w:spacing w:after="0"/>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Form of Warrant Confirmation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w w:val="98"/>
              </w:rPr>
            </w:pPr>
            <w:hyperlink r:id="rId233">
              <w:r>
                <w:rPr>
                  <w:rFonts w:ascii="Times New Roman" w:cs="Times New Roman" w:eastAsia="Times New Roman" w:hAnsi="Times New Roman"/>
                  <w:sz w:val="17"/>
                  <w:szCs w:val="17"/>
                  <w:color w:val="0000FF"/>
                  <w:w w:val="98"/>
                </w:rPr>
                <w:t>Form of Base Call Option Transaction Confirmation</w:t>
              </w:r>
            </w:hyperlink>
          </w:p>
        </w:tc>
        <w:tc>
          <w:tcPr>
            <w:tcW w:w="2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w w:val="96"/>
              </w:rPr>
            </w:pPr>
            <w:hyperlink r:id="rId234">
              <w:r>
                <w:rPr>
                  <w:rFonts w:ascii="Times New Roman" w:cs="Times New Roman" w:eastAsia="Times New Roman" w:hAnsi="Times New Roman"/>
                  <w:sz w:val="17"/>
                  <w:szCs w:val="17"/>
                  <w:color w:val="0000FF"/>
                  <w:w w:val="96"/>
                </w:rPr>
                <w:t>Form of Base Warrant Confirmation</w:t>
              </w:r>
            </w:hyperlink>
          </w:p>
        </w:tc>
        <w:tc>
          <w:tcPr>
            <w:tcW w:w="31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gridSpan w:val="24"/>
          </w:tcPr>
          <w:p>
            <w:pPr>
              <w:spacing w:after="0"/>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Form of Stock Appreciation Right Agreement - Marriott Vacations Worldwide</w:t>
              </w:r>
            </w:hyperlink>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80" w:type="dxa"/>
            <w:vAlign w:val="bottom"/>
            <w:tcBorders>
              <w:top w:val="single" w:sz="8" w:color="0000FF"/>
            </w:tcBorders>
            <w:gridSpan w:val="19"/>
            <w:vMerge w:val="restart"/>
          </w:tcPr>
          <w:p>
            <w:pPr>
              <w:spacing w:after="0" w:line="146"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Corporation 2020 Equity Incentive Plan</w:t>
              </w:r>
              <w:r>
                <w:rPr>
                  <w:rFonts w:ascii="Times New Roman" w:cs="Times New Roman" w:eastAsia="Times New Roman" w:hAnsi="Times New Roman"/>
                  <w:sz w:val="16"/>
                  <w:szCs w:val="16"/>
                  <w:color w:val="000000"/>
                </w:rPr>
                <w:t>*</w:t>
              </w:r>
            </w:hyperlink>
          </w:p>
        </w:tc>
        <w:tc>
          <w:tcPr>
            <w:tcW w:w="34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80" w:type="dxa"/>
            <w:vAlign w:val="bottom"/>
            <w:gridSpan w:val="19"/>
            <w:vMerge w:val="continue"/>
          </w:tcPr>
          <w:p>
            <w:pPr>
              <w:spacing w:after="0"/>
              <w:rPr>
                <w:sz w:val="3"/>
                <w:szCs w:val="3"/>
                <w:color w:val="auto"/>
              </w:rPr>
            </w:pPr>
          </w:p>
        </w:tc>
        <w:tc>
          <w:tcPr>
            <w:tcW w:w="3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w w:val="98"/>
              </w:rPr>
            </w:pPr>
            <w:hyperlink r:id="rId236">
              <w:r>
                <w:rPr>
                  <w:rFonts w:ascii="Times New Roman" w:cs="Times New Roman" w:eastAsia="Times New Roman" w:hAnsi="Times New Roman"/>
                  <w:sz w:val="17"/>
                  <w:szCs w:val="17"/>
                  <w:color w:val="0000FF"/>
                  <w:w w:val="98"/>
                </w:rPr>
                <w:t>Form of Restricted Stock Unit Agreement - Marriott Vacations Worldwide</w:t>
              </w:r>
            </w:hyperlink>
          </w:p>
        </w:tc>
        <w:tc>
          <w:tcPr>
            <w:tcW w:w="6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20" w:type="dxa"/>
            <w:vAlign w:val="bottom"/>
            <w:gridSpan w:val="24"/>
            <w:vMerge w:val="restart"/>
          </w:tcPr>
          <w:p>
            <w:pPr>
              <w:spacing w:after="0" w:line="146"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Corporation 2020 Equity Incentive Plan</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20" w:type="dxa"/>
            <w:vAlign w:val="bottom"/>
            <w:gridSpan w:val="24"/>
          </w:tcPr>
          <w:p>
            <w:pPr>
              <w:spacing w:after="0"/>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Form of Performance Unit Agreement - Marriott Vacations Worldwide</w:t>
              </w:r>
            </w:hyperlink>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760" w:type="dxa"/>
            <w:vAlign w:val="bottom"/>
            <w:tcBorders>
              <w:top w:val="single" w:sz="8" w:color="0000FF"/>
            </w:tcBorders>
            <w:gridSpan w:val="15"/>
            <w:vMerge w:val="restart"/>
          </w:tcPr>
          <w:p>
            <w:pPr>
              <w:spacing w:after="0" w:line="146"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Corporation 2020 Equity Incentive Plan</w:t>
              </w:r>
              <w:r>
                <w:rPr>
                  <w:rFonts w:ascii="Times New Roman" w:cs="Times New Roman" w:eastAsia="Times New Roman" w:hAnsi="Times New Roman"/>
                  <w:sz w:val="16"/>
                  <w:szCs w:val="16"/>
                  <w:color w:val="000000"/>
                </w:rPr>
                <w:t>*</w:t>
              </w:r>
            </w:hyperlink>
          </w:p>
        </w:tc>
        <w:tc>
          <w:tcPr>
            <w:tcW w:w="860" w:type="dxa"/>
            <w:vAlign w:val="bottom"/>
            <w:gridSpan w:val="9"/>
            <w:vMerge w:val="restart"/>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760" w:type="dxa"/>
            <w:vAlign w:val="bottom"/>
            <w:gridSpan w:val="15"/>
            <w:vMerge w:val="continue"/>
          </w:tcPr>
          <w:p>
            <w:pPr>
              <w:spacing w:after="0"/>
              <w:rPr>
                <w:sz w:val="3"/>
                <w:szCs w:val="3"/>
                <w:color w:val="auto"/>
              </w:rPr>
            </w:pPr>
          </w:p>
        </w:tc>
        <w:tc>
          <w:tcPr>
            <w:tcW w:w="86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20" w:type="dxa"/>
            <w:vAlign w:val="bottom"/>
            <w:gridSpan w:val="24"/>
          </w:tcPr>
          <w:p>
            <w:pPr>
              <w:spacing w:after="0"/>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Form of Stock Appreciation Right Agreement - Marriott Vacations Worldwide</w:t>
              </w:r>
            </w:hyperlink>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80" w:type="dxa"/>
            <w:vAlign w:val="bottom"/>
            <w:tcBorders>
              <w:top w:val="single" w:sz="8" w:color="0000FF"/>
            </w:tcBorders>
            <w:gridSpan w:val="19"/>
            <w:vMerge w:val="restart"/>
          </w:tcPr>
          <w:p>
            <w:pPr>
              <w:spacing w:after="0" w:line="146"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Corporation 2020 Equity Incentive Plan</w:t>
              </w:r>
              <w:r>
                <w:rPr>
                  <w:rFonts w:ascii="Times New Roman" w:cs="Times New Roman" w:eastAsia="Times New Roman" w:hAnsi="Times New Roman"/>
                  <w:sz w:val="16"/>
                  <w:szCs w:val="16"/>
                  <w:color w:val="000000"/>
                </w:rPr>
                <w:t>*</w:t>
              </w:r>
            </w:hyperlink>
          </w:p>
        </w:tc>
        <w:tc>
          <w:tcPr>
            <w:tcW w:w="34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80" w:type="dxa"/>
            <w:vAlign w:val="bottom"/>
            <w:gridSpan w:val="19"/>
            <w:vMerge w:val="continue"/>
          </w:tcPr>
          <w:p>
            <w:pPr>
              <w:spacing w:after="0"/>
              <w:rPr>
                <w:sz w:val="3"/>
                <w:szCs w:val="3"/>
                <w:color w:val="auto"/>
              </w:rPr>
            </w:pPr>
          </w:p>
        </w:tc>
        <w:tc>
          <w:tcPr>
            <w:tcW w:w="3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w w:val="98"/>
              </w:rPr>
            </w:pPr>
            <w:hyperlink r:id="rId239">
              <w:r>
                <w:rPr>
                  <w:rFonts w:ascii="Times New Roman" w:cs="Times New Roman" w:eastAsia="Times New Roman" w:hAnsi="Times New Roman"/>
                  <w:sz w:val="17"/>
                  <w:szCs w:val="17"/>
                  <w:color w:val="0000FF"/>
                  <w:w w:val="98"/>
                </w:rPr>
                <w:t>Form of Restricted Stock Unit Agreement - Marriott Vacations Worldwide</w:t>
              </w:r>
            </w:hyperlink>
          </w:p>
        </w:tc>
        <w:tc>
          <w:tcPr>
            <w:tcW w:w="6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20" w:type="dxa"/>
            <w:vAlign w:val="bottom"/>
            <w:gridSpan w:val="24"/>
            <w:vMerge w:val="restart"/>
          </w:tcPr>
          <w:p>
            <w:pPr>
              <w:spacing w:after="0" w:line="146"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Corporation 2020 Equity Incentive Plan</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20" w:type="dxa"/>
            <w:vAlign w:val="bottom"/>
            <w:gridSpan w:val="24"/>
          </w:tcPr>
          <w:p>
            <w:pPr>
              <w:spacing w:after="0"/>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Form of Performance Unit Agreement - Marriott Vacations Worldwide</w:t>
              </w:r>
            </w:hyperlink>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760" w:type="dxa"/>
            <w:vAlign w:val="bottom"/>
            <w:tcBorders>
              <w:top w:val="single" w:sz="8" w:color="0000FF"/>
            </w:tcBorders>
            <w:gridSpan w:val="15"/>
            <w:vMerge w:val="restart"/>
          </w:tcPr>
          <w:p>
            <w:pPr>
              <w:spacing w:after="0" w:line="146"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Corporation 2020 Equity Incentive Plan</w:t>
              </w:r>
              <w:r>
                <w:rPr>
                  <w:rFonts w:ascii="Times New Roman" w:cs="Times New Roman" w:eastAsia="Times New Roman" w:hAnsi="Times New Roman"/>
                  <w:sz w:val="16"/>
                  <w:szCs w:val="16"/>
                  <w:color w:val="000000"/>
                </w:rPr>
                <w:t>*</w:t>
              </w:r>
            </w:hyperlink>
          </w:p>
        </w:tc>
        <w:tc>
          <w:tcPr>
            <w:tcW w:w="860" w:type="dxa"/>
            <w:vAlign w:val="bottom"/>
            <w:gridSpan w:val="9"/>
            <w:vMerge w:val="restart"/>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760" w:type="dxa"/>
            <w:vAlign w:val="bottom"/>
            <w:gridSpan w:val="15"/>
            <w:vMerge w:val="continue"/>
          </w:tcPr>
          <w:p>
            <w:pPr>
              <w:spacing w:after="0"/>
              <w:rPr>
                <w:sz w:val="3"/>
                <w:szCs w:val="3"/>
                <w:color w:val="auto"/>
              </w:rPr>
            </w:pPr>
          </w:p>
        </w:tc>
        <w:tc>
          <w:tcPr>
            <w:tcW w:w="8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u w:val="single" w:color="auto"/>
                <w:color w:val="0000FF"/>
                <w:w w:val="96"/>
              </w:rPr>
              <w:t>Insider</w:t>
            </w:r>
            <w:r>
              <w:rPr>
                <w:rFonts w:ascii="Times New Roman" w:cs="Times New Roman" w:eastAsia="Times New Roman" w:hAnsi="Times New Roman"/>
                <w:sz w:val="17"/>
                <w:szCs w:val="17"/>
                <w:color w:val="0000FF"/>
                <w:w w:val="96"/>
              </w:rPr>
              <w:t xml:space="preserve"> trading policies and procedures</w:t>
            </w:r>
          </w:p>
        </w:tc>
        <w:tc>
          <w:tcPr>
            <w:tcW w:w="30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w w:val="97"/>
              </w:rPr>
              <w:t>Subsidiaries of Marriott Vacations Worldwide Corporation</w:t>
            </w:r>
          </w:p>
        </w:tc>
        <w:tc>
          <w:tcPr>
            <w:tcW w:w="1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w w:val="98"/>
              </w:rPr>
            </w:pPr>
            <w:hyperlink r:id="rId241">
              <w:r>
                <w:rPr>
                  <w:rFonts w:ascii="Times New Roman" w:cs="Times New Roman" w:eastAsia="Times New Roman" w:hAnsi="Times New Roman"/>
                  <w:sz w:val="17"/>
                  <w:szCs w:val="17"/>
                  <w:color w:val="0000FF"/>
                  <w:w w:val="98"/>
                </w:rPr>
                <w:t>List of the Issuer and its Guarantor Subsidiaries</w:t>
              </w:r>
            </w:hyperlink>
          </w:p>
        </w:tc>
        <w:tc>
          <w:tcPr>
            <w:tcW w:w="2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5"/>
              </w:rPr>
              <w:t>Consent of Ernst &amp; Young LLP</w:t>
            </w:r>
          </w:p>
        </w:tc>
        <w:tc>
          <w:tcPr>
            <w:tcW w:w="35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Powers of Attorney (included on the signature pages hereto)</w:t>
            </w: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80" w:type="dxa"/>
            <w:vAlign w:val="bottom"/>
            <w:tcBorders>
              <w:bottom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17"/>
                <w:szCs w:val="17"/>
                <w:color w:val="0000FF"/>
                <w:w w:val="98"/>
              </w:rPr>
              <w:t>Certification of Chief Executive Officer pursuant to Rule 13a-14(a) of the</w:t>
            </w:r>
          </w:p>
        </w:tc>
        <w:tc>
          <w:tcPr>
            <w:tcW w:w="6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Securities Exchange Act of 1934</w:t>
            </w:r>
          </w:p>
        </w:tc>
        <w:tc>
          <w:tcPr>
            <w:tcW w:w="3420" w:type="dxa"/>
            <w:vAlign w:val="bottom"/>
            <w:gridSpan w:val="19"/>
            <w:vMerge w:val="restart"/>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0" w:type="dxa"/>
            <w:vAlign w:val="bottom"/>
            <w:tcBorders>
              <w:bottom w:val="single" w:sz="8" w:color="0000FF"/>
            </w:tcBorders>
            <w:gridSpan w:val="5"/>
            <w:vMerge w:val="continue"/>
          </w:tcPr>
          <w:p>
            <w:pPr>
              <w:spacing w:after="0"/>
              <w:rPr>
                <w:sz w:val="3"/>
                <w:szCs w:val="3"/>
                <w:color w:val="auto"/>
              </w:rPr>
            </w:pPr>
          </w:p>
        </w:tc>
        <w:tc>
          <w:tcPr>
            <w:tcW w:w="342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 13a-14(a) of the</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920" w:type="dxa"/>
            <w:vAlign w:val="bottom"/>
            <w:tcBorders>
              <w:top w:val="single" w:sz="8" w:color="0000FF"/>
            </w:tcBorders>
            <w:gridSpan w:val="16"/>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Securities Exchange Act of 1934</w:t>
            </w:r>
          </w:p>
        </w:tc>
        <w:tc>
          <w:tcPr>
            <w:tcW w:w="700" w:type="dxa"/>
            <w:vAlign w:val="bottom"/>
            <w:gridSpan w:val="8"/>
            <w:vMerge w:val="restart"/>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920" w:type="dxa"/>
            <w:vAlign w:val="bottom"/>
            <w:gridSpan w:val="16"/>
            <w:vMerge w:val="continue"/>
          </w:tcPr>
          <w:p>
            <w:pPr>
              <w:spacing w:after="0"/>
              <w:rPr>
                <w:sz w:val="3"/>
                <w:szCs w:val="3"/>
                <w:color w:val="auto"/>
              </w:rPr>
            </w:pPr>
          </w:p>
        </w:tc>
        <w:tc>
          <w:tcPr>
            <w:tcW w:w="70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Certification by Chief Executive Officer Pursuant to 18 U.S.C. Section 1350, as</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0" w:type="dxa"/>
            <w:vAlign w:val="bottom"/>
            <w:tcBorders>
              <w:top w:val="single" w:sz="8" w:color="0000FF"/>
            </w:tcBorders>
            <w:gridSpan w:val="14"/>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780" w:type="dxa"/>
            <w:vAlign w:val="bottom"/>
            <w:tcBorders>
              <w:top w:val="single" w:sz="8" w:color="0000FF"/>
            </w:tcBorders>
            <w:gridSpan w:val="8"/>
            <w:vMerge w:val="restart"/>
          </w:tcPr>
          <w:p>
            <w:pPr>
              <w:spacing w:after="0"/>
              <w:rPr>
                <w:sz w:val="9"/>
                <w:szCs w:val="9"/>
                <w:color w:val="auto"/>
              </w:rPr>
            </w:pPr>
          </w:p>
        </w:tc>
        <w:tc>
          <w:tcPr>
            <w:tcW w:w="2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0" w:type="dxa"/>
            <w:vAlign w:val="bottom"/>
            <w:tcBorders>
              <w:bottom w:val="single" w:sz="8" w:color="0000FF"/>
            </w:tcBorders>
            <w:gridSpan w:val="14"/>
            <w:vMerge w:val="continue"/>
          </w:tcPr>
          <w:p>
            <w:pPr>
              <w:spacing w:after="0"/>
              <w:rPr>
                <w:sz w:val="3"/>
                <w:szCs w:val="3"/>
                <w:color w:val="auto"/>
              </w:rPr>
            </w:pPr>
          </w:p>
        </w:tc>
        <w:tc>
          <w:tcPr>
            <w:tcW w:w="780" w:type="dxa"/>
            <w:vAlign w:val="bottom"/>
            <w:gridSpan w:val="8"/>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w w:val="98"/>
              </w:rPr>
              <w:t>Certification by Chief Financial Officer Pursuant to 18 U.S.C. Section 1350, as</w:t>
            </w:r>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0" w:type="dxa"/>
            <w:vAlign w:val="bottom"/>
            <w:gridSpan w:val="14"/>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1020" w:type="dxa"/>
            <w:vAlign w:val="bottom"/>
            <w:gridSpan w:val="10"/>
            <w:vMerge w:val="restart"/>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0" w:type="dxa"/>
            <w:vAlign w:val="bottom"/>
            <w:tcBorders>
              <w:bottom w:val="single" w:sz="8" w:color="0000FF"/>
            </w:tcBorders>
            <w:gridSpan w:val="14"/>
            <w:vMerge w:val="continue"/>
          </w:tcPr>
          <w:p>
            <w:pPr>
              <w:spacing w:after="0"/>
              <w:rPr>
                <w:sz w:val="3"/>
                <w:szCs w:val="3"/>
                <w:color w:val="auto"/>
              </w:rPr>
            </w:pPr>
          </w:p>
        </w:tc>
        <w:tc>
          <w:tcPr>
            <w:tcW w:w="102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Policy Relating to Recovery of Erroneously Awarded Compensation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-4632325</wp:posOffset>
            </wp:positionV>
            <wp:extent cx="7139940" cy="251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2">
                      <a:extLst>
                        <a:ext uri="{28A0092B-C50C-407E-A947-70E740481C1C}"/>
                      </a:extLst>
                    </a:blip>
                    <a:srcRect/>
                    <a:stretch>
                      <a:fillRect/>
                    </a:stretch>
                  </pic:blipFill>
                  <pic:spPr bwMode="auto">
                    <a:xfrm>
                      <a:off x="0" y="0"/>
                      <a:ext cx="7139940"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-4128770</wp:posOffset>
            </wp:positionV>
            <wp:extent cx="7139940" cy="2514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3">
                      <a:extLst>
                        <a:ext uri="{28A0092B-C50C-407E-A947-70E740481C1C}"/>
                      </a:extLst>
                    </a:blip>
                    <a:srcRect/>
                    <a:stretch>
                      <a:fillRect/>
                    </a:stretch>
                  </pic:blipFill>
                  <pic:spPr bwMode="auto">
                    <a:xfrm>
                      <a:off x="0" y="0"/>
                      <a:ext cx="7139940"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-3739515</wp:posOffset>
            </wp:positionV>
            <wp:extent cx="7139940" cy="1377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4">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-3463925</wp:posOffset>
            </wp:positionV>
            <wp:extent cx="7139940" cy="1377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5">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-3074035</wp:posOffset>
            </wp:positionV>
            <wp:extent cx="7139940" cy="2514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extLst>
                        <a:ext uri="{28A0092B-C50C-407E-A947-70E740481C1C}"/>
                      </a:extLst>
                    </a:blip>
                    <a:srcRect/>
                    <a:stretch>
                      <a:fillRect/>
                    </a:stretch>
                  </pic:blipFill>
                  <pic:spPr bwMode="auto">
                    <a:xfrm>
                      <a:off x="0" y="0"/>
                      <a:ext cx="7139940"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-2571115</wp:posOffset>
            </wp:positionV>
            <wp:extent cx="7139940" cy="2514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extLst>
                        <a:ext uri="{28A0092B-C50C-407E-A947-70E740481C1C}"/>
                      </a:extLst>
                    </a:blip>
                    <a:srcRect/>
                    <a:stretch>
                      <a:fillRect/>
                    </a:stretch>
                  </pic:blipFill>
                  <pic:spPr bwMode="auto">
                    <a:xfrm>
                      <a:off x="0" y="0"/>
                      <a:ext cx="7139940"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-2068195</wp:posOffset>
            </wp:positionV>
            <wp:extent cx="7139940" cy="2514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8">
                      <a:extLst>
                        <a:ext uri="{28A0092B-C50C-407E-A947-70E740481C1C}"/>
                      </a:extLst>
                    </a:blip>
                    <a:srcRect/>
                    <a:stretch>
                      <a:fillRect/>
                    </a:stretch>
                  </pic:blipFill>
                  <pic:spPr bwMode="auto">
                    <a:xfrm>
                      <a:off x="0" y="0"/>
                      <a:ext cx="7139940"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-1678940</wp:posOffset>
            </wp:positionV>
            <wp:extent cx="7139940" cy="1377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9">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-1402715</wp:posOffset>
            </wp:positionV>
            <wp:extent cx="7139940" cy="1377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0">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-1127125</wp:posOffset>
            </wp:positionV>
            <wp:extent cx="7139940" cy="2514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1">
                      <a:extLst>
                        <a:ext uri="{28A0092B-C50C-407E-A947-70E740481C1C}"/>
                      </a:extLst>
                    </a:blip>
                    <a:srcRect/>
                    <a:stretch>
                      <a:fillRect/>
                    </a:stretch>
                  </pic:blipFill>
                  <pic:spPr bwMode="auto">
                    <a:xfrm>
                      <a:off x="0" y="0"/>
                      <a:ext cx="7139940"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-624205</wp:posOffset>
            </wp:positionV>
            <wp:extent cx="7139940" cy="2514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2">
                      <a:extLst>
                        <a:ext uri="{28A0092B-C50C-407E-A947-70E740481C1C}"/>
                      </a:extLst>
                    </a:blip>
                    <a:srcRect/>
                    <a:stretch>
                      <a:fillRect/>
                    </a:stretch>
                  </pic:blipFill>
                  <pic:spPr bwMode="auto">
                    <a:xfrm>
                      <a:off x="0" y="0"/>
                      <a:ext cx="7139940"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1377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3">
                      <a:extLst>
                        <a:ext uri="{28A0092B-C50C-407E-A947-70E740481C1C}"/>
                      </a:extLst>
                    </a:blip>
                    <a:srcRect/>
                    <a:stretch>
                      <a:fillRect/>
                    </a:stretch>
                  </pic:blipFill>
                  <pic:spPr bwMode="auto">
                    <a:xfrm>
                      <a:off x="0" y="0"/>
                      <a:ext cx="7139940"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34290</wp:posOffset>
            </wp:positionV>
            <wp:extent cx="6248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Date Filed</w:t>
            </w:r>
          </w:p>
        </w:tc>
      </w:tr>
      <w:tr>
        <w:trPr>
          <w:trHeight w:val="300"/>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10-Q</w:t>
            </w:r>
            <w:r>
              <w:rPr>
                <w:rFonts w:ascii="Times New Roman" w:cs="Times New Roman" w:eastAsia="Times New Roman" w:hAnsi="Times New Roman"/>
                <w:sz w:val="9"/>
                <w:szCs w:val="9"/>
                <w:color w:val="auto"/>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5/4/2018</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2/27/2024</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2/27/2024</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8/2/2024</w:t>
            </w:r>
          </w:p>
        </w:tc>
      </w:tr>
      <w:tr>
        <w:trPr>
          <w:trHeight w:val="30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r>
      <w:tr>
        <w:trPr>
          <w:trHeight w:val="217"/>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r>
      <w:tr>
        <w:trPr>
          <w:trHeight w:val="217"/>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r>
      <w:tr>
        <w:trPr>
          <w:trHeight w:val="222"/>
        </w:trPr>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r>
      <w:tr>
        <w:trPr>
          <w:trHeight w:val="307"/>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2/27/2024</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2/27/2024</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2/27/2024</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5/7/2024</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5/7/2024</w:t>
            </w:r>
          </w:p>
        </w:tc>
      </w:tr>
      <w:tr>
        <w:trPr>
          <w:trHeight w:val="39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5/7/2024</w:t>
            </w:r>
          </w:p>
        </w:tc>
      </w:tr>
      <w:tr>
        <w:trPr>
          <w:trHeight w:val="741"/>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Furnished</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Furnished</w:t>
      </w:r>
    </w:p>
    <w:p>
      <w:pPr>
        <w:sectPr>
          <w:pgSz w:w="11900" w:h="16838" w:orient="portrait"/>
          <w:cols w:equalWidth="0" w:num="3">
            <w:col w:w="6820" w:space="300"/>
            <w:col w:w="600" w:space="300"/>
            <w:col w:w="3220"/>
          </w:cols>
          <w:pgMar w:left="320" w:top="1133" w:right="339" w:bottom="1440" w:gutter="0" w:footer="0" w:header="0"/>
        </w:sectPr>
      </w:pPr>
    </w:p>
    <w:bookmarkStart w:id="130" w:name="page131"/>
    <w:bookmarkEnd w:id="130"/>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6407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6">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w:t>
      </w:r>
    </w:p>
    <w:p>
      <w:pPr>
        <w:spacing w:after="0" w:line="2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179"/>
        </w:trPr>
        <w:tc>
          <w:tcPr>
            <w:tcW w:w="21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w w:val="98"/>
              </w:rPr>
              <w:t>Filed</w:t>
            </w:r>
          </w:p>
        </w:tc>
        <w:tc>
          <w:tcPr>
            <w:tcW w:w="3220" w:type="dxa"/>
            <w:vAlign w:val="bottom"/>
            <w:gridSpan w:val="3"/>
          </w:tcPr>
          <w:p>
            <w:pPr>
              <w:ind w:left="50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9"/>
        </w:trPr>
        <w:tc>
          <w:tcPr>
            <w:tcW w:w="2140" w:type="dxa"/>
            <w:vAlign w:val="bottom"/>
            <w:vMerge w:val="continue"/>
          </w:tcPr>
          <w:p>
            <w:pPr>
              <w:spacing w:after="0"/>
              <w:rPr>
                <w:sz w:val="2"/>
                <w:szCs w:val="2"/>
                <w:color w:val="auto"/>
              </w:rPr>
            </w:pPr>
          </w:p>
        </w:tc>
        <w:tc>
          <w:tcPr>
            <w:tcW w:w="2280" w:type="dxa"/>
            <w:vAlign w:val="bottom"/>
            <w:vMerge w:val="restart"/>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w w:val="99"/>
              </w:rPr>
              <w:t>Herewith</w:t>
            </w:r>
          </w:p>
        </w:tc>
        <w:tc>
          <w:tcPr>
            <w:tcW w:w="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140" w:type="dxa"/>
            <w:vAlign w:val="bottom"/>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118"/>
        </w:trPr>
        <w:tc>
          <w:tcPr>
            <w:tcW w:w="21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64255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7">
                      <a:extLst>
                        <a:ext uri="{28A0092B-C50C-407E-A947-70E740481C1C}"/>
                      </a:extLst>
                    </a:blip>
                    <a:srcRect/>
                    <a:stretch>
                      <a:fillRect/>
                    </a:stretch>
                  </pic:blipFill>
                  <pic:spPr bwMode="auto">
                    <a:xfrm>
                      <a:off x="0" y="0"/>
                      <a:ext cx="6425565" cy="8255"/>
                    </a:xfrm>
                    <a:prstGeom prst="rect">
                      <a:avLst/>
                    </a:prstGeom>
                    <a:noFill/>
                  </pic:spPr>
                </pic:pic>
              </a:graphicData>
            </a:graphic>
          </wp:anchor>
        </w:drawing>
      </w:r>
    </w:p>
    <w:p>
      <w:pPr>
        <w:ind w:right="120"/>
        <w:spacing w:after="0" w:line="222" w:lineRule="auto"/>
        <w:rPr>
          <w:sz w:val="20"/>
          <w:szCs w:val="20"/>
          <w:color w:val="auto"/>
        </w:rPr>
      </w:pPr>
      <w:r>
        <w:rPr>
          <w:rFonts w:ascii="Times New Roman" w:cs="Times New Roman" w:eastAsia="Times New Roman" w:hAnsi="Times New Roman"/>
          <w:sz w:val="17"/>
          <w:szCs w:val="17"/>
          <w:color w:val="auto"/>
        </w:rPr>
        <w:t>The following financial information from the Company’s Annual Report on Form 10-K for the year ended December 31, 2024, formatted in Inline Extensible Business Reporting Language (iXBRL) includes: (i) the Consolidated Statements of Income, (ii) the Consolidated Statements of</w:t>
      </w:r>
    </w:p>
    <w:p>
      <w:pPr>
        <w:spacing w:after="0" w:line="1"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7"/>
          <w:szCs w:val="17"/>
          <w:color w:val="auto"/>
        </w:rPr>
        <w:t>Comprehensive Income, (iii) the Consolidated Balance Sheets, (iv) the Consolidated Statements of Cash Flows, (v) the Consolidated Statements of Stockholders’ Equity,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0</wp:posOffset>
            </wp:positionV>
            <wp:extent cx="7139940" cy="1377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8">
                      <a:extLst>
                        <a:ext uri="{28A0092B-C50C-407E-A947-70E740481C1C}"/>
                      </a:extLst>
                    </a:blip>
                    <a:srcRect/>
                    <a:stretch>
                      <a:fillRect/>
                    </a:stretch>
                  </pic:blipFill>
                  <pic:spPr bwMode="auto">
                    <a:xfrm>
                      <a:off x="0" y="0"/>
                      <a:ext cx="7139940" cy="1377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183" w:lineRule="exact"/>
        <w:rPr>
          <w:sz w:val="20"/>
          <w:szCs w:val="20"/>
          <w:color w:val="auto"/>
        </w:rPr>
      </w:pPr>
    </w:p>
    <w:p>
      <w:pPr>
        <w:sectPr>
          <w:pgSz w:w="11900" w:h="16838" w:orient="portrait"/>
          <w:cols w:equalWidth="0" w:num="2">
            <w:col w:w="780" w:space="360"/>
            <w:col w:w="10100"/>
          </w:cols>
          <w:pgMar w:left="320" w:top="1133" w:right="339" w:bottom="1440" w:gutter="0" w:footer="0" w:header="0"/>
        </w:sectPr>
      </w:pPr>
    </w:p>
    <w:p>
      <w:pPr>
        <w:ind w:left="480" w:hanging="290"/>
        <w:spacing w:after="0"/>
        <w:tabs>
          <w:tab w:leader="none" w:pos="4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124" w:lineRule="exact"/>
        <w:rPr>
          <w:sz w:val="20"/>
          <w:szCs w:val="20"/>
          <w:color w:val="auto"/>
        </w:rPr>
      </w:pPr>
    </w:p>
    <w:p>
      <w:pPr>
        <w:ind w:left="480" w:right="160" w:hanging="327"/>
        <w:spacing w:after="0" w:line="183" w:lineRule="auto"/>
        <w:tabs>
          <w:tab w:leader="none" w:pos="48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Schedules have been omitted pursuant to Item 601(b)(2) of Regulation S-K. The Company agrees to furnish supplemental copies to the SEC of any omitted schedule upon request by the SEC.</w:t>
      </w:r>
    </w:p>
    <w:p>
      <w:pPr>
        <w:spacing w:after="0" w:line="23" w:lineRule="exact"/>
        <w:rPr>
          <w:rFonts w:ascii="Times New Roman" w:cs="Times New Roman" w:eastAsia="Times New Roman" w:hAnsi="Times New Roman"/>
          <w:sz w:val="27"/>
          <w:szCs w:val="27"/>
          <w:color w:val="auto"/>
          <w:vertAlign w:val="superscript"/>
        </w:rPr>
      </w:pPr>
    </w:p>
    <w:p>
      <w:pPr>
        <w:ind w:left="480" w:hanging="327"/>
        <w:spacing w:after="0"/>
        <w:tabs>
          <w:tab w:leader="none" w:pos="48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Filing made by ILG, LLC under SEC File No. 001-34062.</w:t>
      </w:r>
    </w:p>
    <w:p>
      <w:pPr>
        <w:spacing w:after="0" w:line="196" w:lineRule="exact"/>
        <w:rPr>
          <w:sz w:val="20"/>
          <w:szCs w:val="20"/>
          <w:color w:val="auto"/>
        </w:rPr>
      </w:pPr>
    </w:p>
    <w:p>
      <w:pPr>
        <w:ind w:left="2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6"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8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05" w:lineRule="exact"/>
        <w:rPr>
          <w:sz w:val="20"/>
          <w:szCs w:val="20"/>
          <w:color w:val="auto"/>
        </w:rPr>
      </w:pPr>
    </w:p>
    <w:p>
      <w:pPr>
        <w:ind w:left="1500"/>
        <w:spacing w:after="0"/>
        <w:tabs>
          <w:tab w:leader="none" w:pos="5080" w:val="left"/>
          <w:tab w:leader="none" w:pos="5500" w:val="left"/>
        </w:tabs>
        <w:rPr>
          <w:sz w:val="20"/>
          <w:szCs w:val="20"/>
          <w:color w:val="auto"/>
        </w:rPr>
      </w:pPr>
      <w:r>
        <w:rPr>
          <w:rFonts w:ascii="Times New Roman" w:cs="Times New Roman" w:eastAsia="Times New Roman" w:hAnsi="Times New Roman"/>
          <w:sz w:val="17"/>
          <w:szCs w:val="17"/>
          <w:color w:val="auto"/>
        </w:rPr>
        <w:t>Date: February 28,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32385</wp:posOffset>
            </wp:positionV>
            <wp:extent cx="27019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0">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KNOW BY ALL PERSONS BY THESE PRESENTS, that each person whose signature appears below constitutes and appoints jointly and severally, John E. Geller, Jr., Jason P. Marino,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7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has been signed by the following persons on our behalf in the capacities and on the date indicated above.</w:t>
      </w:r>
    </w:p>
    <w:p>
      <w:pPr>
        <w:sectPr>
          <w:pgSz w:w="11900" w:h="16838" w:orient="portrait"/>
          <w:cols w:equalWidth="0" w:num="1">
            <w:col w:w="11240"/>
          </w:cols>
          <w:pgMar w:left="320" w:top="1243" w:right="339" w:bottom="1440" w:gutter="0" w:footer="0" w:header="0"/>
        </w:sectPr>
      </w:pPr>
    </w:p>
    <w:p>
      <w:pPr>
        <w:spacing w:after="0" w:line="3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179"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24130</wp:posOffset>
            </wp:positionV>
            <wp:extent cx="24580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1">
                      <a:extLst>
                        <a:ext uri="{28A0092B-C50C-407E-A947-70E740481C1C}"/>
                      </a:extLst>
                    </a:blip>
                    <a:srcRect/>
                    <a:stretch>
                      <a:fillRect/>
                    </a:stretch>
                  </pic:blipFill>
                  <pic:spPr bwMode="auto">
                    <a:xfrm>
                      <a:off x="0" y="0"/>
                      <a:ext cx="2458085" cy="8255"/>
                    </a:xfrm>
                    <a:prstGeom prst="rect">
                      <a:avLst/>
                    </a:prstGeom>
                    <a:noFill/>
                  </pic:spPr>
                </pic:pic>
              </a:graphicData>
            </a:graphic>
          </wp:anchor>
        </w:drawing>
      </w:r>
    </w:p>
    <w:p>
      <w:pPr>
        <w:spacing w:after="0" w:line="27"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pacing w:after="0" w:line="192"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24130</wp:posOffset>
            </wp:positionV>
            <wp:extent cx="24580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2">
                      <a:extLst>
                        <a:ext uri="{28A0092B-C50C-407E-A947-70E740481C1C}"/>
                      </a:extLst>
                    </a:blip>
                    <a:srcRect/>
                    <a:stretch>
                      <a:fillRect/>
                    </a:stretch>
                  </pic:blipFill>
                  <pic:spPr bwMode="auto">
                    <a:xfrm>
                      <a:off x="0" y="0"/>
                      <a:ext cx="2458085" cy="8255"/>
                    </a:xfrm>
                    <a:prstGeom prst="rect">
                      <a:avLst/>
                    </a:prstGeom>
                    <a:noFill/>
                  </pic:spPr>
                </pic:pic>
              </a:graphicData>
            </a:graphic>
          </wp:anchor>
        </w:drawing>
      </w:r>
    </w:p>
    <w:p>
      <w:pPr>
        <w:spacing w:after="0" w:line="27"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7"/>
          <w:szCs w:val="17"/>
          <w:color w:val="auto"/>
        </w:rPr>
        <w:t>Jason P. Marino</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pacing w:after="0" w:line="192"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7"/>
          <w:szCs w:val="17"/>
          <w:color w:val="auto"/>
        </w:rPr>
        <w:t>/s/ Kathleen A. Pighini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24130</wp:posOffset>
            </wp:positionV>
            <wp:extent cx="24580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3">
                      <a:extLst>
                        <a:ext uri="{28A0092B-C50C-407E-A947-70E740481C1C}"/>
                      </a:extLst>
                    </a:blip>
                    <a:srcRect/>
                    <a:stretch>
                      <a:fillRect/>
                    </a:stretch>
                  </pic:blipFill>
                  <pic:spPr bwMode="auto">
                    <a:xfrm>
                      <a:off x="0" y="0"/>
                      <a:ext cx="2458085" cy="8255"/>
                    </a:xfrm>
                    <a:prstGeom prst="rect">
                      <a:avLst/>
                    </a:prstGeom>
                    <a:noFill/>
                  </pic:spPr>
                </pic:pic>
              </a:graphicData>
            </a:graphic>
          </wp:anchor>
        </w:drawing>
      </w:r>
    </w:p>
    <w:p>
      <w:pPr>
        <w:spacing w:after="0" w:line="27"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7"/>
          <w:szCs w:val="17"/>
          <w:color w:val="auto"/>
        </w:rPr>
        <w:t>Kathleen A. Pighini</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92"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15875</wp:posOffset>
            </wp:positionV>
            <wp:extent cx="25717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7"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6"/>
          <w:szCs w:val="16"/>
          <w:color w:val="auto"/>
        </w:rPr>
        <w:t>William J. Shaw, Director, Chairman</w:t>
      </w:r>
    </w:p>
    <w:p>
      <w:pPr>
        <w:spacing w:after="0" w:line="263"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15875</wp:posOffset>
            </wp:positionV>
            <wp:extent cx="25717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7"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C.E. Andrews, Director</w:t>
      </w:r>
    </w:p>
    <w:p>
      <w:pPr>
        <w:spacing w:after="0" w:line="252"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15875</wp:posOffset>
            </wp:positionV>
            <wp:extent cx="25717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7"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Lizanne Galbreath, Director</w:t>
      </w:r>
    </w:p>
    <w:p>
      <w:pPr>
        <w:spacing w:after="0" w:line="252"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/s/ Mary E. Galligan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15875</wp:posOffset>
            </wp:positionV>
            <wp:extent cx="25717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7"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Mary E. Galligan, Director</w:t>
      </w:r>
    </w:p>
    <w:p>
      <w:pPr>
        <w:spacing w:after="0" w:line="252"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15875</wp:posOffset>
            </wp:positionV>
            <wp:extent cx="25717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7"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7"/>
          <w:szCs w:val="17"/>
          <w:color w:val="auto"/>
        </w:rPr>
        <w:t>Raymond L. Gellein, Jr.,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480"/>
        <w:spacing w:after="0" w:line="238" w:lineRule="auto"/>
        <w:rPr>
          <w:sz w:val="20"/>
          <w:szCs w:val="20"/>
          <w:color w:val="auto"/>
        </w:rPr>
      </w:pPr>
      <w:r>
        <w:rPr>
          <w:rFonts w:ascii="Times New Roman" w:cs="Times New Roman" w:eastAsia="Times New Roman" w:hAnsi="Times New Roman"/>
          <w:sz w:val="17"/>
          <w:szCs w:val="17"/>
          <w:color w:val="auto"/>
        </w:rPr>
        <w:t>Senior Vice President, Corporate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/s/ Jonice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15875</wp:posOffset>
            </wp:positionV>
            <wp:extent cx="25800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Jonice M. Gray, Director</w:t>
      </w:r>
    </w:p>
    <w:p>
      <w:pPr>
        <w:spacing w:after="0" w:line="25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15875</wp:posOffset>
            </wp:positionV>
            <wp:extent cx="25800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Melquiades R. Martinez, Director</w:t>
      </w:r>
    </w:p>
    <w:p>
      <w:pPr>
        <w:spacing w:after="0" w:line="25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15875</wp:posOffset>
            </wp:positionV>
            <wp:extent cx="25800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William W. McCarten, Director</w:t>
      </w:r>
    </w:p>
    <w:p>
      <w:pPr>
        <w:spacing w:after="0" w:line="25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15875</wp:posOffset>
            </wp:positionV>
            <wp:extent cx="25800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Dianna F. Morgan, Director</w:t>
      </w:r>
    </w:p>
    <w:p>
      <w:pPr>
        <w:spacing w:after="0" w:line="25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15875</wp:posOffset>
            </wp:positionV>
            <wp:extent cx="25800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Stephen R. Quazzo, Director</w:t>
      </w:r>
    </w:p>
    <w:p>
      <w:pPr>
        <w:spacing w:after="0" w:line="200" w:lineRule="exact"/>
        <w:rPr>
          <w:sz w:val="20"/>
          <w:szCs w:val="20"/>
          <w:color w:val="auto"/>
        </w:rPr>
      </w:pPr>
    </w:p>
    <w:p>
      <w:pPr>
        <w:sectPr>
          <w:pgSz w:w="11900" w:h="16838" w:orient="portrait"/>
          <w:cols w:equalWidth="0" w:num="2">
            <w:col w:w="4780" w:space="720"/>
            <w:col w:w="5740"/>
          </w:cols>
          <w:pgMar w:left="320" w:top="12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240"/>
          </w:cols>
          <w:pgMar w:left="320" w:top="1243"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MARRIOTT VACATIONS WORLDWIDE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CHANGE IN CONTROL SEVERANCE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Originally Effective January 27, 2012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Effective February 19, 2025</w:t>
      </w:r>
    </w:p>
    <w:p>
      <w:pPr>
        <w:spacing w:after="0" w:line="221"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20"/>
          <w:szCs w:val="20"/>
          <w:color w:val="auto"/>
        </w:rPr>
        <w:t>THIS MARRIOTT VACATIONS WORLDWIDE CORPORATION CHANGE IN CONTROL SEVERANCE PLAN, adopted by Marriott Vacations Worldwide Corporation, a Delaware corporation, is hereby established to provide for the payment of severance benefits to certain of its key Executives in the event of certain terminations of employment following a Change in Control (as defined herein). The primary purposes of the Plan are to (i) motivate executives to drive business success independent of the possible occurrence of a Change in Control and reduce distractions associated with a potential Change in Control, and (ii) maximize shareholder value by retaining key Executives through the closing of a Change in Control.</w:t>
      </w:r>
    </w:p>
    <w:p>
      <w:pPr>
        <w:spacing w:after="0" w:line="162"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Unless the context clearly indicates otherwise, when used in this Plan:</w:t>
      </w:r>
    </w:p>
    <w:p>
      <w:pPr>
        <w:spacing w:after="0" w:line="115" w:lineRule="exact"/>
        <w:rPr>
          <w:sz w:val="20"/>
          <w:szCs w:val="20"/>
          <w:color w:val="auto"/>
        </w:rPr>
      </w:pPr>
    </w:p>
    <w:p>
      <w:pPr>
        <w:jc w:val="both"/>
        <w:ind w:left="620" w:firstLine="609"/>
        <w:spacing w:after="0" w:line="272" w:lineRule="auto"/>
        <w:tabs>
          <w:tab w:leader="none" w:pos="18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entity, any other corporation, organization, association, partnership, sole proprietorship or other type of entity, whether incorporated or unincorporated, directly or indirectly controlling or controlled by or under direct or indirect common control with such entity.</w:t>
      </w:r>
    </w:p>
    <w:p>
      <w:pPr>
        <w:spacing w:after="0" w:line="163" w:lineRule="exact"/>
        <w:rPr>
          <w:rFonts w:ascii="Times New Roman" w:cs="Times New Roman" w:eastAsia="Times New Roman" w:hAnsi="Times New Roman"/>
          <w:sz w:val="20"/>
          <w:szCs w:val="20"/>
          <w:color w:val="auto"/>
        </w:rPr>
      </w:pPr>
    </w:p>
    <w:p>
      <w:pPr>
        <w:jc w:val="both"/>
        <w:ind w:left="620" w:firstLine="609"/>
        <w:spacing w:after="0" w:line="263" w:lineRule="auto"/>
        <w:tabs>
          <w:tab w:leader="none" w:pos="184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means Executive’s annual rate of base salary in effect on the date of Executive’s Termination of Employment (or, if higher, on the date of the Change in Control), determined in each case prior to (i) reduction for any employee-elected salary reduction contributions made to an Employer-sponsored non-qualified deferred compensation plan or an Employer-sponsored plan pursuant to Section 401(k) or 125 of the Code, and excluding bonuses, overtime, allowances, commissions, deferred compensation payments and any other extraordinary remuneration, and (ii) any reduction that is a basis for Executive’s termination for Good Reason.</w:t>
      </w:r>
    </w:p>
    <w:p>
      <w:pPr>
        <w:spacing w:after="0" w:line="161" w:lineRule="exact"/>
        <w:rPr>
          <w:rFonts w:ascii="Times New Roman" w:cs="Times New Roman" w:eastAsia="Times New Roman" w:hAnsi="Times New Roman"/>
          <w:sz w:val="20"/>
          <w:szCs w:val="20"/>
          <w:color w:val="auto"/>
        </w:rPr>
      </w:pPr>
    </w:p>
    <w:p>
      <w:pPr>
        <w:ind w:left="620" w:firstLine="609"/>
        <w:spacing w:after="0" w:line="291" w:lineRule="auto"/>
        <w:tabs>
          <w:tab w:leader="none" w:pos="18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has the meaning ascribed to such term in Rule 13d-3 of the General Rules and Regulations under the Exchange Act.</w:t>
      </w:r>
    </w:p>
    <w:p>
      <w:pPr>
        <w:spacing w:after="0" w:line="132" w:lineRule="exact"/>
        <w:rPr>
          <w:rFonts w:ascii="Times New Roman" w:cs="Times New Roman" w:eastAsia="Times New Roman" w:hAnsi="Times New Roman"/>
          <w:sz w:val="20"/>
          <w:szCs w:val="20"/>
          <w:color w:val="auto"/>
        </w:rPr>
      </w:pPr>
    </w:p>
    <w:p>
      <w:pPr>
        <w:ind w:left="1840" w:hanging="611"/>
        <w:spacing w:after="0"/>
        <w:tabs>
          <w:tab w:leader="none" w:pos="18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7" w:lineRule="exact"/>
        <w:rPr>
          <w:rFonts w:ascii="Times New Roman" w:cs="Times New Roman" w:eastAsia="Times New Roman" w:hAnsi="Times New Roman"/>
          <w:sz w:val="20"/>
          <w:szCs w:val="20"/>
          <w:color w:val="auto"/>
        </w:rPr>
      </w:pPr>
    </w:p>
    <w:p>
      <w:pPr>
        <w:jc w:val="both"/>
        <w:ind w:left="620" w:firstLine="609"/>
        <w:spacing w:after="0" w:line="266" w:lineRule="auto"/>
        <w:tabs>
          <w:tab w:leader="none" w:pos="18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(i) Executive’s conviction of a felony; (ii) an act by Executive which constitutes willful or gross misconduct and which is demonstrably and materially injurious to the Company; or (iii) continued substantial willful violations by Executive of Executive’s employment duties after there has been delivered to Executive a written demand for performance from the Company which specifically sets forth the factual basis for the Company's belief that Executive has not substantially performed his or her duties.</w:t>
      </w:r>
    </w:p>
    <w:p>
      <w:pPr>
        <w:sectPr>
          <w:pgSz w:w="11900" w:h="16838" w:orient="portrait"/>
          <w:cols w:equalWidth="0" w:num="1">
            <w:col w:w="11240"/>
          </w:cols>
          <w:pgMar w:left="320" w:top="12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20" w:hanging="611"/>
        <w:spacing w:after="0"/>
        <w:tabs>
          <w:tab w:leader="none" w:pos="12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and shall be deemed to have occurred if:</w:t>
      </w:r>
    </w:p>
    <w:p>
      <w:pPr>
        <w:spacing w:after="0" w:line="217" w:lineRule="exact"/>
        <w:rPr>
          <w:rFonts w:ascii="Times New Roman" w:cs="Times New Roman" w:eastAsia="Times New Roman" w:hAnsi="Times New Roman"/>
          <w:sz w:val="20"/>
          <w:szCs w:val="20"/>
          <w:color w:val="auto"/>
        </w:rPr>
      </w:pPr>
    </w:p>
    <w:p>
      <w:pPr>
        <w:jc w:val="both"/>
        <w:ind w:left="600" w:firstLine="622"/>
        <w:spacing w:after="0" w:line="262"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directly or indirectly becomes the Beneficial Owner of more than thirty percent (30%) of the 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that, immediately following such transaction, is owned, directly or indirectly, by the stockholders of the Company in substantially the same proportions as their ownership of Company stock immediately prior to such transaction; or</w:t>
      </w:r>
    </w:p>
    <w:p>
      <w:pPr>
        <w:spacing w:after="0" w:line="163" w:lineRule="exact"/>
        <w:rPr>
          <w:rFonts w:ascii="Times New Roman" w:cs="Times New Roman" w:eastAsia="Times New Roman" w:hAnsi="Times New Roman"/>
          <w:sz w:val="20"/>
          <w:szCs w:val="20"/>
          <w:color w:val="auto"/>
        </w:rPr>
      </w:pPr>
    </w:p>
    <w:p>
      <w:pPr>
        <w:jc w:val="both"/>
        <w:ind w:left="600" w:firstLine="622"/>
        <w:spacing w:after="0" w:line="262"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75" w:lineRule="exact"/>
        <w:rPr>
          <w:rFonts w:ascii="Times New Roman" w:cs="Times New Roman" w:eastAsia="Times New Roman" w:hAnsi="Times New Roman"/>
          <w:sz w:val="20"/>
          <w:szCs w:val="20"/>
          <w:color w:val="auto"/>
        </w:rPr>
      </w:pPr>
    </w:p>
    <w:p>
      <w:pPr>
        <w:jc w:val="both"/>
        <w:ind w:left="600" w:firstLine="622"/>
        <w:spacing w:after="0" w:line="269"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Directors cease to represent a majority of the Board, where “Continuing Directors” shall mean the directors of the Board immediately after the date this Plan is adopted, and any other director whose appointment, election or nomination for election by the stockholders is approved by at least a majority of the Continuing Directors at such time; or</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600" w:firstLine="622"/>
        <w:spacing w:after="0" w:line="304"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approve a plan of complete liquidation of the Company or the Company sells or disposes of all or substantially all of its assets.</w:t>
      </w:r>
    </w:p>
    <w:p>
      <w:pPr>
        <w:spacing w:after="0" w:line="120" w:lineRule="exact"/>
        <w:rPr>
          <w:rFonts w:ascii="Times New Roman" w:cs="Times New Roman" w:eastAsia="Times New Roman" w:hAnsi="Times New Roman"/>
          <w:sz w:val="20"/>
          <w:szCs w:val="20"/>
          <w:color w:val="auto"/>
        </w:rPr>
      </w:pPr>
    </w:p>
    <w:p>
      <w:pPr>
        <w:ind w:left="1220" w:hanging="611"/>
        <w:spacing w:after="0"/>
        <w:tabs>
          <w:tab w:leader="none" w:pos="12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means the Consolidated Omnibus Budget Reconciliation Act of 1985, as amended.</w:t>
      </w:r>
    </w:p>
    <w:p>
      <w:pPr>
        <w:spacing w:after="0" w:line="217"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Any reference to a specific provision of the Code includes any successor provision thereto, and the regulations promulgated thereunder.</w:t>
      </w:r>
    </w:p>
    <w:p>
      <w:pPr>
        <w:spacing w:after="0" w:line="132" w:lineRule="exact"/>
        <w:rPr>
          <w:rFonts w:ascii="Times New Roman" w:cs="Times New Roman" w:eastAsia="Times New Roman" w:hAnsi="Times New Roman"/>
          <w:sz w:val="20"/>
          <w:szCs w:val="20"/>
          <w:color w:val="auto"/>
        </w:rPr>
      </w:pPr>
    </w:p>
    <w:p>
      <w:pPr>
        <w:ind w:left="1220" w:hanging="611"/>
        <w:spacing w:after="0"/>
        <w:tabs>
          <w:tab w:leader="none" w:pos="12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committee designated pursuant to Section 6 to administer this Plan.</w:t>
      </w:r>
    </w:p>
    <w:p>
      <w:pPr>
        <w:spacing w:after="0" w:line="229" w:lineRule="exact"/>
        <w:rPr>
          <w:rFonts w:ascii="Times New Roman" w:cs="Times New Roman" w:eastAsia="Times New Roman" w:hAnsi="Times New Roman"/>
          <w:sz w:val="20"/>
          <w:szCs w:val="20"/>
          <w:color w:val="auto"/>
        </w:rPr>
      </w:pPr>
    </w:p>
    <w:p>
      <w:pPr>
        <w:ind w:firstLine="609"/>
        <w:spacing w:after="0" w:line="291" w:lineRule="auto"/>
        <w:tabs>
          <w:tab w:leader="none" w:pos="121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Marriott Vacations Worldwide Corporation, a Delaware corporation and, after a Change in Control, any successor or successors thereto.</w:t>
      </w:r>
    </w:p>
    <w:p>
      <w:pPr>
        <w:sectPr>
          <w:pgSz w:w="11900" w:h="16838" w:orient="portrait"/>
          <w:cols w:equalWidth="0" w:num="1">
            <w:col w:w="10620"/>
          </w:cols>
          <w:pgMar w:left="940" w:top="127" w:right="339" w:bottom="1440" w:gutter="0" w:footer="0" w:header="0"/>
        </w:sectPr>
      </w:pPr>
    </w:p>
    <w:bookmarkStart w:id="134" w:name="page135"/>
    <w:bookmarkEnd w:id="134"/>
    <w:p>
      <w:pPr>
        <w:ind w:left="1052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09"/>
        <w:spacing w:after="0" w:line="291" w:lineRule="auto"/>
        <w:tabs>
          <w:tab w:leader="none" w:pos="12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Company, each of its direct and indirect wholly-owned subsidiaries, and any other Affiliate of the Company that adopts this Plan with the consent of the Board.</w:t>
      </w:r>
    </w:p>
    <w:p>
      <w:pPr>
        <w:spacing w:after="0" w:line="132" w:lineRule="exact"/>
        <w:rPr>
          <w:rFonts w:ascii="Times New Roman" w:cs="Times New Roman" w:eastAsia="Times New Roman" w:hAnsi="Times New Roman"/>
          <w:sz w:val="20"/>
          <w:szCs w:val="20"/>
          <w:color w:val="auto"/>
        </w:rPr>
      </w:pPr>
    </w:p>
    <w:p>
      <w:pPr>
        <w:ind w:firstLine="609"/>
        <w:spacing w:after="0" w:line="304" w:lineRule="auto"/>
        <w:tabs>
          <w:tab w:leader="none" w:pos="121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Any reference to a specific provision of the Exchange Act includes any successor provision thereto, and the regulations promulgated thereunder.</w:t>
      </w:r>
    </w:p>
    <w:p>
      <w:pPr>
        <w:spacing w:after="0" w:line="69" w:lineRule="exact"/>
        <w:rPr>
          <w:rFonts w:ascii="Times New Roman" w:cs="Times New Roman" w:eastAsia="Times New Roman" w:hAnsi="Times New Roman"/>
          <w:sz w:val="20"/>
          <w:szCs w:val="20"/>
          <w:color w:val="auto"/>
        </w:rPr>
      </w:pPr>
    </w:p>
    <w:p>
      <w:pPr>
        <w:jc w:val="both"/>
        <w:ind w:firstLine="609"/>
        <w:spacing w:after="0" w:line="272" w:lineRule="auto"/>
        <w:tabs>
          <w:tab w:leader="none" w:pos="121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means an individual who (i) is employed by the Employer in a position specified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of the day before the day a Change in Control occurs, (ii) has been designated by the Committee to participate in the Plan, and (iii) has executed a Participation Agreement.</w:t>
      </w:r>
    </w:p>
    <w:p>
      <w:pPr>
        <w:spacing w:after="0" w:line="99" w:lineRule="exact"/>
        <w:rPr>
          <w:rFonts w:ascii="Times New Roman" w:cs="Times New Roman" w:eastAsia="Times New Roman" w:hAnsi="Times New Roman"/>
          <w:sz w:val="20"/>
          <w:szCs w:val="20"/>
          <w:color w:val="auto"/>
        </w:rPr>
      </w:pPr>
    </w:p>
    <w:p>
      <w:pPr>
        <w:jc w:val="both"/>
        <w:ind w:firstLine="609"/>
        <w:spacing w:after="0" w:line="258" w:lineRule="auto"/>
        <w:tabs>
          <w:tab w:leader="none" w:pos="12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any of the following actions upon or after a Change in Control, without Executive’s express prior written approval, other than due to Executive’s Total Disability or death: (i) a substantial change in Executive’s status, title, position or responsibilities from Executive’s status, title, position or responsibilities as in effect immediately prior to the Change in Control, other than in connection with the Termination of Executive’s employment for Cause; (ii) a material reduction in Executive’s Base Salary or any failure to pay Executive any compensation or benefits to which Executive is entitled within five days of the date due; (iii) a material reduction in Executive’s annual cash bonus opportunity or the grant date value of equity-type incentive opportunity; (iv) a change in the Executive’s principal place of employment that increases the Executive’s one-way commute by more than 50 miles compared to the Executive’s principal place of employment immediately prior to the Change in Control, except for reasonably required travel on the business of the Company or an Affiliate which is not materially greater than such travel requirements in effect immediately prior thereto; (v) the failure by the Employer to continue in effect employee benefits for Executive no less favorable in the aggregate as in effect immediately prior to the Change in Control; or (vi) the failure of the Company to obtain an agreement from any successors and assigns to assume and agree to perform the obligations created under this Plan. With respect to (i) through (vi) above, Good Reason shall not be deemed to have occurred unless Executive shall have notified the Employer in writing of his or her intent to resign for Good Reason within sixty (60) days following the Executive’s knowledge of the first occurrence of the event constituting Good Reason and the Employer shall not have cured the grounds for Good Reason within thirty (30) days following the provision of such notice.</w:t>
      </w:r>
    </w:p>
    <w:p>
      <w:pPr>
        <w:spacing w:after="0" w:line="120" w:lineRule="exact"/>
        <w:rPr>
          <w:rFonts w:ascii="Times New Roman" w:cs="Times New Roman" w:eastAsia="Times New Roman" w:hAnsi="Times New Roman"/>
          <w:sz w:val="20"/>
          <w:szCs w:val="20"/>
          <w:color w:val="auto"/>
        </w:rPr>
      </w:pPr>
    </w:p>
    <w:p>
      <w:pPr>
        <w:ind w:firstLine="609"/>
        <w:spacing w:after="0" w:line="304" w:lineRule="auto"/>
        <w:tabs>
          <w:tab w:leader="none" w:pos="12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Participation Agreement</w:t>
      </w:r>
      <w:r>
        <w:rPr>
          <w:rFonts w:ascii="Times New Roman" w:cs="Times New Roman" w:eastAsia="Times New Roman" w:hAnsi="Times New Roman"/>
          <w:sz w:val="20"/>
          <w:szCs w:val="20"/>
          <w:color w:val="auto"/>
        </w:rPr>
        <w:t>” means a written agreement between the Company and an Executive providing for Executive’s participation in this Plan.</w:t>
      </w:r>
    </w:p>
    <w:p>
      <w:pPr>
        <w:spacing w:after="0" w:line="69"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have the meaning ascribed to such term in Section 3(a)(9) of the Exchange Act and used in Sections 13(d) and 14(d) thereof, including a “group” as defined in Section 13(d) thereof.</w:t>
      </w:r>
    </w:p>
    <w:p>
      <w:pPr>
        <w:spacing w:after="0" w:line="81" w:lineRule="exact"/>
        <w:rPr>
          <w:rFonts w:ascii="Times New Roman" w:cs="Times New Roman" w:eastAsia="Times New Roman" w:hAnsi="Times New Roman"/>
          <w:sz w:val="20"/>
          <w:szCs w:val="20"/>
          <w:color w:val="auto"/>
        </w:rPr>
      </w:pPr>
    </w:p>
    <w:p>
      <w:pPr>
        <w:ind w:left="1220" w:hanging="611"/>
        <w:spacing w:after="0"/>
        <w:tabs>
          <w:tab w:leader="none" w:pos="12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this Marriott Vacations Worldwide Corporation Change in Control Severance Plan as in effect from</w:t>
      </w:r>
    </w:p>
    <w:p>
      <w:pPr>
        <w:spacing w:after="0" w:line="3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to time.</w:t>
      </w:r>
    </w:p>
    <w:p>
      <w:pPr>
        <w:sectPr>
          <w:pgSz w:w="11900" w:h="16838" w:orient="portrait"/>
          <w:cols w:equalWidth="0" w:num="1">
            <w:col w:w="10620"/>
          </w:cols>
          <w:pgMar w:left="940" w:top="12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firstLine="609"/>
        <w:spacing w:after="0" w:line="291" w:lineRule="auto"/>
        <w:tabs>
          <w:tab w:leader="none" w:pos="122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means a waiver and release, in a form to be prepared by the Company substantially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but as amended from time to time, to be signed by an Executive.</w:t>
      </w:r>
    </w:p>
    <w:p>
      <w:pPr>
        <w:spacing w:after="0" w:line="81" w:lineRule="exact"/>
        <w:rPr>
          <w:rFonts w:ascii="Times New Roman" w:cs="Times New Roman" w:eastAsia="Times New Roman" w:hAnsi="Times New Roman"/>
          <w:sz w:val="20"/>
          <w:szCs w:val="20"/>
          <w:color w:val="auto"/>
        </w:rPr>
      </w:pPr>
    </w:p>
    <w:p>
      <w:pPr>
        <w:jc w:val="both"/>
        <w:ind w:firstLine="609"/>
        <w:spacing w:after="0" w:line="278" w:lineRule="auto"/>
        <w:tabs>
          <w:tab w:leader="none" w:pos="12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corporation, partnership, joint venture, trust or other entity in which the Company has a controlling interest as defined in Treasury Regulation Section 1.414(c)-2(b)(2), except that the threshold interest shall be “more than fifty percent (50%)” instead of “at least eighty percent (80%).”</w:t>
      </w:r>
    </w:p>
    <w:p>
      <w:pPr>
        <w:spacing w:after="0" w:line="95" w:lineRule="exact"/>
        <w:rPr>
          <w:rFonts w:ascii="Times New Roman" w:cs="Times New Roman" w:eastAsia="Times New Roman" w:hAnsi="Times New Roman"/>
          <w:sz w:val="20"/>
          <w:szCs w:val="20"/>
          <w:color w:val="auto"/>
        </w:rPr>
      </w:pPr>
    </w:p>
    <w:p>
      <w:pPr>
        <w:jc w:val="both"/>
        <w:ind w:firstLine="609"/>
        <w:spacing w:after="0" w:line="272" w:lineRule="auto"/>
        <w:tabs>
          <w:tab w:leader="none" w:pos="121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means the greater of (i) Executive’s annual cash target bonus in effect immediately prior to the date a Change in Control occurs, or (ii) Executive’s annual cash target bonus in effect as of the date his or her employment Terminates, in either case assuming full attainment of companywide milestones at target levels.</w:t>
      </w:r>
    </w:p>
    <w:p>
      <w:pPr>
        <w:spacing w:after="0" w:line="112"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means Executive’s “separation from service” from the Company, as determined pursuant to Section 409A of the Code.</w:t>
      </w:r>
    </w:p>
    <w:p>
      <w:pPr>
        <w:spacing w:after="0" w:line="81" w:lineRule="exact"/>
        <w:rPr>
          <w:rFonts w:ascii="Times New Roman" w:cs="Times New Roman" w:eastAsia="Times New Roman" w:hAnsi="Times New Roman"/>
          <w:sz w:val="20"/>
          <w:szCs w:val="20"/>
          <w:color w:val="auto"/>
        </w:rPr>
      </w:pPr>
    </w:p>
    <w:p>
      <w:pPr>
        <w:jc w:val="both"/>
        <w:ind w:firstLine="609"/>
        <w:spacing w:after="0" w:line="265" w:lineRule="auto"/>
        <w:tabs>
          <w:tab w:leader="none" w:pos="122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Disability</w:t>
      </w:r>
      <w:r>
        <w:rPr>
          <w:rFonts w:ascii="Times New Roman" w:cs="Times New Roman" w:eastAsia="Times New Roman" w:hAnsi="Times New Roman"/>
          <w:sz w:val="20"/>
          <w:szCs w:val="20"/>
          <w:color w:val="auto"/>
        </w:rPr>
        <w:t>” means that the Executive is, by reason of any medical determinable physical or mental impairment that can be expected to result in death or can be expected to last for a continuous period of not less than twelve (12) months, receiving income replacement benefits for a period of six (6) months under an accident and health plan sponsored by the Employer or an Affiliate thereof.</w:t>
      </w:r>
    </w:p>
    <w:p>
      <w:pPr>
        <w:spacing w:after="0" w:line="12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20"/>
          <w:szCs w:val="20"/>
          <w:u w:val="single" w:color="auto"/>
          <w:color w:val="auto"/>
        </w:rPr>
        <w:t>Payments Upon Termination</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jc w:val="both"/>
        <w:ind w:firstLine="609"/>
        <w:spacing w:after="0" w:line="259" w:lineRule="auto"/>
        <w:tabs>
          <w:tab w:leader="none" w:pos="122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Benefits</w:t>
      </w:r>
      <w:r>
        <w:rPr>
          <w:rFonts w:ascii="Times New Roman" w:cs="Times New Roman" w:eastAsia="Times New Roman" w:hAnsi="Times New Roman"/>
          <w:sz w:val="20"/>
          <w:szCs w:val="20"/>
          <w:color w:val="auto"/>
        </w:rPr>
        <w:t>. Upon any Termination occurring on or within two years following a Change in Control, Executive shall receive (i) any unpaid Base Salary through the date of such Executive’s Termination, (ii) unless the Termination is for Cause, any bonus unpaid as of the date of such Executive’s Termination for any previously completed fiscal year of the Company, and (iii) unless the Termination is for Cause, a pro rata bonus for the fiscal year of the Company in which such Executive’s Termination occurs, determined by multiplying the Executive’s Target Bonus for such fiscal year by a fraction, the numerator of which is the number of days from the beginning of such fiscal year to the date of the Termination, and the denominator of which is 365. In addition, Executive shall be entitled to prompt reimbursement of any unreimbursed expenses properly incurred by such Executive in accordance with Company policies prior to the date of such Executive’s Termination. Executive shall also receive such other compensation (including any stock options or other equity-related payments) and benefits, if any, to which such Executive may be entitled from time to time pursuant to the terms and conditions of the employee compensation, incentive, equity, benefit or fringe benefit plans, policies, or programs of the Company, other than any Company severance policy.</w:t>
      </w: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If (i) Executive’s employment with his or her Employer (x) is involuntarily Terminated by the Employer within two years following a</w:t>
      </w:r>
    </w:p>
    <w:p>
      <w:pPr>
        <w:sectPr>
          <w:pgSz w:w="11900" w:h="16838" w:orient="portrait"/>
          <w:cols w:equalWidth="0" w:num="1">
            <w:col w:w="10620"/>
          </w:cols>
          <w:pgMar w:left="940" w:top="12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20"/>
          <w:szCs w:val="20"/>
          <w:color w:val="auto"/>
        </w:rPr>
        <w:t>Change in Control, other than due to Cause, Total Disability or death, or (y) is Terminated by Executive for Good Reason within two years following a Change in Control, and (ii) Executive executes a Release at the time and in the manner prescribed by the Company (but in no event later than forty-five (45) days following Executive’s Termination of Employment), and does not revoke such Release, Executive shall be entitled to the following:</w:t>
      </w:r>
    </w:p>
    <w:p>
      <w:pPr>
        <w:spacing w:after="0" w:line="102" w:lineRule="exact"/>
        <w:rPr>
          <w:sz w:val="20"/>
          <w:szCs w:val="20"/>
          <w:color w:val="auto"/>
        </w:rPr>
      </w:pPr>
    </w:p>
    <w:p>
      <w:pPr>
        <w:jc w:val="both"/>
        <w:ind w:left="1220" w:firstLine="9"/>
        <w:spacing w:after="0" w:line="272" w:lineRule="auto"/>
        <w:tabs>
          <w:tab w:leader="none" w:pos="182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Severance Pay</w:t>
      </w:r>
      <w:r>
        <w:rPr>
          <w:rFonts w:ascii="Times New Roman" w:cs="Times New Roman" w:eastAsia="Times New Roman" w:hAnsi="Times New Roman"/>
          <w:sz w:val="20"/>
          <w:szCs w:val="20"/>
          <w:color w:val="auto"/>
        </w:rPr>
        <w:t>. Executive shall receive a lump sum cash payment equal to two (2) times (three (3) times for the Chief Executive Officer of the Company as of the date the Change in Control occurs) the sum of Executive’s (i) Base Salary and (ii) Target Bonus.</w:t>
      </w:r>
    </w:p>
    <w:p>
      <w:pPr>
        <w:spacing w:after="0" w:line="99" w:lineRule="exact"/>
        <w:rPr>
          <w:rFonts w:ascii="Times New Roman" w:cs="Times New Roman" w:eastAsia="Times New Roman" w:hAnsi="Times New Roman"/>
          <w:sz w:val="20"/>
          <w:szCs w:val="20"/>
          <w:color w:val="auto"/>
        </w:rPr>
      </w:pPr>
    </w:p>
    <w:p>
      <w:pPr>
        <w:jc w:val="both"/>
        <w:ind w:left="1220" w:firstLine="9"/>
        <w:spacing w:after="0" w:line="266" w:lineRule="auto"/>
        <w:tabs>
          <w:tab w:leader="none" w:pos="182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for Value of Benefits Continuation</w:t>
      </w:r>
      <w:r>
        <w:rPr>
          <w:rFonts w:ascii="Times New Roman" w:cs="Times New Roman" w:eastAsia="Times New Roman" w:hAnsi="Times New Roman"/>
          <w:sz w:val="20"/>
          <w:szCs w:val="20"/>
          <w:color w:val="auto"/>
        </w:rPr>
        <w:t>. Executive shall receive a lump sum cash payment equal to the product of (i) the aggregate monthly premiums (both employee and Employer portions) for the Employer-provided medical, dental, and life insurance coverages that Executive was enrolled in prior to the date of the Change in Control or prior to the date of Executive’s Termination, whichever amount is greater, and (ii) twenty-four (thirty-six for the Chief Executive Officer of the Company as of the date the Change in Control occurs).</w:t>
      </w:r>
    </w:p>
    <w:p>
      <w:pPr>
        <w:spacing w:after="0" w:line="105"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20"/>
          <w:szCs w:val="20"/>
          <w:u w:val="single" w:color="auto"/>
          <w:color w:val="auto"/>
        </w:rPr>
        <w:t>Form and Time of Payment; Non-Duplication of Benefits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540" w:firstLine="612"/>
        <w:spacing w:after="0" w:line="264" w:lineRule="auto"/>
        <w:tabs>
          <w:tab w:leader="none" w:pos="18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and Time of Payment</w:t>
      </w:r>
      <w:r>
        <w:rPr>
          <w:rFonts w:ascii="Times New Roman" w:cs="Times New Roman" w:eastAsia="Times New Roman" w:hAnsi="Times New Roman"/>
          <w:sz w:val="20"/>
          <w:szCs w:val="20"/>
          <w:color w:val="auto"/>
        </w:rPr>
        <w:t>. The accrued benefits payable to an Executive by his or her Employer under Section 2(a) shall be paid to such Executive in a single lump sum less applicable withholdings no later than 15 business days after Executive’s date of Termination. Subject to Section 12, the cash payments payable to an Executive by his or her Employer under Section 2(b) shall be paid no later than (i) 15 business days after Executive’s date of Termination or (ii) the expiration of the revocation period, if applicable, under the Release, which Release must be executed within 45 days following the date of Termination, whichever is later.</w:t>
      </w:r>
    </w:p>
    <w:p>
      <w:pPr>
        <w:spacing w:after="0" w:line="370" w:lineRule="exact"/>
        <w:rPr>
          <w:rFonts w:ascii="Times New Roman" w:cs="Times New Roman" w:eastAsia="Times New Roman" w:hAnsi="Times New Roman"/>
          <w:sz w:val="20"/>
          <w:szCs w:val="20"/>
          <w:color w:val="auto"/>
        </w:rPr>
      </w:pPr>
    </w:p>
    <w:p>
      <w:pPr>
        <w:jc w:val="both"/>
        <w:ind w:left="540" w:firstLine="612"/>
        <w:spacing w:after="0" w:line="262" w:lineRule="auto"/>
        <w:tabs>
          <w:tab w:leader="none" w:pos="183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Non-Duplication of Benefits</w:t>
      </w:r>
      <w:r>
        <w:rPr>
          <w:rFonts w:ascii="Times New Roman" w:cs="Times New Roman" w:eastAsia="Times New Roman" w:hAnsi="Times New Roman"/>
          <w:sz w:val="20"/>
          <w:szCs w:val="20"/>
          <w:color w:val="auto"/>
        </w:rPr>
        <w:t>. The severance benefits provided pursuant to Section 2(b) hereof are in lieu of, and not in addition to, any severance benefits payable to the Executive under any other plan, program, or arrangement of the Company, the Employer, or any of their Affiliates. However, such benefits shall not be deemed to be in lieu of any equity-related vesting or payments and payments under any tax-qualified or nonqualified retirement plan, or any other type of benefit not specifically provided for in Section 2(b).</w:t>
      </w:r>
    </w:p>
    <w:p>
      <w:pPr>
        <w:spacing w:after="0" w:line="125" w:lineRule="exact"/>
        <w:rPr>
          <w:sz w:val="20"/>
          <w:szCs w:val="20"/>
          <w:color w:val="auto"/>
        </w:rPr>
      </w:pPr>
    </w:p>
    <w:p>
      <w:pPr>
        <w:jc w:val="both"/>
        <w:ind w:firstLine="613"/>
        <w:spacing w:after="0" w:line="272"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Employer shall withhold from any amount payable to an Executive pursuant to this Plan, and shall remit to the appropriate governmental authority, any income, employment or other tax the Employer is required by applicable law to so withhold from and remit on behalf of such Executive.</w:t>
      </w:r>
    </w:p>
    <w:p>
      <w:pPr>
        <w:sectPr>
          <w:pgSz w:w="11900" w:h="16838" w:orient="portrait"/>
          <w:cols w:equalWidth="0" w:num="1">
            <w:col w:w="11240"/>
          </w:cols>
          <w:pgMar w:left="320" w:top="12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20"/>
          <w:szCs w:val="20"/>
          <w:u w:val="single" w:color="auto"/>
          <w:color w:val="auto"/>
        </w:rPr>
        <w:t>Limitation of Certain Payments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612"/>
        <w:spacing w:after="0" w:line="261" w:lineRule="auto"/>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Employer reasonably determines, based upon the advice of the independent public accountants for the Employer, that part or all of the consideration, compensation or benefits to be paid to Executive under this Plan constitute “parachute payments” under Section 280G(b)(2) of the Code, then, if the aggregate present value of such parachute payments, singularly or together with the aggregate present value of any consideration, compensation or benefits to be paid to Executive under any other plan, arrangement or agreement which constitute “parachute payments” (collectively, the “Parachute Amount”) exceeds one dollar ($1.00) less than three times (3x) Executive’s “base amount”, as defined in Section 280G(b)(3) of the Code (the “Executive Base Amount”), then amounts constituting “parachute payments” which would otherwise be payable to or for the benefit of Executive shall be reduced to the extent necessary so that the Parachute Amount is equal to one dollar ($1.00) less than three times (3x) the Executive Base Amount (the “Reduced Amount”).</w:t>
      </w:r>
    </w:p>
    <w:p>
      <w:pPr>
        <w:spacing w:after="0" w:line="112" w:lineRule="exact"/>
        <w:rPr>
          <w:rFonts w:ascii="Times New Roman" w:cs="Times New Roman" w:eastAsia="Times New Roman" w:hAnsi="Times New Roman"/>
          <w:sz w:val="20"/>
          <w:szCs w:val="20"/>
          <w:color w:val="auto"/>
        </w:rPr>
      </w:pPr>
    </w:p>
    <w:p>
      <w:pPr>
        <w:jc w:val="both"/>
        <w:ind w:firstLine="612"/>
        <w:spacing w:after="0" w:line="260" w:lineRule="auto"/>
        <w:tabs>
          <w:tab w:leader="none" w:pos="129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determination made pursuant to clause (a) of this Section 5 results in a reduction of the payments that would otherwise be paid to Executive except for the application of clause (a) of this Section 5, the amounts payable or benefits to be provided to Executive shall be reduced such that the after-tax present value of compensation to be provided to Executive is minimized. In applying this principle, the reduction shall be made by applying the following principles, in order: (i) the payment or benefit with the higher ratio of the parachute payment value to present economic value (determined using reasonable actuarial assumptions) shall be reduced or eliminated before a payment or benefit with a lower ratio; (ii) the payment or benefit with the later possible payment date shall be reduced or eliminated before a payment or benefit with an earlier payment date; and (iii) cash payments shall be reduced prior to non-cash benefits; provided that if the foregoing order of reduction or elimination would violate Section 409A of the Code, then the reduction shall be made pro rata among the payments or benefits included in the Parachute Amount (on the basis of the relative present value of the parachute payments).</w:t>
      </w:r>
    </w:p>
    <w:p>
      <w:pPr>
        <w:spacing w:after="0" w:line="115" w:lineRule="exact"/>
        <w:rPr>
          <w:rFonts w:ascii="Times New Roman" w:cs="Times New Roman" w:eastAsia="Times New Roman" w:hAnsi="Times New Roman"/>
          <w:sz w:val="20"/>
          <w:szCs w:val="20"/>
          <w:color w:val="auto"/>
        </w:rPr>
      </w:pPr>
    </w:p>
    <w:p>
      <w:pPr>
        <w:jc w:val="both"/>
        <w:ind w:firstLine="612"/>
        <w:spacing w:after="0" w:line="259" w:lineRule="auto"/>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uncertainty in the application of Section 280G of the Code at the time of a determination hereunder, it is possible that payments will be made by the Employer which should not have been made under clause (a) of this Section 5 (“Overpayment”) or that additional payments which are not made by the Employer pursuant to clause (a) of this Section 5 should have been made (“Underpayment”). In the event that there is a final determination by the Internal Revenue Service, or a final determination by a court of competent jurisdiction, that an Overpayment has been made, any such Overpayment shall be repaid by Executive to the Employer 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Plan, any such Underpayment shall be promptly paid by the Employer to or for the benefit of Executive, together with interest at the applicable Federal rate provided for in Section 7872(f)(2) of the Code.</w:t>
      </w:r>
    </w:p>
    <w:p>
      <w:pPr>
        <w:sectPr>
          <w:pgSz w:w="11900" w:h="16838" w:orient="portrait"/>
          <w:cols w:equalWidth="0" w:num="1">
            <w:col w:w="10700"/>
          </w:cols>
          <w:pgMar w:left="860" w:top="12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Plan Administration</w:t>
      </w:r>
      <w:r>
        <w:rPr>
          <w:rFonts w:ascii="Times New Roman" w:cs="Times New Roman" w:eastAsia="Times New Roman" w:hAnsi="Times New Roman"/>
          <w:sz w:val="20"/>
          <w:szCs w:val="20"/>
          <w:color w:val="auto"/>
        </w:rPr>
        <w:t>. This Plan shall be administered by the Compensation Policy Committee of the Board. The Committee shall have the authority to interpret and implement the provisions of this Plan and to determine eligibility for benefits under the Plan, provided that any such action shall be taken in good faith. The Committee shall perform all of the duties and exercise all of the powers and discretion that the Committee deems necessary or appropriate for the proper administration of this Plan. Every interpretation, choice, determination or other exercise by the Committee in good faith of any power or discretion given either expressly or by implication to it shall be conclusive and binding upon all parties having or claiming to have an interest under this Plan or otherwise directly or indirectly affected by such action, without restriction, however, upon the right of the Committee to reconsider or redetermine such action. The Committee may adopt such rules and regulations for the administration of this Plan as are consistent with the terms hereof, and shall keep adequate records of its proceedings and acts. The Committee may employ such agents, accountants and legal counsel (who may be agents, accountants and legal counsel for an Employer) as may be appropriate for the administration of the Plan. All reasonable administration expenses incurred by the Committee in connection with the administration of the Plan shall be paid by the Employer.</w:t>
      </w:r>
    </w:p>
    <w:p>
      <w:pPr>
        <w:spacing w:after="0" w:line="362"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Claims Procedure</w:t>
      </w:r>
      <w:r>
        <w:rPr>
          <w:rFonts w:ascii="Times New Roman" w:cs="Times New Roman" w:eastAsia="Times New Roman" w:hAnsi="Times New Roman"/>
          <w:sz w:val="20"/>
          <w:szCs w:val="20"/>
          <w:color w:val="auto"/>
        </w:rPr>
        <w:t>. If any person (hereinafter called the “Claimant”) feels he or she is being denied a benefit to which he or she is entitled under this Plan, such Claimant may file a written claim for said benefit with the Chair of the Committee. Within 60 days of the receipt of such claim the Committee shall determine and notify the Claimant as to whether he or she is entitled to such benefit. Such notification shall be in writing and, if denying the claim for benefit, shall set forth the specific reason or reasons for the denial, make specific reference to the pertinent Plan provisions, and advise the Claimant that he or she may, within 60 days of the receipt of such notice, request in writing to appear before the Committee or its designated representative for a hearing to review such denial. Any such hearing shall be scheduled at the mutual convenience of the Committee or its designated representative and the Claimant, and at such hearing the Claimant and/or his or her duly authorized representative may examine any relevant documents and present evidence and arguments to support the granting of the benefit being claimed. The final decision of the Committee with respect to the claim being reviewed shall be made within 60 days following the hearing thereon, and the Committee shall in writing notify the Claimant of its final decision, again specifying the reasons therefor and the pertinent Plan provisions upon which such decision is based and all other information required by ERISA. The final decision of the Committee, if made in good faith, shall be conclusive and binding upon all parties having or claiming to have an interest in the matter being reviewed. A Claimant who substantially prevails on a claim brought pursuant to this Section 7 shall be entitled to reasonable attorney’s fees and expenses reasonably incurred in presenting the claim.</w:t>
      </w:r>
    </w:p>
    <w:p>
      <w:pPr>
        <w:spacing w:after="0" w:line="372"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Plan Amendment and Termination</w:t>
      </w:r>
      <w:r>
        <w:rPr>
          <w:rFonts w:ascii="Times New Roman" w:cs="Times New Roman" w:eastAsia="Times New Roman" w:hAnsi="Times New Roman"/>
          <w:sz w:val="20"/>
          <w:szCs w:val="20"/>
          <w:color w:val="auto"/>
        </w:rPr>
        <w:t>. The Company shall have the right and power at any time and from time to time to amend this Plan, in whole or in part, by written document executed by its duly authorized representative and at any time to terminate this Plan; provided, however, that no such amendment or termination shall be permitted after a definitive agreement that would effect a Change in Control has been entered into by the Company (or, if there is no such agreement, after the Change in Control occurs), other than amendments that do</w:t>
      </w:r>
    </w:p>
    <w:p>
      <w:pPr>
        <w:sectPr>
          <w:pgSz w:w="11900" w:h="16838" w:orient="portrait"/>
          <w:cols w:equalWidth="0" w:num="1">
            <w:col w:w="11240"/>
          </w:cols>
          <w:pgMar w:left="320" w:top="12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not adversely affect the rights of the Executives under the Plan. The Plan shall automatically terminate (other than with respect to benefits owed to Executives who previously experienced a Termination) two years and one day after the occurrence of the first Change in Control following the adoption of this Plan.</w:t>
      </w:r>
    </w:p>
    <w:p>
      <w:pPr>
        <w:spacing w:after="0" w:line="112" w:lineRule="exact"/>
        <w:rPr>
          <w:sz w:val="20"/>
          <w:szCs w:val="20"/>
          <w:color w:val="auto"/>
        </w:rPr>
      </w:pPr>
    </w:p>
    <w:p>
      <w:pPr>
        <w:jc w:val="both"/>
        <w:ind w:firstLine="613"/>
        <w:spacing w:after="0" w:line="262"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Nature of Plan and Rights</w:t>
      </w:r>
      <w:r>
        <w:rPr>
          <w:rFonts w:ascii="Times New Roman" w:cs="Times New Roman" w:eastAsia="Times New Roman" w:hAnsi="Times New Roman"/>
          <w:sz w:val="20"/>
          <w:szCs w:val="20"/>
          <w:color w:val="auto"/>
        </w:rPr>
        <w:t>. This Plan is an unfunded employee welfare benefit plan and no provision of this Plan shall be deemed or construed to create a trust fund of any kind or to grant a property interest of any kind to any Executive or former Executive. Any payment which becomes due under this Plan to an Executive shall be made by his or her Employer out of its general assets, and the right of any Executive to receive a payment hereunder from his or her Employer shall be no greater than the right of any unsecured general creditor of such Employer.</w:t>
      </w:r>
    </w:p>
    <w:p>
      <w:pPr>
        <w:spacing w:after="0" w:line="125"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20"/>
          <w:szCs w:val="20"/>
          <w:u w:val="single" w:color="auto"/>
          <w:color w:val="auto"/>
        </w:rPr>
        <w:t>Entire Agreement; No Employment Contract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540" w:firstLine="612"/>
        <w:spacing w:after="0" w:line="265" w:lineRule="auto"/>
        <w:tabs>
          <w:tab w:leader="none" w:pos="18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Plan constitutes the entire agreement between the parties and, except as expressly provided herein, supersedes the provisions of all other prior agreements expressly concerning the effect of a Termination of Employment in connection with or following a Change in Control on the relationship between the Company and its Affiliates and Executive (but, not, for the avoidance of doubt, any equity-related plan or agreement or any tax-qualified or nonqualified retirement plan).</w:t>
      </w:r>
    </w:p>
    <w:p>
      <w:pPr>
        <w:spacing w:after="0" w:line="108" w:lineRule="exact"/>
        <w:rPr>
          <w:rFonts w:ascii="Times New Roman" w:cs="Times New Roman" w:eastAsia="Times New Roman" w:hAnsi="Times New Roman"/>
          <w:sz w:val="20"/>
          <w:szCs w:val="20"/>
          <w:color w:val="auto"/>
        </w:rPr>
      </w:pPr>
    </w:p>
    <w:p>
      <w:pPr>
        <w:jc w:val="both"/>
        <w:ind w:left="540" w:firstLine="612"/>
        <w:spacing w:after="0" w:line="278" w:lineRule="auto"/>
        <w:tabs>
          <w:tab w:leader="none" w:pos="18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Plan does not constitute an employment contract and, except as expressly provided herein, this Plan shall not interfere in any way with the right of the Company to reduce Executive’s compensation or other benefits or terminate Executive’s employment, with or without Cause.</w:t>
      </w:r>
    </w:p>
    <w:p>
      <w:pPr>
        <w:spacing w:after="0" w:line="95" w:lineRule="exact"/>
        <w:rPr>
          <w:sz w:val="20"/>
          <w:szCs w:val="20"/>
          <w:color w:val="auto"/>
        </w:rPr>
      </w:pPr>
    </w:p>
    <w:p>
      <w:pPr>
        <w:jc w:val="both"/>
        <w:ind w:firstLine="613"/>
        <w:spacing w:after="0" w:line="272"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Notices and all other communications provided for in this Plan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to the Company or the Committee:</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7812 Palm Parkway</w:t>
      </w:r>
    </w:p>
    <w:p>
      <w:pPr>
        <w:spacing w:after="0" w:line="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Orlando, Florida 32836</w:t>
      </w:r>
    </w:p>
    <w:p>
      <w:pPr>
        <w:spacing w:after="0" w:line="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Attn: Human Resources Department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With a copy to:</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7812 Palm Parkway</w:t>
      </w:r>
    </w:p>
    <w:p>
      <w:pPr>
        <w:spacing w:after="0" w:line="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Orlando, Florida 32836</w:t>
      </w:r>
    </w:p>
    <w:p>
      <w:pPr>
        <w:spacing w:after="0" w:line="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Attn: Law Department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Executive, at Executive’s most recent home address on file in the Company’s employment records.</w:t>
      </w:r>
    </w:p>
    <w:p>
      <w:pPr>
        <w:sectPr>
          <w:pgSz w:w="11900" w:h="16838" w:orient="portrait"/>
          <w:cols w:equalWidth="0" w:num="1">
            <w:col w:w="11240"/>
          </w:cols>
          <w:pgMar w:left="320" w:top="12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payments and benefits hereunder are intended to be excluded from coverage under Section 409A of the Code as “short-term deferrals” or pursuant to another exception under Section 409A of the Code, and the Plan shall be interpreted accordingly. Notwithstanding the foregoing, if the Company reasonably determines that some or all of the payments and benefits provided by Section 2(b) are not exempt from Section 409A of the Code, and if the Executive is a “specified employee” within the meaning of Section 409A of the Code at the time of the Executive’s Termination, then to the extent necessary to comply with Section 409A of the Code, such payments or benefits will not be paid or provided until the first day of the seventh month following the month of the Executive’s Termination (or if earlier, promptly following the Executive’s death).</w:t>
      </w:r>
    </w:p>
    <w:p>
      <w:pPr>
        <w:spacing w:after="0" w:line="115" w:lineRule="exact"/>
        <w:rPr>
          <w:sz w:val="20"/>
          <w:szCs w:val="20"/>
          <w:color w:val="auto"/>
        </w:rPr>
      </w:pPr>
    </w:p>
    <w:p>
      <w:pPr>
        <w:jc w:val="both"/>
        <w:ind w:firstLine="613"/>
        <w:spacing w:after="0" w:line="278"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Spendthrift Provision</w:t>
      </w:r>
      <w:r>
        <w:rPr>
          <w:rFonts w:ascii="Times New Roman" w:cs="Times New Roman" w:eastAsia="Times New Roman" w:hAnsi="Times New Roman"/>
          <w:sz w:val="20"/>
          <w:szCs w:val="20"/>
          <w:color w:val="auto"/>
        </w:rPr>
        <w:t>. No right or interest of an Executive under this Plan may be assigned, transferred or alienated, in whole or in part, either directly or by operation of law, and no such right or interest shall be liable for or subject to any debt, obligation or liability of such Executive.</w:t>
      </w:r>
    </w:p>
    <w:p>
      <w:pPr>
        <w:spacing w:after="0" w:line="95" w:lineRule="exact"/>
        <w:rPr>
          <w:sz w:val="20"/>
          <w:szCs w:val="20"/>
          <w:color w:val="auto"/>
        </w:rPr>
      </w:pPr>
    </w:p>
    <w:p>
      <w:pPr>
        <w:jc w:val="both"/>
        <w:ind w:firstLine="613"/>
        <w:spacing w:after="0" w:line="291"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Except to the extent preempted by federal law, this Plan shall be governed and construed in accordance with the laws of the State of Delaware, without regard to principles of conflicts of laws.</w:t>
      </w:r>
    </w:p>
    <w:p>
      <w:pPr>
        <w:sectPr>
          <w:pgSz w:w="11900" w:h="16838" w:orient="portrait"/>
          <w:cols w:equalWidth="0" w:num="1">
            <w:col w:w="11240"/>
          </w:cols>
          <w:pgMar w:left="320" w:top="12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u w:val="single" w:color="auto"/>
          <w:color w:val="auto"/>
        </w:rPr>
        <w:t>Acknowledgment of Plan Participant</w:t>
      </w:r>
    </w:p>
    <w:p>
      <w:pPr>
        <w:spacing w:after="0" w:line="23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By signing below, I acknowledge that I have read, understand, and agree to abide by, and be bound by, all of the terms and conditions contained herein.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Printed Name of Plan Participant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Plan Participant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Signature of Plan Participant</w:t>
      </w:r>
    </w:p>
    <w:p>
      <w:pPr>
        <w:sectPr>
          <w:pgSz w:w="11900" w:h="16838" w:orient="portrait"/>
          <w:cols w:equalWidth="0" w:num="1">
            <w:col w:w="11240"/>
          </w:cols>
          <w:pgMar w:left="320" w:top="12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POSITIONS COVERED BY THE PLAN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Members of the Company’s Executive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Chief Accounting Officer and Corporate Controller</w:t>
      </w:r>
    </w:p>
    <w:p>
      <w:pPr>
        <w:sectPr>
          <w:pgSz w:w="11900" w:h="16838" w:orient="portrait"/>
          <w:cols w:equalWidth="0" w:num="1">
            <w:col w:w="11240"/>
          </w:cols>
          <w:pgMar w:left="320" w:top="12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SAMPLE WAIVER AND RELEASE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and in consideration of the payments and other benefits due to ______________(“Executive”) pursuant to the Marriott Vacations</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Worldwide Corporation Change in Control Severance Plan (the “Plan”), and for other good and valuable consideration, Executive hereby agrees, for Executive, Executive’s spouse and child or children (if any), Executive’s heirs, beneficiaries, devisees, executors, administrators, attorneys, personal representatives, successors and assigns, to forever waive and release all known and unknown claims and causes of action, arising on or before the date of Executive's execution of this Waiver and Release, against Marriott Vacations Worldwide Corporation (the “Company”) or any of its divisions, affiliates, subsidiaries, parents, branches, predecessors, successors, assigns, and with respect to such entities, their officers, directors, trustees, employees, agents, shareholders, administrators, general or limited partners, representatives, attorneys, insurers and fiduciaries, past, present and future (the “Released Parties”), including, but not limited to, all such claims and causes of action which in any way pertain to Executive’s employment with and/or termination of employment from the Company, all allegations of employment discrimination, harassment, retaliation, and whistleblower retaliation, and/or all other occurrences whatsoever, including but not limited to the Age Discrimination in Employment Act, Title VII of the Civil Rights Act of 1964, as amended, 42 U.S.C. Section 2000e et. seq., the Fair Labor Standards Act, as amended, 29 U.S.C. Section 201 et seq., the Americans with Disabilities Act, as amended, 42 U.S.C. Section 12101 et seq., the Reconstruction Era Civil Rights Act, as amended, 42 U.S.C. Section 1981 et seq., the Rehabilitation Act of 1973, as amended, 29 U.S.C. Section 701 et seq., the Family and Medical Leave Act of 1993, 29 U.S.C. Section 2601 et seq., the Employee Retirement Income Security Act, 29 U.S.C. 1001 et seq., the Genetic Information Non-Discrimination Act, 42 U.S.C. Section 2000ff et seq., the False Claims Act, 31 U.S.C Section 3729 et seq.; and any and all state or local laws regarding employment discrimination, harassment, retaliation, and whistleblower retaliation and/or federal, state or local laws and common laws of any type or description regarding employment, including but not limited to any claims arising from or derivative of Executive’s employment with the Company and its Affiliates, as well as any and all such claims under state contract, tort, or common law.</w:t>
      </w:r>
    </w:p>
    <w:p>
      <w:pPr>
        <w:spacing w:after="0" w:line="200" w:lineRule="exact"/>
        <w:rPr>
          <w:sz w:val="20"/>
          <w:szCs w:val="20"/>
          <w:color w:val="auto"/>
        </w:rPr>
      </w:pPr>
    </w:p>
    <w:p>
      <w:pPr>
        <w:spacing w:after="0" w:line="212" w:lineRule="exact"/>
        <w:rPr>
          <w:sz w:val="20"/>
          <w:szCs w:val="20"/>
          <w:color w:val="auto"/>
        </w:rPr>
      </w:pPr>
    </w:p>
    <w:p>
      <w:pPr>
        <w:jc w:val="both"/>
        <w:ind w:firstLine="613"/>
        <w:spacing w:after="0" w:line="243" w:lineRule="auto"/>
        <w:rPr>
          <w:sz w:val="20"/>
          <w:szCs w:val="20"/>
          <w:color w:val="auto"/>
        </w:rPr>
      </w:pPr>
      <w:r>
        <w:rPr>
          <w:rFonts w:ascii="Times New Roman" w:cs="Times New Roman" w:eastAsia="Times New Roman" w:hAnsi="Times New Roman"/>
          <w:sz w:val="20"/>
          <w:szCs w:val="20"/>
          <w:color w:val="auto"/>
        </w:rPr>
        <w:t>Executive also hereby agrees to comply with all reasonable requests from the Company or the Released Parties for assistance and/or information in connection with any matters relating to the duties and responsibilities of Executive's employment, including without limitation, consulting with any employees in connection with the transition of ongoing matters; consulting with attorneys of the Company or any Released Parties; appearing as a witness in connection with any dispute, controversy, action, or proceeding of any kind; and making himself/herself available to attorneys of the Company or any Released Parties in advance of witness appearances for purposes of preparation upon the request of the Company or the Released Parties and with reasonable advance notification without the need for a subpoena. In connection with any of Executive’s cooperation efforts, Executive shall be entitled to receive reimbursement of actual and proven lost wages and reasonable travel and other out-of-pocket expenses, provided that those expenses are submitted pursuant to and are in conformance with the Company’s then-applicable policy relating to expense reimbursement</w:t>
      </w:r>
    </w:p>
    <w:p>
      <w:pPr>
        <w:sectPr>
          <w:pgSz w:w="11900" w:h="16838" w:orient="portrait"/>
          <w:cols w:equalWidth="0" w:num="1">
            <w:col w:w="11240"/>
          </w:cols>
          <w:pgMar w:left="320" w:top="12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Executive has read this Waiver and Release carefully, acknowledges that Executive has been given at least forty-five (45) days to consider all of its terms and has been advised to consult with an attorney and any other advisors of Executive’s choice prior to executing this Waiver and Release, and Executive fully understands that by signing below Executive is voluntarily giving up any right which Executive may have to sue or bring any other claims against the Released Parties, including any rights and claims under the Age Discrimination in Employment Act. Executive also understands that Executive has a period of seven (7) days after signing this Waiver and Release within which to revoke his or her agreement, and that neither the Company nor any other person is obligated to make any payments or provide any other benefits to Executive pursuant to the Plan until eight (8) days have passed since Executive’s signing of this Waiver and Release without Executive’s signature having been revoked other than any accrued obligations or other benefits payable pursuant to the terms of the Company’s normal payroll practices or employee benefit plans. Finally, Executive has not been forced or pressured in any manner whatsoever to sign this Waiver and Release, and Executive agrees to all of its terms voluntarily.</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Notwithstanding anything else herein to the contrary, this Waiver and Release shall not affect: (i) the Company’s obligations under any compensation or employee benefit plan, program or arrangement (including, without limitation, obligations to Executive under any stock option, stock award or agreements or obligations under any pension, deferred compensation or retention plan) provided by the Affiliated Entities where Executive’s compensation or benefits are intended to continue or Executive is to be provided with compensation or benefits, in accordance with the express written terms of such plan, program or arrangement, beyond the date of Executive’s termination; or (ii) rights to indemnification or liability insurance coverage Executive may have under the by-laws of the Company or applicable law.</w:t>
      </w:r>
    </w:p>
    <w:p>
      <w:pPr>
        <w:spacing w:after="0" w:line="190" w:lineRule="exact"/>
        <w:rPr>
          <w:sz w:val="20"/>
          <w:szCs w:val="20"/>
          <w:color w:val="auto"/>
        </w:rPr>
      </w:pPr>
    </w:p>
    <w:p>
      <w:pPr>
        <w:jc w:val="both"/>
        <w:ind w:firstLine="613"/>
        <w:spacing w:after="0" w:line="248" w:lineRule="auto"/>
        <w:rPr>
          <w:sz w:val="20"/>
          <w:szCs w:val="20"/>
          <w:color w:val="auto"/>
        </w:rPr>
      </w:pPr>
      <w:r>
        <w:rPr>
          <w:rFonts w:ascii="Times New Roman" w:cs="Times New Roman" w:eastAsia="Times New Roman" w:hAnsi="Times New Roman"/>
          <w:sz w:val="20"/>
          <w:szCs w:val="20"/>
          <w:color w:val="auto"/>
        </w:rPr>
        <w:t>In addition, excluded from this Waiver and Release are any claims which by law cannot be waived, including but not limited to the right to file a charge with or participate in an investigation by the Equal Employment Opportunity Commission ("EEOC"). Executive does, however, hereby waive all rights to recover any money, benefits or reinstatement should the EEOC or any other agency or individual pursue any claims on Executive's behalf.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Waiver and Release is final and binding and may not be changed or modified except in a writing signed by both parties.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 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Executive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 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CEO</w:t>
      </w:r>
    </w:p>
    <w:p>
      <w:pPr>
        <w:ind w:left="3060"/>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ectPr>
          <w:pgSz w:w="11900" w:h="16838" w:orient="portrait"/>
          <w:cols w:equalWidth="0" w:num="1">
            <w:col w:w="11240"/>
          </w:cols>
          <w:pgMar w:left="320" w:top="12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4"/>
          <w:szCs w:val="24"/>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Securities Trading Policy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Introduction</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Marriott Vacations Worldwide Corporation (together with its subsidiaries, “MVW” or the “Company”) conducts its business in accordance with uncompromising ethical standards and consistently observes a policy restricting trading in Company securities on the basis of material nonpublic information (“MNPI”). Consistent with MVW’s commitment and practices, this policy is intended to promote compliance with applicable securities laws and to protect the Company and its associates, officers and directors from the serious liabilities and penalties that can result from violations of these laws. This policy applies to all directors, officers and associates of the Company. Each director, officer and associate of the Company is responsible for ensuring that he or she does not violate applicable securities laws or this policy.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Highlights of the Policy</w:t>
      </w:r>
    </w:p>
    <w:p>
      <w:pPr>
        <w:spacing w:after="0" w:line="107" w:lineRule="exact"/>
        <w:rPr>
          <w:sz w:val="20"/>
          <w:szCs w:val="20"/>
          <w:color w:val="auto"/>
        </w:rPr>
      </w:pPr>
    </w:p>
    <w:p>
      <w:pPr>
        <w:ind w:left="300" w:hanging="298"/>
        <w:spacing w:after="0" w:line="261" w:lineRule="auto"/>
        <w:tabs>
          <w:tab w:leader="none" w:pos="289"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No MVW associate, officer or director, or Family Member (as defined below) or Controlled Entity (as defined below) of such persons, may buy, sell, gift or otherwise trade in MVW stock or other MVW securities (or securities of other companies that do business with the Company) while aware of MNPI, or “tip” such information to others.</w:t>
      </w:r>
    </w:p>
    <w:p>
      <w:pPr>
        <w:spacing w:after="0" w:line="66" w:lineRule="exact"/>
        <w:rPr>
          <w:rFonts w:ascii="Arial" w:cs="Arial" w:eastAsia="Arial" w:hAnsi="Arial"/>
          <w:sz w:val="19"/>
          <w:szCs w:val="19"/>
          <w:b w:val="1"/>
          <w:bCs w:val="1"/>
          <w:color w:val="auto"/>
        </w:rPr>
      </w:pPr>
    </w:p>
    <w:p>
      <w:pPr>
        <w:ind w:left="300" w:right="140" w:hanging="298"/>
        <w:spacing w:after="0" w:line="261" w:lineRule="auto"/>
        <w:tabs>
          <w:tab w:leader="none" w:pos="289"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No MVW associate, officer or director, or Family Member or Controlled Entity of such persons, may at any time engage in any form of derivative transactions (such as “short” sales or “option puts or calls”) in MVW securities or otherwise engage in any hedging transactions with respect to MVW securities.</w:t>
      </w:r>
    </w:p>
    <w:p>
      <w:pPr>
        <w:spacing w:after="0" w:line="53" w:lineRule="exact"/>
        <w:rPr>
          <w:rFonts w:ascii="Arial" w:cs="Arial" w:eastAsia="Arial" w:hAnsi="Arial"/>
          <w:sz w:val="19"/>
          <w:szCs w:val="19"/>
          <w:b w:val="1"/>
          <w:bCs w:val="1"/>
          <w:color w:val="auto"/>
        </w:rPr>
      </w:pPr>
    </w:p>
    <w:p>
      <w:pPr>
        <w:ind w:left="300" w:right="420" w:hanging="298"/>
        <w:spacing w:after="0" w:line="284" w:lineRule="auto"/>
        <w:tabs>
          <w:tab w:leader="none" w:pos="289"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No MVW associate, officer or director, or Family Member or Controlled Entity of such persons, may include MVW stock or other MVW securities in a margin account or pledge such securities as collateral for a loan.</w:t>
      </w:r>
    </w:p>
    <w:p>
      <w:pPr>
        <w:spacing w:after="0" w:line="32" w:lineRule="exact"/>
        <w:rPr>
          <w:rFonts w:ascii="Arial" w:cs="Arial" w:eastAsia="Arial" w:hAnsi="Arial"/>
          <w:sz w:val="19"/>
          <w:szCs w:val="19"/>
          <w:b w:val="1"/>
          <w:bCs w:val="1"/>
          <w:color w:val="auto"/>
        </w:rPr>
      </w:pPr>
    </w:p>
    <w:p>
      <w:pPr>
        <w:ind w:left="300" w:right="180" w:hanging="298"/>
        <w:spacing w:after="0" w:line="257" w:lineRule="auto"/>
        <w:tabs>
          <w:tab w:leader="none" w:pos="289"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Members of the Board of Directors, the Chief Executive Officer, each member of the Executive Committee, and certain other associates may trade in MVW securities only when the “trading window” is open so long as they are not aware of MNPI. Without exception, the “trading window” will be closed at 5:00 pm (Eastern Time) on the last business day of each quarter through the market opening on the second trading day following the Company’s earnings announcement. The Company may close the trading window at other times as announced by the Law Department.</w:t>
      </w:r>
    </w:p>
    <w:p>
      <w:pPr>
        <w:spacing w:after="0" w:line="56" w:lineRule="exact"/>
        <w:rPr>
          <w:rFonts w:ascii="Arial" w:cs="Arial" w:eastAsia="Arial" w:hAnsi="Arial"/>
          <w:sz w:val="19"/>
          <w:szCs w:val="19"/>
          <w:b w:val="1"/>
          <w:bCs w:val="1"/>
          <w:color w:val="auto"/>
        </w:rPr>
      </w:pPr>
    </w:p>
    <w:p>
      <w:pPr>
        <w:ind w:left="300" w:right="40" w:hanging="298"/>
        <w:spacing w:after="0" w:line="284" w:lineRule="auto"/>
        <w:tabs>
          <w:tab w:leader="none" w:pos="289"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Even when the “trading window” is open, directors and Section 16 officers must pre-clear all transactions in MVW securities with the Law Department prior to engaging in any transaction in MVW securities.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Disciplinary Action and Penalties</w:t>
      </w:r>
    </w:p>
    <w:p>
      <w:pPr>
        <w:spacing w:after="0" w:line="107"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Disciplinary action, up to and including termination, may result from any violation of this policy. Violators may also face civil penalties, criminal fines or jail terms. For example, individuals who are found to have violated federal insider trading laws are subject to civil fines of up to three times the profit gained or loss avoided by such trading, criminal fines of up to $5 million, and imprisonment for up to 20 years. In addition, as a result of an individual’s insider trading violations, the Company could be subject to civil fines of up to the greater of $2.560 million (subject to adjustment for inflation) and three times the profit gained or loss avoided and criminal fines of up to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13</w:t>
      </w:r>
    </w:p>
    <w:p>
      <w:pPr>
        <w:sectPr>
          <w:pgSz w:w="11900" w:h="16838" w:orient="portrait"/>
          <w:cols w:equalWidth="0" w:num="1">
            <w:col w:w="11240"/>
          </w:cols>
          <w:pgMar w:left="320" w:top="112" w:right="33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All Associates, Officers and Directors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Insider trading and tipping.</w:t>
      </w:r>
    </w:p>
    <w:p>
      <w:pPr>
        <w:spacing w:after="0" w:line="112" w:lineRule="exact"/>
        <w:rPr>
          <w:sz w:val="20"/>
          <w:szCs w:val="20"/>
          <w:color w:val="auto"/>
        </w:rPr>
      </w:pPr>
    </w:p>
    <w:p>
      <w:pPr>
        <w:ind w:left="300" w:right="40"/>
        <w:spacing w:after="0" w:line="258" w:lineRule="auto"/>
        <w:rPr>
          <w:sz w:val="20"/>
          <w:szCs w:val="20"/>
          <w:color w:val="auto"/>
        </w:rPr>
      </w:pPr>
      <w:r>
        <w:rPr>
          <w:rFonts w:ascii="Arial" w:cs="Arial" w:eastAsia="Arial" w:hAnsi="Arial"/>
          <w:sz w:val="19"/>
          <w:szCs w:val="19"/>
          <w:i w:val="1"/>
          <w:iCs w:val="1"/>
          <w:color w:val="auto"/>
        </w:rPr>
        <w:t xml:space="preserve">Prohibition on Insider Trading. </w:t>
      </w:r>
      <w:r>
        <w:rPr>
          <w:rFonts w:ascii="Arial" w:cs="Arial" w:eastAsia="Arial" w:hAnsi="Arial"/>
          <w:sz w:val="19"/>
          <w:szCs w:val="19"/>
          <w:color w:val="auto"/>
        </w:rPr>
        <w:t>No MVW associate, officer or director may buy, sell, gift, donate or otherwise trade (including a same</w:t>
      </w:r>
      <w:r>
        <w:rPr>
          <w:rFonts w:ascii="Arial" w:cs="Arial" w:eastAsia="Arial" w:hAnsi="Arial"/>
          <w:sz w:val="19"/>
          <w:szCs w:val="19"/>
          <w:i w:val="1"/>
          <w:iCs w:val="1"/>
          <w:color w:val="auto"/>
        </w:rPr>
        <w:t xml:space="preserve"> </w:t>
      </w:r>
      <w:r>
        <w:rPr>
          <w:rFonts w:ascii="Arial" w:cs="Arial" w:eastAsia="Arial" w:hAnsi="Arial"/>
          <w:sz w:val="19"/>
          <w:szCs w:val="19"/>
          <w:color w:val="auto"/>
        </w:rPr>
        <w:t>day sale or cashless exercise of a stock option) in MVW stock or other MVW securities while he or she is aware of MNPI. The mere fact that a person is aware of MNPI is a bar to trading. There is no defense under the federal securities laws that such person’s reasons for trading were not based on the MNPI.</w:t>
      </w:r>
    </w:p>
    <w:p>
      <w:pPr>
        <w:spacing w:after="0" w:line="57" w:lineRule="exact"/>
        <w:rPr>
          <w:sz w:val="20"/>
          <w:szCs w:val="20"/>
          <w:color w:val="auto"/>
        </w:rPr>
      </w:pPr>
    </w:p>
    <w:p>
      <w:pPr>
        <w:ind w:left="620"/>
        <w:spacing w:after="0" w:line="267" w:lineRule="auto"/>
        <w:rPr>
          <w:sz w:val="20"/>
          <w:szCs w:val="20"/>
          <w:color w:val="auto"/>
        </w:rPr>
      </w:pPr>
      <w:r>
        <w:rPr>
          <w:rFonts w:ascii="Arial" w:cs="Arial" w:eastAsia="Arial" w:hAnsi="Arial"/>
          <w:sz w:val="19"/>
          <w:szCs w:val="19"/>
          <w:color w:val="auto"/>
        </w:rPr>
        <w:t xml:space="preserve">“Material ” information generally means information for which there is a likelihood a reasonable investor would consider important in a decision to buy, hold or sell securities. Both “good news” and “bad news” can be material. Examples of this type of information are included in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50" w:lineRule="exact"/>
        <w:rPr>
          <w:sz w:val="20"/>
          <w:szCs w:val="20"/>
          <w:color w:val="auto"/>
        </w:rPr>
      </w:pPr>
    </w:p>
    <w:p>
      <w:pPr>
        <w:ind w:left="620" w:right="60"/>
        <w:spacing w:after="0" w:line="284" w:lineRule="auto"/>
        <w:rPr>
          <w:sz w:val="20"/>
          <w:szCs w:val="20"/>
          <w:color w:val="auto"/>
        </w:rPr>
      </w:pPr>
      <w:r>
        <w:rPr>
          <w:rFonts w:ascii="Arial" w:cs="Arial" w:eastAsia="Arial" w:hAnsi="Arial"/>
          <w:sz w:val="19"/>
          <w:szCs w:val="19"/>
          <w:color w:val="auto"/>
        </w:rPr>
        <w:t>“Nonpublic information” is information that is not generally known or available to the public. The Company considers information to be available to the public only when:</w:t>
      </w:r>
    </w:p>
    <w:p>
      <w:pPr>
        <w:spacing w:after="0" w:line="32" w:lineRule="exact"/>
        <w:rPr>
          <w:sz w:val="20"/>
          <w:szCs w:val="20"/>
          <w:color w:val="auto"/>
        </w:rPr>
      </w:pPr>
    </w:p>
    <w:p>
      <w:pPr>
        <w:ind w:left="920" w:right="180" w:hanging="305"/>
        <w:spacing w:after="0" w:line="284" w:lineRule="auto"/>
        <w:tabs>
          <w:tab w:leader="none" w:pos="909"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it has been released to the public by the Company through appropriate channels (e.g., by means of a filing with the SEC, a press release or a widely disseminated statement from a senior officer); and</w:t>
      </w:r>
    </w:p>
    <w:p>
      <w:pPr>
        <w:spacing w:after="0" w:line="32" w:lineRule="exact"/>
        <w:rPr>
          <w:rFonts w:ascii="Arial" w:cs="Arial" w:eastAsia="Arial" w:hAnsi="Arial"/>
          <w:sz w:val="19"/>
          <w:szCs w:val="19"/>
          <w:b w:val="1"/>
          <w:bCs w:val="1"/>
          <w:color w:val="auto"/>
        </w:rPr>
      </w:pPr>
    </w:p>
    <w:p>
      <w:pPr>
        <w:ind w:left="920" w:hanging="305"/>
        <w:spacing w:after="0"/>
        <w:tabs>
          <w:tab w:leader="none" w:pos="920"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enough time has elapsed to permit the investment market to absorb and evaluate the information.</w:t>
      </w:r>
    </w:p>
    <w:p>
      <w:pPr>
        <w:spacing w:after="0" w:line="114" w:lineRule="exact"/>
        <w:rPr>
          <w:sz w:val="20"/>
          <w:szCs w:val="20"/>
          <w:color w:val="auto"/>
        </w:rPr>
      </w:pPr>
    </w:p>
    <w:p>
      <w:pPr>
        <w:ind w:left="620" w:right="220"/>
        <w:spacing w:after="0" w:line="261" w:lineRule="auto"/>
        <w:rPr>
          <w:sz w:val="20"/>
          <w:szCs w:val="20"/>
          <w:color w:val="auto"/>
        </w:rPr>
      </w:pPr>
      <w:r>
        <w:rPr>
          <w:rFonts w:ascii="Arial" w:cs="Arial" w:eastAsia="Arial" w:hAnsi="Arial"/>
          <w:sz w:val="19"/>
          <w:szCs w:val="19"/>
          <w:color w:val="auto"/>
        </w:rPr>
        <w:t>Generally, information is considered to be nonpublic until one full trading day has elapsed following public disclosure. The fact that rumors, speculation, or statements attributed to unidentified sources are public is insufficient to be considered widely disseminated even when the information is accurate.</w:t>
      </w:r>
    </w:p>
    <w:p>
      <w:pPr>
        <w:spacing w:after="0" w:line="67" w:lineRule="exact"/>
        <w:rPr>
          <w:sz w:val="20"/>
          <w:szCs w:val="20"/>
          <w:color w:val="auto"/>
        </w:rPr>
      </w:pPr>
    </w:p>
    <w:p>
      <w:pPr>
        <w:ind w:left="620" w:right="40"/>
        <w:spacing w:after="0" w:line="270" w:lineRule="auto"/>
        <w:rPr>
          <w:sz w:val="20"/>
          <w:szCs w:val="20"/>
          <w:color w:val="auto"/>
        </w:rPr>
      </w:pPr>
      <w:r>
        <w:rPr>
          <w:rFonts w:ascii="Arial" w:cs="Arial" w:eastAsia="Arial" w:hAnsi="Arial"/>
          <w:sz w:val="19"/>
          <w:szCs w:val="19"/>
          <w:i w:val="1"/>
          <w:iCs w:val="1"/>
          <w:color w:val="auto"/>
        </w:rPr>
        <w:t xml:space="preserve">Prohibition on Tipping. </w:t>
      </w:r>
      <w:r>
        <w:rPr>
          <w:rFonts w:ascii="Arial" w:cs="Arial" w:eastAsia="Arial" w:hAnsi="Arial"/>
          <w:sz w:val="19"/>
          <w:szCs w:val="19"/>
          <w:color w:val="auto"/>
        </w:rPr>
        <w:t>No MVW associate, officer or director may pass MNPI along (“tip”) to others or recommend that they buy</w:t>
      </w:r>
      <w:r>
        <w:rPr>
          <w:rFonts w:ascii="Arial" w:cs="Arial" w:eastAsia="Arial" w:hAnsi="Arial"/>
          <w:sz w:val="19"/>
          <w:szCs w:val="19"/>
          <w:i w:val="1"/>
          <w:iCs w:val="1"/>
          <w:color w:val="auto"/>
        </w:rPr>
        <w:t xml:space="preserve"> </w:t>
      </w:r>
      <w:r>
        <w:rPr>
          <w:rFonts w:ascii="Arial" w:cs="Arial" w:eastAsia="Arial" w:hAnsi="Arial"/>
          <w:sz w:val="19"/>
          <w:szCs w:val="19"/>
          <w:color w:val="auto"/>
        </w:rPr>
        <w:t>or sell MVW securities based on MNPI.</w:t>
      </w:r>
    </w:p>
    <w:p>
      <w:pPr>
        <w:spacing w:after="0" w:line="58" w:lineRule="exact"/>
        <w:rPr>
          <w:sz w:val="20"/>
          <w:szCs w:val="20"/>
          <w:color w:val="auto"/>
        </w:rPr>
      </w:pPr>
    </w:p>
    <w:p>
      <w:pPr>
        <w:ind w:left="620" w:right="340"/>
        <w:spacing w:after="0" w:line="261" w:lineRule="auto"/>
        <w:rPr>
          <w:sz w:val="20"/>
          <w:szCs w:val="20"/>
          <w:color w:val="auto"/>
        </w:rPr>
      </w:pPr>
      <w:r>
        <w:rPr>
          <w:rFonts w:ascii="Arial" w:cs="Arial" w:eastAsia="Arial" w:hAnsi="Arial"/>
          <w:sz w:val="19"/>
          <w:szCs w:val="19"/>
          <w:i w:val="1"/>
          <w:iCs w:val="1"/>
          <w:color w:val="auto"/>
        </w:rPr>
        <w:t xml:space="preserve">Prohibition on use of MNPI related to other companies. </w:t>
      </w:r>
      <w:r>
        <w:rPr>
          <w:rFonts w:ascii="Arial" w:cs="Arial" w:eastAsia="Arial" w:hAnsi="Arial"/>
          <w:sz w:val="19"/>
          <w:szCs w:val="19"/>
          <w:color w:val="auto"/>
        </w:rPr>
        <w:t>MVW associates, officers or directors who in the course of their</w:t>
      </w:r>
      <w:r>
        <w:rPr>
          <w:rFonts w:ascii="Arial" w:cs="Arial" w:eastAsia="Arial" w:hAnsi="Arial"/>
          <w:sz w:val="19"/>
          <w:szCs w:val="19"/>
          <w:i w:val="1"/>
          <w:iCs w:val="1"/>
          <w:color w:val="auto"/>
        </w:rPr>
        <w:t xml:space="preserve"> </w:t>
      </w:r>
      <w:r>
        <w:rPr>
          <w:rFonts w:ascii="Arial" w:cs="Arial" w:eastAsia="Arial" w:hAnsi="Arial"/>
          <w:sz w:val="19"/>
          <w:szCs w:val="19"/>
          <w:color w:val="auto"/>
        </w:rPr>
        <w:t>responsibilities become aware of MNPI about another company, including MVW’s competitors, customers and suppliers, are also prohibited from trading in the securities of that company or tipping that information to others.</w:t>
      </w:r>
    </w:p>
    <w:p>
      <w:pPr>
        <w:spacing w:after="0" w:line="67" w:lineRule="exact"/>
        <w:rPr>
          <w:sz w:val="20"/>
          <w:szCs w:val="20"/>
          <w:color w:val="auto"/>
        </w:rPr>
      </w:pPr>
    </w:p>
    <w:p>
      <w:pPr>
        <w:ind w:left="620" w:right="140"/>
        <w:spacing w:after="0" w:line="253" w:lineRule="auto"/>
        <w:rPr>
          <w:sz w:val="20"/>
          <w:szCs w:val="20"/>
          <w:color w:val="auto"/>
        </w:rPr>
      </w:pPr>
      <w:r>
        <w:rPr>
          <w:rFonts w:ascii="Arial" w:cs="Arial" w:eastAsia="Arial" w:hAnsi="Arial"/>
          <w:sz w:val="19"/>
          <w:szCs w:val="19"/>
          <w:color w:val="auto"/>
        </w:rPr>
        <w:t>As discussed above, there are strict legal prohibitions against trading on and tipping MNPI and violations of these prohibitions may result in civil penalties, criminal fines and/or jail terms. Both the Company and supervisory individuals may be liable if they know or recklessly disregard the fact that a person under their control is likely to engage in insider trading and fail to take appropriate steps to prevent it. As such, if MNPI is inadvertently disclosed, the person making or discovering that disclosure should immediately report the facts to the Law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 of 13</w:t>
      </w:r>
    </w:p>
    <w:p>
      <w:pPr>
        <w:sectPr>
          <w:pgSz w:w="11900" w:h="16838" w:orient="portrait"/>
          <w:cols w:equalWidth="0" w:num="1">
            <w:col w:w="11220"/>
          </w:cols>
          <w:pgMar w:left="320" w:top="1404" w:right="35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i w:val="1"/>
          <w:iCs w:val="1"/>
          <w:color w:val="auto"/>
        </w:rPr>
        <w:t xml:space="preserve">Transactions subject to this policy. </w:t>
      </w:r>
      <w:r>
        <w:rPr>
          <w:rFonts w:ascii="Arial" w:cs="Arial" w:eastAsia="Arial" w:hAnsi="Arial"/>
          <w:sz w:val="19"/>
          <w:szCs w:val="19"/>
          <w:color w:val="auto"/>
        </w:rPr>
        <w:t>For purposes of this policy, “trading” and “transactions” include:</w:t>
      </w:r>
    </w:p>
    <w:p>
      <w:pPr>
        <w:spacing w:after="0" w:line="114" w:lineRule="exact"/>
        <w:rPr>
          <w:sz w:val="20"/>
          <w:szCs w:val="20"/>
          <w:color w:val="auto"/>
        </w:rPr>
      </w:pPr>
    </w:p>
    <w:p>
      <w:pPr>
        <w:ind w:left="600" w:hanging="291"/>
        <w:spacing w:after="0"/>
        <w:tabs>
          <w:tab w:leader="none" w:pos="600"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purchases and sales of Company securities;</w:t>
      </w:r>
    </w:p>
    <w:p>
      <w:pPr>
        <w:spacing w:after="0" w:line="100" w:lineRule="exact"/>
        <w:rPr>
          <w:rFonts w:ascii="Arial" w:cs="Arial" w:eastAsia="Arial" w:hAnsi="Arial"/>
          <w:sz w:val="19"/>
          <w:szCs w:val="19"/>
          <w:b w:val="1"/>
          <w:bCs w:val="1"/>
          <w:color w:val="auto"/>
        </w:rPr>
      </w:pPr>
    </w:p>
    <w:p>
      <w:pPr>
        <w:ind w:left="600" w:hanging="291"/>
        <w:spacing w:after="0"/>
        <w:tabs>
          <w:tab w:leader="none" w:pos="600"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making gifts of Company securities; and</w:t>
      </w:r>
    </w:p>
    <w:p>
      <w:pPr>
        <w:spacing w:after="0" w:line="113" w:lineRule="exact"/>
        <w:rPr>
          <w:rFonts w:ascii="Arial" w:cs="Arial" w:eastAsia="Arial" w:hAnsi="Arial"/>
          <w:sz w:val="19"/>
          <w:szCs w:val="19"/>
          <w:b w:val="1"/>
          <w:bCs w:val="1"/>
          <w:color w:val="auto"/>
        </w:rPr>
      </w:pPr>
    </w:p>
    <w:p>
      <w:pPr>
        <w:ind w:left="620" w:right="700" w:hanging="311"/>
        <w:spacing w:after="0" w:line="270" w:lineRule="auto"/>
        <w:tabs>
          <w:tab w:leader="none" w:pos="609"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executing a same-day sale (e.g., a “cashless” or “broker-assisted” exercise) of Company securities obtained through the exercise of securities issued by the Company.</w:t>
      </w:r>
    </w:p>
    <w:p>
      <w:pPr>
        <w:spacing w:after="0" w:line="58"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i w:val="1"/>
          <w:iCs w:val="1"/>
          <w:color w:val="auto"/>
        </w:rPr>
        <w:t xml:space="preserve">All short sales are prohibited. </w:t>
      </w:r>
      <w:r>
        <w:rPr>
          <w:rFonts w:ascii="Arial" w:cs="Arial" w:eastAsia="Arial" w:hAnsi="Arial"/>
          <w:sz w:val="19"/>
          <w:szCs w:val="19"/>
          <w:color w:val="auto"/>
        </w:rPr>
        <w:t>Because of the inherent potential for abuse with “short sale” transactions (i.e., a person selling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that he or she does not own and delivering borrowed securities to the buyer), MVW also prohibits all associates, officers and directors from shorting the sale of MVW stock or other MVW securities, whether or not the sale is “against the box” (i.e., a transaction in which the seller already owns a number of securities at least equal to the number sold short).</w:t>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9"/>
          <w:szCs w:val="19"/>
          <w:i w:val="1"/>
          <w:iCs w:val="1"/>
          <w:color w:val="auto"/>
        </w:rPr>
        <w:t xml:space="preserve">Derivative transactions (including hedging transactions) are prohibited. </w:t>
      </w:r>
      <w:r>
        <w:rPr>
          <w:rFonts w:ascii="Arial" w:cs="Arial" w:eastAsia="Arial" w:hAnsi="Arial"/>
          <w:sz w:val="19"/>
          <w:szCs w:val="19"/>
          <w:color w:val="auto"/>
        </w:rPr>
        <w:t>Buying, selling, writing or otherwise entering into any “derivative”</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 related to MVW stock or other MVW securities, including options, warrants, puts, calls, and similar rights that have an exercise or conversion privilege that is related to the price of a MVW security, or similar securities with a value derived from the value of a MVW security are prohibited (in each case, other than the receipt or exercise of employee stock options or other derivative securities that MVW issues to its associates, officers or directors pursuant to Company compensation plans). This prohibition of derivative transactions extends to any transactions designed to hedge or offset, or that have the effect of hedging or offsetting, any decrease in the market value of MVW securities. As such, associates, officers and directors may not utilize financial instruments, such as prepaid variable forwards, equity swaps, collars or exchange funds.</w:t>
      </w:r>
    </w:p>
    <w:p>
      <w:pPr>
        <w:spacing w:after="0" w:line="61"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i w:val="1"/>
          <w:iCs w:val="1"/>
          <w:color w:val="auto"/>
        </w:rPr>
        <w:t xml:space="preserve">Pledging is prohibited. </w:t>
      </w:r>
      <w:r>
        <w:rPr>
          <w:rFonts w:ascii="Arial" w:cs="Arial" w:eastAsia="Arial" w:hAnsi="Arial"/>
          <w:sz w:val="19"/>
          <w:szCs w:val="19"/>
          <w:color w:val="auto"/>
        </w:rPr>
        <w:t>Securities held in a margin account or pledged as collateral may be sold without the pledgor’s consent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pledgor fails to meet a margin call or defaults on a loan, and as a result a margin or foreclosure sale may result in unlawful insider trading. Because of this danger, MVW prohibits associates, officers and directors from including MVW stock or other MVW securities in a margin account or pledging such securities as collateral for a loan.</w:t>
      </w:r>
    </w:p>
    <w:p>
      <w:pPr>
        <w:spacing w:after="0" w:line="57"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i w:val="1"/>
          <w:iCs w:val="1"/>
          <w:color w:val="auto"/>
        </w:rPr>
        <w:t xml:space="preserve">Stock award payroll tax elections are subject to this policy. </w:t>
      </w:r>
      <w:r>
        <w:rPr>
          <w:rFonts w:ascii="Arial" w:cs="Arial" w:eastAsia="Arial" w:hAnsi="Arial"/>
          <w:sz w:val="19"/>
          <w:szCs w:val="19"/>
          <w:color w:val="auto"/>
        </w:rPr>
        <w:t>Participants who receive stock-based awards under the Marriott Vacations</w:t>
      </w:r>
      <w:r>
        <w:rPr>
          <w:rFonts w:ascii="Arial" w:cs="Arial" w:eastAsia="Arial" w:hAnsi="Arial"/>
          <w:sz w:val="19"/>
          <w:szCs w:val="19"/>
          <w:i w:val="1"/>
          <w:iCs w:val="1"/>
          <w:color w:val="auto"/>
        </w:rPr>
        <w:t xml:space="preserve"> </w:t>
      </w:r>
      <w:r>
        <w:rPr>
          <w:rFonts w:ascii="Arial" w:cs="Arial" w:eastAsia="Arial" w:hAnsi="Arial"/>
          <w:sz w:val="19"/>
          <w:szCs w:val="19"/>
          <w:color w:val="auto"/>
        </w:rPr>
        <w:t>Worldwide Corporation Equity Plan (the “Stock Plan”) or other Company stock- based compensation plans may be offered an election for meeting payroll tax requirements in connection with the vesting or exercise of such awards. Making such elections may constitute trading on the basis of MNPI under the securities laws (for example, if an associate elects to reduce the number of shares to be delivered upon vesting of an award under the Stock Plan by the shares needed to satisfy the related tax withholding obligation, such an election can be viewed as an instruction to sell those shares). Associates, officers and directors therefore may not make or change such elections at any time that they are aware of MNPI or are otherwise restricted from trading under this policy.</w:t>
      </w:r>
    </w:p>
    <w:p>
      <w:pPr>
        <w:spacing w:after="0" w:line="74" w:lineRule="exact"/>
        <w:rPr>
          <w:sz w:val="20"/>
          <w:szCs w:val="20"/>
          <w:color w:val="auto"/>
        </w:rPr>
      </w:pPr>
    </w:p>
    <w:p>
      <w:pPr>
        <w:ind w:right="340"/>
        <w:spacing w:after="0" w:line="261" w:lineRule="auto"/>
        <w:rPr>
          <w:sz w:val="20"/>
          <w:szCs w:val="20"/>
          <w:color w:val="auto"/>
        </w:rPr>
      </w:pPr>
      <w:r>
        <w:rPr>
          <w:rFonts w:ascii="Arial" w:cs="Arial" w:eastAsia="Arial" w:hAnsi="Arial"/>
          <w:sz w:val="19"/>
          <w:szCs w:val="19"/>
          <w:i w:val="1"/>
          <w:iCs w:val="1"/>
          <w:color w:val="auto"/>
        </w:rPr>
        <w:t xml:space="preserve">Employee Stock Purchase Plan Transactions. </w:t>
      </w:r>
      <w:r>
        <w:rPr>
          <w:rFonts w:ascii="Arial" w:cs="Arial" w:eastAsia="Arial" w:hAnsi="Arial"/>
          <w:sz w:val="19"/>
          <w:szCs w:val="19"/>
          <w:color w:val="auto"/>
        </w:rPr>
        <w:t>Associates and officers are prohibited under this policy from (1) making an election to</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participate in the Company’s Employee Stock Purchase Plan (“ESPP”) for an enrollment period, (2) increasing or decreasing the amount of their periodic contributions to the ESPP or (3) selling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13</w:t>
      </w:r>
    </w:p>
    <w:p>
      <w:pPr>
        <w:sectPr>
          <w:pgSz w:w="11900" w:h="16838" w:orient="portrait"/>
          <w:cols w:equalWidth="0" w:num="1">
            <w:col w:w="11240"/>
          </w:cols>
          <w:pgMar w:left="320" w:top="1294" w:right="339" w:bottom="1440" w:gutter="0" w:footer="0" w:header="0"/>
        </w:sectPr>
      </w:pPr>
    </w:p>
    <w:bookmarkStart w:id="148" w:name="page149"/>
    <w:bookmarkEnd w:id="148"/>
    <w:p>
      <w:pPr>
        <w:ind w:right="40"/>
        <w:spacing w:after="0" w:line="258" w:lineRule="auto"/>
        <w:rPr>
          <w:sz w:val="20"/>
          <w:szCs w:val="20"/>
          <w:color w:val="auto"/>
        </w:rPr>
      </w:pPr>
      <w:r>
        <w:rPr>
          <w:rFonts w:ascii="Arial" w:cs="Arial" w:eastAsia="Arial" w:hAnsi="Arial"/>
          <w:sz w:val="19"/>
          <w:szCs w:val="19"/>
          <w:color w:val="auto"/>
        </w:rPr>
        <w:t>pursuant to the ESPP at any time when they are aware of MNPI or are otherwise restricted from trading under this policy (collectively, “Restricted ESPP Transactions”). The restrictions in this policy, however, do not apply to purchases of Company stock resulting from an associate’s or officer’s periodic contribution of money to the ESPP pursuant to a payroll deduction election made when such associate or officer was not aware of MNPI and was otherwise permitted to trade under this policy.</w:t>
      </w:r>
    </w:p>
    <w:p>
      <w:pPr>
        <w:spacing w:after="0" w:line="57"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i w:val="1"/>
          <w:iCs w:val="1"/>
          <w:color w:val="auto"/>
        </w:rPr>
        <w:t xml:space="preserve">Family Members; Controlled Entities. </w:t>
      </w:r>
      <w:r>
        <w:rPr>
          <w:rFonts w:ascii="Arial" w:cs="Arial" w:eastAsia="Arial" w:hAnsi="Arial"/>
          <w:sz w:val="19"/>
          <w:szCs w:val="19"/>
          <w:color w:val="auto"/>
        </w:rPr>
        <w:t>This policy applies to family members (spouses, parents, children, siblings and in-laws),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others living in the same household of any director, officer or associate of the Company, and any family members who do not live in the household of a director, officer or associate of the Company but whose transactions in Company securities are directed by, or subject to the influence of, a director, officer or associate of the Company (together, “Family Members”), to the same extent that the policy applies to the related director, officer or associate, as the case may be. Directors, officers and associates of the Company are expected to be responsible for compliance with this policy by their Family Members.</w:t>
      </w:r>
    </w:p>
    <w:p>
      <w:pPr>
        <w:spacing w:after="0" w:line="75"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auto"/>
        </w:rPr>
        <w:t>This policy also applies to all investment decisions made by persons covered by this policy. Any restriction applicable to a person (or Family Member) under this policy also applies to securities that he or she has the power to direct by virtue of being a stockholder, director, officer, partner, trustee or executor of a business, partnership, not-for-profit organization, trust, estate or similar entity (collectively, “Controlled Entities”), and the Controlled Entity may not buy, sell, gift or otherwise trade MVW securities (or securities of other companies that do business with the Company) on behalf of any other person or entity at a time when this policy does not permit that person to buy, sell, gift or otherwise trade for his or her own account.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Company Transactions</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From time to time, the Company may engage in transactions in its own securities. It is the Company’s policy to comply with applicable securities and state law (including appropriate approvals by the Board of Directors or appropriate committee, if required) when engaging in transactions in the Company’s securities.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Restricted Associates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This section describes additional rules that apply only to Restricted Associates (which include directors and Section 16 officers).</w:t>
      </w:r>
    </w:p>
    <w:p>
      <w:pPr>
        <w:spacing w:after="0" w:line="101" w:lineRule="exact"/>
        <w:rPr>
          <w:sz w:val="20"/>
          <w:szCs w:val="20"/>
          <w:color w:val="auto"/>
        </w:rPr>
      </w:pPr>
    </w:p>
    <w:p>
      <w:pPr>
        <w:ind w:right="260"/>
        <w:spacing w:after="0" w:line="257" w:lineRule="auto"/>
        <w:rPr>
          <w:sz w:val="20"/>
          <w:szCs w:val="20"/>
          <w:color w:val="auto"/>
        </w:rPr>
      </w:pPr>
      <w:r>
        <w:rPr>
          <w:rFonts w:ascii="Arial" w:cs="Arial" w:eastAsia="Arial" w:hAnsi="Arial"/>
          <w:sz w:val="19"/>
          <w:szCs w:val="19"/>
          <w:color w:val="auto"/>
        </w:rPr>
        <w:t>A “Restricted Associate” is (1) each member of MVW’s Board of Directors; (2) the Chief Executive Officer; (3) each member of the Executive Committee; (4) each associate who is involved in the preparation or review of the Company’s financial statements or earnings press releases prior to their public disclosure; and (5) any other designated associate identified by senior management as a “restricted associate,” and such designation has been communicated in writing to the Senior Vice President and Associate General Counsel, Corporate Affairs and Finance.</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“Section 16 officer” means “officer” as defined by Rule 16a-1(f) under the Securities Exchange Act of 1934, as amended (the “Exchange Act”) and includes the Chief Executive Officer, Chief Financial Officer, Chief Accounting Officer and certain other officers that have been advised by MVW that they are required to file reports pursuant to Section 16 of the Exchange Act or are otherwise required to file reports under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13</w:t>
      </w:r>
    </w:p>
    <w:p>
      <w:pPr>
        <w:sectPr>
          <w:pgSz w:w="11900" w:h="16838" w:orient="portrait"/>
          <w:cols w:equalWidth="0" w:num="1">
            <w:col w:w="11240"/>
          </w:cols>
          <w:pgMar w:left="320" w:top="1293" w:right="339" w:bottom="1440" w:gutter="0" w:footer="0" w:header="0"/>
        </w:sectPr>
      </w:pPr>
    </w:p>
    <w:bookmarkStart w:id="149" w:name="page150"/>
    <w:bookmarkEnd w:id="149"/>
    <w:p>
      <w:pPr>
        <w:ind w:right="20"/>
        <w:spacing w:after="0" w:line="253" w:lineRule="auto"/>
        <w:rPr>
          <w:sz w:val="20"/>
          <w:szCs w:val="20"/>
          <w:color w:val="auto"/>
        </w:rPr>
      </w:pPr>
      <w:r>
        <w:rPr>
          <w:rFonts w:ascii="Arial" w:cs="Arial" w:eastAsia="Arial" w:hAnsi="Arial"/>
          <w:sz w:val="19"/>
          <w:szCs w:val="19"/>
          <w:i w:val="1"/>
          <w:iCs w:val="1"/>
          <w:color w:val="auto"/>
        </w:rPr>
        <w:t xml:space="preserve">Restricted trading window. </w:t>
      </w:r>
      <w:r>
        <w:rPr>
          <w:rFonts w:ascii="Arial" w:cs="Arial" w:eastAsia="Arial" w:hAnsi="Arial"/>
          <w:sz w:val="19"/>
          <w:szCs w:val="19"/>
          <w:color w:val="auto"/>
        </w:rPr>
        <w:t>Except as set forth below, Restricted Associates may trade in Company securities only during designated</w:t>
      </w:r>
      <w:r>
        <w:rPr>
          <w:rFonts w:ascii="Arial" w:cs="Arial" w:eastAsia="Arial" w:hAnsi="Arial"/>
          <w:sz w:val="19"/>
          <w:szCs w:val="19"/>
          <w:i w:val="1"/>
          <w:iCs w:val="1"/>
          <w:color w:val="auto"/>
        </w:rPr>
        <w:t xml:space="preserve"> </w:t>
      </w:r>
      <w:r>
        <w:rPr>
          <w:rFonts w:ascii="Arial" w:cs="Arial" w:eastAsia="Arial" w:hAnsi="Arial"/>
          <w:sz w:val="19"/>
          <w:szCs w:val="19"/>
          <w:color w:val="auto"/>
        </w:rPr>
        <w:t>open “trading windows.” During a closed trading window, Restricted Associates may not buy, sell, gift or donate MVW stock or other MVW securities, execute a same-day sale (including a cashless exercise) of an option or stock appreciation right, make any other trade in MVW securities, make or change an election of payroll tax withholding method under the Stock Plan, or engage in Restricted ESPP Transactions.</w:t>
      </w:r>
    </w:p>
    <w:p>
      <w:pPr>
        <w:spacing w:after="0" w:line="7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Restricted Associates also need to be aware of any outstanding limit orders they may have with brokers (sale or purchase orders) and must cancel them for the period during which the trading window is closed unless such order is under an approved pre-arranged trading plan (discussed below).</w:t>
      </w:r>
    </w:p>
    <w:p>
      <w:pPr>
        <w:spacing w:after="0" w:line="67" w:lineRule="exact"/>
        <w:rPr>
          <w:sz w:val="20"/>
          <w:szCs w:val="20"/>
          <w:color w:val="auto"/>
        </w:rPr>
      </w:pPr>
    </w:p>
    <w:p>
      <w:pPr>
        <w:jc w:val="both"/>
        <w:ind w:right="400"/>
        <w:spacing w:after="0" w:line="261" w:lineRule="auto"/>
        <w:rPr>
          <w:sz w:val="20"/>
          <w:szCs w:val="20"/>
          <w:color w:val="auto"/>
        </w:rPr>
      </w:pPr>
      <w:r>
        <w:rPr>
          <w:rFonts w:ascii="Arial" w:cs="Arial" w:eastAsia="Arial" w:hAnsi="Arial"/>
          <w:sz w:val="19"/>
          <w:szCs w:val="19"/>
          <w:color w:val="auto"/>
        </w:rPr>
        <w:t>These trading window rules also apply to Family Members and Controlled Entities of Restricted Associates. Even when the trading window is open, no Company associate, officer or director may trade in MVW securities at a time when he or she is aware of MNPI about the Company.</w:t>
      </w:r>
    </w:p>
    <w:p>
      <w:pPr>
        <w:spacing w:after="0" w:line="67" w:lineRule="exact"/>
        <w:rPr>
          <w:sz w:val="20"/>
          <w:szCs w:val="20"/>
          <w:color w:val="auto"/>
        </w:rPr>
      </w:pPr>
    </w:p>
    <w:p>
      <w:pPr>
        <w:ind w:right="160"/>
        <w:spacing w:after="0" w:line="249" w:lineRule="auto"/>
        <w:rPr>
          <w:sz w:val="20"/>
          <w:szCs w:val="20"/>
          <w:color w:val="auto"/>
        </w:rPr>
      </w:pPr>
      <w:r>
        <w:rPr>
          <w:rFonts w:ascii="Arial" w:cs="Arial" w:eastAsia="Arial" w:hAnsi="Arial"/>
          <w:sz w:val="19"/>
          <w:szCs w:val="19"/>
          <w:i w:val="1"/>
          <w:iCs w:val="1"/>
          <w:color w:val="auto"/>
        </w:rPr>
        <w:t xml:space="preserve">Close of trading window. </w:t>
      </w:r>
      <w:r>
        <w:rPr>
          <w:rFonts w:ascii="Arial" w:cs="Arial" w:eastAsia="Arial" w:hAnsi="Arial"/>
          <w:sz w:val="19"/>
          <w:szCs w:val="19"/>
          <w:color w:val="auto"/>
        </w:rPr>
        <w:t>The trading window will be closed from 5:00 pm (Eastern Time) on the last business day of each quarter</w:t>
      </w:r>
      <w:r>
        <w:rPr>
          <w:rFonts w:ascii="Arial" w:cs="Arial" w:eastAsia="Arial" w:hAnsi="Arial"/>
          <w:sz w:val="19"/>
          <w:szCs w:val="19"/>
          <w:i w:val="1"/>
          <w:iCs w:val="1"/>
          <w:color w:val="auto"/>
        </w:rPr>
        <w:t xml:space="preserve"> </w:t>
      </w:r>
      <w:r>
        <w:rPr>
          <w:rFonts w:ascii="Arial" w:cs="Arial" w:eastAsia="Arial" w:hAnsi="Arial"/>
          <w:sz w:val="19"/>
          <w:szCs w:val="19"/>
          <w:color w:val="auto"/>
        </w:rPr>
        <w:t>through the market opening on the second trading day after the earnings release or analysts’ conference call, whichever is later. For example, if the last business day of the first quarter of the year was Friday, March 31, the window would close at 5:00 pm (Eastern Time) on that day. In that particular year, if the earnings release for that quarter took place on Wednesday, May 3 and analysts’ conference call took place on Thursday, May 4, the window would reopen upon the market opening on Monday, May 8. The Company may also close the trading window and require some or all directors, officers and associates to refrain from trading in connection with major events or announcements. Notice of any such window closure will be given to the applicable directors, officers and associates, who then may not trade until they have been formally notified that the restriction has been lifted. If you are subject to a special trading blackout, you should not disclose to others the fact that the trading window has been closed.</w:t>
      </w:r>
    </w:p>
    <w:p>
      <w:pPr>
        <w:spacing w:after="0" w:line="81"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i w:val="1"/>
          <w:iCs w:val="1"/>
          <w:color w:val="auto"/>
        </w:rPr>
        <w:t xml:space="preserve">Exceptions. </w:t>
      </w:r>
      <w:r>
        <w:rPr>
          <w:rFonts w:ascii="Arial" w:cs="Arial" w:eastAsia="Arial" w:hAnsi="Arial"/>
          <w:sz w:val="19"/>
          <w:szCs w:val="19"/>
          <w:color w:val="auto"/>
        </w:rPr>
        <w:t>Restricted Associates may engage in the following transactions in MVW securities during a closed trading window: (1)</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exercises of MVW stock options (but not stock appreciation rights) where the associate holds the acquired stock until the trading window reopens and uses cash to pay the strike price and all other exercise costs, including any required withholding tax; (2) use of “net shares” (i.e., reduction of shares delivered) to pay taxes on vesting of restricted stock units or deferred stock awards as a result of either the Stock Plan’s default “net shares” election or an election made when an associate is not restricted from trading under this policy; and (3) trades effected in accordance with approved pre-arranged trading plans (discussed below).</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Pre-arranged trading plans.</w:t>
      </w:r>
    </w:p>
    <w:p>
      <w:pPr>
        <w:spacing w:after="0" w:line="11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Restricted Associates and their respective Family Members and Controlled Entities (together, “Insiders”) may trade in Company securities in accordance with written, pre-arranged trading plans that satisfy the requirements of Rule 10b5-1(c) under the Exchange Act and this policy, including the conditions set forth under “Requirements for Pre-Approved Plans.” Under Rule 10b5-1(c), if an Insider enters into a binding contract, an instruction or a written plan that satisfies the conditions of Rule 10b5-1(c) (a “Rule 10b5-1 Plan”), the Insider may claim a defense to insider trading liability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5 of 13</w:t>
      </w:r>
    </w:p>
    <w:p>
      <w:pPr>
        <w:sectPr>
          <w:pgSz w:w="11900" w:h="16838" w:orient="portrait"/>
          <w:cols w:equalWidth="0" w:num="1">
            <w:col w:w="11220"/>
          </w:cols>
          <w:pgMar w:left="320" w:top="1294" w:right="35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transactions under the Rule 10b5-1 Plan occur at a time when the Insider is subsequently aware of MNPI.</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Requirements for Pre-Approved Plans</w:t>
      </w:r>
    </w:p>
    <w:p>
      <w:pPr>
        <w:spacing w:after="0" w:line="101" w:lineRule="exact"/>
        <w:rPr>
          <w:sz w:val="20"/>
          <w:szCs w:val="20"/>
          <w:color w:val="auto"/>
        </w:rPr>
      </w:pPr>
    </w:p>
    <w:p>
      <w:pPr>
        <w:ind w:left="600" w:hanging="291"/>
        <w:spacing w:after="0"/>
        <w:tabs>
          <w:tab w:leader="none" w:pos="600" w:val="left"/>
        </w:tabs>
        <w:numPr>
          <w:ilvl w:val="0"/>
          <w:numId w:val="55"/>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Instructions. </w:t>
      </w:r>
      <w:r>
        <w:rPr>
          <w:rFonts w:ascii="Arial" w:cs="Arial" w:eastAsia="Arial" w:hAnsi="Arial"/>
          <w:sz w:val="19"/>
          <w:szCs w:val="19"/>
          <w:color w:val="auto"/>
        </w:rPr>
        <w:t>Any Rule 10b5-1 Plan adopted by any Insider must be in writing, signed, and:</w:t>
      </w:r>
    </w:p>
    <w:p>
      <w:pPr>
        <w:spacing w:after="0" w:line="113" w:lineRule="exact"/>
        <w:rPr>
          <w:rFonts w:ascii="Arial" w:cs="Arial" w:eastAsia="Arial" w:hAnsi="Arial"/>
          <w:sz w:val="19"/>
          <w:szCs w:val="19"/>
          <w:b w:val="1"/>
          <w:bCs w:val="1"/>
          <w:color w:val="auto"/>
        </w:rPr>
      </w:pPr>
    </w:p>
    <w:p>
      <w:pPr>
        <w:ind w:left="1220" w:hanging="298"/>
        <w:spacing w:after="0"/>
        <w:tabs>
          <w:tab w:leader="none" w:pos="1220" w:val="left"/>
        </w:tabs>
        <w:numPr>
          <w:ilvl w:val="1"/>
          <w:numId w:val="55"/>
        </w:numPr>
        <w:rPr>
          <w:rFonts w:ascii="Arial" w:cs="Arial" w:eastAsia="Arial" w:hAnsi="Arial"/>
          <w:sz w:val="19"/>
          <w:szCs w:val="19"/>
          <w:b w:val="1"/>
          <w:bCs w:val="1"/>
          <w:color w:val="auto"/>
        </w:rPr>
      </w:pPr>
      <w:r>
        <w:rPr>
          <w:rFonts w:ascii="Arial" w:cs="Arial" w:eastAsia="Arial" w:hAnsi="Arial"/>
          <w:sz w:val="19"/>
          <w:szCs w:val="19"/>
          <w:color w:val="auto"/>
        </w:rPr>
        <w:t>specify the amount, price and date of the sales (or purchases) of Company securities to be effected;</w:t>
      </w:r>
    </w:p>
    <w:p>
      <w:pPr>
        <w:spacing w:after="0" w:line="100" w:lineRule="exact"/>
        <w:rPr>
          <w:rFonts w:ascii="Arial" w:cs="Arial" w:eastAsia="Arial" w:hAnsi="Arial"/>
          <w:sz w:val="19"/>
          <w:szCs w:val="19"/>
          <w:b w:val="1"/>
          <w:bCs w:val="1"/>
          <w:color w:val="auto"/>
        </w:rPr>
      </w:pPr>
    </w:p>
    <w:p>
      <w:pPr>
        <w:ind w:left="1220" w:right="180" w:hanging="298"/>
        <w:spacing w:after="0" w:line="284" w:lineRule="auto"/>
        <w:tabs>
          <w:tab w:leader="none" w:pos="1209" w:val="left"/>
        </w:tabs>
        <w:numPr>
          <w:ilvl w:val="1"/>
          <w:numId w:val="55"/>
        </w:numPr>
        <w:rPr>
          <w:rFonts w:ascii="Arial" w:cs="Arial" w:eastAsia="Arial" w:hAnsi="Arial"/>
          <w:sz w:val="19"/>
          <w:szCs w:val="19"/>
          <w:b w:val="1"/>
          <w:bCs w:val="1"/>
          <w:color w:val="auto"/>
        </w:rPr>
      </w:pPr>
      <w:r>
        <w:rPr>
          <w:rFonts w:ascii="Arial" w:cs="Arial" w:eastAsia="Arial" w:hAnsi="Arial"/>
          <w:sz w:val="19"/>
          <w:szCs w:val="19"/>
          <w:color w:val="auto"/>
        </w:rPr>
        <w:t>provide a formula, algorithm or computer program for determining when to sell (or purchase) the Company’s securities, the quantity to sell (or purchase) and the price; or</w:t>
      </w:r>
    </w:p>
    <w:p>
      <w:pPr>
        <w:spacing w:after="0" w:line="45" w:lineRule="exact"/>
        <w:rPr>
          <w:rFonts w:ascii="Arial" w:cs="Arial" w:eastAsia="Arial" w:hAnsi="Arial"/>
          <w:sz w:val="19"/>
          <w:szCs w:val="19"/>
          <w:b w:val="1"/>
          <w:bCs w:val="1"/>
          <w:color w:val="auto"/>
        </w:rPr>
      </w:pPr>
    </w:p>
    <w:p>
      <w:pPr>
        <w:ind w:left="1220" w:right="520" w:hanging="298"/>
        <w:spacing w:after="0" w:line="270" w:lineRule="auto"/>
        <w:tabs>
          <w:tab w:leader="none" w:pos="1209" w:val="left"/>
        </w:tabs>
        <w:numPr>
          <w:ilvl w:val="1"/>
          <w:numId w:val="55"/>
        </w:numPr>
        <w:rPr>
          <w:rFonts w:ascii="Arial" w:cs="Arial" w:eastAsia="Arial" w:hAnsi="Arial"/>
          <w:sz w:val="19"/>
          <w:szCs w:val="19"/>
          <w:b w:val="1"/>
          <w:bCs w:val="1"/>
          <w:color w:val="auto"/>
        </w:rPr>
      </w:pPr>
      <w:r>
        <w:rPr>
          <w:rFonts w:ascii="Arial" w:cs="Arial" w:eastAsia="Arial" w:hAnsi="Arial"/>
          <w:sz w:val="19"/>
          <w:szCs w:val="19"/>
          <w:color w:val="auto"/>
        </w:rPr>
        <w:t>delegate decision-making authority with regard to the sales (or purchases) to be effected to a broker or other agent without any MNPI about the Company or its securities.</w:t>
      </w:r>
    </w:p>
    <w:p>
      <w:pPr>
        <w:spacing w:after="0" w:line="58" w:lineRule="exact"/>
        <w:rPr>
          <w:sz w:val="20"/>
          <w:szCs w:val="20"/>
          <w:color w:val="auto"/>
        </w:rPr>
      </w:pPr>
    </w:p>
    <w:p>
      <w:pPr>
        <w:ind w:left="620" w:right="300"/>
        <w:spacing w:after="0" w:line="270" w:lineRule="auto"/>
        <w:rPr>
          <w:sz w:val="20"/>
          <w:szCs w:val="20"/>
          <w:color w:val="auto"/>
        </w:rPr>
      </w:pPr>
      <w:r>
        <w:rPr>
          <w:rFonts w:ascii="Arial" w:cs="Arial" w:eastAsia="Arial" w:hAnsi="Arial"/>
          <w:sz w:val="19"/>
          <w:szCs w:val="19"/>
          <w:color w:val="auto"/>
        </w:rPr>
        <w:t>For the avoidance of doubt, Insiders may not subsequently influence how, when, or whether to effect purchases or sales with respect to the securities subject to an approved and adopted Rule 10b5-1 Plan.</w:t>
      </w:r>
    </w:p>
    <w:p>
      <w:pPr>
        <w:spacing w:after="0" w:line="58" w:lineRule="exact"/>
        <w:rPr>
          <w:sz w:val="20"/>
          <w:szCs w:val="20"/>
          <w:color w:val="auto"/>
        </w:rPr>
      </w:pPr>
    </w:p>
    <w:p>
      <w:pPr>
        <w:jc w:val="both"/>
        <w:ind w:left="620" w:hanging="311"/>
        <w:spacing w:after="0" w:line="313" w:lineRule="auto"/>
        <w:tabs>
          <w:tab w:leader="none" w:pos="609" w:val="left"/>
        </w:tabs>
        <w:numPr>
          <w:ilvl w:val="0"/>
          <w:numId w:val="5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Pre-Clearance. </w:t>
      </w:r>
      <w:r>
        <w:rPr>
          <w:rFonts w:ascii="Arial" w:cs="Arial" w:eastAsia="Arial" w:hAnsi="Arial"/>
          <w:sz w:val="18"/>
          <w:szCs w:val="18"/>
          <w:color w:val="auto"/>
        </w:rPr>
        <w:t>The Rule 10b5-1 Plan must be reviewed and approved in advance by the Law Department. Please allow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three business days prior to the intended entry into the plan for review in accordance with the procedures set forth in this policy.</w:t>
      </w:r>
    </w:p>
    <w:p>
      <w:pPr>
        <w:spacing w:after="0" w:line="9" w:lineRule="exact"/>
        <w:rPr>
          <w:rFonts w:ascii="Arial" w:cs="Arial" w:eastAsia="Arial" w:hAnsi="Arial"/>
          <w:sz w:val="18"/>
          <w:szCs w:val="18"/>
          <w:b w:val="1"/>
          <w:bCs w:val="1"/>
          <w:color w:val="auto"/>
        </w:rPr>
      </w:pPr>
    </w:p>
    <w:p>
      <w:pPr>
        <w:ind w:left="620" w:right="280" w:hanging="311"/>
        <w:spacing w:after="0" w:line="261" w:lineRule="auto"/>
        <w:tabs>
          <w:tab w:leader="none" w:pos="609" w:val="left"/>
        </w:tabs>
        <w:numPr>
          <w:ilvl w:val="0"/>
          <w:numId w:val="56"/>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No Hedging. </w:t>
      </w:r>
      <w:r>
        <w:rPr>
          <w:rFonts w:ascii="Arial" w:cs="Arial" w:eastAsia="Arial" w:hAnsi="Arial"/>
          <w:sz w:val="19"/>
          <w:szCs w:val="19"/>
          <w:color w:val="auto"/>
        </w:rPr>
        <w:t>Consistent with the prohibition on hedging set forth in this policy, Insiders may not have entered into or altered a</w:t>
      </w:r>
      <w:r>
        <w:rPr>
          <w:rFonts w:ascii="Arial" w:cs="Arial" w:eastAsia="Arial" w:hAnsi="Arial"/>
          <w:sz w:val="19"/>
          <w:szCs w:val="19"/>
          <w:i w:val="1"/>
          <w:iCs w:val="1"/>
          <w:color w:val="auto"/>
        </w:rPr>
        <w:t xml:space="preserve"> </w:t>
      </w:r>
      <w:r>
        <w:rPr>
          <w:rFonts w:ascii="Arial" w:cs="Arial" w:eastAsia="Arial" w:hAnsi="Arial"/>
          <w:sz w:val="19"/>
          <w:szCs w:val="19"/>
          <w:color w:val="auto"/>
        </w:rPr>
        <w:t>corresponding or hedging transaction or position with respect to the securities subject to the Rule 10b5-1 Plan and must not enter into any such transaction while the Rule 10b5-1 Plan is in effect.</w:t>
      </w:r>
    </w:p>
    <w:p>
      <w:pPr>
        <w:spacing w:after="0" w:line="66" w:lineRule="exact"/>
        <w:rPr>
          <w:rFonts w:ascii="Arial" w:cs="Arial" w:eastAsia="Arial" w:hAnsi="Arial"/>
          <w:sz w:val="19"/>
          <w:szCs w:val="19"/>
          <w:b w:val="1"/>
          <w:bCs w:val="1"/>
          <w:color w:val="auto"/>
        </w:rPr>
      </w:pPr>
    </w:p>
    <w:p>
      <w:pPr>
        <w:ind w:left="620" w:right="100" w:hanging="311"/>
        <w:spacing w:after="0" w:line="261" w:lineRule="auto"/>
        <w:tabs>
          <w:tab w:leader="none" w:pos="609" w:val="left"/>
        </w:tabs>
        <w:numPr>
          <w:ilvl w:val="0"/>
          <w:numId w:val="56"/>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Acting in Good Faith. </w:t>
      </w:r>
      <w:r>
        <w:rPr>
          <w:rFonts w:ascii="Arial" w:cs="Arial" w:eastAsia="Arial" w:hAnsi="Arial"/>
          <w:sz w:val="19"/>
          <w:szCs w:val="19"/>
          <w:color w:val="201D1E"/>
        </w:rPr>
        <w:t>The affirmative defense to insider trading liability applies only when (1) the Rule 10b5-1 Plan was entered</w:t>
      </w:r>
      <w:r>
        <w:rPr>
          <w:rFonts w:ascii="Arial" w:cs="Arial" w:eastAsia="Arial" w:hAnsi="Arial"/>
          <w:sz w:val="19"/>
          <w:szCs w:val="19"/>
          <w:i w:val="1"/>
          <w:iCs w:val="1"/>
          <w:color w:val="auto"/>
        </w:rPr>
        <w:t xml:space="preserve"> </w:t>
      </w:r>
      <w:r>
        <w:rPr>
          <w:rFonts w:ascii="Arial" w:cs="Arial" w:eastAsia="Arial" w:hAnsi="Arial"/>
          <w:sz w:val="19"/>
          <w:szCs w:val="19"/>
          <w:color w:val="201D1E"/>
        </w:rPr>
        <w:t>into in good faith and not as part of a plan or scheme to evade the prohibitions of Rule 10b5-1 and (2) the person who entered into the plan acted in good faith with respect to the plan.</w:t>
      </w:r>
    </w:p>
    <w:p>
      <w:pPr>
        <w:spacing w:after="0" w:line="66" w:lineRule="exact"/>
        <w:rPr>
          <w:rFonts w:ascii="Arial" w:cs="Arial" w:eastAsia="Arial" w:hAnsi="Arial"/>
          <w:sz w:val="19"/>
          <w:szCs w:val="19"/>
          <w:b w:val="1"/>
          <w:bCs w:val="1"/>
          <w:color w:val="auto"/>
        </w:rPr>
      </w:pPr>
    </w:p>
    <w:p>
      <w:pPr>
        <w:ind w:left="620" w:hanging="311"/>
        <w:spacing w:after="0" w:line="270" w:lineRule="auto"/>
        <w:tabs>
          <w:tab w:leader="none" w:pos="609" w:val="left"/>
        </w:tabs>
        <w:numPr>
          <w:ilvl w:val="0"/>
          <w:numId w:val="56"/>
        </w:numPr>
        <w:rPr>
          <w:rFonts w:ascii="Arial" w:cs="Arial" w:eastAsia="Arial" w:hAnsi="Arial"/>
          <w:sz w:val="19"/>
          <w:szCs w:val="19"/>
          <w:b w:val="1"/>
          <w:bCs w:val="1"/>
          <w:color w:val="201D1E"/>
        </w:rPr>
      </w:pPr>
      <w:r>
        <w:rPr>
          <w:rFonts w:ascii="Arial" w:cs="Arial" w:eastAsia="Arial" w:hAnsi="Arial"/>
          <w:sz w:val="19"/>
          <w:szCs w:val="19"/>
          <w:i w:val="1"/>
          <w:iCs w:val="1"/>
          <w:color w:val="auto"/>
        </w:rPr>
        <w:t xml:space="preserve">Trading Window. </w:t>
      </w:r>
      <w:r>
        <w:rPr>
          <w:rFonts w:ascii="Arial" w:cs="Arial" w:eastAsia="Arial" w:hAnsi="Arial"/>
          <w:sz w:val="19"/>
          <w:szCs w:val="19"/>
          <w:color w:val="auto"/>
        </w:rPr>
        <w:t>A Rule 10b5-1 plan must be entered into during an open “trading window” while the person adopting the plan is</w:t>
      </w:r>
      <w:r>
        <w:rPr>
          <w:rFonts w:ascii="Arial" w:cs="Arial" w:eastAsia="Arial" w:hAnsi="Arial"/>
          <w:sz w:val="19"/>
          <w:szCs w:val="19"/>
          <w:i w:val="1"/>
          <w:iCs w:val="1"/>
          <w:color w:val="auto"/>
        </w:rPr>
        <w:t xml:space="preserve"> </w:t>
      </w:r>
      <w:r>
        <w:rPr>
          <w:rFonts w:ascii="Arial" w:cs="Arial" w:eastAsia="Arial" w:hAnsi="Arial"/>
          <w:sz w:val="19"/>
          <w:szCs w:val="19"/>
          <w:color w:val="auto"/>
        </w:rPr>
        <w:t>not aware of MNPI.</w:t>
      </w:r>
    </w:p>
    <w:p>
      <w:pPr>
        <w:spacing w:after="0" w:line="57" w:lineRule="exact"/>
        <w:rPr>
          <w:rFonts w:ascii="Arial" w:cs="Arial" w:eastAsia="Arial" w:hAnsi="Arial"/>
          <w:sz w:val="19"/>
          <w:szCs w:val="19"/>
          <w:b w:val="1"/>
          <w:bCs w:val="1"/>
          <w:color w:val="201D1E"/>
        </w:rPr>
      </w:pPr>
    </w:p>
    <w:p>
      <w:pPr>
        <w:ind w:left="620" w:right="200" w:hanging="311"/>
        <w:spacing w:after="0" w:line="253" w:lineRule="auto"/>
        <w:tabs>
          <w:tab w:leader="none" w:pos="609"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Cooling-Off Periods. </w:t>
      </w:r>
      <w:r>
        <w:rPr>
          <w:rFonts w:ascii="Arial" w:cs="Arial" w:eastAsia="Arial" w:hAnsi="Arial"/>
          <w:sz w:val="19"/>
          <w:szCs w:val="19"/>
          <w:color w:val="auto"/>
        </w:rPr>
        <w:t>If the person who proposes to enter into the Rule 10b5-1 Plan is a director or Section 16 officer (or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Family Member or Controlled Entity of such person), no purchases or sales can occur under the Rule 10b5-1 Plan until expiration of a cooling-off period ending on the later of: (i) ninety days after the adoption of the Rule 10b5-1 Plan or (ii) two business days following the filing of the Company’s Form 10-Q or Form 10-K for the completed fiscal quarter in which the plan was adopted (but, in any event, this required cooling-off period is subject to a maximum of 120 days after adoption of the Rule 10b5-1 Plan).</w:t>
      </w:r>
    </w:p>
    <w:p>
      <w:pPr>
        <w:spacing w:after="0" w:line="61" w:lineRule="exact"/>
        <w:rPr>
          <w:rFonts w:ascii="Arial" w:cs="Arial" w:eastAsia="Arial" w:hAnsi="Arial"/>
          <w:sz w:val="19"/>
          <w:szCs w:val="19"/>
          <w:b w:val="1"/>
          <w:bCs w:val="1"/>
          <w:color w:val="auto"/>
        </w:rPr>
      </w:pPr>
    </w:p>
    <w:p>
      <w:pPr>
        <w:ind w:left="620" w:right="60"/>
        <w:spacing w:after="0" w:line="268" w:lineRule="auto"/>
        <w:rPr>
          <w:rFonts w:ascii="Arial" w:cs="Arial" w:eastAsia="Arial" w:hAnsi="Arial"/>
          <w:sz w:val="19"/>
          <w:szCs w:val="19"/>
          <w:b w:val="1"/>
          <w:bCs w:val="1"/>
          <w:color w:val="auto"/>
        </w:rPr>
      </w:pPr>
      <w:r>
        <w:rPr>
          <w:rFonts w:ascii="Arial" w:cs="Arial" w:eastAsia="Arial" w:hAnsi="Arial"/>
          <w:sz w:val="19"/>
          <w:szCs w:val="19"/>
          <w:color w:val="auto"/>
        </w:rPr>
        <w:t>If the person who proposes to enter into a plan is not a director or Section 16 officer (or a Family Member or Controlled Entity of such person), no purchases or sales under the Rule 10b5-1 Plan can occur until the expiration of a cooling-off period that is 30 days after the adoption of the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6 of 13</w:t>
      </w:r>
    </w:p>
    <w:p>
      <w:pPr>
        <w:sectPr>
          <w:pgSz w:w="11900" w:h="16838" w:orient="portrait"/>
          <w:cols w:equalWidth="0" w:num="1">
            <w:col w:w="11220"/>
          </w:cols>
          <w:pgMar w:left="320" w:top="1294" w:right="359" w:bottom="1440" w:gutter="0" w:footer="0" w:header="0"/>
        </w:sectPr>
      </w:pPr>
    </w:p>
    <w:bookmarkStart w:id="151" w:name="page152"/>
    <w:bookmarkEnd w:id="151"/>
    <w:p>
      <w:pPr>
        <w:ind w:left="620" w:right="80" w:hanging="311"/>
        <w:spacing w:after="0" w:line="258" w:lineRule="auto"/>
        <w:tabs>
          <w:tab w:leader="none" w:pos="609" w:val="left"/>
        </w:tabs>
        <w:numPr>
          <w:ilvl w:val="0"/>
          <w:numId w:val="57"/>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Certifications. </w:t>
      </w:r>
      <w:r>
        <w:rPr>
          <w:rFonts w:ascii="Arial" w:cs="Arial" w:eastAsia="Arial" w:hAnsi="Arial"/>
          <w:sz w:val="19"/>
          <w:szCs w:val="19"/>
          <w:color w:val="auto"/>
        </w:rPr>
        <w:t>If the person who entered into a plan is a director, Section 16 officer or associate (or a Family Member or</w:t>
      </w:r>
      <w:r>
        <w:rPr>
          <w:rFonts w:ascii="Arial" w:cs="Arial" w:eastAsia="Arial" w:hAnsi="Arial"/>
          <w:sz w:val="19"/>
          <w:szCs w:val="19"/>
          <w:i w:val="1"/>
          <w:iCs w:val="1"/>
          <w:color w:val="auto"/>
        </w:rPr>
        <w:t xml:space="preserve"> </w:t>
      </w:r>
      <w:r>
        <w:rPr>
          <w:rFonts w:ascii="Arial" w:cs="Arial" w:eastAsia="Arial" w:hAnsi="Arial"/>
          <w:sz w:val="19"/>
          <w:szCs w:val="19"/>
          <w:color w:val="auto"/>
        </w:rPr>
        <w:t>Controlled Entity of such person), such person must include a representation in the plan certifying that, on the date of adoption of the plan: (1) the individual is not aware of any MNPI about the security or the Company; and (2) the individual is adopting the plan in good faith and not as part of a plan or scheme to evade the prohibitions of Rule 10b-5.</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Additional Rules for Use of 10b5-1 Plans</w:t>
      </w:r>
    </w:p>
    <w:p>
      <w:pPr>
        <w:spacing w:after="0" w:line="114" w:lineRule="exact"/>
        <w:rPr>
          <w:sz w:val="20"/>
          <w:szCs w:val="20"/>
          <w:color w:val="auto"/>
        </w:rPr>
      </w:pPr>
    </w:p>
    <w:p>
      <w:pPr>
        <w:ind w:left="620" w:right="320" w:hanging="311"/>
        <w:spacing w:after="0" w:line="313" w:lineRule="auto"/>
        <w:tabs>
          <w:tab w:leader="none" w:pos="609" w:val="left"/>
        </w:tabs>
        <w:numPr>
          <w:ilvl w:val="0"/>
          <w:numId w:val="5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Prohibition on Overlapping Plans, </w:t>
      </w:r>
      <w:r>
        <w:rPr>
          <w:rFonts w:ascii="Arial" w:cs="Arial" w:eastAsia="Arial" w:hAnsi="Arial"/>
          <w:sz w:val="18"/>
          <w:szCs w:val="18"/>
          <w:color w:val="auto"/>
        </w:rPr>
        <w:t>Subject to limited exceptions, a person other than the Company may not have overlapping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10b5-1 Plans, i.e., entering into a Rule 10b-5 Plan while there is already a currently outstanding Rule 10b5-1 Plan.</w:t>
      </w:r>
    </w:p>
    <w:p>
      <w:pPr>
        <w:spacing w:after="0" w:line="9" w:lineRule="exact"/>
        <w:rPr>
          <w:rFonts w:ascii="Arial" w:cs="Arial" w:eastAsia="Arial" w:hAnsi="Arial"/>
          <w:sz w:val="18"/>
          <w:szCs w:val="18"/>
          <w:b w:val="1"/>
          <w:bCs w:val="1"/>
          <w:color w:val="auto"/>
        </w:rPr>
      </w:pPr>
    </w:p>
    <w:p>
      <w:pPr>
        <w:jc w:val="both"/>
        <w:ind w:left="620" w:hanging="311"/>
        <w:spacing w:after="0" w:line="261" w:lineRule="auto"/>
        <w:tabs>
          <w:tab w:leader="none" w:pos="609"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Restrictions on Single-Trade Plans. </w:t>
      </w:r>
      <w:r>
        <w:rPr>
          <w:rFonts w:ascii="Arial" w:cs="Arial" w:eastAsia="Arial" w:hAnsi="Arial"/>
          <w:sz w:val="19"/>
          <w:szCs w:val="19"/>
          <w:color w:val="201D1E"/>
        </w:rPr>
        <w:t>Persons other than the Company may have the affirmative defense for only one single-trade</w:t>
      </w:r>
      <w:r>
        <w:rPr>
          <w:rFonts w:ascii="Arial" w:cs="Arial" w:eastAsia="Arial" w:hAnsi="Arial"/>
          <w:sz w:val="19"/>
          <w:szCs w:val="19"/>
          <w:color w:val="auto"/>
        </w:rPr>
        <w:t xml:space="preserve"> </w:t>
      </w:r>
      <w:r>
        <w:rPr>
          <w:rFonts w:ascii="Arial" w:cs="Arial" w:eastAsia="Arial" w:hAnsi="Arial"/>
          <w:sz w:val="19"/>
          <w:szCs w:val="19"/>
          <w:color w:val="201D1E"/>
        </w:rPr>
        <w:t>plan during any consecutive 12-month period. A single-trade plan is one that is “designed to effect” the open-market purchase or sale of the total amount of securities as a single transaction.</w:t>
      </w:r>
    </w:p>
    <w:p>
      <w:pPr>
        <w:spacing w:after="0" w:line="66" w:lineRule="exact"/>
        <w:rPr>
          <w:rFonts w:ascii="Arial" w:cs="Arial" w:eastAsia="Arial" w:hAnsi="Arial"/>
          <w:sz w:val="19"/>
          <w:szCs w:val="19"/>
          <w:b w:val="1"/>
          <w:bCs w:val="1"/>
          <w:color w:val="auto"/>
        </w:rPr>
      </w:pPr>
    </w:p>
    <w:p>
      <w:pPr>
        <w:ind w:left="620" w:right="20" w:hanging="311"/>
        <w:spacing w:after="0" w:line="277" w:lineRule="auto"/>
        <w:tabs>
          <w:tab w:leader="none" w:pos="609"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 xml:space="preserve">Disclosure of 10b5-1 plans. </w:t>
      </w:r>
      <w:r>
        <w:rPr>
          <w:rFonts w:ascii="Arial" w:cs="Arial" w:eastAsia="Arial" w:hAnsi="Arial"/>
          <w:sz w:val="18"/>
          <w:szCs w:val="18"/>
          <w:color w:val="201D1E"/>
        </w:rPr>
        <w:t>MVW is required to disclose quarterly in its Form 10-Q or Form 10-K whether, during the Company’s</w:t>
      </w:r>
      <w:r>
        <w:rPr>
          <w:rFonts w:ascii="Arial" w:cs="Arial" w:eastAsia="Arial" w:hAnsi="Arial"/>
          <w:sz w:val="18"/>
          <w:szCs w:val="18"/>
          <w:color w:val="auto"/>
        </w:rPr>
        <w:t xml:space="preserve"> </w:t>
      </w:r>
      <w:r>
        <w:rPr>
          <w:rFonts w:ascii="Arial" w:cs="Arial" w:eastAsia="Arial" w:hAnsi="Arial"/>
          <w:sz w:val="18"/>
          <w:szCs w:val="18"/>
          <w:color w:val="201D1E"/>
        </w:rPr>
        <w:t>last fiscal quarter, a director or officer adopted or terminated any purported Rule 10b5-1 Plans and/or “non-Rule 10b5-1 trading arrangements” (as defined in Item 408(c) of Regulation S-K). MVW must disclose whether the trading arrangement is intended to satisfy the Rule 10b5-1(c) affirmative defense and the material terms of the trading plans and arrangements, including:</w:t>
      </w:r>
    </w:p>
    <w:p>
      <w:pPr>
        <w:spacing w:after="0" w:line="41" w:lineRule="exact"/>
        <w:rPr>
          <w:rFonts w:ascii="Arial" w:cs="Arial" w:eastAsia="Arial" w:hAnsi="Arial"/>
          <w:sz w:val="18"/>
          <w:szCs w:val="18"/>
          <w:b w:val="1"/>
          <w:bCs w:val="1"/>
          <w:color w:val="auto"/>
        </w:rPr>
      </w:pPr>
    </w:p>
    <w:p>
      <w:pPr>
        <w:ind w:left="920" w:hanging="305"/>
        <w:spacing w:after="0"/>
        <w:tabs>
          <w:tab w:leader="none" w:pos="920" w:val="left"/>
        </w:tabs>
        <w:numPr>
          <w:ilvl w:val="1"/>
          <w:numId w:val="58"/>
        </w:numPr>
        <w:rPr>
          <w:rFonts w:ascii="Arial" w:cs="Arial" w:eastAsia="Arial" w:hAnsi="Arial"/>
          <w:sz w:val="19"/>
          <w:szCs w:val="19"/>
          <w:b w:val="1"/>
          <w:bCs w:val="1"/>
          <w:color w:val="201D1E"/>
        </w:rPr>
      </w:pPr>
      <w:r>
        <w:rPr>
          <w:rFonts w:ascii="Arial" w:cs="Arial" w:eastAsia="Arial" w:hAnsi="Arial"/>
          <w:sz w:val="19"/>
          <w:szCs w:val="19"/>
          <w:color w:val="201D1E"/>
        </w:rPr>
        <w:t>the name and title of the director or officer;</w:t>
      </w:r>
    </w:p>
    <w:p>
      <w:pPr>
        <w:spacing w:after="0" w:line="113" w:lineRule="exact"/>
        <w:rPr>
          <w:rFonts w:ascii="Arial" w:cs="Arial" w:eastAsia="Arial" w:hAnsi="Arial"/>
          <w:sz w:val="19"/>
          <w:szCs w:val="19"/>
          <w:b w:val="1"/>
          <w:bCs w:val="1"/>
          <w:color w:val="201D1E"/>
        </w:rPr>
      </w:pPr>
    </w:p>
    <w:p>
      <w:pPr>
        <w:ind w:left="920" w:hanging="305"/>
        <w:spacing w:after="0"/>
        <w:tabs>
          <w:tab w:leader="none" w:pos="920" w:val="left"/>
        </w:tabs>
        <w:numPr>
          <w:ilvl w:val="1"/>
          <w:numId w:val="58"/>
        </w:numPr>
        <w:rPr>
          <w:rFonts w:ascii="Arial" w:cs="Arial" w:eastAsia="Arial" w:hAnsi="Arial"/>
          <w:sz w:val="19"/>
          <w:szCs w:val="19"/>
          <w:b w:val="1"/>
          <w:bCs w:val="1"/>
          <w:color w:val="201D1E"/>
        </w:rPr>
      </w:pPr>
      <w:r>
        <w:rPr>
          <w:rFonts w:ascii="Arial" w:cs="Arial" w:eastAsia="Arial" w:hAnsi="Arial"/>
          <w:sz w:val="19"/>
          <w:szCs w:val="19"/>
          <w:color w:val="201D1E"/>
        </w:rPr>
        <w:t>the date of the adoption/termination of the trading arrangement;</w:t>
      </w:r>
    </w:p>
    <w:p>
      <w:pPr>
        <w:spacing w:after="0" w:line="113" w:lineRule="exact"/>
        <w:rPr>
          <w:rFonts w:ascii="Arial" w:cs="Arial" w:eastAsia="Arial" w:hAnsi="Arial"/>
          <w:sz w:val="19"/>
          <w:szCs w:val="19"/>
          <w:b w:val="1"/>
          <w:bCs w:val="1"/>
          <w:color w:val="201D1E"/>
        </w:rPr>
      </w:pPr>
    </w:p>
    <w:p>
      <w:pPr>
        <w:ind w:left="920" w:hanging="305"/>
        <w:spacing w:after="0"/>
        <w:tabs>
          <w:tab w:leader="none" w:pos="920" w:val="left"/>
        </w:tabs>
        <w:numPr>
          <w:ilvl w:val="1"/>
          <w:numId w:val="58"/>
        </w:numPr>
        <w:rPr>
          <w:rFonts w:ascii="Arial" w:cs="Arial" w:eastAsia="Arial" w:hAnsi="Arial"/>
          <w:sz w:val="19"/>
          <w:szCs w:val="19"/>
          <w:b w:val="1"/>
          <w:bCs w:val="1"/>
          <w:color w:val="201D1E"/>
        </w:rPr>
      </w:pPr>
      <w:r>
        <w:rPr>
          <w:rFonts w:ascii="Arial" w:cs="Arial" w:eastAsia="Arial" w:hAnsi="Arial"/>
          <w:sz w:val="19"/>
          <w:szCs w:val="19"/>
          <w:color w:val="201D1E"/>
        </w:rPr>
        <w:t>the duration of such arrangement; and</w:t>
      </w:r>
    </w:p>
    <w:p>
      <w:pPr>
        <w:spacing w:after="0" w:line="100" w:lineRule="exact"/>
        <w:rPr>
          <w:rFonts w:ascii="Arial" w:cs="Arial" w:eastAsia="Arial" w:hAnsi="Arial"/>
          <w:sz w:val="19"/>
          <w:szCs w:val="19"/>
          <w:b w:val="1"/>
          <w:bCs w:val="1"/>
          <w:color w:val="201D1E"/>
        </w:rPr>
      </w:pPr>
    </w:p>
    <w:p>
      <w:pPr>
        <w:ind w:left="920" w:hanging="305"/>
        <w:spacing w:after="0"/>
        <w:tabs>
          <w:tab w:leader="none" w:pos="920" w:val="left"/>
        </w:tabs>
        <w:numPr>
          <w:ilvl w:val="1"/>
          <w:numId w:val="58"/>
        </w:numPr>
        <w:rPr>
          <w:rFonts w:ascii="Arial" w:cs="Arial" w:eastAsia="Arial" w:hAnsi="Arial"/>
          <w:sz w:val="19"/>
          <w:szCs w:val="19"/>
          <w:b w:val="1"/>
          <w:bCs w:val="1"/>
          <w:color w:val="201D1E"/>
        </w:rPr>
      </w:pPr>
      <w:r>
        <w:rPr>
          <w:rFonts w:ascii="Arial" w:cs="Arial" w:eastAsia="Arial" w:hAnsi="Arial"/>
          <w:sz w:val="19"/>
          <w:szCs w:val="19"/>
          <w:color w:val="201D1E"/>
        </w:rPr>
        <w:t>the aggregate number of securities to be sold or purchased under such arrangement.</w:t>
      </w:r>
    </w:p>
    <w:p>
      <w:pPr>
        <w:spacing w:after="0" w:line="114" w:lineRule="exact"/>
        <w:rPr>
          <w:sz w:val="20"/>
          <w:szCs w:val="20"/>
          <w:color w:val="auto"/>
        </w:rPr>
      </w:pPr>
    </w:p>
    <w:p>
      <w:pPr>
        <w:ind w:left="620" w:right="40"/>
        <w:spacing w:after="0" w:line="270" w:lineRule="auto"/>
        <w:rPr>
          <w:sz w:val="20"/>
          <w:szCs w:val="20"/>
          <w:color w:val="auto"/>
        </w:rPr>
      </w:pPr>
      <w:r>
        <w:rPr>
          <w:rFonts w:ascii="Arial" w:cs="Arial" w:eastAsia="Arial" w:hAnsi="Arial"/>
          <w:sz w:val="19"/>
          <w:szCs w:val="19"/>
          <w:color w:val="201D1E"/>
        </w:rPr>
        <w:t>Please note that the SEC rules view most amendments and modifications to a trading plan as disclosable terminations. There is no required disclosure of prices.</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Insiders may use the Fidelity-approved pre-arranged trading plan document for MVW securities held with Fidelity Brokerage Services, LLC, including securities acquired under the Stock Plan. Restricted Associates are encouraged to contact Fidelity Executive Services at 1-800-823-0217, team 111 for help completing the form. A pre-arranged trading plan with a broker other than Fidelity that a Restricted Associate proposes to use must be reviewed and approved by the Law Department in order to be effective under this policy. Insiders should request the broker’s form of pre-arranged trading plan sufficiently in advance of when the Restricted Associate wishes to enter into the plan to allow the Law Department ample time to review the plan.</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 xml:space="preserve">Amendments, Modifications and Terminations of Existing Pre-Arranged Trading Plan. All amendments, modifications and terminations of an existing pre-arranged trading plan must be reviewed and approved by the Law Department prior to effecting any such amendments, modifications or terminations. This requirement applies to both pre-arranged plans that are intended to comply with Rule 10b5-1 as described above, as well as other pre-planned trading contracts, instructions, or plans through which a director or officer seeks to transact in MVW securities. Modifications </w:t>
      </w:r>
      <w:r>
        <w:rPr>
          <w:rFonts w:ascii="Arial" w:cs="Arial" w:eastAsia="Arial" w:hAnsi="Arial"/>
          <w:sz w:val="19"/>
          <w:szCs w:val="19"/>
          <w:color w:val="201D1E"/>
        </w:rPr>
        <w:t>can only be made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7 of 13</w:t>
      </w:r>
    </w:p>
    <w:p>
      <w:pPr>
        <w:sectPr>
          <w:pgSz w:w="11900" w:h="16838" w:orient="portrait"/>
          <w:cols w:equalWidth="0" w:num="1">
            <w:col w:w="11220"/>
          </w:cols>
          <w:pgMar w:left="320" w:top="1294" w:right="359" w:bottom="1440" w:gutter="0" w:footer="0" w:header="0"/>
        </w:sectPr>
      </w:pPr>
    </w:p>
    <w:bookmarkStart w:id="152" w:name="page153"/>
    <w:bookmarkEnd w:id="152"/>
    <w:p>
      <w:pPr>
        <w:ind w:right="480"/>
        <w:spacing w:after="0" w:line="284" w:lineRule="auto"/>
        <w:rPr>
          <w:sz w:val="20"/>
          <w:szCs w:val="20"/>
          <w:color w:val="auto"/>
        </w:rPr>
      </w:pPr>
      <w:r>
        <w:rPr>
          <w:rFonts w:ascii="Arial" w:cs="Arial" w:eastAsia="Arial" w:hAnsi="Arial"/>
          <w:sz w:val="19"/>
          <w:szCs w:val="19"/>
          <w:color w:val="201D1E"/>
        </w:rPr>
        <w:t>person is not aware of MNPI and when the “trading window” is open. Any trades under a modified plan must satisfy the cooling off periods specified above.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For further information about pre-arranged trading plans, please contact the Law Department.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Directors and Section 16 Officers: Pre-Clearance Policy</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color w:val="auto"/>
        </w:rPr>
        <w:t>This section describes additional rules that apply only to directors and Section 16 officers (as described above).</w:t>
      </w:r>
    </w:p>
    <w:p>
      <w:pPr>
        <w:spacing w:after="0" w:line="114"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Each director and Section 16 officer must, in addition to abiding by the general and Restricted Associate rules described above, contact the Law Department and pre-clear any transactions (including any purchase, sale, gift or donation) in MVW securities subject to the trading window, other than exempted transactions described below. The pre-clearance rule also applies to trading by Family Members and Controlled Entities of directors and Section 16 officers. Pre-clearance is intended to:</w:t>
      </w:r>
    </w:p>
    <w:p>
      <w:pPr>
        <w:spacing w:after="0" w:line="75" w:lineRule="exact"/>
        <w:rPr>
          <w:sz w:val="20"/>
          <w:szCs w:val="20"/>
          <w:color w:val="auto"/>
        </w:rPr>
      </w:pPr>
    </w:p>
    <w:p>
      <w:pPr>
        <w:ind w:left="600" w:hanging="291"/>
        <w:spacing w:after="0"/>
        <w:tabs>
          <w:tab w:leader="none" w:pos="600"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facilitate the timely reporting of transactions under Section 16(a) of the Exchange Act;</w:t>
      </w:r>
    </w:p>
    <w:p>
      <w:pPr>
        <w:spacing w:after="0" w:line="113" w:lineRule="exact"/>
        <w:rPr>
          <w:rFonts w:ascii="Arial" w:cs="Arial" w:eastAsia="Arial" w:hAnsi="Arial"/>
          <w:sz w:val="19"/>
          <w:szCs w:val="19"/>
          <w:b w:val="1"/>
          <w:bCs w:val="1"/>
          <w:color w:val="auto"/>
        </w:rPr>
      </w:pPr>
    </w:p>
    <w:p>
      <w:pPr>
        <w:ind w:left="600" w:hanging="291"/>
        <w:spacing w:after="0"/>
        <w:tabs>
          <w:tab w:leader="none" w:pos="600"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protect against liability for short-swing profits;</w:t>
      </w:r>
    </w:p>
    <w:p>
      <w:pPr>
        <w:spacing w:after="0" w:line="100" w:lineRule="exact"/>
        <w:rPr>
          <w:rFonts w:ascii="Arial" w:cs="Arial" w:eastAsia="Arial" w:hAnsi="Arial"/>
          <w:sz w:val="19"/>
          <w:szCs w:val="19"/>
          <w:b w:val="1"/>
          <w:bCs w:val="1"/>
          <w:color w:val="auto"/>
        </w:rPr>
      </w:pPr>
    </w:p>
    <w:p>
      <w:pPr>
        <w:ind w:left="600" w:hanging="291"/>
        <w:spacing w:after="0"/>
        <w:tabs>
          <w:tab w:leader="none" w:pos="600"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protect against inadvertent violations of the insider trading laws; and</w:t>
      </w:r>
    </w:p>
    <w:p>
      <w:pPr>
        <w:spacing w:after="0" w:line="113" w:lineRule="exact"/>
        <w:rPr>
          <w:rFonts w:ascii="Arial" w:cs="Arial" w:eastAsia="Arial" w:hAnsi="Arial"/>
          <w:sz w:val="19"/>
          <w:szCs w:val="19"/>
          <w:b w:val="1"/>
          <w:bCs w:val="1"/>
          <w:color w:val="auto"/>
        </w:rPr>
      </w:pPr>
    </w:p>
    <w:p>
      <w:pPr>
        <w:ind w:left="600" w:hanging="291"/>
        <w:spacing w:after="0"/>
        <w:tabs>
          <w:tab w:leader="none" w:pos="600"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avoid the appearance of improper trading.</w:t>
      </w:r>
    </w:p>
    <w:p>
      <w:pPr>
        <w:spacing w:after="0" w:line="101"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 xml:space="preserve">Directors and Section 16 officers should be aware that the deadline for reporting transactions in MVW securities is short – transactions typically must be reported within two business days. In addition, </w:t>
      </w:r>
      <w:r>
        <w:rPr>
          <w:rFonts w:ascii="Arial" w:cs="Arial" w:eastAsia="Arial" w:hAnsi="Arial"/>
          <w:sz w:val="19"/>
          <w:szCs w:val="19"/>
          <w:color w:val="171717"/>
        </w:rPr>
        <w:t>Forms 4 and 5 require specific disclosure via a checkbox to indicate</w:t>
      </w:r>
      <w:r>
        <w:rPr>
          <w:rFonts w:ascii="Arial" w:cs="Arial" w:eastAsia="Arial" w:hAnsi="Arial"/>
          <w:sz w:val="19"/>
          <w:szCs w:val="19"/>
          <w:color w:val="auto"/>
        </w:rPr>
        <w:t xml:space="preserve"> </w:t>
      </w:r>
      <w:r>
        <w:rPr>
          <w:rFonts w:ascii="Arial" w:cs="Arial" w:eastAsia="Arial" w:hAnsi="Arial"/>
          <w:sz w:val="19"/>
          <w:szCs w:val="19"/>
          <w:color w:val="171717"/>
        </w:rPr>
        <w:t>whether the reported transactions were made pursuant to a Rule 10b5-1 plan and the disclosure of the date of adoption of the 10b5-1 plan.</w:t>
      </w:r>
    </w:p>
    <w:p>
      <w:pPr>
        <w:spacing w:after="0" w:line="70" w:lineRule="exact"/>
        <w:rPr>
          <w:sz w:val="20"/>
          <w:szCs w:val="20"/>
          <w:color w:val="auto"/>
        </w:rPr>
      </w:pPr>
    </w:p>
    <w:p>
      <w:pPr>
        <w:ind w:right="700"/>
        <w:spacing w:after="0" w:line="270" w:lineRule="auto"/>
        <w:rPr>
          <w:sz w:val="20"/>
          <w:szCs w:val="20"/>
          <w:color w:val="auto"/>
        </w:rPr>
      </w:pPr>
      <w:r>
        <w:rPr>
          <w:rFonts w:ascii="Arial" w:cs="Arial" w:eastAsia="Arial" w:hAnsi="Arial"/>
          <w:sz w:val="19"/>
          <w:szCs w:val="19"/>
          <w:color w:val="auto"/>
        </w:rPr>
        <w:t>The Company notifies officers when they have been designated Section 16 officers and provides periodic training regarding the implications of that status.</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“Control Persons,” including directors and Section 16 officers, are required to file a Form 144 in advance of the sale of MVW securities. This form is required to be filed electronically with the Securities and Exchange Commission. Generally, Fidelity or any other broker that assists a director or Section 16 officer with the sale of MVW securities should assist with the filing of the Form 144. If you have not provided your EDGAR codes to Fidelity or other brokerage firm you are using, please allow additional time to get the information to your brokerage firm so that they can file the Form 144. </w:t>
      </w:r>
      <w:r>
        <w:rPr>
          <w:rFonts w:ascii="Arial" w:cs="Arial" w:eastAsia="Arial" w:hAnsi="Arial"/>
          <w:sz w:val="19"/>
          <w:szCs w:val="19"/>
          <w:color w:val="211E1F"/>
        </w:rPr>
        <w:t>The notice on Form 144 is effective for a maximum of three months, so sales over</w:t>
      </w:r>
      <w:r>
        <w:rPr>
          <w:rFonts w:ascii="Arial" w:cs="Arial" w:eastAsia="Arial" w:hAnsi="Arial"/>
          <w:sz w:val="19"/>
          <w:szCs w:val="19"/>
          <w:color w:val="auto"/>
        </w:rPr>
        <w:t xml:space="preserve"> </w:t>
      </w:r>
      <w:r>
        <w:rPr>
          <w:rFonts w:ascii="Arial" w:cs="Arial" w:eastAsia="Arial" w:hAnsi="Arial"/>
          <w:sz w:val="19"/>
          <w:szCs w:val="19"/>
          <w:color w:val="211E1F"/>
        </w:rPr>
        <w:t>longer periods will require multiple Form 144 filings.</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 xml:space="preserve">In order to receive clearance for a transaction, a director or Section 16 officer is required to submit a Pre- Clearance Request Form (attached to this policy as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at least two business days in advance, which will include information about the proposed transaction as well as transactions for the prior 6 months and anticipated future transactions. The Law Department will review the request and verify the information regarding recent transactions against Company records. Unless the Law Department indicates otherwise, clearance of a proposed transaction is effective through the end of four full trading days from the time the Law Department grants the clearance. If the transaction order is not placed and executed within that time period, clearance must be requested again. In addition, if subsequent to obtaining clearance, the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8 of 13</w:t>
      </w:r>
    </w:p>
    <w:p>
      <w:pPr>
        <w:sectPr>
          <w:pgSz w:w="11900" w:h="16838" w:orient="portrait"/>
          <w:cols w:equalWidth="0" w:num="1">
            <w:col w:w="11220"/>
          </w:cols>
          <w:pgMar w:left="320" w:top="1294" w:right="359" w:bottom="1440" w:gutter="0" w:footer="0" w:header="0"/>
        </w:sectPr>
      </w:pPr>
    </w:p>
    <w:bookmarkStart w:id="153" w:name="page154"/>
    <w:bookmarkEnd w:id="153"/>
    <w:p>
      <w:pPr>
        <w:ind w:right="100"/>
        <w:spacing w:after="0" w:line="261" w:lineRule="auto"/>
        <w:rPr>
          <w:sz w:val="20"/>
          <w:szCs w:val="20"/>
          <w:color w:val="auto"/>
        </w:rPr>
      </w:pPr>
      <w:r>
        <w:rPr>
          <w:rFonts w:ascii="Arial" w:cs="Arial" w:eastAsia="Arial" w:hAnsi="Arial"/>
          <w:sz w:val="19"/>
          <w:szCs w:val="19"/>
          <w:color w:val="auto"/>
        </w:rPr>
        <w:t>Section 16 officer becomes aware of MNPI, he or she must refrain from trading. A response from the Law Department that a trade may not occur should be kept confidential to avoid signaling to other associates that something nonpublic and material may be happening with respect to the Company.</w:t>
      </w:r>
    </w:p>
    <w:p>
      <w:pPr>
        <w:spacing w:after="0" w:line="67"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This pre-clearance requirement does not apply to transactions effected in accordance with pre-arranged trading plans (discussed above). However, directors and Section 16 officers must still immediately notify the Senior Vice President and Associate General Counsel, Corporate Affairs and Finance after entering into any of the foregoing transactions in order to assure that they are reported on a timely basis.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Questions, Reporting, and Pre-Clearance</w:t>
      </w:r>
    </w:p>
    <w:p>
      <w:pPr>
        <w:spacing w:after="0" w:line="107" w:lineRule="exact"/>
        <w:rPr>
          <w:sz w:val="20"/>
          <w:szCs w:val="20"/>
          <w:color w:val="auto"/>
        </w:rPr>
      </w:pPr>
    </w:p>
    <w:p>
      <w:pPr>
        <w:ind w:right="300"/>
        <w:spacing w:after="0" w:line="258" w:lineRule="auto"/>
        <w:rPr>
          <w:sz w:val="20"/>
          <w:szCs w:val="20"/>
          <w:color w:val="auto"/>
        </w:rPr>
      </w:pPr>
      <w:r>
        <w:rPr>
          <w:rFonts w:ascii="Arial" w:cs="Arial" w:eastAsia="Arial" w:hAnsi="Arial"/>
          <w:sz w:val="19"/>
          <w:szCs w:val="19"/>
          <w:color w:val="auto"/>
        </w:rPr>
        <w:t>Any questions regarding the specifics of this policy, reports of insider trading or any inadvertent release of MNPI, or requests for pre-clearance should be directed to the Senior Vice President and Associate General Counsel, Corporate Affairs and Finance, Marriott Vacations Worldwide Corporation, Law Department, 7812 Palm Parkway, Orlando FL 32836 (telephone 407-206-6009) (email MVWCorporateSecretary@mvwc.com).</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Post-Termination Transactions</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This policy will continue to apply to transactions by a director, officer or associate of the Company in Company securities until the later of (i) the first day of the “window” period that begins six months after his or her employment or service with the Company has terminated or (ii) such time as he or she is no longer aware of MNPI or until that information has been publicly disclosed or is no longer material. During such period, former directors and Section 16 officers may continue to seek pre-clearance of transactions pursuant to the pre-clearance process described above if they are not aware of MNPI.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 of 13</w:t>
      </w:r>
    </w:p>
    <w:p>
      <w:pPr>
        <w:sectPr>
          <w:pgSz w:w="11900" w:h="16838" w:orient="portrait"/>
          <w:cols w:equalWidth="0" w:num="1">
            <w:col w:w="11240"/>
          </w:cols>
          <w:pgMar w:left="320" w:top="1294" w:right="3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b w:val="1"/>
          <w:bCs w:val="1"/>
          <w:color w:val="auto"/>
        </w:rPr>
        <w:t>EXHIBIT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EXAMPLES OF POTENTIAL MATERIAL NONPUBLIC INFORMATION (“MNPI”)</w:t>
      </w:r>
    </w:p>
    <w:p>
      <w:pPr>
        <w:spacing w:after="0" w:line="98" w:lineRule="exact"/>
        <w:rPr>
          <w:sz w:val="20"/>
          <w:szCs w:val="20"/>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Earnings in advance of public disclosure</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Projected sales or earnings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Unexpected financial results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Significant corporate borrowings or other financings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Liquidity problems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action or event which had or is likely to have a special or extraordinary charge against earnings or capital</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Significant changes in asset values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Significant change in operating or financial circumstances, such as cash flow reductions or major write- offs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Major new products, innovations or services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Significant changes in the Company’s lines of business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non-routine action or event such as a significant proposed joint venture, merger, acquisition or disposition of stock or assets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change in control or a significant change in management</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public or private sale by the Company of a significant amount of additional securities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Establishment of or any changes to, or an announcement regarding, a program for the Company to repurchase its own shares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Establishment of or any changes to a dividend policy</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call of securities for redemption</w:t>
      </w:r>
    </w:p>
    <w:p>
      <w:pPr>
        <w:spacing w:after="0" w:line="85" w:lineRule="exact"/>
        <w:rPr>
          <w:rFonts w:ascii="Arial" w:cs="Arial" w:eastAsia="Arial" w:hAnsi="Arial"/>
          <w:sz w:val="17"/>
          <w:szCs w:val="17"/>
          <w:color w:val="auto"/>
        </w:rPr>
      </w:pPr>
    </w:p>
    <w:p>
      <w:pPr>
        <w:ind w:left="160" w:right="700" w:hanging="158"/>
        <w:spacing w:after="0" w:line="286" w:lineRule="auto"/>
        <w:tabs>
          <w:tab w:leader="none" w:pos="16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threat of new significant litigation, investigations or regulatory actions or proceedings or important developments in existing significant litigation, investigations or regulatory actions or proceedings</w:t>
      </w:r>
    </w:p>
    <w:p>
      <w:pPr>
        <w:spacing w:after="0" w:line="32"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interruption of business as a result of an accident, fire, natural disaster, or breakdown of labor negotiations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Assessments of a potentially significant data loss or other security breach</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Major environmental incidents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Changes in the Company’s auditors or a notification from its auditors that the Company may no longer rely on the auditors’ audit report</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restatement of the Company’s previously issued financial statements</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Information about major contracts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Material changes in the Company’s arrangements or relationship with Marriott International, Inc.</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Material defaults under contracts</w:t>
      </w:r>
    </w:p>
    <w:p>
      <w:pPr>
        <w:spacing w:after="0" w:line="85" w:lineRule="exact"/>
        <w:rPr>
          <w:rFonts w:ascii="Arial" w:cs="Arial" w:eastAsia="Arial" w:hAnsi="Arial"/>
          <w:sz w:val="17"/>
          <w:szCs w:val="17"/>
          <w:color w:val="auto"/>
        </w:rPr>
      </w:pPr>
    </w:p>
    <w:p>
      <w:pPr>
        <w:jc w:val="both"/>
        <w:ind w:left="160" w:hanging="158"/>
        <w:spacing w:after="0" w:line="268" w:lineRule="auto"/>
        <w:tabs>
          <w:tab w:leader="none" w:pos="168"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Significant non-business matters which could affect the market for the Company’s securities, such as a forthcoming research recommendation by a major brokerage firm, listing or delisting of any of the Company’s securities, or the intention by any party to buy or sell an unusually large amount of the Company’s securities</w:t>
      </w:r>
    </w:p>
    <w:p>
      <w:pPr>
        <w:spacing w:after="0" w:line="47"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Actions relating to the Company’s credit ratings</w:t>
      </w:r>
    </w:p>
    <w:p>
      <w:pPr>
        <w:spacing w:after="0" w:line="98"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Changes in directors, officers or other key personnel</w:t>
      </w:r>
    </w:p>
    <w:p>
      <w:pPr>
        <w:spacing w:after="0" w:line="85" w:lineRule="exact"/>
        <w:rPr>
          <w:rFonts w:ascii="Arial" w:cs="Arial" w:eastAsia="Arial" w:hAnsi="Arial"/>
          <w:sz w:val="17"/>
          <w:szCs w:val="17"/>
          <w:color w:val="auto"/>
        </w:rPr>
      </w:pPr>
    </w:p>
    <w:p>
      <w:pPr>
        <w:ind w:left="160" w:hanging="158"/>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significant labor disputes or significant hiring freezes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10 of 13</w:t>
      </w:r>
    </w:p>
    <w:p>
      <w:pPr>
        <w:sectPr>
          <w:pgSz w:w="11900" w:h="16838" w:orient="portrait"/>
          <w:cols w:equalWidth="0" w:num="1">
            <w:col w:w="11220"/>
          </w:cols>
          <w:pgMar w:left="320" w:top="1038" w:right="35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b w:val="1"/>
          <w:bCs w:val="1"/>
          <w:color w:val="auto"/>
        </w:rPr>
        <w:t>EXHIBIT B</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MARRIOTT VACATIONS WORLDWIDE CORPORATION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Pre-Clearance Request Form</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Members of the Board of Directors and other Section 16 officers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Marriott Vacations Worldwide Corporation (the “Company” or “MVW”) must submit this Pre-Clearance Request Form (the “Pre-Clearance Request”) prior to engaging in any transaction in securities of the Company. Please complete and submit the Pre-Clearance Request via email to MVWCorporateSecretary@mvwc.com at least two business days in advance of the time that you are seeking to engage in the proposed transaction and all Insiders must submit this form three business days in advance of the time that you seek to adopt, amend, modify, or terminate a Rule 10b5-1 Plan. A response to the Pre-Clearance Request, or any requests for additional information needed to determine the response, will be provided by return email. </w:t>
      </w:r>
      <w:r>
        <w:rPr>
          <w:rFonts w:ascii="Arial" w:cs="Arial" w:eastAsia="Arial" w:hAnsi="Arial"/>
          <w:sz w:val="18"/>
          <w:szCs w:val="18"/>
          <w:b w:val="1"/>
          <w:bCs w:val="1"/>
          <w:color w:val="auto"/>
        </w:rPr>
        <w:t>You may not engage in the proposed transaction unless and until you receive approval from the Law Department.</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in this form without definition have the meaning set forth in the MVW Securities Trading Policy.</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the Proposed Transaction</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Type of transaction:</w:t>
      </w:r>
    </w:p>
    <w:p>
      <w:pPr>
        <w:spacing w:after="0" w:line="114" w:lineRule="exact"/>
        <w:rPr>
          <w:sz w:val="20"/>
          <w:szCs w:val="20"/>
          <w:color w:val="auto"/>
        </w:rPr>
      </w:pPr>
    </w:p>
    <w:p>
      <w:pPr>
        <w:ind w:left="640" w:hanging="158"/>
        <w:spacing w:after="0"/>
        <w:tabs>
          <w:tab w:leader="none" w:pos="6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Open market sale □ Exercise of stock appreciation rights</w:t>
      </w:r>
    </w:p>
    <w:p>
      <w:pPr>
        <w:spacing w:after="0" w:line="100" w:lineRule="exact"/>
        <w:rPr>
          <w:rFonts w:ascii="Arial" w:cs="Arial" w:eastAsia="Arial" w:hAnsi="Arial"/>
          <w:sz w:val="19"/>
          <w:szCs w:val="19"/>
          <w:color w:val="auto"/>
        </w:rPr>
      </w:pPr>
    </w:p>
    <w:p>
      <w:pPr>
        <w:ind w:left="640" w:hanging="158"/>
        <w:spacing w:after="0"/>
        <w:tabs>
          <w:tab w:leader="none" w:pos="6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Open market purchase □ Exercise of options</w:t>
      </w:r>
    </w:p>
    <w:p>
      <w:pPr>
        <w:spacing w:after="0" w:line="113" w:lineRule="exact"/>
        <w:rPr>
          <w:rFonts w:ascii="Arial" w:cs="Arial" w:eastAsia="Arial" w:hAnsi="Arial"/>
          <w:sz w:val="19"/>
          <w:szCs w:val="19"/>
          <w:color w:val="auto"/>
        </w:rPr>
      </w:pPr>
    </w:p>
    <w:p>
      <w:pPr>
        <w:ind w:left="640" w:hanging="158"/>
        <w:spacing w:after="0"/>
        <w:tabs>
          <w:tab w:leader="none" w:pos="6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Gift or Donation □ Other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654050</wp:posOffset>
            </wp:positionV>
            <wp:extent cx="64744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4">
                      <a:extLst>
                        <a:ext uri="{28A0092B-C50C-407E-A947-70E740481C1C}"/>
                      </a:extLst>
                    </a:blip>
                    <a:srcRect/>
                    <a:stretch>
                      <a:fillRect/>
                    </a:stretch>
                  </pic:blipFill>
                  <pic:spPr bwMode="auto">
                    <a:xfrm>
                      <a:off x="0" y="0"/>
                      <a:ext cx="647446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459105</wp:posOffset>
            </wp:positionV>
            <wp:extent cx="64744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5">
                      <a:extLst>
                        <a:ext uri="{28A0092B-C50C-407E-A947-70E740481C1C}"/>
                      </a:extLst>
                    </a:blip>
                    <a:srcRect/>
                    <a:stretch>
                      <a:fillRect/>
                    </a:stretch>
                  </pic:blipFill>
                  <pic:spPr bwMode="auto">
                    <a:xfrm>
                      <a:off x="0" y="0"/>
                      <a:ext cx="647446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264160</wp:posOffset>
            </wp:positionV>
            <wp:extent cx="64744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6">
                      <a:extLst>
                        <a:ext uri="{28A0092B-C50C-407E-A947-70E740481C1C}"/>
                      </a:extLst>
                    </a:blip>
                    <a:srcRect/>
                    <a:stretch>
                      <a:fillRect/>
                    </a:stretch>
                  </pic:blipFill>
                  <pic:spPr bwMode="auto">
                    <a:xfrm>
                      <a:off x="0" y="0"/>
                      <a:ext cx="6474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16510</wp:posOffset>
            </wp:positionV>
            <wp:extent cx="5727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7">
                      <a:extLst>
                        <a:ext uri="{28A0092B-C50C-407E-A947-70E740481C1C}"/>
                      </a:extLst>
                    </a:blip>
                    <a:srcRect/>
                    <a:stretch>
                      <a:fillRect/>
                    </a:stretch>
                  </pic:blipFill>
                  <pic:spPr bwMode="auto">
                    <a:xfrm>
                      <a:off x="0" y="0"/>
                      <a:ext cx="572770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Expected Timing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16510</wp:posOffset>
            </wp:positionV>
            <wp:extent cx="44869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8">
                      <a:extLst>
                        <a:ext uri="{28A0092B-C50C-407E-A947-70E740481C1C}"/>
                      </a:extLst>
                    </a:blip>
                    <a:srcRect/>
                    <a:stretch>
                      <a:fillRect/>
                    </a:stretch>
                  </pic:blipFill>
                  <pic:spPr bwMode="auto">
                    <a:xfrm>
                      <a:off x="0" y="0"/>
                      <a:ext cx="4486910" cy="825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 on Whose Behalf Transaction Will Be Effected (e.g., my own, my spouse, my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71399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the Rule 10b5-1 Plan</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I am requesting approval for:</w:t>
      </w:r>
    </w:p>
    <w:p>
      <w:pPr>
        <w:spacing w:after="0" w:line="114" w:lineRule="exact"/>
        <w:rPr>
          <w:sz w:val="20"/>
          <w:szCs w:val="20"/>
          <w:color w:val="auto"/>
        </w:rPr>
      </w:pPr>
    </w:p>
    <w:p>
      <w:pPr>
        <w:ind w:left="620" w:hanging="158"/>
        <w:spacing w:after="0"/>
        <w:tabs>
          <w:tab w:leader="none" w:pos="6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Adopting a new plan</w:t>
      </w:r>
    </w:p>
    <w:p>
      <w:pPr>
        <w:spacing w:after="0" w:line="113" w:lineRule="exact"/>
        <w:rPr>
          <w:rFonts w:ascii="Arial" w:cs="Arial" w:eastAsia="Arial" w:hAnsi="Arial"/>
          <w:sz w:val="19"/>
          <w:szCs w:val="19"/>
          <w:color w:val="auto"/>
        </w:rPr>
      </w:pPr>
    </w:p>
    <w:p>
      <w:pPr>
        <w:ind w:left="620" w:hanging="158"/>
        <w:spacing w:after="0"/>
        <w:tabs>
          <w:tab w:leader="none" w:pos="6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Amending or modifying an existing plan</w:t>
      </w:r>
    </w:p>
    <w:p>
      <w:pPr>
        <w:spacing w:after="0" w:line="100" w:lineRule="exact"/>
        <w:rPr>
          <w:rFonts w:ascii="Arial" w:cs="Arial" w:eastAsia="Arial" w:hAnsi="Arial"/>
          <w:sz w:val="19"/>
          <w:szCs w:val="19"/>
          <w:color w:val="auto"/>
        </w:rPr>
      </w:pPr>
    </w:p>
    <w:p>
      <w:pPr>
        <w:ind w:left="620" w:hanging="158"/>
        <w:spacing w:after="0"/>
        <w:tabs>
          <w:tab w:leader="none" w:pos="6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Terminating an existing plan</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401955</wp:posOffset>
            </wp:positionV>
            <wp:extent cx="67500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0">
                      <a:extLst>
                        <a:ext uri="{28A0092B-C50C-407E-A947-70E740481C1C}"/>
                      </a:extLst>
                    </a:blip>
                    <a:srcRect/>
                    <a:stretch>
                      <a:fillRect/>
                    </a:stretch>
                  </pic:blipFill>
                  <pic:spPr bwMode="auto">
                    <a:xfrm>
                      <a:off x="0" y="0"/>
                      <a:ext cx="675005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215900</wp:posOffset>
            </wp:positionV>
            <wp:extent cx="67500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1">
                      <a:extLst>
                        <a:ext uri="{28A0092B-C50C-407E-A947-70E740481C1C}"/>
                      </a:extLst>
                    </a:blip>
                    <a:srcRect/>
                    <a:stretch>
                      <a:fillRect/>
                    </a:stretch>
                  </pic:blipFill>
                  <pic:spPr bwMode="auto">
                    <a:xfrm>
                      <a:off x="0" y="0"/>
                      <a:ext cx="6750050" cy="8255"/>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20955</wp:posOffset>
            </wp:positionV>
            <wp:extent cx="60852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2">
                      <a:extLst>
                        <a:ext uri="{28A0092B-C50C-407E-A947-70E740481C1C}"/>
                      </a:extLst>
                    </a:blip>
                    <a:srcRect/>
                    <a:stretch>
                      <a:fillRect/>
                    </a:stretch>
                  </pic:blipFill>
                  <pic:spPr bwMode="auto">
                    <a:xfrm>
                      <a:off x="0" y="0"/>
                      <a:ext cx="608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11 of 13</w:t>
      </w:r>
    </w:p>
    <w:p>
      <w:pPr>
        <w:sectPr>
          <w:pgSz w:w="11900" w:h="16838" w:orient="portrait"/>
          <w:cols w:equalWidth="0" w:num="1">
            <w:col w:w="11200"/>
          </w:cols>
          <w:pgMar w:left="320" w:top="1038" w:right="379" w:bottom="1440" w:gutter="0" w:footer="0" w:header="0"/>
        </w:sectPr>
      </w:pPr>
    </w:p>
    <w:bookmarkStart w:id="156" w:name="page157"/>
    <w:bookmarkEnd w:id="156"/>
    <w:p>
      <w:pPr>
        <w:ind w:left="20"/>
        <w:spacing w:after="0"/>
        <w:rPr>
          <w:sz w:val="20"/>
          <w:szCs w:val="20"/>
          <w:color w:val="auto"/>
        </w:rPr>
      </w:pPr>
      <w:r>
        <w:rPr>
          <w:rFonts w:ascii="Arial" w:cs="Arial" w:eastAsia="Arial" w:hAnsi="Arial"/>
          <w:sz w:val="19"/>
          <w:szCs w:val="19"/>
          <w:color w:val="auto"/>
        </w:rPr>
        <w:t>Account on Whose Behalf Plan Will Be Effected (e.g., my own, my spouse, my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248285</wp:posOffset>
            </wp:positionV>
            <wp:extent cx="7139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Please include a copy of the relevant Rule 10b5-1 Plan in your email.</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Recent Transactions (Directors and Section 16 officers only)</w:t>
      </w:r>
    </w:p>
    <w:p>
      <w:pPr>
        <w:spacing w:after="0" w:line="114" w:lineRule="exact"/>
        <w:rPr>
          <w:sz w:val="20"/>
          <w:szCs w:val="20"/>
          <w:color w:val="auto"/>
        </w:rPr>
      </w:pPr>
    </w:p>
    <w:p>
      <w:pPr>
        <w:ind w:left="300" w:hanging="298"/>
        <w:spacing w:after="0" w:line="258" w:lineRule="auto"/>
        <w:tabs>
          <w:tab w:leader="none" w:pos="341" w:val="left"/>
        </w:tabs>
        <w:numPr>
          <w:ilvl w:val="0"/>
          <w:numId w:val="63"/>
        </w:numPr>
        <w:rPr>
          <w:rFonts w:ascii="Arial" w:cs="Arial" w:eastAsia="Arial" w:hAnsi="Arial"/>
          <w:sz w:val="19"/>
          <w:szCs w:val="19"/>
          <w:color w:val="auto"/>
        </w:rPr>
      </w:pPr>
      <w:r>
        <w:rPr>
          <w:rFonts w:ascii="Arial" w:cs="Arial" w:eastAsia="Arial" w:hAnsi="Arial"/>
          <w:sz w:val="19"/>
          <w:szCs w:val="19"/>
          <w:color w:val="auto"/>
        </w:rPr>
        <w:t>Describe all transactions (including any gifts or charitable donations that you have made) involving MVW securities in which you had a pecuniary interest in the six months prior to the date of this Pre-Clearance Request (if none, please indicate). Please note that additional Form 4 reporting may be required if a transaction has not previously been reported, and it may not be possible for such additional reporting to be made on a timely basis.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300" w:right="100" w:hanging="298"/>
        <w:spacing w:after="0" w:line="270" w:lineRule="auto"/>
        <w:tabs>
          <w:tab w:leader="none" w:pos="303" w:val="left"/>
        </w:tabs>
        <w:numPr>
          <w:ilvl w:val="0"/>
          <w:numId w:val="63"/>
        </w:numPr>
        <w:rPr>
          <w:rFonts w:ascii="Arial" w:cs="Arial" w:eastAsia="Arial" w:hAnsi="Arial"/>
          <w:sz w:val="19"/>
          <w:szCs w:val="19"/>
          <w:color w:val="auto"/>
        </w:rPr>
      </w:pPr>
      <w:r>
        <w:rPr>
          <w:rFonts w:ascii="Arial" w:cs="Arial" w:eastAsia="Arial" w:hAnsi="Arial"/>
          <w:sz w:val="19"/>
          <w:szCs w:val="19"/>
          <w:color w:val="auto"/>
        </w:rPr>
        <w:t>Do you anticipate any other transactions (including the making of any gifts or charitable donations) in MVW securities for which you have a pecuniary interest in the next six months? If yes,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-557530</wp:posOffset>
            </wp:positionV>
            <wp:extent cx="71399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4">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-776605</wp:posOffset>
            </wp:positionV>
            <wp:extent cx="71399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5">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-995680</wp:posOffset>
            </wp:positionV>
            <wp:extent cx="7139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6">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658495</wp:posOffset>
            </wp:positionV>
            <wp:extent cx="71399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7">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440055</wp:posOffset>
            </wp:positionV>
            <wp:extent cx="71399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220980</wp:posOffset>
            </wp:positionV>
            <wp:extent cx="71399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760"/>
        <w:spacing w:after="0" w:line="281" w:lineRule="auto"/>
        <w:rPr>
          <w:sz w:val="20"/>
          <w:szCs w:val="20"/>
          <w:color w:val="auto"/>
        </w:rPr>
      </w:pPr>
      <w:r>
        <w:rPr>
          <w:rFonts w:ascii="Arial" w:cs="Arial" w:eastAsia="Arial" w:hAnsi="Arial"/>
          <w:sz w:val="19"/>
          <w:szCs w:val="19"/>
          <w:b w:val="1"/>
          <w:bCs w:val="1"/>
          <w:color w:val="auto"/>
        </w:rPr>
        <w:t>Acknowledgments Relating to Proposed Transaction or Rule 10b5-1 Plan (Please check yes or no in response to each question below)</w:t>
      </w:r>
    </w:p>
    <w:p>
      <w:pPr>
        <w:spacing w:after="0" w:line="140" w:lineRule="exact"/>
        <w:rPr>
          <w:sz w:val="20"/>
          <w:szCs w:val="20"/>
          <w:color w:val="auto"/>
        </w:rPr>
      </w:pPr>
    </w:p>
    <w:p>
      <w:pPr>
        <w:ind w:left="360" w:hanging="358"/>
        <w:spacing w:after="0"/>
        <w:tabs>
          <w:tab w:leader="none" w:pos="3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Have you reviewed the MVW Securities Trading Policy, as amended to date? □ Yes □ No</w:t>
      </w:r>
    </w:p>
    <w:p>
      <w:pPr>
        <w:spacing w:after="0" w:line="215" w:lineRule="exact"/>
        <w:rPr>
          <w:rFonts w:ascii="Arial" w:cs="Arial" w:eastAsia="Arial" w:hAnsi="Arial"/>
          <w:sz w:val="19"/>
          <w:szCs w:val="19"/>
          <w:color w:val="auto"/>
        </w:rPr>
      </w:pPr>
    </w:p>
    <w:p>
      <w:pPr>
        <w:ind w:left="300" w:right="100" w:hanging="298"/>
        <w:spacing w:after="0" w:line="270" w:lineRule="auto"/>
        <w:tabs>
          <w:tab w:leader="none" w:pos="303" w:val="left"/>
        </w:tabs>
        <w:numPr>
          <w:ilvl w:val="0"/>
          <w:numId w:val="64"/>
        </w:numPr>
        <w:rPr>
          <w:rFonts w:ascii="Arial" w:cs="Arial" w:eastAsia="Arial" w:hAnsi="Arial"/>
          <w:sz w:val="19"/>
          <w:szCs w:val="19"/>
          <w:color w:val="auto"/>
        </w:rPr>
      </w:pPr>
      <w:r>
        <w:rPr>
          <w:rFonts w:ascii="Arial" w:cs="Arial" w:eastAsia="Arial" w:hAnsi="Arial"/>
          <w:sz w:val="19"/>
          <w:szCs w:val="19"/>
          <w:color w:val="auto"/>
        </w:rPr>
        <w:t>Are you (or your Family Member or Controlled Entity) aware of any material nonpublic information regarding MVW or its securities? □ Yes □ No</w:t>
      </w:r>
    </w:p>
    <w:p>
      <w:pPr>
        <w:spacing w:after="0" w:line="160" w:lineRule="exact"/>
        <w:rPr>
          <w:rFonts w:ascii="Arial" w:cs="Arial" w:eastAsia="Arial" w:hAnsi="Arial"/>
          <w:sz w:val="19"/>
          <w:szCs w:val="19"/>
          <w:color w:val="auto"/>
        </w:rPr>
      </w:pPr>
    </w:p>
    <w:p>
      <w:pPr>
        <w:ind w:left="300" w:right="300" w:hanging="298"/>
        <w:spacing w:after="0" w:line="270" w:lineRule="auto"/>
        <w:tabs>
          <w:tab w:leader="none" w:pos="303" w:val="left"/>
        </w:tabs>
        <w:numPr>
          <w:ilvl w:val="0"/>
          <w:numId w:val="64"/>
        </w:numPr>
        <w:rPr>
          <w:rFonts w:ascii="Arial" w:cs="Arial" w:eastAsia="Arial" w:hAnsi="Arial"/>
          <w:sz w:val="19"/>
          <w:szCs w:val="19"/>
          <w:color w:val="auto"/>
        </w:rPr>
      </w:pPr>
      <w:r>
        <w:rPr>
          <w:rFonts w:ascii="Arial" w:cs="Arial" w:eastAsia="Arial" w:hAnsi="Arial"/>
          <w:sz w:val="19"/>
          <w:szCs w:val="19"/>
          <w:color w:val="auto"/>
        </w:rPr>
        <w:t>Do you understand the importance of not trading in MVW securities or entering into a Rule 10b5-1 Plan covering MVW securities while aware of material nonpublic information? □ Yes □ No</w:t>
      </w:r>
    </w:p>
    <w:p>
      <w:pPr>
        <w:spacing w:after="0" w:line="160" w:lineRule="exact"/>
        <w:rPr>
          <w:rFonts w:ascii="Arial" w:cs="Arial" w:eastAsia="Arial" w:hAnsi="Arial"/>
          <w:sz w:val="19"/>
          <w:szCs w:val="19"/>
          <w:color w:val="auto"/>
        </w:rPr>
      </w:pPr>
    </w:p>
    <w:p>
      <w:pPr>
        <w:ind w:left="300" w:right="300" w:hanging="298"/>
        <w:spacing w:after="0" w:line="270" w:lineRule="auto"/>
        <w:tabs>
          <w:tab w:leader="none" w:pos="290" w:val="left"/>
        </w:tabs>
        <w:numPr>
          <w:ilvl w:val="0"/>
          <w:numId w:val="64"/>
        </w:numPr>
        <w:rPr>
          <w:rFonts w:ascii="Arial" w:cs="Arial" w:eastAsia="Arial" w:hAnsi="Arial"/>
          <w:sz w:val="19"/>
          <w:szCs w:val="19"/>
          <w:color w:val="auto"/>
        </w:rPr>
      </w:pPr>
      <w:r>
        <w:rPr>
          <w:rFonts w:ascii="Arial" w:cs="Arial" w:eastAsia="Arial" w:hAnsi="Arial"/>
          <w:sz w:val="19"/>
          <w:szCs w:val="19"/>
          <w:color w:val="auto"/>
        </w:rPr>
        <w:t>Do you understand that the transaction or Rule 10b5-1 Plan must be executed within four trading days of approval, and if it is not executed in that time period, you must submit another request for approval? □ Yes □ No</w:t>
      </w:r>
    </w:p>
    <w:p>
      <w:pPr>
        <w:spacing w:after="0" w:line="160" w:lineRule="exact"/>
        <w:rPr>
          <w:rFonts w:ascii="Arial" w:cs="Arial" w:eastAsia="Arial" w:hAnsi="Arial"/>
          <w:sz w:val="19"/>
          <w:szCs w:val="19"/>
          <w:color w:val="auto"/>
        </w:rPr>
      </w:pPr>
    </w:p>
    <w:p>
      <w:pPr>
        <w:ind w:left="300" w:right="640" w:hanging="298"/>
        <w:spacing w:after="0" w:line="284" w:lineRule="auto"/>
        <w:tabs>
          <w:tab w:leader="none" w:pos="303"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applicable, does the Rule 10b5-1 Plan described above comply with the MVW Securities Trading Policy? □ Yes □ No □ Not applicable</w:t>
      </w:r>
    </w:p>
    <w:p>
      <w:pPr>
        <w:spacing w:after="0" w:line="134" w:lineRule="exact"/>
        <w:rPr>
          <w:rFonts w:ascii="Arial" w:cs="Arial" w:eastAsia="Arial" w:hAnsi="Arial"/>
          <w:sz w:val="19"/>
          <w:szCs w:val="19"/>
          <w:color w:val="auto"/>
        </w:rPr>
      </w:pPr>
    </w:p>
    <w:p>
      <w:pPr>
        <w:ind w:left="300" w:right="200" w:hanging="298"/>
        <w:spacing w:after="0" w:line="261" w:lineRule="auto"/>
        <w:tabs>
          <w:tab w:leader="none" w:pos="290" w:val="left"/>
        </w:tabs>
        <w:numPr>
          <w:ilvl w:val="0"/>
          <w:numId w:val="64"/>
        </w:numPr>
        <w:rPr>
          <w:rFonts w:ascii="Arial" w:cs="Arial" w:eastAsia="Arial" w:hAnsi="Arial"/>
          <w:sz w:val="19"/>
          <w:szCs w:val="19"/>
          <w:color w:val="auto"/>
        </w:rPr>
      </w:pPr>
      <w:r>
        <w:rPr>
          <w:rFonts w:ascii="Arial" w:cs="Arial" w:eastAsia="Arial" w:hAnsi="Arial"/>
          <w:sz w:val="19"/>
          <w:szCs w:val="19"/>
          <w:color w:val="auto"/>
        </w:rPr>
        <w:t>Do you hereby agree to refrain from engaging in the transaction(s) or adopting the Rule 10b5-1 Plan, if approved, if subsequent to approval but prior to execution of the transaction(s) you (or your Family Member or Controlled Entity) become aware of material nonpublic information regarding MVW or its securities? □ Yes □ No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 of 13</w:t>
      </w:r>
    </w:p>
    <w:p>
      <w:pPr>
        <w:sectPr>
          <w:pgSz w:w="11900" w:h="16838" w:orient="portrait"/>
          <w:cols w:equalWidth="0" w:num="1">
            <w:col w:w="11240"/>
          </w:cols>
          <w:pgMar w:left="320" w:top="1281" w:right="339" w:bottom="1440" w:gutter="0" w:footer="0" w:header="0"/>
        </w:sectPr>
      </w:pPr>
    </w:p>
    <w:bookmarkStart w:id="157" w:name="page158"/>
    <w:bookmarkEnd w:id="157"/>
    <w:p>
      <w:pPr>
        <w:spacing w:after="0" w:line="135" w:lineRule="exact"/>
        <w:rPr>
          <w:sz w:val="20"/>
          <w:szCs w:val="20"/>
          <w:color w:val="auto"/>
        </w:rPr>
      </w:pPr>
    </w:p>
    <w:p>
      <w:pPr>
        <w:ind w:left="318" w:hanging="318"/>
        <w:spacing w:after="0"/>
        <w:tabs>
          <w:tab w:leader="none" w:pos="3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Should this approval request be denied, do you hereby agree to not disclose that fact to anyone else? □ Yes □ No</w:t>
      </w:r>
    </w:p>
    <w:p>
      <w:pPr>
        <w:spacing w:after="0" w:line="215" w:lineRule="exact"/>
        <w:rPr>
          <w:rFonts w:ascii="Arial" w:cs="Arial" w:eastAsia="Arial" w:hAnsi="Arial"/>
          <w:sz w:val="19"/>
          <w:szCs w:val="19"/>
          <w:color w:val="auto"/>
        </w:rPr>
      </w:pPr>
    </w:p>
    <w:p>
      <w:pPr>
        <w:ind w:left="298" w:right="200" w:hanging="298"/>
        <w:spacing w:after="0" w:line="270" w:lineRule="auto"/>
        <w:tabs>
          <w:tab w:leader="none" w:pos="288" w:val="left"/>
        </w:tabs>
        <w:numPr>
          <w:ilvl w:val="0"/>
          <w:numId w:val="65"/>
        </w:numPr>
        <w:rPr>
          <w:rFonts w:ascii="Arial" w:cs="Arial" w:eastAsia="Arial" w:hAnsi="Arial"/>
          <w:sz w:val="19"/>
          <w:szCs w:val="19"/>
          <w:color w:val="auto"/>
        </w:rPr>
      </w:pPr>
      <w:r>
        <w:rPr>
          <w:rFonts w:ascii="Arial" w:cs="Arial" w:eastAsia="Arial" w:hAnsi="Arial"/>
          <w:sz w:val="19"/>
          <w:szCs w:val="19"/>
          <w:color w:val="auto"/>
        </w:rPr>
        <w:t>Do you hereby agree to, or cause your broker to, promptly inform the Law Department of the terms of any transaction(s) effected pursuant to this Pre-Clearance Request Form? □ Yes □ No</w:t>
      </w:r>
    </w:p>
    <w:p>
      <w:pPr>
        <w:spacing w:after="0" w:line="160" w:lineRule="exact"/>
        <w:rPr>
          <w:rFonts w:ascii="Arial" w:cs="Arial" w:eastAsia="Arial" w:hAnsi="Arial"/>
          <w:sz w:val="19"/>
          <w:szCs w:val="19"/>
          <w:color w:val="auto"/>
        </w:rPr>
      </w:pPr>
    </w:p>
    <w:p>
      <w:pPr>
        <w:ind w:left="298" w:hanging="298"/>
        <w:spacing w:after="0"/>
        <w:tabs>
          <w:tab w:leader="none" w:pos="2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am aware of the stock ownership guidelines that apply to my current position with the Company and after this transaction, I will be</w:t>
      </w:r>
    </w:p>
    <w:p>
      <w:pPr>
        <w:spacing w:after="0" w:line="28" w:lineRule="exact"/>
        <w:rPr>
          <w:rFonts w:ascii="Arial" w:cs="Arial" w:eastAsia="Arial" w:hAnsi="Arial"/>
          <w:sz w:val="18"/>
          <w:szCs w:val="18"/>
          <w:color w:val="auto"/>
        </w:rPr>
      </w:pPr>
    </w:p>
    <w:p>
      <w:pPr>
        <w:ind w:left="518" w:hanging="211"/>
        <w:spacing w:after="0"/>
        <w:tabs>
          <w:tab w:leader="none" w:pos="5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compliance with my stock ownership guidelines or (ii) on track to be in compliance with my stock ownership guidelines by my</w:t>
      </w:r>
    </w:p>
    <w:p>
      <w:pPr>
        <w:spacing w:after="0" w:line="23" w:lineRule="exact"/>
        <w:rPr>
          <w:sz w:val="20"/>
          <w:szCs w:val="20"/>
          <w:color w:val="auto"/>
        </w:rPr>
      </w:pPr>
    </w:p>
    <w:p>
      <w:pPr>
        <w:ind w:left="298"/>
        <w:spacing w:after="0"/>
        <w:rPr>
          <w:sz w:val="20"/>
          <w:szCs w:val="20"/>
          <w:color w:val="auto"/>
        </w:rPr>
      </w:pPr>
      <w:r>
        <w:rPr>
          <w:rFonts w:ascii="Arial" w:cs="Arial" w:eastAsia="Arial" w:hAnsi="Arial"/>
          <w:sz w:val="19"/>
          <w:szCs w:val="19"/>
          <w:color w:val="auto"/>
        </w:rPr>
        <w:t>compliance date? □ Yes □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374650</wp:posOffset>
            </wp:positionV>
            <wp:extent cx="24663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0">
                      <a:extLst>
                        <a:ext uri="{28A0092B-C50C-407E-A947-70E740481C1C}"/>
                      </a:extLst>
                    </a:blip>
                    <a:srcRect/>
                    <a:stretch>
                      <a:fillRect/>
                    </a:stretch>
                  </pic:blipFill>
                  <pic:spPr bwMode="auto">
                    <a:xfrm>
                      <a:off x="0" y="0"/>
                      <a:ext cx="246634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3698"/>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459105</wp:posOffset>
            </wp:positionV>
            <wp:extent cx="24663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1">
                      <a:extLst>
                        <a:ext uri="{28A0092B-C50C-407E-A947-70E740481C1C}"/>
                      </a:extLst>
                    </a:blip>
                    <a:srcRect/>
                    <a:stretch>
                      <a:fillRect/>
                    </a:stretch>
                  </pic:blipFill>
                  <pic:spPr bwMode="auto">
                    <a:xfrm>
                      <a:off x="0" y="0"/>
                      <a:ext cx="246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98"/>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459105</wp:posOffset>
            </wp:positionV>
            <wp:extent cx="24663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2">
                      <a:extLst>
                        <a:ext uri="{28A0092B-C50C-407E-A947-70E740481C1C}"/>
                      </a:extLst>
                    </a:blip>
                    <a:srcRect/>
                    <a:stretch>
                      <a:fillRect/>
                    </a:stretch>
                  </pic:blipFill>
                  <pic:spPr bwMode="auto">
                    <a:xfrm>
                      <a:off x="0" y="0"/>
                      <a:ext cx="246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98"/>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 w:right="60" w:firstLine="2"/>
        <w:spacing w:after="0" w:line="246" w:lineRule="auto"/>
        <w:tabs>
          <w:tab w:leader="none" w:pos="99"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Each officer (as that term is defined in Rule 16a-1(f) under the Exchange Act) of the Company that falls within the filing requirements of Section 16(a) of the Exchange Act by virtue of his or her office or policy-making authority is considered a “Section 16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7"/>
        <w:spacing w:after="0"/>
        <w:rPr>
          <w:sz w:val="20"/>
          <w:szCs w:val="20"/>
          <w:color w:val="auto"/>
        </w:rPr>
      </w:pPr>
      <w:r>
        <w:rPr>
          <w:rFonts w:ascii="Arial" w:cs="Arial" w:eastAsia="Arial" w:hAnsi="Arial"/>
          <w:sz w:val="17"/>
          <w:szCs w:val="17"/>
          <w:color w:val="auto"/>
        </w:rPr>
        <w:t>Page 13 of 13</w:t>
      </w:r>
    </w:p>
    <w:p>
      <w:pPr>
        <w:sectPr>
          <w:pgSz w:w="11900" w:h="16838" w:orient="portrait"/>
          <w:cols w:equalWidth="0" w:num="1">
            <w:col w:w="11118"/>
          </w:cols>
          <w:pgMar w:left="322" w:top="1440" w:right="45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(as of December 31, 2024)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1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Apollo Marketing, Inc.</w:t>
            </w:r>
          </w:p>
        </w:tc>
        <w:tc>
          <w:tcPr>
            <w:tcW w:w="1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Hospitality LLC</w:t>
            </w:r>
          </w:p>
        </w:tc>
        <w:tc>
          <w:tcPr>
            <w:tcW w:w="12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&amp; Resorts, LLC</w:t>
            </w:r>
          </w:p>
        </w:tc>
        <w:tc>
          <w:tcPr>
            <w:tcW w:w="12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and Resorts Operator LLC</w:t>
            </w:r>
          </w:p>
        </w:tc>
        <w:tc>
          <w:tcPr>
            <w:tcW w:w="12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and Resorts, Inc.</w:t>
            </w:r>
          </w:p>
        </w:tc>
        <w:tc>
          <w:tcPr>
            <w:tcW w:w="12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Luana Operator LLC</w:t>
            </w:r>
          </w:p>
        </w:tc>
        <w:tc>
          <w:tcPr>
            <w:tcW w:w="12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Holdings, Inc.*</w:t>
            </w:r>
          </w:p>
        </w:tc>
        <w:tc>
          <w:tcPr>
            <w:tcW w:w="12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Hospitality, LLC</w:t>
            </w:r>
          </w:p>
        </w:tc>
        <w:tc>
          <w:tcPr>
            <w:tcW w:w="12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17"/>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1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 Aloha Surf Hotel</w:t>
            </w:r>
          </w:p>
        </w:tc>
        <w:tc>
          <w:tcPr>
            <w:tcW w:w="660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  Aston Islander On The Beach</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 Aloha Surf Waikiki</w:t>
            </w:r>
          </w:p>
        </w:tc>
        <w:tc>
          <w:tcPr>
            <w:tcW w:w="12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Aston Kaanapali Shores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 Palms Waikiki</w:t>
            </w:r>
          </w:p>
        </w:tc>
        <w:tc>
          <w:tcPr>
            <w:tcW w:w="660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  Aston Kona By The Sea</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Aqua-Aston Advantage</w:t>
            </w:r>
          </w:p>
        </w:tc>
        <w:tc>
          <w:tcPr>
            <w:tcW w:w="660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  Aston Mahana At Kaanapali</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Aqua-Aston Property Management</w:t>
            </w:r>
          </w:p>
        </w:tc>
        <w:tc>
          <w:tcPr>
            <w:tcW w:w="12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Aston Maui Hill</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w:t>
            </w:r>
          </w:p>
        </w:tc>
        <w:tc>
          <w:tcPr>
            <w:tcW w:w="660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  Aston Maui Kaanapali Villas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Papakea Resort</w:t>
            </w:r>
          </w:p>
        </w:tc>
        <w:tc>
          <w:tcPr>
            <w:tcW w:w="660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  Aston Waikiki Beach Tower</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Poipu Kai</w:t>
            </w:r>
          </w:p>
        </w:tc>
        <w:tc>
          <w:tcPr>
            <w:tcW w:w="660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  Aston Waikiki Circle Hotel</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Executive Centre Hotel</w:t>
            </w:r>
          </w:p>
        </w:tc>
        <w:tc>
          <w:tcPr>
            <w:tcW w:w="12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Aston Waikiki Sunset</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Maui Banyan</w:t>
            </w:r>
          </w:p>
        </w:tc>
        <w:tc>
          <w:tcPr>
            <w:tcW w:w="660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  Enjoy an Endless Summer</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Waikiki Banyan</w:t>
            </w:r>
          </w:p>
        </w:tc>
        <w:tc>
          <w:tcPr>
            <w:tcW w:w="12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Kaanapali Shores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Whaler on Kaanapali Beach</w:t>
            </w:r>
          </w:p>
        </w:tc>
        <w:tc>
          <w:tcPr>
            <w:tcW w:w="12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Kope Cabana</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Hotels &amp; Resorts</w:t>
            </w:r>
          </w:p>
        </w:tc>
        <w:tc>
          <w:tcPr>
            <w:tcW w:w="12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Waikiki Beach Hotel</w:t>
            </w:r>
          </w:p>
        </w:tc>
      </w:tr>
      <w:tr>
        <w:trPr>
          <w:trHeight w:val="2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Management Holdings, LLC</w:t>
            </w:r>
          </w:p>
        </w:tc>
        <w:tc>
          <w:tcPr>
            <w:tcW w:w="12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Aston Hotels &amp; Resorts Florida, LLC</w:t>
            </w:r>
          </w:p>
        </w:tc>
        <w:tc>
          <w:tcPr>
            <w:tcW w:w="12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22"/>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12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ind w:left="680" w:hanging="361"/>
        <w:spacing w:after="0"/>
        <w:tabs>
          <w:tab w:leader="none" w:pos="6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Aston Orlando Resort</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Beach House Development Partnership</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CDP GP,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CDP Investors, L.P.</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Cerromar Development Partners GP,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Cerromar Development Partners, L.P., S.E.</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Champagne Resorts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Coconut Plantation Partner,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Data Marketing Associates East,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Diamond Head Management LLC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Eagle Tree Construction, LLC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Florida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20"/>
          </w:cols>
          <w:pgMar w:left="340" w:top="1193"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Fifth and Fifty-Fifth Holdings, Inc.</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New York</w:t>
            </w:r>
          </w:p>
        </w:tc>
      </w:tr>
      <w:tr>
        <w:trPr>
          <w:trHeight w:val="2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Flex Collection,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FOH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FOH Hospitality, LLC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Kai Ala Market</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Princeville Ocean Resort Villas</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Kauhale Market</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Spa Helani</w:t>
            </w:r>
          </w:p>
        </w:tc>
      </w:tr>
    </w:tbl>
    <w:p>
      <w:pPr>
        <w:ind w:left="680" w:hanging="361"/>
        <w:spacing w:after="0"/>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Princeville Market</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Grand Aspen Holdings,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Grand Aspen Lodging,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Hard Carbon,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rPr>
              <w:t>Nevada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Hawaii Vacation Title Services,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Heavenly Resort Properties,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rPr>
              <w:t>Nevada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Highlands Inn Investors II, L.P.*</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Hospitality Team Members,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Hotel Management Services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17"/>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90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Ilikai Hotel &amp; Luxury Suites</w:t>
            </w:r>
          </w:p>
        </w:tc>
        <w:tc>
          <w:tcPr>
            <w:tcW w:w="3900" w:type="dxa"/>
            <w:vAlign w:val="bottom"/>
          </w:tcPr>
          <w:p>
            <w:pPr>
              <w:spacing w:after="0"/>
              <w:rPr>
                <w:sz w:val="19"/>
                <w:szCs w:val="19"/>
                <w:color w:val="auto"/>
              </w:rPr>
            </w:pP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HPC Developer,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HT-Highlands,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HTS-BC,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HTS-Beach House Partner,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HTS-Beach House,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HTS-CHC (Sedona),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HTS-Coconut Point,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HTS-Ground Lake Tahoe,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HTS-Key West,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HTS-KW,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HTS-Lake Tahoe,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HTS-Loan Servicing,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HTS-Main Street Station,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HTS-Maui,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HTS-San Antonio,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HTS-San Antonio,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HTS-San Antonio, L.P.</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90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HTS-Hyatt San Antonio, L.P.</w:t>
            </w:r>
          </w:p>
        </w:tc>
        <w:tc>
          <w:tcPr>
            <w:tcW w:w="3900" w:type="dxa"/>
            <w:vAlign w:val="bottom"/>
          </w:tcPr>
          <w:p>
            <w:pPr>
              <w:spacing w:after="0"/>
              <w:rPr>
                <w:sz w:val="19"/>
                <w:szCs w:val="19"/>
                <w:color w:val="auto"/>
              </w:rPr>
            </w:pP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HTS-Sedona,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20"/>
          </w:cols>
          <w:pgMar w:left="340" w:top="1231"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HTS-Sunset Harbor Partner, L.L.C.</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HTS-Wild Oak Ranch Beverage,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HTS-Windward Pointe Partner,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 Global Group,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jc w:val="center"/>
              <w:ind w:right="119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jc w:val="center"/>
              <w:ind w:right="1735"/>
              <w:spacing w:after="0"/>
              <w:rPr>
                <w:sz w:val="20"/>
                <w:szCs w:val="20"/>
                <w:color w:val="auto"/>
              </w:rPr>
            </w:pPr>
            <w:r>
              <w:rPr>
                <w:rFonts w:ascii="Times New Roman" w:cs="Times New Roman" w:eastAsia="Times New Roman" w:hAnsi="Times New Roman"/>
                <w:sz w:val="17"/>
                <w:szCs w:val="17"/>
                <w:color w:val="auto"/>
                <w:w w:val="98"/>
              </w:rPr>
              <w:t>Hyatt Vacation Ownership</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 Global Management Corporation</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jc w:val="center"/>
              <w:ind w:right="119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jc w:val="center"/>
              <w:ind w:right="1735"/>
              <w:spacing w:after="0"/>
              <w:rPr>
                <w:sz w:val="20"/>
                <w:szCs w:val="20"/>
                <w:color w:val="auto"/>
              </w:rPr>
            </w:pPr>
            <w:r>
              <w:rPr>
                <w:rFonts w:ascii="Times New Roman" w:cs="Times New Roman" w:eastAsia="Times New Roman" w:hAnsi="Times New Roman"/>
                <w:sz w:val="17"/>
                <w:szCs w:val="17"/>
                <w:color w:val="auto"/>
                <w:w w:val="98"/>
              </w:rPr>
              <w:t>Hyatt Vacation Ownership</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 Global Marketing Corporation</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4460" w:type="dxa"/>
            <w:vAlign w:val="bottom"/>
            <w:gridSpan w:val="2"/>
          </w:tcPr>
          <w:p>
            <w:pPr>
              <w:jc w:val="center"/>
              <w:ind w:right="119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jc w:val="center"/>
              <w:ind w:right="1735"/>
              <w:spacing w:after="0"/>
              <w:rPr>
                <w:sz w:val="20"/>
                <w:szCs w:val="20"/>
                <w:color w:val="auto"/>
              </w:rPr>
            </w:pPr>
            <w:r>
              <w:rPr>
                <w:rFonts w:ascii="Times New Roman" w:cs="Times New Roman" w:eastAsia="Times New Roman" w:hAnsi="Times New Roman"/>
                <w:sz w:val="17"/>
                <w:szCs w:val="17"/>
                <w:color w:val="auto"/>
                <w:w w:val="98"/>
              </w:rPr>
              <w:t>Hyatt Vacation Ownership</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HVC-Highlands,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HVO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IIC Holdings, Incorporated</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International Holdings,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Management,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Shared Ownership,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Holdings,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Overseas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Interval Purchasing Services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Shared Ownership Investment Conference</w:t>
            </w:r>
          </w:p>
        </w:tc>
      </w:tr>
    </w:tbl>
    <w:p>
      <w:pPr>
        <w:ind w:left="680" w:hanging="361"/>
        <w:spacing w:after="0"/>
        <w:tabs>
          <w:tab w:leader="none" w:pos="6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Residences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Interval Resort &amp; Financial Services, Inc.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Interval Software Services,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Interval Vacation Exchange,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 D Kapule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Kai Management Services,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4"/>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Blue, Inc.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8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Sheraton Kauai</w:t>
            </w:r>
          </w:p>
        </w:tc>
        <w:tc>
          <w:tcPr>
            <w:tcW w:w="3880" w:type="dxa"/>
            <w:vAlign w:val="bottom"/>
          </w:tcPr>
          <w:p>
            <w:pPr>
              <w:spacing w:after="0"/>
              <w:rPr>
                <w:sz w:val="19"/>
                <w:szCs w:val="19"/>
                <w:color w:val="auto"/>
              </w:rPr>
            </w:pP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Lagoons Holdings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Lagoons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Lagoons Vessels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Key Wester Limited</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Lagunamar Cancun Mexico, Inc.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Florida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20"/>
          </w:cols>
          <w:pgMar w:left="340" w:top="1231"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5"/>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1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 Cabos Villas, LLC</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MAIC Travel LLC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MAIC Travel, Inc.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Management Acquisition Holdings, LLC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Kauai Ownership Resorts, Inc.</w:t>
            </w:r>
          </w:p>
        </w:tc>
        <w:tc>
          <w:tcPr>
            <w:tcW w:w="11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1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Overseas Owners Services Corporation</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Ownership Resorts Procurement, LLC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Ownership Resorts, Inc.</w:t>
            </w:r>
          </w:p>
        </w:tc>
        <w:tc>
          <w:tcPr>
            <w:tcW w:w="11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Grand Residence by Marriott</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 Vacation Club International Corp.</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Grand Residences by Marriott</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Marriott’s Mountainside Resort</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Golf Academy</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Marriott’s Summit Watch</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Waiohai Beach Resort</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The Marketplace</w:t>
            </w:r>
          </w:p>
        </w:tc>
      </w:tr>
      <w:tr>
        <w:trPr>
          <w:trHeight w:val="26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Corporation</w:t>
            </w:r>
          </w:p>
        </w:tc>
        <w:tc>
          <w:tcPr>
            <w:tcW w:w="11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South Carolina</w:t>
            </w:r>
          </w:p>
        </w:tc>
      </w:tr>
      <w:tr>
        <w:trPr>
          <w:trHeight w:val="217"/>
        </w:trPr>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Vacation Club, South Beach</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 Corp.</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Villas at Doral</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Pulse San Diego</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Willow Ridge Lodge</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Pulse, New York City</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Reflections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New York City</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Strand Bistro</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South Beach</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The Market Place</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Custom House</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Tidewater’s Sweets and Sundries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Legends Edge at Bay Point</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Top Of The Strand</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Oceana Palms</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Twisted Knot Cafe &amp; Lounge</w:t>
            </w:r>
          </w:p>
        </w:tc>
      </w:tr>
    </w:tbl>
    <w:p>
      <w:pPr>
        <w:ind w:left="680" w:hanging="361"/>
        <w:spacing w:after="0"/>
        <w:tabs>
          <w:tab w:leader="none" w:pos="6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Marriott’s Summit Watch Resort</w:t>
      </w:r>
    </w:p>
    <w:p>
      <w:pPr>
        <w:sectPr>
          <w:pgSz w:w="11900" w:h="16838" w:orient="portrait"/>
          <w:cols w:equalWidth="0" w:num="1">
            <w:col w:w="11220"/>
          </w:cols>
          <w:pgMar w:left="340" w:top="1231"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Marriott Resorts Sales Company, Inc.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8" w:lineRule="exact"/>
        <w:rPr>
          <w:sz w:val="20"/>
          <w:szCs w:val="20"/>
          <w:color w:val="auto"/>
        </w:rPr>
      </w:pPr>
    </w:p>
    <w:p>
      <w:pPr>
        <w:sectPr>
          <w:pgSz w:w="11900" w:h="16838" w:orient="portrait"/>
          <w:cols w:equalWidth="0" w:num="2">
            <w:col w:w="8760" w:space="720"/>
            <w:col w:w="1740"/>
          </w:cols>
          <w:pgMar w:left="340" w:top="1231"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ectPr>
          <w:pgSz w:w="11900" w:h="16838" w:orient="portrait"/>
          <w:cols w:equalWidth="0" w:num="1">
            <w:col w:w="11220"/>
          </w:cols>
          <w:pgMar w:left="340" w:top="1231" w:right="339" w:bottom="1440" w:gutter="0" w:footer="0" w:header="0"/>
          <w:type w:val="continuous"/>
        </w:sectPr>
      </w:pP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Marriott Resorts Realty, Inc.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Marriott Vacation Club International Ltd.</w:t>
      </w:r>
    </w:p>
    <w:p>
      <w:pPr>
        <w:spacing w:after="0" w:line="80" w:lineRule="exact"/>
        <w:rPr>
          <w:sz w:val="20"/>
          <w:szCs w:val="20"/>
          <w:color w:val="auto"/>
        </w:rPr>
      </w:pPr>
    </w:p>
    <w:p>
      <w:pPr>
        <w:sectPr>
          <w:pgSz w:w="11900" w:h="16838" w:orient="portrait"/>
          <w:cols w:equalWidth="0" w:num="2">
            <w:col w:w="5020" w:space="720"/>
            <w:col w:w="5480"/>
          </w:cols>
          <w:pgMar w:left="340" w:top="12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Marriott Resorts Title Company, Inc.</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255" w:lineRule="exact"/>
        <w:rPr>
          <w:sz w:val="20"/>
          <w:szCs w:val="20"/>
          <w:color w:val="auto"/>
        </w:rPr>
      </w:pPr>
    </w:p>
    <w:p>
      <w:pPr>
        <w:sectPr>
          <w:pgSz w:w="11900" w:h="16838" w:orient="portrait"/>
          <w:cols w:equalWidth="0" w:num="2">
            <w:col w:w="8840" w:space="720"/>
            <w:col w:w="1660"/>
          </w:cols>
          <w:pgMar w:left="340" w:top="1231" w:right="339" w:bottom="1440" w:gutter="0" w:footer="0" w:header="0"/>
          <w:type w:val="continuous"/>
        </w:sectPr>
      </w:pPr>
    </w:p>
    <w:p>
      <w:pPr>
        <w:ind w:left="680" w:hanging="361"/>
        <w:spacing w:after="0"/>
        <w:tabs>
          <w:tab w:leader="none" w:pos="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Resorts Title, Inc.</w:t>
      </w:r>
    </w:p>
    <w:p>
      <w:pPr>
        <w:sectPr>
          <w:pgSz w:w="11900" w:h="16838" w:orient="portrait"/>
          <w:cols w:equalWidth="0" w:num="1">
            <w:col w:w="11220"/>
          </w:cols>
          <w:pgMar w:left="340" w:top="1231" w:right="339"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Marriott Resorts, Travel Company, Inc.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8" w:lineRule="exact"/>
        <w:rPr>
          <w:sz w:val="20"/>
          <w:szCs w:val="20"/>
          <w:color w:val="auto"/>
        </w:rPr>
      </w:pPr>
    </w:p>
    <w:p>
      <w:pPr>
        <w:sectPr>
          <w:pgSz w:w="11900" w:h="16838" w:orient="portrait"/>
          <w:cols w:equalWidth="0" w:num="2">
            <w:col w:w="8760" w:space="720"/>
            <w:col w:w="1740"/>
          </w:cols>
          <w:pgMar w:left="340" w:top="1231"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ectPr>
          <w:pgSz w:w="11900" w:h="16838" w:orient="portrait"/>
          <w:cols w:equalWidth="0" w:num="1">
            <w:col w:w="11220"/>
          </w:cols>
          <w:pgMar w:left="340" w:top="1231" w:right="339" w:bottom="1440" w:gutter="0" w:footer="0" w:header="0"/>
          <w:type w:val="continuous"/>
        </w:sectPr>
      </w:pP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Marriott Vacation Club International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MVC Exchange Company</w:t>
      </w:r>
    </w:p>
    <w:p>
      <w:pPr>
        <w:spacing w:after="0" w:line="80" w:lineRule="exact"/>
        <w:rPr>
          <w:sz w:val="20"/>
          <w:szCs w:val="20"/>
          <w:color w:val="auto"/>
        </w:rPr>
      </w:pPr>
    </w:p>
    <w:p>
      <w:pPr>
        <w:sectPr>
          <w:pgSz w:w="11900" w:h="16838" w:orient="portrait"/>
          <w:cols w:equalWidth="0" w:num="2">
            <w:col w:w="5020" w:space="720"/>
            <w:col w:w="5480"/>
          </w:cols>
          <w:pgMar w:left="340" w:top="12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Marriott Vacation Properties of Florida,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55" w:lineRule="exact"/>
        <w:rPr>
          <w:sz w:val="20"/>
          <w:szCs w:val="20"/>
          <w:color w:val="auto"/>
        </w:rPr>
      </w:pPr>
    </w:p>
    <w:p>
      <w:pPr>
        <w:sectPr>
          <w:pgSz w:w="11900" w:h="16838" w:orient="portrait"/>
          <w:cols w:equalWidth="0" w:num="2">
            <w:col w:w="8760" w:space="720"/>
            <w:col w:w="1740"/>
          </w:cols>
          <w:pgMar w:left="340" w:top="1231" w:right="339" w:bottom="1440" w:gutter="0" w:footer="0" w:header="0"/>
          <w:type w:val="continuous"/>
        </w:sectPr>
      </w:pPr>
    </w:p>
    <w:p>
      <w:pPr>
        <w:ind w:left="680" w:hanging="361"/>
        <w:spacing w:after="0"/>
        <w:tabs>
          <w:tab w:leader="none" w:pos="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w:t>
      </w:r>
    </w:p>
    <w:p>
      <w:pPr>
        <w:spacing w:after="0" w:line="68" w:lineRule="exact"/>
        <w:rPr>
          <w:sz w:val="20"/>
          <w:szCs w:val="20"/>
          <w:color w:val="auto"/>
        </w:rPr>
      </w:pPr>
    </w:p>
    <w:p>
      <w:pPr>
        <w:ind w:left="20"/>
        <w:spacing w:after="0"/>
        <w:tabs>
          <w:tab w:leader="none" w:pos="9460" w:val="left"/>
        </w:tabs>
        <w:rPr>
          <w:sz w:val="20"/>
          <w:szCs w:val="20"/>
          <w:color w:val="auto"/>
        </w:rPr>
      </w:pPr>
      <w:r>
        <w:rPr>
          <w:rFonts w:ascii="Times New Roman" w:cs="Times New Roman" w:eastAsia="Times New Roman" w:hAnsi="Times New Roman"/>
          <w:sz w:val="17"/>
          <w:szCs w:val="17"/>
          <w:color w:val="auto"/>
        </w:rPr>
        <w:t>Marriott's Desert Springs Development Corporation</w:t>
      </w:r>
      <w:r>
        <w:rPr>
          <w:sz w:val="20"/>
          <w:szCs w:val="20"/>
          <w:color w:val="auto"/>
        </w:rPr>
        <w:tab/>
      </w:r>
      <w:r>
        <w:rPr>
          <w:rFonts w:ascii="Times New Roman" w:cs="Times New Roman" w:eastAsia="Times New Roman" w:hAnsi="Times New Roman"/>
          <w:sz w:val="16"/>
          <w:szCs w:val="16"/>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40" w:top="1231" w:right="33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Maui Condo and Home, LLC</w:t>
            </w: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Hawaii Condo and Home</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Member Development,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MH Kapalua Venture,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Golf (Kauai),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Member (Kauai),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Residences,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SPC Series Corp.</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Waikoloa Holding Company,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MTSC,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MVCO Series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2019-1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2019-2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2020-1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2021-1W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2021-2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2022-1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2022-2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2023-1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2023-2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2024-1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2024-2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International Finance Company,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of Hawaii,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Marketplace Express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Marriott's Waiohai Beach Club</w:t>
            </w:r>
          </w:p>
        </w:tc>
      </w:tr>
      <w:tr>
        <w:trPr>
          <w:trHeight w:val="217"/>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Marriott Vacation Club, Waikiki</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The Marketplace at Ko Olina</w:t>
            </w:r>
          </w:p>
        </w:tc>
      </w:tr>
      <w:tr>
        <w:trPr>
          <w:trHeight w:val="217"/>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Marriott's Ko Olina Beach Club</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Waikiki Marketplace</w:t>
            </w:r>
          </w:p>
        </w:tc>
      </w:tr>
      <w:tr>
        <w:trPr>
          <w:trHeight w:val="222"/>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Marriott's Maui Ocean Club</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of Nevada,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Grand Chateau</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Services Corporation</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SSC,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US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US Services,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Vacations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Warehouse I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20"/>
          </w:cols>
          <w:pgMar w:left="340" w:top="1231"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4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Ozark Tourism Marketing, Inc.</w:t>
            </w:r>
          </w:p>
        </w:tc>
        <w:tc>
          <w:tcPr>
            <w:tcW w:w="3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Missouri</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Branson Tourism Center</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Branson.com</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Ozark Travel Services,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Missouri</w:t>
            </w:r>
          </w:p>
        </w:tc>
      </w:tr>
      <w:tr>
        <w:trPr>
          <w:trHeight w:val="222"/>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ind w:left="680" w:hanging="361"/>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Branson Travel Agency</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Pelican Landing Timeshare Ventures Limited Partnership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Platinum Vacations,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Points of Colorado,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Premier Vacation Ownership,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 Chronicle Building, L.P.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RBF,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660" w:type="dxa"/>
            <w:vAlign w:val="bottom"/>
            <w:gridSpan w:val="2"/>
          </w:tcPr>
          <w:p>
            <w:pPr>
              <w:jc w:val="center"/>
              <w:ind w:right="343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46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RBF-Jupiter, LLC</w:t>
            </w:r>
          </w:p>
        </w:tc>
        <w:tc>
          <w:tcPr>
            <w:tcW w:w="3460" w:type="dxa"/>
            <w:vAlign w:val="bottom"/>
          </w:tcPr>
          <w:p>
            <w:pPr>
              <w:spacing w:after="0"/>
              <w:rPr>
                <w:sz w:val="19"/>
                <w:szCs w:val="19"/>
                <w:color w:val="auto"/>
              </w:rPr>
            </w:pP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RCC (GP) Holdings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RCC (LP) Holdings L.P.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RCDC 942,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660" w:type="dxa"/>
            <w:vAlign w:val="bottom"/>
            <w:gridSpan w:val="2"/>
          </w:tcPr>
          <w:p>
            <w:pPr>
              <w:jc w:val="center"/>
              <w:ind w:right="343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46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RCDC 942 Market Street, LLC</w:t>
            </w:r>
          </w:p>
        </w:tc>
        <w:tc>
          <w:tcPr>
            <w:tcW w:w="3460" w:type="dxa"/>
            <w:vAlign w:val="bottom"/>
          </w:tcPr>
          <w:p>
            <w:pPr>
              <w:spacing w:after="0"/>
              <w:rPr>
                <w:sz w:val="19"/>
                <w:szCs w:val="19"/>
                <w:color w:val="auto"/>
              </w:rPr>
            </w:pP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RCDC Chronicle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 Holdings, Ltd.</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Resort Management Finance Services,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Resort Sales Services,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RQI Holdings,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S.O.I. Acquisition Corp.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Scottsdale Residence Club Sales,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Scottsdale Residence Club,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Sheraton Flex Vacations,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Soleil Communications,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Soleil NV,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Nevada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Colorado Management,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New York Management,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Residence Club of Colorado,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Residence Club, New York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Steamboat Resort Village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660" w:type="dxa"/>
            <w:vAlign w:val="bottom"/>
            <w:gridSpan w:val="2"/>
          </w:tcPr>
          <w:p>
            <w:pPr>
              <w:jc w:val="center"/>
              <w:ind w:right="343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46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160" w:type="dxa"/>
            <w:vAlign w:val="bottom"/>
          </w:tcPr>
          <w:p>
            <w:pPr>
              <w:jc w:val="center"/>
              <w:ind w:right="3895"/>
              <w:spacing w:after="0"/>
              <w:rPr>
                <w:sz w:val="20"/>
                <w:szCs w:val="20"/>
                <w:color w:val="auto"/>
              </w:rPr>
            </w:pPr>
            <w:r>
              <w:rPr>
                <w:rFonts w:ascii="Times New Roman" w:cs="Times New Roman" w:eastAsia="Times New Roman" w:hAnsi="Times New Roman"/>
                <w:sz w:val="17"/>
                <w:szCs w:val="17"/>
                <w:color w:val="auto"/>
              </w:rPr>
              <w:t>Sheraton Steamboat Resort</w:t>
            </w:r>
          </w:p>
        </w:tc>
        <w:tc>
          <w:tcPr>
            <w:tcW w:w="3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40" w:top="1231"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5"/>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6"/>
        </w:trPr>
        <w:tc>
          <w:tcPr>
            <w:tcW w:w="8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Success Developments, L.L.C.</w:t>
            </w:r>
          </w:p>
        </w:tc>
        <w:tc>
          <w:tcPr>
            <w:tcW w:w="80" w:type="dxa"/>
            <w:vAlign w:val="bottom"/>
          </w:tcPr>
          <w:p>
            <w:pPr>
              <w:spacing w:after="0"/>
              <w:rPr>
                <w:sz w:val="17"/>
                <w:szCs w:val="17"/>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Villas of Cave Creek, L.L.C.</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Sunset Harbor Development Partnership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Cobalt Travel Company,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Lion &amp; Crown Travel Co.,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Development Company,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 Ritz-Carlton Destination Club</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Management Company,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Sales Company,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Title Company,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WAVE Insurance Corporation</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Timber Ridge Escapes,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Missouri</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Vacanza 2019-A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Vacation Ownership Lending GP,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Vacation Ownership Lending, L.P.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Vacation Title Services,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Vacation Title Services Agency</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VCH Communications,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VCH Consulting,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VCH Systems,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Vistana Vacation Club</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Acceptance Corp.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Arizona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Aventuras,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California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Colorado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Mountain Vista Market</w:t>
            </w:r>
          </w:p>
        </w:tc>
        <w:tc>
          <w:tcPr>
            <w:tcW w:w="2840" w:type="dxa"/>
            <w:vAlign w:val="bottom"/>
          </w:tcPr>
          <w:p>
            <w:pPr>
              <w:spacing w:after="0"/>
              <w:rPr>
                <w:sz w:val="19"/>
                <w:szCs w:val="19"/>
                <w:color w:val="auto"/>
              </w:rPr>
            </w:pP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Development,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jc w:val="center"/>
              <w:ind w:right="5700"/>
              <w:spacing w:after="0"/>
              <w:rPr>
                <w:sz w:val="20"/>
                <w:szCs w:val="20"/>
                <w:color w:val="auto"/>
              </w:rPr>
            </w:pPr>
            <w:r>
              <w:rPr>
                <w:rFonts w:ascii="Times New Roman" w:cs="Times New Roman" w:eastAsia="Times New Roman" w:hAnsi="Times New Roman"/>
                <w:sz w:val="17"/>
                <w:szCs w:val="17"/>
                <w:color w:val="auto"/>
                <w:w w:val="99"/>
              </w:rPr>
              <w:t>Vistana Development, Ltd.</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Hawaii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jc w:val="center"/>
              <w:ind w:right="5740"/>
              <w:spacing w:after="0"/>
              <w:rPr>
                <w:sz w:val="20"/>
                <w:szCs w:val="20"/>
                <w:color w:val="auto"/>
              </w:rPr>
            </w:pPr>
            <w:r>
              <w:rPr>
                <w:rFonts w:ascii="Times New Roman" w:cs="Times New Roman" w:eastAsia="Times New Roman" w:hAnsi="Times New Roman"/>
                <w:sz w:val="17"/>
                <w:szCs w:val="17"/>
                <w:color w:val="auto"/>
                <w:w w:val="99"/>
              </w:rPr>
              <w:t>Vistana Management, Ltd.</w:t>
            </w:r>
          </w:p>
        </w:tc>
        <w:tc>
          <w:tcPr>
            <w:tcW w:w="28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20"/>
          </w:cols>
          <w:pgMar w:left="340" w:top="1231"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MB Management, Inc.</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South Carolina</w:t>
            </w:r>
          </w:p>
        </w:tc>
      </w:tr>
      <w:tr>
        <w:trPr>
          <w:trHeight w:val="2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Portfolio Services,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PSL,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Residential Management,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Scottsdale Development,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Scottsdale Management,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Scottsdale,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Signature Experiences,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Signature Network,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Vacation Ownership,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Vacation Realty,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Vistana Vacation Services Hawaii,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 GP,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 Investors, L.P.</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Volt Merger Sub,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2016-A VOI Mortgage,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2017-A VOI Mortgage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2017-A VOI Mortgage,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2018-A VOI Mortgage,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2018-A VOI Mortgage,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Arizona Development,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Arizona Realty,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Bahamas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California Sales,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Development,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East,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International Holdco,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International,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Mexico Portfolio Services,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Myrtle Beach,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South Carolina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Pacific,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Hawaii Activity Planners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Westin Ka'anapali Ocean Resort Villas</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Westin Nanea Ocean Villas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Westin Vacation Club</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Residence Club Sales of New York,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New York</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Residence Club Sales,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Trademark,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Villas Arizona,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20"/>
          </w:cols>
          <w:pgMar w:left="340" w:top="1231" w:right="339" w:bottom="1440" w:gutter="0" w:footer="0" w:header="0"/>
        </w:sectPr>
      </w:pPr>
    </w:p>
    <w:bookmarkStart w:id="166" w:name="page167"/>
    <w:bookmarkEnd w:id="166"/>
    <w:tbl>
      <w:tblPr>
        <w:tblLayout w:type="fixed"/>
        <w:tblInd w:w="2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4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Vistana Villages, Inc.</w:t>
            </w:r>
          </w:p>
        </w:tc>
        <w:tc>
          <w:tcPr>
            <w:tcW w:w="3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West,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VVO International Holdco,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Hospitality Services,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2013-A,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2015-A,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2017-A,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2019-A,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Warehouse Facility 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Warehouse Facility,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Westin Sheraton Vacation Services,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Sheraton Vacations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Westin Vacations</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Hospitality Management,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Mountain Villas,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 Group,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Lodges at Timber Ridge</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Villas on the Green</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 Properties,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Breckenridge,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Cabo,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Northstar,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Vacation Rentals,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22"/>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ind w:left="700" w:hanging="361"/>
        <w:spacing w:after="0"/>
        <w:tabs>
          <w:tab w:leader="none" w:pos="7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Club Rentals</w:t>
      </w:r>
    </w:p>
    <w:p>
      <w:pPr>
        <w:sectPr>
          <w:pgSz w:w="11900" w:h="16838" w:orient="portrait"/>
          <w:cols w:equalWidth="0" w:num="1">
            <w:col w:w="11240"/>
          </w:cols>
          <w:pgMar w:left="320" w:top="1231" w:right="339" w:bottom="1440" w:gutter="0" w:footer="0" w:header="0"/>
        </w:sectPr>
      </w:pP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Windward Pointe II, L.L.C.</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Worldex Corporation</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Worldwide Vacation &amp; Travel, Inc.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Delaware</w:t>
      </w:r>
    </w:p>
    <w:p>
      <w:pPr>
        <w:spacing w:after="0" w:line="8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Florida</w:t>
      </w:r>
    </w:p>
    <w:p>
      <w:pPr>
        <w:spacing w:after="0" w:line="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Florida</w:t>
      </w:r>
    </w:p>
    <w:p>
      <w:pPr>
        <w:spacing w:after="0" w:line="26" w:lineRule="exact"/>
        <w:rPr>
          <w:sz w:val="20"/>
          <w:szCs w:val="20"/>
          <w:color w:val="auto"/>
        </w:rPr>
      </w:pPr>
    </w:p>
    <w:p>
      <w:pPr>
        <w:sectPr>
          <w:pgSz w:w="11900" w:h="16838" w:orient="portrait"/>
          <w:cols w:equalWidth="0" w:num="2">
            <w:col w:w="8780" w:space="720"/>
            <w:col w:w="1740"/>
          </w:cols>
          <w:pgMar w:left="320" w:top="123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ectPr>
          <w:pgSz w:w="11900" w:h="16838" w:orient="portrait"/>
          <w:cols w:equalWidth="0" w:num="1">
            <w:col w:w="11240"/>
          </w:cols>
          <w:pgMar w:left="320" w:top="1231" w:right="339" w:bottom="1440" w:gutter="0" w:footer="0" w:header="0"/>
          <w:type w:val="continuous"/>
        </w:sectPr>
      </w:pPr>
    </w:p>
    <w:p>
      <w:pPr>
        <w:spacing w:after="0" w:line="22"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condodirect.com</w:t>
      </w:r>
    </w:p>
    <w:p>
      <w:pPr>
        <w:spacing w:after="0" w:line="22"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Dream Vacation Week</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Leisure Time Passport</w:t>
      </w:r>
    </w:p>
    <w:p>
      <w:pPr>
        <w:spacing w:after="0" w:line="3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7"/>
          <w:szCs w:val="17"/>
          <w:color w:val="auto"/>
        </w:rPr>
        <w:t>•</w:t>
        <w:tab/>
        <w:t>Vacationsource</w:t>
      </w:r>
    </w:p>
    <w:p>
      <w:pPr>
        <w:spacing w:after="0" w:line="22" w:lineRule="exact"/>
        <w:rPr>
          <w:sz w:val="20"/>
          <w:szCs w:val="20"/>
          <w:color w:val="auto"/>
        </w:rPr>
      </w:pPr>
    </w:p>
    <w:p>
      <w:pPr>
        <w:sectPr>
          <w:pgSz w:w="11900" w:h="16838" w:orient="portrait"/>
          <w:cols w:equalWidth="0" w:num="2">
            <w:col w:w="5040" w:space="720"/>
            <w:col w:w="5480"/>
          </w:cols>
          <w:pgMar w:left="320" w:top="1231" w:right="339" w:bottom="1440" w:gutter="0" w:footer="0" w:header="0"/>
          <w:type w:val="continuous"/>
        </w:sectPr>
      </w:pPr>
    </w:p>
    <w:p>
      <w:pPr>
        <w:ind w:left="700" w:hanging="361"/>
        <w:spacing w:after="0"/>
        <w:tabs>
          <w:tab w:leader="none" w:pos="7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Interval Travel</w:t>
      </w:r>
    </w:p>
    <w:p>
      <w:pPr>
        <w:sectPr>
          <w:pgSz w:w="11900" w:h="16838" w:orient="portrait"/>
          <w:cols w:equalWidth="0" w:num="1">
            <w:col w:w="11240"/>
          </w:cols>
          <w:pgMar w:left="320" w:top="1231" w:right="339" w:bottom="1440" w:gutter="0" w:footer="0" w:header="0"/>
          <w:type w:val="continuous"/>
        </w:sectPr>
      </w:pP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WVC Rancho Mirage, Inc.</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XYZII, Inc.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Delaware</w:t>
      </w:r>
    </w:p>
    <w:p>
      <w:pPr>
        <w:spacing w:after="0" w:line="7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Washington</w:t>
      </w:r>
    </w:p>
    <w:p>
      <w:pPr>
        <w:spacing w:after="0" w:line="211" w:lineRule="exact"/>
        <w:rPr>
          <w:sz w:val="20"/>
          <w:szCs w:val="20"/>
          <w:color w:val="auto"/>
        </w:rPr>
      </w:pPr>
    </w:p>
    <w:p>
      <w:pPr>
        <w:sectPr>
          <w:pgSz w:w="11900" w:h="16838" w:orient="portrait"/>
          <w:cols w:equalWidth="0" w:num="2">
            <w:col w:w="8700" w:space="720"/>
            <w:col w:w="1820"/>
          </w:cols>
          <w:pgMar w:left="320" w:top="1231"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Marriott Vacations Worldwide Corporation owns less than 100%.</w:t>
      </w:r>
    </w:p>
    <w:p>
      <w:pPr>
        <w:sectPr>
          <w:pgSz w:w="11900" w:h="16838" w:orient="portrait"/>
          <w:cols w:equalWidth="0" w:num="1">
            <w:col w:w="11240"/>
          </w:cols>
          <w:pgMar w:left="320" w:top="12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231" w:right="339" w:bottom="144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2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c>
          <w:tcPr>
            <w:tcW w:w="0" w:type="dxa"/>
            <w:vAlign w:val="bottom"/>
          </w:tcPr>
          <w:p>
            <w:pPr>
              <w:spacing w:after="0"/>
              <w:rPr>
                <w:sz w:val="1"/>
                <w:szCs w:val="1"/>
                <w:color w:val="auto"/>
              </w:rPr>
            </w:pPr>
          </w:p>
        </w:tc>
      </w:tr>
      <w:tr>
        <w:trPr>
          <w:trHeight w:val="215"/>
        </w:trPr>
        <w:tc>
          <w:tcPr>
            <w:tcW w:w="8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AP (Macau) Pte Limited*</w:t>
            </w:r>
          </w:p>
        </w:tc>
        <w:tc>
          <w:tcPr>
            <w:tcW w:w="8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Macau</w:t>
            </w:r>
          </w:p>
        </w:tc>
        <w:tc>
          <w:tcPr>
            <w:tcW w:w="0" w:type="dxa"/>
            <w:vAlign w:val="bottom"/>
          </w:tcPr>
          <w:p>
            <w:pPr>
              <w:spacing w:after="0"/>
              <w:rPr>
                <w:sz w:val="1"/>
                <w:szCs w:val="1"/>
                <w:color w:val="auto"/>
              </w:rPr>
            </w:pPr>
          </w:p>
        </w:tc>
      </w:tr>
      <w:tr>
        <w:trPr>
          <w:trHeight w:val="26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Bali Enclave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Bali Terrace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Nusa Dua Bali Hong Kong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Nusa Dua Enclave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Nusa Dua Terrace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Aqua-Aston Hospitalidad Ltda.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Aruba Finance Holdings B.V.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Caide Desarrollos,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Chaihat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Thailand</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Club Holidays Australia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Club Resorts No. 1 Australia Pty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0" w:type="dxa"/>
            <w:vAlign w:val="bottom"/>
          </w:tcPr>
          <w:p>
            <w:pPr>
              <w:spacing w:after="0"/>
              <w:rPr>
                <w:sz w:val="1"/>
                <w:szCs w:val="1"/>
                <w:color w:val="auto"/>
              </w:rPr>
            </w:pPr>
          </w:p>
        </w:tc>
      </w:tr>
      <w:tr>
        <w:trPr>
          <w:trHeight w:val="216"/>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Costa Del Sol Development Company N.V., trading as Aruba Surf Club Development and Management Aruba Surf Club</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c>
          <w:tcPr>
            <w:tcW w:w="0" w:type="dxa"/>
            <w:vAlign w:val="bottom"/>
          </w:tcPr>
          <w:p>
            <w:pPr>
              <w:spacing w:after="0"/>
              <w:rPr>
                <w:sz w:val="1"/>
                <w:szCs w:val="1"/>
                <w:color w:val="auto"/>
              </w:rPr>
            </w:pPr>
          </w:p>
        </w:tc>
      </w:tr>
      <w:tr>
        <w:trPr>
          <w:trHeight w:val="141"/>
        </w:trPr>
        <w:tc>
          <w:tcPr>
            <w:tcW w:w="8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Development Company</w:t>
            </w: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400" w:type="dxa"/>
            <w:vAlign w:val="bottom"/>
            <w:gridSpan w:val="3"/>
            <w:vMerge w:val="continue"/>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8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Aruba Surf Club Development and Management Company</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Costa Del Sol Financing Company VBA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CR Resorts Holdings, S.L.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CR Vacation Nominee Limitada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Cancun,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K20 Cancun,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Los Cabos,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Vallarta 205,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Fortyseven Park Street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Hoteles Cabos K22.5,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Hoteles Cancun K20,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ILG Lux Finance S.a.r.l.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ILG Lux Holdings II S.a.r.l.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ILG Lux Holdings S.a.r.l.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Indah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Intercambios Internacionales de Vacaciones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Argentina S.A.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Argentina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Brasil Servicos Ltda.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Brazil</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de Colombia, S.A.S.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Colombia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Eastern Canada,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Canada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Egypt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Egypt</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Finland Oy</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Finland</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GmbH</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Germany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20"/>
          </w:cols>
          <w:pgMar w:left="340" w:top="1333"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2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8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Holdings Mexico, S.A. de C.V.</w:t>
            </w:r>
          </w:p>
        </w:tc>
        <w:tc>
          <w:tcPr>
            <w:tcW w:w="8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Italia S.r.l.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Italy</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Singapore (Pte)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Leisure Group Management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Leisure Group UK Holdings (No. 2)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Leisure Group UK Holdings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Servicios de Mexico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UK Holdings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Vacation Exchange S.A.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Los Cabos Villa Management,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MAIC Travel de Mexico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Maikhao Land Owning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Thailand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Ownership Resorts (Bahamas)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Ownership Resorts (St. Thomas),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(Bahamas)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of Aruba N.V.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Vacation Club International of Aruba N.V.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Vacation Club International of Japan,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Japan</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Vacation Club Timesharing GmbH</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MGRC Management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r>
      <w:tr>
        <w:trPr>
          <w:trHeight w:val="264"/>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 LS Costa Rica, Ltda.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r>
      <w:tr>
        <w:trPr>
          <w:trHeight w:val="217"/>
        </w:trPr>
        <w:tc>
          <w:tcPr>
            <w:tcW w:w="8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2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MVC LS Costa Rica, Ltd.</w:t>
            </w:r>
          </w:p>
        </w:tc>
        <w:tc>
          <w:tcPr>
            <w:tcW w:w="2820" w:type="dxa"/>
            <w:vAlign w:val="bottom"/>
          </w:tcPr>
          <w:p>
            <w:pPr>
              <w:spacing w:after="0"/>
              <w:rPr>
                <w:sz w:val="19"/>
                <w:szCs w:val="19"/>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(Thailand)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Thailand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AP Macau Marketing Pte,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Macau</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Asia Pacific (Hong Kong) Pte.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Asia Pacific Finance Pte.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Asia Pacific Pte.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Australia Pty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Egypt B.V.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Europe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Finance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France SAS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France</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Holdings B.V.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Holidays France S.A.S.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France</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Holidays, S.L.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20"/>
          </w:cols>
          <w:pgMar w:left="340" w:top="1333"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2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8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MVCI Ireland Limited</w:t>
            </w:r>
          </w:p>
        </w:tc>
        <w:tc>
          <w:tcPr>
            <w:tcW w:w="8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Ireland</w:t>
            </w:r>
          </w:p>
        </w:tc>
      </w:tr>
      <w:tr>
        <w:trPr>
          <w:trHeight w:val="26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Management, S.L.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Playa Andaluza Holidays, S.L.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64"/>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Puerto Rico,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Puerto Rico</w:t>
            </w:r>
          </w:p>
        </w:tc>
      </w:tr>
      <w:tr>
        <w:trPr>
          <w:trHeight w:val="217"/>
        </w:trPr>
        <w:tc>
          <w:tcPr>
            <w:tcW w:w="8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2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2820" w:type="dxa"/>
            <w:vAlign w:val="bottom"/>
          </w:tcPr>
          <w:p>
            <w:pPr>
              <w:spacing w:after="0"/>
              <w:rPr>
                <w:sz w:val="19"/>
                <w:szCs w:val="19"/>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Services Designated Activity Company or MVCI Services DAC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Ireland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St. Kitts Company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Nevis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Travel Information Consultancy (Shanghai) Co.,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China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MVW de Mexico,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MVW International Holding Company S.à 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MVW International Switzerland Holding GmbH</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Switzerland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Overseas Promotions,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Promociones Marriott,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PT Indonesia Bali Resort Enclave</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Pt. Indonesia Bali Resort Expansion</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PT. Indonesia MOC Services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R.M. Mexicana S.A.de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RC Abaco Holding Company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British</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RC Management Company Bahamas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RC St. Thomas,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Teman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Abaco Club RC,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Club, St. Thomas,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Turistica Cancun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Bahamas Investments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Bahamas Sales and Marketing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Azteca Holdings,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Cancun Sales,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Cayman Holdings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Mexico Holding,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UK Holdings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Villas Los Cabos,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20"/>
          </w:cols>
          <w:pgMar w:left="340" w:top="1333" w:right="339" w:bottom="1440" w:gutter="0" w:footer="0" w:header="0"/>
        </w:sectPr>
      </w:pPr>
    </w:p>
    <w:bookmarkStart w:id="170" w:name="page171"/>
    <w:bookmarkEnd w:id="170"/>
    <w:tbl>
      <w:tblPr>
        <w:tblLayout w:type="fixed"/>
        <w:tblInd w:w="20" w:type="dxa"/>
        <w:tblCellMar>
          <w:top w:w="0" w:type="dxa"/>
          <w:left w:w="0" w:type="dxa"/>
          <w:bottom w:w="0" w:type="dxa"/>
          <w:right w:w="0" w:type="dxa"/>
        </w:tblCellMar>
      </w:tblPr>
      <w:tr>
        <w:trPr>
          <w:trHeight w:val="225"/>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6"/>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Westin St. John Hotel Company, Inc.</w:t>
            </w:r>
          </w:p>
        </w:tc>
        <w:tc>
          <w:tcPr>
            <w:tcW w:w="80" w:type="dxa"/>
            <w:vAlign w:val="bottom"/>
          </w:tcPr>
          <w:p>
            <w:pPr>
              <w:spacing w:after="0"/>
              <w:rPr>
                <w:sz w:val="17"/>
                <w:szCs w:val="17"/>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22"/>
        </w:trPr>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820" w:type="dxa"/>
            <w:vAlign w:val="bottom"/>
          </w:tcPr>
          <w:p>
            <w:pPr>
              <w:spacing w:after="0"/>
              <w:rPr>
                <w:sz w:val="19"/>
                <w:szCs w:val="19"/>
                <w:color w:val="auto"/>
              </w:rPr>
            </w:pPr>
          </w:p>
        </w:tc>
      </w:tr>
    </w:tbl>
    <w:p>
      <w:pPr>
        <w:ind w:left="700" w:hanging="361"/>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Lemongrass Restaurant and Bar</w:t>
      </w:r>
    </w:p>
    <w:p>
      <w:pPr>
        <w:spacing w:after="0" w:line="21" w:lineRule="exact"/>
        <w:rPr>
          <w:rFonts w:ascii="Times New Roman" w:cs="Times New Roman" w:eastAsia="Times New Roman" w:hAnsi="Times New Roman"/>
          <w:sz w:val="17"/>
          <w:szCs w:val="17"/>
          <w:color w:val="auto"/>
        </w:rPr>
      </w:pPr>
    </w:p>
    <w:p>
      <w:pPr>
        <w:ind w:left="700" w:hanging="361"/>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MARRIOTT VACATION CLUB DESTINATIONS</w:t>
      </w:r>
    </w:p>
    <w:p>
      <w:pPr>
        <w:spacing w:after="0" w:line="21" w:lineRule="exact"/>
        <w:rPr>
          <w:rFonts w:ascii="Times New Roman" w:cs="Times New Roman" w:eastAsia="Times New Roman" w:hAnsi="Times New Roman"/>
          <w:sz w:val="17"/>
          <w:szCs w:val="17"/>
          <w:color w:val="auto"/>
        </w:rPr>
      </w:pPr>
    </w:p>
    <w:p>
      <w:pPr>
        <w:ind w:left="700" w:hanging="361"/>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Marketplace at Great Cruz Bay</w:t>
      </w:r>
    </w:p>
    <w:p>
      <w:pPr>
        <w:spacing w:after="0" w:line="21" w:lineRule="exact"/>
        <w:rPr>
          <w:rFonts w:ascii="Times New Roman" w:cs="Times New Roman" w:eastAsia="Times New Roman" w:hAnsi="Times New Roman"/>
          <w:sz w:val="17"/>
          <w:szCs w:val="17"/>
          <w:color w:val="auto"/>
        </w:rPr>
      </w:pPr>
    </w:p>
    <w:p>
      <w:pPr>
        <w:ind w:left="700" w:hanging="361"/>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Westin Health &amp; Spa</w:t>
      </w:r>
    </w:p>
    <w:p>
      <w:pPr>
        <w:spacing w:after="0" w:line="21" w:lineRule="exact"/>
        <w:rPr>
          <w:rFonts w:ascii="Times New Roman" w:cs="Times New Roman" w:eastAsia="Times New Roman" w:hAnsi="Times New Roman"/>
          <w:sz w:val="17"/>
          <w:szCs w:val="17"/>
          <w:color w:val="auto"/>
        </w:rPr>
      </w:pPr>
    </w:p>
    <w:p>
      <w:pPr>
        <w:ind w:left="700" w:hanging="361"/>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Westin St. John Resort &amp; Villas</w:t>
      </w:r>
    </w:p>
    <w:p>
      <w:pPr>
        <w:spacing w:after="0" w:line="21" w:lineRule="exact"/>
        <w:rPr>
          <w:rFonts w:ascii="Times New Roman" w:cs="Times New Roman" w:eastAsia="Times New Roman" w:hAnsi="Times New Roman"/>
          <w:sz w:val="17"/>
          <w:szCs w:val="17"/>
          <w:color w:val="auto"/>
        </w:rPr>
      </w:pPr>
    </w:p>
    <w:p>
      <w:pPr>
        <w:ind w:left="700" w:hanging="361"/>
        <w:spacing w:after="0"/>
        <w:tabs>
          <w:tab w:leader="none" w:pos="7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Westin Aventuras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Westin Vacation Management Company</w:t>
            </w:r>
          </w:p>
        </w:tc>
        <w:tc>
          <w:tcPr>
            <w:tcW w:w="3600" w:type="dxa"/>
            <w:vAlign w:val="bottom"/>
          </w:tcPr>
          <w:p>
            <w:pPr>
              <w:jc w:val="center"/>
              <w:ind w:left="2195"/>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6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WHV Cabo Associates 1, S. de R.L. de C.V.</w:t>
            </w:r>
          </w:p>
        </w:tc>
        <w:tc>
          <w:tcPr>
            <w:tcW w:w="3600" w:type="dxa"/>
            <w:vAlign w:val="bottom"/>
          </w:tcPr>
          <w:p>
            <w:pPr>
              <w:jc w:val="center"/>
              <w:ind w:left="2195"/>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6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WHV Cabo Associates 2, S. de R.L. de C.V.</w:t>
            </w:r>
          </w:p>
        </w:tc>
        <w:tc>
          <w:tcPr>
            <w:tcW w:w="3600" w:type="dxa"/>
            <w:vAlign w:val="bottom"/>
          </w:tcPr>
          <w:p>
            <w:pPr>
              <w:jc w:val="center"/>
              <w:ind w:left="2195"/>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6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WHV Cabo Management, S. de R.L. de C.V.</w:t>
            </w:r>
          </w:p>
        </w:tc>
        <w:tc>
          <w:tcPr>
            <w:tcW w:w="3600" w:type="dxa"/>
            <w:vAlign w:val="bottom"/>
          </w:tcPr>
          <w:p>
            <w:pPr>
              <w:jc w:val="center"/>
              <w:ind w:left="2195"/>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6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WHV Platinum Preview, S. de R.L. de C.V.</w:t>
            </w:r>
          </w:p>
        </w:tc>
        <w:tc>
          <w:tcPr>
            <w:tcW w:w="3600" w:type="dxa"/>
            <w:vAlign w:val="bottom"/>
          </w:tcPr>
          <w:p>
            <w:pPr>
              <w:jc w:val="center"/>
              <w:ind w:left="2195"/>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6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WVC St. John, Inc.</w:t>
            </w:r>
          </w:p>
        </w:tc>
        <w:tc>
          <w:tcPr>
            <w:tcW w:w="3600" w:type="dxa"/>
            <w:vAlign w:val="bottom"/>
          </w:tcPr>
          <w:p>
            <w:pPr>
              <w:jc w:val="center"/>
              <w:ind w:left="2195"/>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498"/>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 Marriott Vacations Worldwide Corporation owns less than 100%.</w:t>
            </w:r>
          </w:p>
        </w:tc>
        <w:tc>
          <w:tcPr>
            <w:tcW w:w="3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33"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19" w:lineRule="exact"/>
        <w:rPr>
          <w:sz w:val="20"/>
          <w:szCs w:val="20"/>
          <w:color w:val="auto"/>
        </w:rPr>
      </w:pPr>
    </w:p>
    <w:p>
      <w:pPr>
        <w:ind w:right="3000" w:firstLine="3012"/>
        <w:spacing w:after="0" w:line="475"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We consent to the incorporation by reference in the following Registration Statements:</w:t>
      </w:r>
    </w:p>
    <w:p>
      <w:pPr>
        <w:spacing w:after="0" w:line="1" w:lineRule="exact"/>
        <w:rPr>
          <w:sz w:val="20"/>
          <w:szCs w:val="20"/>
          <w:color w:val="auto"/>
        </w:rPr>
      </w:pPr>
    </w:p>
    <w:p>
      <w:pPr>
        <w:ind w:left="620" w:right="660" w:hanging="311"/>
        <w:spacing w:after="0" w:line="291"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333-191765) pertaining to the Marriott Vacations Worldwide Corporation Deferred Compensation Plan,</w:t>
      </w:r>
    </w:p>
    <w:p>
      <w:pPr>
        <w:spacing w:after="0" w:line="132" w:lineRule="exact"/>
        <w:rPr>
          <w:rFonts w:ascii="Times New Roman" w:cs="Times New Roman" w:eastAsia="Times New Roman" w:hAnsi="Times New Roman"/>
          <w:sz w:val="20"/>
          <w:szCs w:val="20"/>
          <w:color w:val="auto"/>
        </w:rPr>
      </w:pPr>
    </w:p>
    <w:p>
      <w:pPr>
        <w:ind w:left="620" w:right="120" w:hanging="311"/>
        <w:spacing w:after="0" w:line="291"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333-177798) pertaining to the Marriott Vacations Worldwide Corporation Stock and Cash Incentive Plan,</w:t>
      </w:r>
    </w:p>
    <w:p>
      <w:pPr>
        <w:spacing w:after="0" w:line="132" w:lineRule="exact"/>
        <w:rPr>
          <w:rFonts w:ascii="Times New Roman" w:cs="Times New Roman" w:eastAsia="Times New Roman" w:hAnsi="Times New Roman"/>
          <w:sz w:val="20"/>
          <w:szCs w:val="20"/>
          <w:color w:val="auto"/>
        </w:rPr>
      </w:pPr>
    </w:p>
    <w:p>
      <w:pPr>
        <w:ind w:left="620" w:right="40" w:hanging="311"/>
        <w:spacing w:after="0" w:line="304"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333-205808) pertaining to the Marriott Vacations Worldwide Corporation Employee Stock Purchase Plan,</w:t>
      </w:r>
    </w:p>
    <w:p>
      <w:pPr>
        <w:spacing w:after="0" w:line="120" w:lineRule="exact"/>
        <w:rPr>
          <w:rFonts w:ascii="Times New Roman" w:cs="Times New Roman" w:eastAsia="Times New Roman" w:hAnsi="Times New Roman"/>
          <w:sz w:val="20"/>
          <w:szCs w:val="20"/>
          <w:color w:val="auto"/>
        </w:rPr>
      </w:pPr>
    </w:p>
    <w:p>
      <w:pPr>
        <w:ind w:left="620" w:right="680" w:hanging="311"/>
        <w:spacing w:after="0" w:line="291"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333-211037) pertaining to the Marriott Vacations Worldwide Corporation Deferred Compensation Plan,</w:t>
      </w:r>
    </w:p>
    <w:p>
      <w:pPr>
        <w:spacing w:after="0" w:line="132" w:lineRule="exact"/>
        <w:rPr>
          <w:rFonts w:ascii="Times New Roman" w:cs="Times New Roman" w:eastAsia="Times New Roman" w:hAnsi="Times New Roman"/>
          <w:sz w:val="20"/>
          <w:szCs w:val="20"/>
          <w:color w:val="auto"/>
        </w:rPr>
      </w:pPr>
    </w:p>
    <w:p>
      <w:pPr>
        <w:ind w:left="620" w:right="280" w:hanging="311"/>
        <w:spacing w:after="0" w:line="291"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333-227187) pertaining to the Amended and Restated Interval Leisure Group, Inc. 2013 Stock and Incentive Compensation Plan,</w:t>
      </w:r>
    </w:p>
    <w:p>
      <w:pPr>
        <w:spacing w:after="0" w:line="132" w:lineRule="exact"/>
        <w:rPr>
          <w:rFonts w:ascii="Times New Roman" w:cs="Times New Roman" w:eastAsia="Times New Roman" w:hAnsi="Times New Roman"/>
          <w:sz w:val="20"/>
          <w:szCs w:val="20"/>
          <w:color w:val="auto"/>
        </w:rPr>
      </w:pPr>
    </w:p>
    <w:p>
      <w:pPr>
        <w:ind w:left="620" w:right="380" w:hanging="311"/>
        <w:spacing w:after="0" w:line="304"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333-239368) pertaining to the Marriott Vacations Worldwide Corporation 2020 Equity Incentive Plan,</w:t>
      </w:r>
    </w:p>
    <w:p>
      <w:pPr>
        <w:spacing w:after="0" w:line="120" w:lineRule="exact"/>
        <w:rPr>
          <w:rFonts w:ascii="Times New Roman" w:cs="Times New Roman" w:eastAsia="Times New Roman" w:hAnsi="Times New Roman"/>
          <w:sz w:val="20"/>
          <w:szCs w:val="20"/>
          <w:color w:val="auto"/>
        </w:rPr>
      </w:pPr>
    </w:p>
    <w:p>
      <w:pPr>
        <w:ind w:left="600" w:hanging="291"/>
        <w:spacing w:after="0"/>
        <w:tabs>
          <w:tab w:leader="none" w:pos="6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333-253844) of Marriott Vacations Worldwide Corporation,</w:t>
      </w:r>
    </w:p>
    <w:p>
      <w:pPr>
        <w:spacing w:after="0" w:line="217" w:lineRule="exact"/>
        <w:rPr>
          <w:rFonts w:ascii="Times New Roman" w:cs="Times New Roman" w:eastAsia="Times New Roman" w:hAnsi="Times New Roman"/>
          <w:sz w:val="20"/>
          <w:szCs w:val="20"/>
          <w:color w:val="auto"/>
        </w:rPr>
      </w:pPr>
    </w:p>
    <w:p>
      <w:pPr>
        <w:ind w:left="620" w:right="660" w:hanging="311"/>
        <w:spacing w:after="0" w:line="291"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333-266734) pertaining to the Marriott Vacations Worldwide Corporation Deferred Compensation Plan, and</w:t>
      </w:r>
    </w:p>
    <w:p>
      <w:pPr>
        <w:spacing w:after="0" w:line="132" w:lineRule="exact"/>
        <w:rPr>
          <w:rFonts w:ascii="Times New Roman" w:cs="Times New Roman" w:eastAsia="Times New Roman" w:hAnsi="Times New Roman"/>
          <w:sz w:val="20"/>
          <w:szCs w:val="20"/>
          <w:color w:val="auto"/>
        </w:rPr>
      </w:pPr>
    </w:p>
    <w:p>
      <w:pPr>
        <w:ind w:left="620" w:right="380" w:hanging="311"/>
        <w:spacing w:after="0" w:line="304" w:lineRule="auto"/>
        <w:tabs>
          <w:tab w:leader="none" w:pos="6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333-279656) pertaining to the Marriott Vacations Worldwide Corporation 2020 Equity Incentive Plan;</w:t>
      </w:r>
    </w:p>
    <w:p>
      <w:pPr>
        <w:spacing w:after="0" w:line="120"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20"/>
          <w:szCs w:val="20"/>
          <w:color w:val="auto"/>
        </w:rPr>
        <w:t>of our reports dated February 28, 2025,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year ended December 31, 2024.</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Orlando, Florida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ectPr>
          <w:pgSz w:w="11900" w:h="16838" w:orient="portrait"/>
          <w:cols w:equalWidth="0" w:num="1">
            <w:col w:w="11240"/>
          </w:cols>
          <w:pgMar w:left="320" w:top="736"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E. Geller, Jr., certify that:</w:t>
      </w:r>
    </w:p>
    <w:p>
      <w:pPr>
        <w:spacing w:after="0" w:line="111" w:lineRule="exact"/>
        <w:rPr>
          <w:sz w:val="20"/>
          <w:szCs w:val="20"/>
          <w:color w:val="auto"/>
        </w:rPr>
      </w:pPr>
    </w:p>
    <w:p>
      <w:pPr>
        <w:ind w:left="620" w:hanging="311"/>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40" w:hanging="311"/>
        <w:spacing w:after="0" w:line="283"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left="620" w:right="40" w:hanging="311"/>
        <w:spacing w:after="0" w:line="283"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left="620" w:hanging="311"/>
        <w:spacing w:after="0" w:line="26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1300" w:right="280" w:hanging="378"/>
        <w:spacing w:after="0" w:line="267" w:lineRule="auto"/>
        <w:tabs>
          <w:tab w:leader="none" w:pos="129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220" w:right="60" w:hanging="298"/>
        <w:spacing w:after="0" w:line="267" w:lineRule="auto"/>
        <w:tabs>
          <w:tab w:leader="none" w:pos="1214"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jc w:val="both"/>
        <w:ind w:left="1220" w:right="800" w:hanging="298"/>
        <w:spacing w:after="0" w:line="283" w:lineRule="auto"/>
        <w:tabs>
          <w:tab w:leader="none" w:pos="121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left="1220" w:right="80" w:hanging="298"/>
        <w:spacing w:after="0" w:line="267" w:lineRule="auto"/>
        <w:tabs>
          <w:tab w:leader="none" w:pos="1214"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620" w:right="440" w:hanging="311"/>
        <w:spacing w:after="0" w:line="283"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7"/>
          <w:szCs w:val="17"/>
          <w:color w:val="auto"/>
        </w:rPr>
      </w:pPr>
    </w:p>
    <w:p>
      <w:pPr>
        <w:ind w:left="1220" w:right="260" w:hanging="298"/>
        <w:spacing w:after="0" w:line="283" w:lineRule="auto"/>
        <w:tabs>
          <w:tab w:leader="none" w:pos="121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left="1220" w:right="220" w:hanging="298"/>
        <w:spacing w:after="0" w:line="283" w:lineRule="auto"/>
        <w:tabs>
          <w:tab w:leader="none" w:pos="1214"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2025</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73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certify that:</w:t>
      </w:r>
    </w:p>
    <w:p>
      <w:pPr>
        <w:spacing w:after="0" w:line="239" w:lineRule="exact"/>
        <w:rPr>
          <w:sz w:val="20"/>
          <w:szCs w:val="20"/>
          <w:color w:val="auto"/>
        </w:rPr>
      </w:pPr>
    </w:p>
    <w:p>
      <w:pPr>
        <w:ind w:left="620" w:hanging="311"/>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40" w:hanging="311"/>
        <w:spacing w:after="0" w:line="283"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left="620" w:right="40" w:hanging="311"/>
        <w:spacing w:after="0" w:line="283"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left="620" w:hanging="311"/>
        <w:spacing w:after="0" w:line="267"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1220" w:right="360" w:hanging="298"/>
        <w:spacing w:after="0" w:line="267" w:lineRule="auto"/>
        <w:tabs>
          <w:tab w:leader="none" w:pos="121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220" w:right="60" w:hanging="298"/>
        <w:spacing w:after="0" w:line="267" w:lineRule="auto"/>
        <w:tabs>
          <w:tab w:leader="none" w:pos="121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jc w:val="both"/>
        <w:ind w:left="1220" w:right="800" w:hanging="298"/>
        <w:spacing w:after="0" w:line="283" w:lineRule="auto"/>
        <w:tabs>
          <w:tab w:leader="none" w:pos="121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left="1220" w:right="80" w:hanging="298"/>
        <w:spacing w:after="0" w:line="267" w:lineRule="auto"/>
        <w:tabs>
          <w:tab w:leader="none" w:pos="121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620" w:right="440" w:hanging="311"/>
        <w:spacing w:after="0" w:line="283"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7"/>
          <w:szCs w:val="17"/>
          <w:color w:val="auto"/>
        </w:rPr>
      </w:pPr>
    </w:p>
    <w:p>
      <w:pPr>
        <w:ind w:left="1220" w:right="260" w:hanging="298"/>
        <w:spacing w:after="0" w:line="283" w:lineRule="auto"/>
        <w:tabs>
          <w:tab w:leader="none" w:pos="121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left="1220" w:right="220" w:hanging="298"/>
        <w:spacing w:after="0" w:line="283" w:lineRule="auto"/>
        <w:tabs>
          <w:tab w:leader="none" w:pos="121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2025</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0745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4">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Jason P. Marino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732"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E. Geller, Jr., President and Chief Executive Officer of Marriott Vacations Worldwide Corporation (the “Company”) certify that:</w:t>
      </w:r>
    </w:p>
    <w:p>
      <w:pPr>
        <w:spacing w:after="0" w:line="213" w:lineRule="exact"/>
        <w:rPr>
          <w:sz w:val="20"/>
          <w:szCs w:val="20"/>
          <w:color w:val="auto"/>
        </w:rPr>
      </w:pPr>
    </w:p>
    <w:p>
      <w:pPr>
        <w:ind w:left="620" w:right="60" w:hanging="311"/>
        <w:spacing w:after="0" w:line="283"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period ended December 31, 2024 (the “Annual Report”), fully complies with the requirements of section 13(a) or 15(d) of the Securities Exchange Act of 1934 (15 U.S.C. 78m or 78o(d)); and</w:t>
      </w:r>
    </w:p>
    <w:p>
      <w:pPr>
        <w:spacing w:after="0" w:line="15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2025</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73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Executive Vice President and Chief Financial Officer of Marriott Vacations Worldwide Corporation (the “Company”) certify that:</w:t>
      </w:r>
    </w:p>
    <w:p>
      <w:pPr>
        <w:spacing w:after="0" w:line="213" w:lineRule="exact"/>
        <w:rPr>
          <w:sz w:val="20"/>
          <w:szCs w:val="20"/>
          <w:color w:val="auto"/>
        </w:rPr>
      </w:pPr>
    </w:p>
    <w:p>
      <w:pPr>
        <w:ind w:left="620" w:right="60" w:hanging="311"/>
        <w:spacing w:after="0" w:line="283" w:lineRule="auto"/>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period ended December 31, 2024 (the “Annual Report”), fully complies with the requirements of section 13(a) or 15(d) of the Securities Exchange Act of 1934 (15 U.S.C. 78m or 78o(d)); and</w:t>
      </w:r>
    </w:p>
    <w:p>
      <w:pPr>
        <w:spacing w:after="0" w:line="15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2025</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Jason P. Marino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732"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4"/>
          <w:szCs w:val="24"/>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color w:val="005285"/>
        </w:rPr>
        <w:t>Executive Officer Policy - NYSE Clawback Policy</w:t>
      </w: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color w:val="005285"/>
        </w:rPr>
        <w:t>PURPOSE</w:t>
      </w:r>
    </w:p>
    <w:p>
      <w:pPr>
        <w:spacing w:after="0" w:line="129"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This NYSE Clawback Policy (the “Policy”) is adopted by the Compensation Policy Committee of the Board of Directors (the “Board”) of Marriott Vacations Worldwide Corporation (the “Company”) on May 11, 2023 and amended on February 15, 2024 and shall be effective as so amended from and after February 15, 2024.</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color w:val="005285"/>
        </w:rPr>
        <w:t>POSITIONS COVERED</w:t>
      </w:r>
    </w:p>
    <w:p>
      <w:pPr>
        <w:spacing w:after="0" w:line="129" w:lineRule="exact"/>
        <w:rPr>
          <w:sz w:val="20"/>
          <w:szCs w:val="20"/>
          <w:color w:val="auto"/>
        </w:rPr>
      </w:pPr>
    </w:p>
    <w:p>
      <w:pPr>
        <w:ind w:right="260"/>
        <w:spacing w:after="0" w:line="274" w:lineRule="auto"/>
        <w:rPr>
          <w:sz w:val="20"/>
          <w:szCs w:val="20"/>
          <w:color w:val="auto"/>
        </w:rPr>
      </w:pPr>
      <w:r>
        <w:rPr>
          <w:rFonts w:ascii="Arial" w:cs="Arial" w:eastAsia="Arial" w:hAnsi="Arial"/>
          <w:sz w:val="20"/>
          <w:szCs w:val="20"/>
          <w:color w:val="auto"/>
        </w:rPr>
        <w:t>The positions covered by this policy include (i) each person required to be covered by Section 303A.14 of the New York Stock Exchange (the “Exchange) Listed Company Manual as it may be amended from time to time (the “Manual”), and (ii) the positions set forth on Exhibit A, if any (collectively, the “Covered Persons”).</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color w:val="005285"/>
        </w:rPr>
        <w:t>RESTATEMENT OF FINANCIAL STATEMENTS</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the event that the Company is required to restate its financial results due to material non-compliance with any financial reporting requirement under the securities laws as generally applied, including any required accounting restatement to correct an error in previously issued financial statements that is material to the previously issued financial statements, or that would result in material misstatements if the error were corrected in the current period or left uncorrected in the current period, the Compensation Policy Committee will review all compensation that is or was granted, earned, or vested based wholly or in part upon the attainment of a financial reporting measure (such compensation, whether determined wholly or in part from such measure under GAAP or on a non-GAAP basis and whether or not such measure is presented within the financial statements, and including stock price and total shareholder return, is referred to as “Incentive Based Compensation”) to Covered Persons, in each case to the extent such Incentive Based Compensation was paid, awarded, earned or vested during the recovery period as set forth in Section 303A.14 of the Manual. If the Compensation Policy Committee determines that any Incentive Based Compensation would have been lower had it been determined or calculated based on such restated results, the Compensation Policy Committee will seek, for the benefit of the Company, recoupment from any Covered Person that benefited from the misstated results, all erroneously awarded, paid or vested Incentive Based Compensation during the recovery period, unless the Compensation Policy Committee determines that recovery would be impracticable and is not required under Rule 10D-1 of the Securities Exchange Act of 1934, as amended, including because the (i) direct expenses to third parties to assist in the recovery (e.g., legal expenses, consulting fees, etc.) would exceed the amount to be recovered, and the Company has made a reasonable attempt to recover and provided documentation of the Company’s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1 of 3</w:t>
      </w:r>
    </w:p>
    <w:p>
      <w:pPr>
        <w:sectPr>
          <w:pgSz w:w="11900" w:h="16838" w:orient="portrait"/>
          <w:cols w:equalWidth="0" w:num="1">
            <w:col w:w="11240"/>
          </w:cols>
          <w:pgMar w:left="320" w:top="113" w:right="339" w:bottom="1440" w:gutter="0" w:footer="0" w:header="0"/>
        </w:sectPr>
      </w:pPr>
    </w:p>
    <w:bookmarkStart w:id="177" w:name="page178"/>
    <w:bookmarkEnd w:id="177"/>
    <w:p>
      <w:pPr>
        <w:ind w:right="40"/>
        <w:spacing w:after="0" w:line="272" w:lineRule="auto"/>
        <w:rPr>
          <w:sz w:val="20"/>
          <w:szCs w:val="20"/>
          <w:color w:val="auto"/>
        </w:rPr>
      </w:pPr>
      <w:r>
        <w:rPr>
          <w:rFonts w:ascii="Arial" w:cs="Arial" w:eastAsia="Arial" w:hAnsi="Arial"/>
          <w:sz w:val="20"/>
          <w:szCs w:val="20"/>
          <w:color w:val="auto"/>
        </w:rPr>
        <w:t>attempt to the Exchange; (ii) recovery would violate the home country laws of a foreign private issuer, and the Company obtained a legal opinion to that effect and has provided such opinion to the Exchange; or (iii) recovery would likely cause an otherwise tax-qualified retirement plan under which benefits are broadly available to employees of the Company to fail to meet the requirements of the Internal Revenue Code.</w:t>
      </w:r>
    </w:p>
    <w:p>
      <w:pPr>
        <w:spacing w:after="0" w:line="4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amount that will be subject to recoupment is the sum of (i) the amount of Incentive Based Compensation received that exceeds the amount of Incentive Based Compensation that otherwise would have been received had it been determined based on the restated amounts, and must be computed without regard to any taxes paid and (ii) for Incentive 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 Based Compensation was received; and (B) documentation of the determination of that reasonable estimate shall be provided to the Exchange.</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005285"/>
        </w:rPr>
        <w:t>ADMINISTRATION OF THE POLICY</w:t>
      </w:r>
    </w:p>
    <w:p>
      <w:pPr>
        <w:spacing w:after="0" w:line="129" w:lineRule="exact"/>
        <w:rPr>
          <w:sz w:val="20"/>
          <w:szCs w:val="20"/>
          <w:color w:val="auto"/>
        </w:rPr>
      </w:pPr>
    </w:p>
    <w:p>
      <w:pPr>
        <w:ind w:right="340"/>
        <w:spacing w:after="0" w:line="274" w:lineRule="auto"/>
        <w:rPr>
          <w:sz w:val="20"/>
          <w:szCs w:val="20"/>
          <w:color w:val="auto"/>
        </w:rPr>
      </w:pPr>
      <w:r>
        <w:rPr>
          <w:rFonts w:ascii="Arial" w:cs="Arial" w:eastAsia="Arial" w:hAnsi="Arial"/>
          <w:sz w:val="20"/>
          <w:szCs w:val="20"/>
          <w:color w:val="auto"/>
        </w:rPr>
        <w:t>The Company may recover or recoup compensation from a Covered Person by requiring such person(s) to pay such amount(s) to the Company, by set-off, by reducing future compensation, by forfeiting unvested equity awards, or by such other means or combination of means as the Board or Compensation Policy Committee determines to be appropriate.</w:t>
      </w:r>
    </w:p>
    <w:p>
      <w:pPr>
        <w:spacing w:after="0" w:line="43" w:lineRule="exact"/>
        <w:rPr>
          <w:sz w:val="20"/>
          <w:szCs w:val="20"/>
          <w:color w:val="auto"/>
        </w:rPr>
      </w:pPr>
    </w:p>
    <w:p>
      <w:pPr>
        <w:ind w:right="1300"/>
        <w:spacing w:after="0" w:line="296" w:lineRule="auto"/>
        <w:rPr>
          <w:sz w:val="20"/>
          <w:szCs w:val="20"/>
          <w:color w:val="auto"/>
        </w:rPr>
      </w:pPr>
      <w:r>
        <w:rPr>
          <w:rFonts w:ascii="Arial" w:cs="Arial" w:eastAsia="Arial" w:hAnsi="Arial"/>
          <w:sz w:val="20"/>
          <w:szCs w:val="20"/>
          <w:color w:val="auto"/>
        </w:rPr>
        <w:t>The Company is authorized to take appropriate steps to implement this Policy with respect to Incentive Based Compensation arrangements with Covered Persons.</w:t>
      </w:r>
    </w:p>
    <w:p>
      <w:pPr>
        <w:spacing w:after="0" w:line="33" w:lineRule="exact"/>
        <w:rPr>
          <w:sz w:val="20"/>
          <w:szCs w:val="20"/>
          <w:color w:val="auto"/>
        </w:rPr>
      </w:pPr>
    </w:p>
    <w:p>
      <w:pPr>
        <w:ind w:right="260"/>
        <w:spacing w:after="0" w:line="274" w:lineRule="auto"/>
        <w:rPr>
          <w:sz w:val="20"/>
          <w:szCs w:val="20"/>
          <w:color w:val="auto"/>
        </w:rPr>
      </w:pPr>
      <w:r>
        <w:rPr>
          <w:rFonts w:ascii="Arial" w:cs="Arial" w:eastAsia="Arial" w:hAnsi="Arial"/>
          <w:sz w:val="20"/>
          <w:szCs w:val="20"/>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2 of 3</w:t>
      </w:r>
    </w:p>
    <w:p>
      <w:pPr>
        <w:sectPr>
          <w:pgSz w:w="11900" w:h="16838" w:orient="portrait"/>
          <w:cols w:equalWidth="0" w:num="1">
            <w:col w:w="11200"/>
          </w:cols>
          <w:pgMar w:left="320" w:top="1302" w:right="379" w:bottom="1440" w:gutter="0" w:footer="0" w:header="0"/>
        </w:sectPr>
      </w:pPr>
    </w:p>
    <w:bookmarkStart w:id="178" w:name="page179"/>
    <w:bookmarkEnd w:id="178"/>
    <w:p>
      <w:pPr>
        <w:jc w:val="right"/>
        <w:spacing w:after="0"/>
        <w:rPr>
          <w:sz w:val="20"/>
          <w:szCs w:val="20"/>
          <w:color w:val="auto"/>
        </w:rPr>
      </w:pPr>
      <w:r>
        <w:rPr>
          <w:rFonts w:ascii="Arial" w:cs="Arial" w:eastAsia="Arial" w:hAnsi="Arial"/>
          <w:sz w:val="24"/>
          <w:szCs w:val="24"/>
          <w:b w:val="1"/>
          <w:bCs w:val="1"/>
          <w:color w:val="005285"/>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color w:val="005285"/>
        </w:rPr>
        <w:t>OTHER POSITIONS COVERED BY POLICY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Other members of the Company’s Executive Committee, including:</w:t>
      </w:r>
    </w:p>
    <w:p>
      <w:pPr>
        <w:spacing w:after="0" w:line="41" w:lineRule="exact"/>
        <w:rPr>
          <w:sz w:val="20"/>
          <w:szCs w:val="20"/>
          <w:color w:val="auto"/>
        </w:rPr>
      </w:pPr>
    </w:p>
    <w:p>
      <w:pPr>
        <w:ind w:left="620" w:right="540" w:hanging="311"/>
        <w:spacing w:after="0" w:line="280" w:lineRule="auto"/>
        <w:tabs>
          <w:tab w:leader="none" w:pos="615"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All executive vice presidents not otherwise covered by Section 303A.14 of the New York Stock Exchange Listed Company Manual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3 of 3</w:t>
      </w:r>
    </w:p>
    <w:sectPr>
      <w:pgSz w:w="11900" w:h="16838" w:orient="portrait"/>
      <w:cols w:equalWidth="0" w:num="1">
        <w:col w:w="11240"/>
      </w:cols>
      <w:pgMar w:left="320" w:top="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2"/>
      <w:numFmt w:val="bullet"/>
      <w:start w:val="1"/>
    </w:lvl>
  </w:abstractNum>
  <w:abstractNum w:abstractNumId="4">
    <w:nsid w:val="1D4ED43B"/>
    <w:multiLevelType w:val="hybridMultilevel"/>
    <w:lvl w:ilvl="0">
      <w:lvlJc w:val="left"/>
      <w:lvlText w:val="3"/>
      <w:numFmt w:val="bullet"/>
      <w:start w:val="1"/>
    </w:lvl>
  </w:abstractNum>
  <w:abstractNum w:abstractNumId="5">
    <w:nsid w:val="725A06FB"/>
    <w:multiLevelType w:val="hybridMultilevel"/>
    <w:lvl w:ilvl="0">
      <w:lvlJc w:val="left"/>
      <w:lvlText w:val="1"/>
      <w:numFmt w:val="bullet"/>
      <w:start w:val="1"/>
    </w:lvl>
  </w:abstractNum>
  <w:abstractNum w:abstractNumId="6">
    <w:nsid w:val="2CD89A32"/>
    <w:multiLevelType w:val="hybridMultilevel"/>
    <w:lvl w:ilvl="0">
      <w:lvlJc w:val="left"/>
      <w:lvlText w:val="2"/>
      <w:numFmt w:val="bullet"/>
      <w:start w:val="1"/>
    </w:lvl>
  </w:abstractNum>
  <w:abstractNum w:abstractNumId="7">
    <w:nsid w:val="57E4CCAF"/>
    <w:multiLevelType w:val="hybridMultilevel"/>
    <w:lvl w:ilvl="0">
      <w:lvlJc w:val="left"/>
      <w:lvlText w:val="3"/>
      <w:numFmt w:val="bullet"/>
      <w:start w:val="1"/>
    </w:lvl>
  </w:abstractNum>
  <w:abstractNum w:abstractNumId="8">
    <w:nsid w:val="7A6D8D3C"/>
    <w:multiLevelType w:val="hybridMultilevel"/>
    <w:lvl w:ilvl="0">
      <w:lvlJc w:val="left"/>
      <w:lvlText w:val="4"/>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lvl w:ilvl="1">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lvl w:ilvl="1">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4"/>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lowerRoman"/>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amp;"/>
      <w:numFmt w:val="bullet"/>
      <w:start w:val="1"/>
    </w:lvl>
  </w:abstractNum>
  <w:abstractNum w:abstractNumId="31">
    <w:nsid w:val="1CF10FD8"/>
    <w:multiLevelType w:val="hybridMultilevel"/>
    <w:lvl w:ilvl="0">
      <w:lvlJc w:val="left"/>
      <w:lvlText w:val="•"/>
      <w:numFmt w:val="bullet"/>
      <w:start w:val="1"/>
    </w:lvl>
    <w:lvl w:ilvl="1">
      <w:lvlJc w:val="left"/>
      <w:lvlText w:val="•"/>
      <w:numFmt w:val="bullet"/>
      <w:start w:val="1"/>
    </w:lvl>
  </w:abstractNum>
  <w:abstractNum w:abstractNumId="32">
    <w:nsid w:val="180115BE"/>
    <w:multiLevelType w:val="hybridMultilevel"/>
    <w:lvl w:ilvl="0">
      <w:lvlJc w:val="left"/>
      <w:lvlText w:val="•"/>
      <w:numFmt w:val="bullet"/>
      <w:start w:val="1"/>
    </w:lvl>
    <w:lvl w:ilvl="1">
      <w:lvlJc w:val="left"/>
      <w:lvlText w:val="•"/>
      <w:numFmt w:val="bullet"/>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lowerLetter"/>
      <w:start w:val="1"/>
    </w:lvl>
  </w:abstractNum>
  <w:abstractNum w:abstractNumId="43">
    <w:nsid w:val="77AE35EB"/>
    <w:multiLevelType w:val="hybridMultilevel"/>
    <w:lvl w:ilvl="0">
      <w:lvlJc w:val="left"/>
      <w:lvlText w:val="(%1)"/>
      <w:numFmt w:val="lowerLetter"/>
      <w:start w:val="6"/>
    </w:lvl>
    <w:lvl w:ilvl="1">
      <w:lvlJc w:val="left"/>
      <w:lvlText w:val="(%2)"/>
      <w:numFmt w:val="decimal"/>
      <w:start w:val="1"/>
    </w:lvl>
  </w:abstractNum>
  <w:abstractNum w:abstractNumId="44">
    <w:nsid w:val="579BE4F1"/>
    <w:multiLevelType w:val="hybridMultilevel"/>
    <w:lvl w:ilvl="0">
      <w:lvlJc w:val="left"/>
      <w:lvlText w:val="(%1)"/>
      <w:numFmt w:val="lowerLetter"/>
      <w:start w:val="11"/>
    </w:lvl>
  </w:abstractNum>
  <w:abstractNum w:abstractNumId="45">
    <w:nsid w:val="310C50B3"/>
    <w:multiLevelType w:val="hybridMultilevel"/>
    <w:lvl w:ilvl="0">
      <w:lvlJc w:val="left"/>
      <w:lvlText w:val="(%1)"/>
      <w:numFmt w:val="lowerLetter"/>
      <w:start w:val="18"/>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lvl w:ilvl="1">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lvl w:ilvl="1">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7"/>
    </w:lvl>
    <w:lvl w:ilvl="1">
      <w:lvlJc w:val="left"/>
      <w:lvlText w:val="(%2)"/>
      <w:numFmt w:val="lowerRoman"/>
      <w:start w:val="1"/>
    </w:lvl>
  </w:abstractNum>
  <w:abstractNum w:abstractNumId="65">
    <w:nsid w:val="5DC79EA8"/>
    <w:multiLevelType w:val="hybridMultilevel"/>
    <w:lvl w:ilvl="0">
      <w:lvlJc w:val="left"/>
      <w:lvlText w:val="1"/>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1"/>
    </w:lvl>
    <w:lvl w:ilvl="1">
      <w:lvlJc w:val="left"/>
      <w:lvlText w:val="(%2)"/>
      <w:numFmt w:val="lowerLetter"/>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4" Type="http://schemas.openxmlformats.org/officeDocument/2006/relationships/image" Target="media/image144.png"/><Relationship Id="rId158" Type="http://schemas.openxmlformats.org/officeDocument/2006/relationships/image" Target="media/image145.png"/><Relationship Id="rId161" Type="http://schemas.openxmlformats.org/officeDocument/2006/relationships/image" Target="media/image146.png"/><Relationship Id="rId163" Type="http://schemas.openxmlformats.org/officeDocument/2006/relationships/image" Target="media/image147.png"/><Relationship Id="rId165" Type="http://schemas.openxmlformats.org/officeDocument/2006/relationships/image" Target="media/image148.png"/><Relationship Id="rId167" Type="http://schemas.openxmlformats.org/officeDocument/2006/relationships/image" Target="media/image149.png"/><Relationship Id="rId170"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8" Type="http://schemas.openxmlformats.org/officeDocument/2006/relationships/image" Target="media/image154.png"/><Relationship Id="rId181" Type="http://schemas.openxmlformats.org/officeDocument/2006/relationships/image" Target="media/image155.png"/><Relationship Id="rId184" Type="http://schemas.openxmlformats.org/officeDocument/2006/relationships/image" Target="media/image156.png"/><Relationship Id="rId188" Type="http://schemas.openxmlformats.org/officeDocument/2006/relationships/image" Target="media/image157.png"/><Relationship Id="rId191" Type="http://schemas.openxmlformats.org/officeDocument/2006/relationships/image" Target="media/image158.png"/><Relationship Id="rId193" Type="http://schemas.openxmlformats.org/officeDocument/2006/relationships/image" Target="media/image159.png"/><Relationship Id="rId196"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4"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2" Type="http://schemas.openxmlformats.org/officeDocument/2006/relationships/image" Target="media/image167.png"/><Relationship Id="rId215" Type="http://schemas.openxmlformats.org/officeDocument/2006/relationships/image" Target="media/image168.png"/><Relationship Id="rId219" Type="http://schemas.openxmlformats.org/officeDocument/2006/relationships/image" Target="media/image169.png"/><Relationship Id="rId222" Type="http://schemas.openxmlformats.org/officeDocument/2006/relationships/image" Target="media/image170.png"/><Relationship Id="rId224" Type="http://schemas.openxmlformats.org/officeDocument/2006/relationships/image" Target="media/image171.png"/><Relationship Id="rId226" Type="http://schemas.openxmlformats.org/officeDocument/2006/relationships/image" Target="media/image172.png"/><Relationship Id="rId242" Type="http://schemas.openxmlformats.org/officeDocument/2006/relationships/image" Target="media/image173.png"/><Relationship Id="rId243" Type="http://schemas.openxmlformats.org/officeDocument/2006/relationships/image" Target="media/image174.png"/><Relationship Id="rId244" Type="http://schemas.openxmlformats.org/officeDocument/2006/relationships/image" Target="media/image175.png"/><Relationship Id="rId245" Type="http://schemas.openxmlformats.org/officeDocument/2006/relationships/image" Target="media/image176.png"/><Relationship Id="rId246" Type="http://schemas.openxmlformats.org/officeDocument/2006/relationships/image" Target="media/image177.png"/><Relationship Id="rId247" Type="http://schemas.openxmlformats.org/officeDocument/2006/relationships/image" Target="media/image178.png"/><Relationship Id="rId248" Type="http://schemas.openxmlformats.org/officeDocument/2006/relationships/image" Target="media/image179.png"/><Relationship Id="rId249" Type="http://schemas.openxmlformats.org/officeDocument/2006/relationships/image" Target="media/image180.png"/><Relationship Id="rId250" Type="http://schemas.openxmlformats.org/officeDocument/2006/relationships/image" Target="media/image181.png"/><Relationship Id="rId251" Type="http://schemas.openxmlformats.org/officeDocument/2006/relationships/image" Target="media/image182.png"/><Relationship Id="rId252" Type="http://schemas.openxmlformats.org/officeDocument/2006/relationships/image" Target="media/image183.png"/><Relationship Id="rId253" Type="http://schemas.openxmlformats.org/officeDocument/2006/relationships/image" Target="media/image184.png"/><Relationship Id="rId254" Type="http://schemas.openxmlformats.org/officeDocument/2006/relationships/image" Target="media/image185.png"/><Relationship Id="rId255" Type="http://schemas.openxmlformats.org/officeDocument/2006/relationships/image" Target="media/image186.png"/><Relationship Id="rId256" Type="http://schemas.openxmlformats.org/officeDocument/2006/relationships/image" Target="media/image187.png"/><Relationship Id="rId257" Type="http://schemas.openxmlformats.org/officeDocument/2006/relationships/image" Target="media/image188.png"/><Relationship Id="rId258" Type="http://schemas.openxmlformats.org/officeDocument/2006/relationships/image" Target="media/image189.png"/><Relationship Id="rId259" Type="http://schemas.openxmlformats.org/officeDocument/2006/relationships/image" Target="media/image190.png"/><Relationship Id="rId260" Type="http://schemas.openxmlformats.org/officeDocument/2006/relationships/image" Target="media/image191.png"/><Relationship Id="rId261" Type="http://schemas.openxmlformats.org/officeDocument/2006/relationships/image" Target="media/image192.png"/><Relationship Id="rId262" Type="http://schemas.openxmlformats.org/officeDocument/2006/relationships/image" Target="media/image193.png"/><Relationship Id="rId263" Type="http://schemas.openxmlformats.org/officeDocument/2006/relationships/image" Target="media/image194.png"/><Relationship Id="rId264" Type="http://schemas.openxmlformats.org/officeDocument/2006/relationships/image" Target="media/image195.png"/><Relationship Id="rId265" Type="http://schemas.openxmlformats.org/officeDocument/2006/relationships/image" Target="media/image196.png"/><Relationship Id="rId266" Type="http://schemas.openxmlformats.org/officeDocument/2006/relationships/image" Target="media/image197.png"/><Relationship Id="rId267" Type="http://schemas.openxmlformats.org/officeDocument/2006/relationships/image" Target="media/image198.png"/><Relationship Id="rId268" Type="http://schemas.openxmlformats.org/officeDocument/2006/relationships/image" Target="media/image199.png"/><Relationship Id="rId269" Type="http://schemas.openxmlformats.org/officeDocument/2006/relationships/image" Target="media/image200.png"/><Relationship Id="rId270" Type="http://schemas.openxmlformats.org/officeDocument/2006/relationships/image" Target="media/image201.png"/><Relationship Id="rId271" Type="http://schemas.openxmlformats.org/officeDocument/2006/relationships/image" Target="media/image202.png"/><Relationship Id="rId272" Type="http://schemas.openxmlformats.org/officeDocument/2006/relationships/image" Target="media/image203.png"/><Relationship Id="rId273" Type="http://schemas.openxmlformats.org/officeDocument/2006/relationships/image" Target="media/image204.png"/><Relationship Id="rId274" Type="http://schemas.openxmlformats.org/officeDocument/2006/relationships/image" Target="media/image205.png"/><Relationship Id="rId275" Type="http://schemas.openxmlformats.org/officeDocument/2006/relationships/image" Target="media/image206.png"/><Relationship Id="rId276" Type="http://schemas.openxmlformats.org/officeDocument/2006/relationships/image" Target="media/image207.png"/><Relationship Id="rId277" Type="http://schemas.openxmlformats.org/officeDocument/2006/relationships/image" Target="media/image208.png"/><Relationship Id="rId278" Type="http://schemas.openxmlformats.org/officeDocument/2006/relationships/image" Target="media/image209.png"/><Relationship Id="rId279" Type="http://schemas.openxmlformats.org/officeDocument/2006/relationships/image" Target="media/image210.png"/><Relationship Id="rId280" Type="http://schemas.openxmlformats.org/officeDocument/2006/relationships/image" Target="media/image211.png"/><Relationship Id="rId281" Type="http://schemas.openxmlformats.org/officeDocument/2006/relationships/image" Target="media/image212.png"/><Relationship Id="rId282" Type="http://schemas.openxmlformats.org/officeDocument/2006/relationships/image" Target="media/image213.png"/><Relationship Id="rId283" Type="http://schemas.openxmlformats.org/officeDocument/2006/relationships/image" Target="media/image214.png"/><Relationship Id="rId284" Type="http://schemas.openxmlformats.org/officeDocument/2006/relationships/image" Target="media/image215.png"/><Relationship Id="rId285" Type="http://schemas.openxmlformats.org/officeDocument/2006/relationships/image" Target="media/image216.png"/><Relationship Id="rId286" Type="http://schemas.openxmlformats.org/officeDocument/2006/relationships/image" Target="media/image217.png"/><Relationship Id="rId287" Type="http://schemas.openxmlformats.org/officeDocument/2006/relationships/image" Target="media/image218.png"/><Relationship Id="rId288" Type="http://schemas.openxmlformats.org/officeDocument/2006/relationships/image" Target="media/image219.png"/><Relationship Id="rId289" Type="http://schemas.openxmlformats.org/officeDocument/2006/relationships/image" Target="media/image220.png"/><Relationship Id="rId290" Type="http://schemas.openxmlformats.org/officeDocument/2006/relationships/image" Target="media/image221.png"/><Relationship Id="rId291" Type="http://schemas.openxmlformats.org/officeDocument/2006/relationships/image" Target="media/image222.png"/><Relationship Id="rId292" Type="http://schemas.openxmlformats.org/officeDocument/2006/relationships/image" Target="media/image223.png"/><Relationship Id="rId293" Type="http://schemas.openxmlformats.org/officeDocument/2006/relationships/image" Target="media/image224.png"/><Relationship Id="rId294" Type="http://schemas.openxmlformats.org/officeDocument/2006/relationships/image" Target="media/image225.png"/><Relationship Id="rId295" Type="http://schemas.openxmlformats.org/officeDocument/2006/relationships/image" Target="media/image226.png"/><Relationship Id="rId296" Type="http://schemas.openxmlformats.org/officeDocument/2006/relationships/image" Target="media/image227.png"/><Relationship Id="rId60" Type="http://schemas.openxmlformats.org/officeDocument/2006/relationships/hyperlink" Target="https://www.sec.gov/ix?doc=/Archives/edgar/data/1524358/000152435824000006/vac-20231231.htm" TargetMode="External"/><Relationship Id="rId149" Type="http://schemas.openxmlformats.org/officeDocument/2006/relationships/hyperlink" Target="https://www.sec.gov/Archives/edgar/data/1524358/000119312511320045/d256766dex21.htm" TargetMode="External"/><Relationship Id="rId153" Type="http://schemas.openxmlformats.org/officeDocument/2006/relationships/hyperlink" Target="https://www.sec.gov/Archives/edgar/data/1524358/000119312518144431/d577638dex21.htm" TargetMode="External"/><Relationship Id="rId155" Type="http://schemas.openxmlformats.org/officeDocument/2006/relationships/hyperlink" Target="https://www.sec.gov/Archives/edgar/data/1524358/000152435821000007/projectchampagne-mergeragr.htm" TargetMode="External"/><Relationship Id="rId156" Type="http://schemas.openxmlformats.org/officeDocument/2006/relationships/hyperlink" Target="https://www.sec.gov/Archives/edgar/data/1524358/000152435823000022/exhibit32secondrestatedcer.htm" TargetMode="External"/><Relationship Id="rId157" Type="http://schemas.openxmlformats.org/officeDocument/2006/relationships/hyperlink" Target="https://www.sec.gov/Archives/edgar/data/1524358/000152435823000031/a2023q2ex33restatedbylawso.htm" TargetMode="External"/><Relationship Id="rId159" Type="http://schemas.openxmlformats.org/officeDocument/2006/relationships/hyperlink" Target="https://www.sec.gov/Archives/edgar/data/1524358/000119312511271851/d197736dex41.htm" TargetMode="External"/><Relationship Id="rId160" Type="http://schemas.openxmlformats.org/officeDocument/2006/relationships/hyperlink" Target="https://www.sec.gov/Archives/edgar/data/1524358/000119312519259964/d812229dex41.htm" TargetMode="External"/><Relationship Id="rId162" Type="http://schemas.openxmlformats.org/officeDocument/2006/relationships/hyperlink" Target="https://www.sec.gov/Archives/edgar/data/1524358/000119312519259964/d812229dex43.htm" TargetMode="External"/><Relationship Id="rId164" Type="http://schemas.openxmlformats.org/officeDocument/2006/relationships/hyperlink" Target="https://www.sec.gov/Archives/edgar/data/1524358/000119312521027303/d41256dex41.htm" TargetMode="External"/><Relationship Id="rId166" Type="http://schemas.openxmlformats.org/officeDocument/2006/relationships/hyperlink" Target="https://www.sec.gov/Archives/edgar/data/1524358/000119312521195243/d158882dex41.htm" TargetMode="External"/><Relationship Id="rId168" Type="http://schemas.openxmlformats.org/officeDocument/2006/relationships/hyperlink" Target="https://www.sec.gov/Archives/edgar/data/1524358/000119312521195243/d158882dex41.htm#tx158882_515" TargetMode="External"/><Relationship Id="rId169" Type="http://schemas.openxmlformats.org/officeDocument/2006/relationships/hyperlink" Target="https://www.sec.gov/Archives/edgar/data/1524358/000119312522301061/d433395dex41.htm" TargetMode="External"/><Relationship Id="rId171" Type="http://schemas.openxmlformats.org/officeDocument/2006/relationships/hyperlink" Target="https://www.sec.gov/Archives/edgar/data/1524358/000119312522301061/d433395dex41.htm#tx433395_1" TargetMode="External"/><Relationship Id="rId172" Type="http://schemas.openxmlformats.org/officeDocument/2006/relationships/hyperlink" Target="https://www.sec.gov/Archives/edgar/data/1524358/000152435820000011/a201910-kex416descript.htm" TargetMode="External"/><Relationship Id="rId176" Type="http://schemas.openxmlformats.org/officeDocument/2006/relationships/hyperlink" Target="https://www.sec.gov/Archives/edgar/data/1524358/000152435824000109/a2024q3ex107xamendedrestat.htm" TargetMode="External"/><Relationship Id="rId177" Type="http://schemas.openxmlformats.org/officeDocument/2006/relationships/hyperlink" Target="https://www.sec.gov/Archives/edgar/data/1524358/000119312511320045/d256766dex102.htm" TargetMode="External"/><Relationship Id="rId179" Type="http://schemas.openxmlformats.org/officeDocument/2006/relationships/hyperlink" Target="https://www.sec.gov/Archives/edgar/data/1524358/000152435818000007/mvw201710-kex107.htm" TargetMode="External"/><Relationship Id="rId180" Type="http://schemas.openxmlformats.org/officeDocument/2006/relationships/hyperlink" Target="https://www.sec.gov/Archives/edgar/data/1524358/000119312511320045/d256766dex103.htm" TargetMode="External"/><Relationship Id="rId182" Type="http://schemas.openxmlformats.org/officeDocument/2006/relationships/hyperlink" Target="https://www.sec.gov/Archives/edgar/data/1524358/000119312511320045/d256766dex104.htm" TargetMode="External"/><Relationship Id="rId183" Type="http://schemas.openxmlformats.org/officeDocument/2006/relationships/hyperlink" Target="https://www.sec.gov/Archives/edgar/data/1524358/000119312512426822/d401766dex101.htm" TargetMode="External"/><Relationship Id="rId185" Type="http://schemas.openxmlformats.org/officeDocument/2006/relationships/hyperlink" Target="https://www.sec.gov/Archives/edgar/data/1524358/000152435822000013/a2021ex1014xbonvoyaffiliat.htm" TargetMode="External"/><Relationship Id="rId186" Type="http://schemas.openxmlformats.org/officeDocument/2006/relationships/hyperlink" Target="https://www.sec.gov/Archives/edgar/data/1524358/000152435817000004/ex1014-amendedandrestateds.htm" TargetMode="External"/><Relationship Id="rId187" Type="http://schemas.openxmlformats.org/officeDocument/2006/relationships/hyperlink" Target="https://www.sec.gov/Archives/edgar/data/1524358/000119312511336723/d264428dex101.htm" TargetMode="External"/><Relationship Id="rId189" Type="http://schemas.openxmlformats.org/officeDocument/2006/relationships/hyperlink" Target="https://www.sec.gov/Archives/edgar/data/1524358/000119312511336723/d264428dex102.htm" TargetMode="External"/><Relationship Id="rId190" Type="http://schemas.openxmlformats.org/officeDocument/2006/relationships/hyperlink" Target="https://www.sec.gov/Archives/edgar/data/1524358/000119312512119944/d317362dex101.htm" TargetMode="External"/><Relationship Id="rId192" Type="http://schemas.openxmlformats.org/officeDocument/2006/relationships/hyperlink" Target="https://www.sec.gov/Archives/edgar/data/1524358/000152435823000031/a2023q2ex103xformofnonxemp.htm" TargetMode="External"/><Relationship Id="rId194" Type="http://schemas.openxmlformats.org/officeDocument/2006/relationships/hyperlink" Target="https://www.sec.gov/Archives/edgar/data/1524358/000152435823000031/a2023q1ex104xformofnonxemp.htm" TargetMode="External"/><Relationship Id="rId195" Type="http://schemas.openxmlformats.org/officeDocument/2006/relationships/hyperlink" Target="https://www.sec.gov/Archives/edgar/data/1524358/000152435823000031/a2023q2ex105xformofdirecto.htm" TargetMode="External"/><Relationship Id="rId197" Type="http://schemas.openxmlformats.org/officeDocument/2006/relationships/hyperlink" Target="https://www.sec.gov/Archives/edgar/data/1524358/000152435823000009/a2022ex1022xformofstockapp.htm" TargetMode="External"/><Relationship Id="rId198" Type="http://schemas.openxmlformats.org/officeDocument/2006/relationships/hyperlink" Target="https://www.sec.gov/Archives/edgar/data/1524358/000152435823000009/a2022ex1023xformofrestrict.htm" TargetMode="External"/><Relationship Id="rId202" Type="http://schemas.openxmlformats.org/officeDocument/2006/relationships/hyperlink" Target="https://www.sec.gov/Archives/edgar/data/1524358/000152435823000009/a2022ex1024xformofperforma.htm" TargetMode="External"/><Relationship Id="rId203" Type="http://schemas.openxmlformats.org/officeDocument/2006/relationships/hyperlink" Target="https://www.sec.gov/Archives/edgar/data/1524358/000152435823000009/a2022ex1026xformofparticip.htm" TargetMode="External"/><Relationship Id="rId205" Type="http://schemas.openxmlformats.org/officeDocument/2006/relationships/hyperlink" Target="https://www.sec.gov/Archives/edgar/data/1524358/000152435822000030/a2022q2ex104mvwcdeferredco.htm" TargetMode="External"/><Relationship Id="rId206" Type="http://schemas.openxmlformats.org/officeDocument/2006/relationships/hyperlink" Target="https://www.sec.gov/Archives/edgar/data/1524358/000119312515064836/d843780dex1021.htm" TargetMode="External"/><Relationship Id="rId207" Type="http://schemas.openxmlformats.org/officeDocument/2006/relationships/hyperlink" Target="https://www.sec.gov/Archives/edgar/data/1524358/000119312515220625/d940607dex101.htm" TargetMode="External"/><Relationship Id="rId210" Type="http://schemas.openxmlformats.org/officeDocument/2006/relationships/hyperlink" Target="https://www.sec.gov/Archives/edgar/data/1524358/000119312518266807/d597652dex49.htm" TargetMode="External"/><Relationship Id="rId211" Type="http://schemas.openxmlformats.org/officeDocument/2006/relationships/hyperlink" Target="https://www.sec.gov/Archives/edgar/data/1524358/000152435820000011/a201910-kex1038amendme.htm" TargetMode="External"/><Relationship Id="rId213" Type="http://schemas.openxmlformats.org/officeDocument/2006/relationships/hyperlink" Target="https://www.sec.gov/Archives/edgar/data/1524358/000152435823000031/a2023q2ex102amendmentno2to.htm" TargetMode="External"/><Relationship Id="rId214" Type="http://schemas.openxmlformats.org/officeDocument/2006/relationships/hyperlink" Target="https://www.sec.gov/Archives/edgar/data/1524358/000119312522097501/d303083dex101.htm" TargetMode="External"/><Relationship Id="rId216" Type="http://schemas.openxmlformats.org/officeDocument/2006/relationships/hyperlink" Target="https://www.sec.gov/Archives/edgar/data/1524358/000152435824000035/ex101-incrementalfacilitya.htm" TargetMode="External"/><Relationship Id="rId217" Type="http://schemas.openxmlformats.org/officeDocument/2006/relationships/hyperlink" Target="https://www.sec.gov/Archives/edgar/data/1524358/000119312518266807/d597652dex410.htm" TargetMode="External"/><Relationship Id="rId218" Type="http://schemas.openxmlformats.org/officeDocument/2006/relationships/hyperlink" Target="https://www.sec.gov/Archives/edgar/data/1434620/000104746908008612/a2187111zex-10_12.htm" TargetMode="External"/><Relationship Id="rId220" Type="http://schemas.openxmlformats.org/officeDocument/2006/relationships/hyperlink" Target="https://www.sec.gov/Archives/edgar/data/1434620/000110465916137604/a16-16129_1ex10d1.htm" TargetMode="External"/><Relationship Id="rId221" Type="http://schemas.openxmlformats.org/officeDocument/2006/relationships/hyperlink" Target="https://www.sec.gov/Archives/edgar/data/1434620/000104746914004700/a2220043zex-10_1.htm" TargetMode="External"/><Relationship Id="rId223" Type="http://schemas.openxmlformats.org/officeDocument/2006/relationships/hyperlink" Target="https://www.sec.gov/Archives/edgar/data/1434620/000110465916120265/a16-11085_1ex10d6.htm" TargetMode="External"/><Relationship Id="rId225" Type="http://schemas.openxmlformats.org/officeDocument/2006/relationships/hyperlink" Target="https://www.sec.gov/Archives/edgar/data/1434620/000110465916120265/a16-11085_1ex10d3.htm" TargetMode="External"/><Relationship Id="rId227" Type="http://schemas.openxmlformats.org/officeDocument/2006/relationships/hyperlink" Target="https://www.sec.gov/Archives/edgar/data/1434620/000155837018003932/ilg-20180331ex1021fc800.htm" TargetMode="External"/><Relationship Id="rId228" Type="http://schemas.openxmlformats.org/officeDocument/2006/relationships/hyperlink" Target="https://www.sec.gov/Archives/edgar/data/1524358/000152435824000006/a2023ex10442020amendedandr.htm" TargetMode="External"/><Relationship Id="rId229" Type="http://schemas.openxmlformats.org/officeDocument/2006/relationships/hyperlink" Target="https://www.sec.gov/Archives/edgar/data/1524358/000152435824000006/a2023ex10452020salaryreduc.htm" TargetMode="External"/><Relationship Id="rId230" Type="http://schemas.openxmlformats.org/officeDocument/2006/relationships/hyperlink" Target="https://www.sec.gov/Archives/edgar/data/1524358/000152435824000076/a2024q2ex106amendedandrest.htm" TargetMode="External"/><Relationship Id="rId231" Type="http://schemas.openxmlformats.org/officeDocument/2006/relationships/hyperlink" Target="https://www.sec.gov/Archives/edgar/data/1524358/000119312521027303/d41256dex101.htm" TargetMode="External"/><Relationship Id="rId232" Type="http://schemas.openxmlformats.org/officeDocument/2006/relationships/hyperlink" Target="https://www.sec.gov/Archives/edgar/data/1524358/000119312521027303/d41256dex102.htm" TargetMode="External"/><Relationship Id="rId233" Type="http://schemas.openxmlformats.org/officeDocument/2006/relationships/hyperlink" Target="https://www.sec.gov/Archives/edgar/data/1524358/000119312522301061/d433395dex101.htm" TargetMode="External"/><Relationship Id="rId234" Type="http://schemas.openxmlformats.org/officeDocument/2006/relationships/hyperlink" Target="https://www.sec.gov/Archives/edgar/data/1524358/000119312522301061/d433395dex102.htm" TargetMode="External"/><Relationship Id="rId235" Type="http://schemas.openxmlformats.org/officeDocument/2006/relationships/hyperlink" Target="https://www.sec.gov/Archives/edgar/data/1524358/000152435824000006/a2023ex1052xformofstockapp.htm" TargetMode="External"/><Relationship Id="rId236" Type="http://schemas.openxmlformats.org/officeDocument/2006/relationships/hyperlink" Target="https://www.sec.gov/Archives/edgar/data/1524358/000152435824000006/a2023ex1053xformofrestrict.htm" TargetMode="External"/><Relationship Id="rId237" Type="http://schemas.openxmlformats.org/officeDocument/2006/relationships/hyperlink" Target="https://www.sec.gov/Archives/edgar/data/1524358/000152435824000006/a2023ex1054xformofperforma.htm" TargetMode="External"/><Relationship Id="rId238" Type="http://schemas.openxmlformats.org/officeDocument/2006/relationships/hyperlink" Target="https://www.sec.gov/Archives/edgar/data/1524358/000152435824000039/a2024q1ex103xformofstockap.htm" TargetMode="External"/><Relationship Id="rId239" Type="http://schemas.openxmlformats.org/officeDocument/2006/relationships/hyperlink" Target="https://www.sec.gov/Archives/edgar/data/1524358/000152435824000039/a2024q1ex104xformofrestric.htm" TargetMode="External"/><Relationship Id="rId240" Type="http://schemas.openxmlformats.org/officeDocument/2006/relationships/hyperlink" Target="https://www.sec.gov/Archives/edgar/data/1524358/000152435824000039/a2024q1ex105xformofperform.htm" TargetMode="External"/><Relationship Id="rId241" Type="http://schemas.openxmlformats.org/officeDocument/2006/relationships/hyperlink" Target="https://www.sec.gov/Archives/edgar/data/1524358/000152435824000006/a2023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2025-02-28T14:53:51Z</dcterms:created>
  <dcterms:modified xsi:type="dcterms:W3CDTF">2025-02-28T14:53:51Z</dcterms:modified>
</cp:coreProperties>
</file>