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22, 2013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6320" w:type="dxa"/>
            <w:vAlign w:val="bottom"/>
          </w:tcPr>
          <w:p>
            <w:pPr>
              <w:jc w:val="center"/>
              <w:ind w:right="4023"/>
              <w:spacing w:after="0"/>
              <w:rPr>
                <w:sz w:val="20"/>
                <w:szCs w:val="20"/>
                <w:color w:val="auto"/>
              </w:rPr>
            </w:pPr>
            <w:r>
              <w:rPr>
                <w:rFonts w:ascii="Arial" w:cs="Arial" w:eastAsia="Arial" w:hAnsi="Arial"/>
                <w:sz w:val="18"/>
                <w:szCs w:val="18"/>
                <w:b w:val="1"/>
                <w:bCs w:val="1"/>
                <w:color w:val="auto"/>
                <w:w w:val="88"/>
              </w:rPr>
              <w:t>Delaware</w:t>
            </w:r>
          </w:p>
        </w:tc>
        <w:tc>
          <w:tcPr>
            <w:tcW w:w="1080" w:type="dxa"/>
            <w:vAlign w:val="bottom"/>
          </w:tcPr>
          <w:p>
            <w:pPr>
              <w:jc w:val="right"/>
              <w:ind w:right="24"/>
              <w:spacing w:after="0"/>
              <w:rPr>
                <w:sz w:val="20"/>
                <w:szCs w:val="20"/>
                <w:color w:val="auto"/>
              </w:rPr>
            </w:pPr>
            <w:r>
              <w:rPr>
                <w:rFonts w:ascii="Arial" w:cs="Arial" w:eastAsia="Arial" w:hAnsi="Arial"/>
                <w:sz w:val="18"/>
                <w:szCs w:val="18"/>
                <w:b w:val="1"/>
                <w:bCs w:val="1"/>
                <w:color w:val="auto"/>
                <w:w w:val="99"/>
              </w:rPr>
              <w:t>45-2598330</w:t>
            </w:r>
          </w:p>
        </w:tc>
      </w:tr>
      <w:tr>
        <w:trPr>
          <w:trHeight w:val="149"/>
        </w:trPr>
        <w:tc>
          <w:tcPr>
            <w:tcW w:w="6320" w:type="dxa"/>
            <w:vAlign w:val="bottom"/>
          </w:tcPr>
          <w:p>
            <w:pPr>
              <w:jc w:val="center"/>
              <w:ind w:right="4023"/>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20" w:type="dxa"/>
            <w:vAlign w:val="bottom"/>
          </w:tcPr>
          <w:p>
            <w:pPr>
              <w:jc w:val="center"/>
              <w:ind w:right="4003"/>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320" w:type="dxa"/>
            <w:vAlign w:val="bottom"/>
          </w:tcPr>
          <w:p>
            <w:pPr>
              <w:jc w:val="center"/>
              <w:ind w:right="4023"/>
              <w:spacing w:after="0"/>
              <w:rPr>
                <w:sz w:val="20"/>
                <w:szCs w:val="20"/>
                <w:color w:val="auto"/>
              </w:rPr>
            </w:pPr>
            <w:r>
              <w:rPr>
                <w:rFonts w:ascii="Arial" w:cs="Arial" w:eastAsia="Arial" w:hAnsi="Arial"/>
                <w:sz w:val="18"/>
                <w:szCs w:val="18"/>
                <w:b w:val="1"/>
                <w:bCs w:val="1"/>
                <w:color w:val="auto"/>
                <w:w w:val="87"/>
              </w:rPr>
              <w:t>6649 Westwood Blvd.</w:t>
            </w:r>
          </w:p>
        </w:tc>
        <w:tc>
          <w:tcPr>
            <w:tcW w:w="1080" w:type="dxa"/>
            <w:vAlign w:val="bottom"/>
          </w:tcPr>
          <w:p>
            <w:pPr>
              <w:spacing w:after="0"/>
              <w:rPr>
                <w:sz w:val="24"/>
                <w:szCs w:val="24"/>
                <w:color w:val="auto"/>
              </w:rPr>
            </w:pPr>
          </w:p>
        </w:tc>
      </w:tr>
      <w:tr>
        <w:trPr>
          <w:trHeight w:val="231"/>
        </w:trPr>
        <w:tc>
          <w:tcPr>
            <w:tcW w:w="6320" w:type="dxa"/>
            <w:vAlign w:val="bottom"/>
          </w:tcPr>
          <w:p>
            <w:pPr>
              <w:jc w:val="center"/>
              <w:ind w:right="4023"/>
              <w:spacing w:after="0"/>
              <w:rPr>
                <w:sz w:val="20"/>
                <w:szCs w:val="20"/>
                <w:color w:val="auto"/>
              </w:rPr>
            </w:pPr>
            <w:r>
              <w:rPr>
                <w:rFonts w:ascii="Arial" w:cs="Arial" w:eastAsia="Arial" w:hAnsi="Arial"/>
                <w:sz w:val="18"/>
                <w:szCs w:val="18"/>
                <w:b w:val="1"/>
                <w:bCs w:val="1"/>
                <w:color w:val="auto"/>
                <w:w w:val="93"/>
              </w:rPr>
              <w:t>Orlando, FL</w:t>
            </w:r>
          </w:p>
        </w:tc>
        <w:tc>
          <w:tcPr>
            <w:tcW w:w="1080" w:type="dxa"/>
            <w:vAlign w:val="bottom"/>
          </w:tcPr>
          <w:p>
            <w:pPr>
              <w:jc w:val="right"/>
              <w:ind w:right="224"/>
              <w:spacing w:after="0"/>
              <w:rPr>
                <w:sz w:val="20"/>
                <w:szCs w:val="20"/>
                <w:color w:val="auto"/>
              </w:rPr>
            </w:pPr>
            <w:r>
              <w:rPr>
                <w:rFonts w:ascii="Arial" w:cs="Arial" w:eastAsia="Arial" w:hAnsi="Arial"/>
                <w:sz w:val="18"/>
                <w:szCs w:val="18"/>
                <w:b w:val="1"/>
                <w:bCs w:val="1"/>
                <w:color w:val="auto"/>
              </w:rPr>
              <w:t>32821</w:t>
            </w:r>
          </w:p>
        </w:tc>
      </w:tr>
      <w:tr>
        <w:trPr>
          <w:trHeight w:val="174"/>
        </w:trPr>
        <w:tc>
          <w:tcPr>
            <w:tcW w:w="6320" w:type="dxa"/>
            <w:vAlign w:val="bottom"/>
          </w:tcPr>
          <w:p>
            <w:pPr>
              <w:jc w:val="center"/>
              <w:ind w:right="4023"/>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20" w:type="dxa"/>
            <w:vAlign w:val="bottom"/>
          </w:tcPr>
          <w:p>
            <w:pPr>
              <w:jc w:val="center"/>
              <w:ind w:left="1463"/>
              <w:spacing w:after="0"/>
              <w:rPr>
                <w:sz w:val="20"/>
                <w:szCs w:val="20"/>
                <w:color w:val="auto"/>
              </w:rPr>
            </w:pPr>
            <w:r>
              <w:rPr>
                <w:rFonts w:ascii="Arial" w:cs="Arial" w:eastAsia="Arial" w:hAnsi="Arial"/>
                <w:sz w:val="18"/>
                <w:szCs w:val="18"/>
                <w:b w:val="1"/>
                <w:bCs w:val="1"/>
                <w:color w:val="auto"/>
                <w:w w:val="89"/>
              </w:rPr>
              <w:t>(407) 206-6000</w:t>
            </w:r>
          </w:p>
        </w:tc>
        <w:tc>
          <w:tcPr>
            <w:tcW w:w="1080" w:type="dxa"/>
            <w:vAlign w:val="bottom"/>
          </w:tcPr>
          <w:p>
            <w:pPr>
              <w:spacing w:after="0"/>
              <w:rPr>
                <w:sz w:val="24"/>
                <w:szCs w:val="24"/>
                <w:color w:val="auto"/>
              </w:rPr>
            </w:pPr>
          </w:p>
        </w:tc>
      </w:tr>
      <w:tr>
        <w:trPr>
          <w:trHeight w:val="174"/>
        </w:trPr>
        <w:tc>
          <w:tcPr>
            <w:tcW w:w="6320" w:type="dxa"/>
            <w:vAlign w:val="bottom"/>
          </w:tcPr>
          <w:p>
            <w:pPr>
              <w:jc w:val="center"/>
              <w:ind w:left="146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r>
      <w:tr>
        <w:trPr>
          <w:trHeight w:val="513"/>
        </w:trPr>
        <w:tc>
          <w:tcPr>
            <w:tcW w:w="6320" w:type="dxa"/>
            <w:vAlign w:val="bottom"/>
          </w:tcPr>
          <w:p>
            <w:pPr>
              <w:jc w:val="center"/>
              <w:ind w:left="1463"/>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4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outstanding of the issuer’s common stock, par value $0.01 per share, as of April 19, 2013 was 35,340,825.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gridSpan w:val="2"/>
          </w:tcPr>
          <w:p>
            <w:pPr>
              <w:ind w:left="40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3560" w:type="dxa"/>
            <w:vAlign w:val="bottom"/>
            <w:gridSpan w:val="1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6700" w:type="dxa"/>
            <w:vAlign w:val="bottom"/>
            <w:gridSpan w:val="6"/>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780" w:type="dxa"/>
            <w:vAlign w:val="bottom"/>
            <w:gridSpan w:val="2"/>
            <w:vMerge w:val="continue"/>
          </w:tcPr>
          <w:p>
            <w:pPr>
              <w:spacing w:after="0"/>
              <w:rPr>
                <w:sz w:val="14"/>
                <w:szCs w:val="14"/>
                <w:color w:val="auto"/>
              </w:rPr>
            </w:pPr>
          </w:p>
        </w:tc>
        <w:tc>
          <w:tcPr>
            <w:tcW w:w="3560" w:type="dxa"/>
            <w:vAlign w:val="bottom"/>
            <w:tcBorders>
              <w:bottom w:val="single" w:sz="8" w:color="0000EE"/>
            </w:tcBorders>
            <w:gridSpan w:val="13"/>
            <w:vMerge w:val="continue"/>
          </w:tcPr>
          <w:p>
            <w:pPr>
              <w:spacing w:after="0"/>
              <w:rPr>
                <w:sz w:val="14"/>
                <w:szCs w:val="14"/>
                <w:color w:val="auto"/>
              </w:rPr>
            </w:pPr>
          </w:p>
        </w:tc>
        <w:tc>
          <w:tcPr>
            <w:tcW w:w="6700" w:type="dxa"/>
            <w:vAlign w:val="bottom"/>
            <w:gridSpan w:val="6"/>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Interim Consolidated Financial Statements</w:t>
              </w:r>
            </w:hyperlink>
          </w:p>
        </w:tc>
        <w:tc>
          <w:tcPr>
            <w:tcW w:w="726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Consolidated Statements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Consolidated Statements of Comprehensive Income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Interim Consolidated Balance Sheets</w:t>
              </w:r>
            </w:hyperlink>
          </w:p>
        </w:tc>
        <w:tc>
          <w:tcPr>
            <w:tcW w:w="1600" w:type="dxa"/>
            <w:vAlign w:val="bottom"/>
            <w:tcBorders>
              <w:top w:val="single" w:sz="8" w:color="0000EE"/>
            </w:tcBorders>
            <w:gridSpan w:val="6"/>
          </w:tcPr>
          <w:p>
            <w:pPr>
              <w:spacing w:after="0"/>
              <w:rPr>
                <w:sz w:val="24"/>
                <w:szCs w:val="24"/>
                <w:color w:val="auto"/>
              </w:rPr>
            </w:pPr>
          </w:p>
        </w:tc>
        <w:tc>
          <w:tcPr>
            <w:tcW w:w="60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Interim Consolidated Statements of Cash Flows</w:t>
              </w:r>
            </w:hyperlink>
          </w:p>
        </w:tc>
        <w:tc>
          <w:tcPr>
            <w:tcW w:w="69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Interim Consolidated Financial Statements</w:t>
              </w:r>
            </w:hyperlink>
          </w:p>
        </w:tc>
        <w:tc>
          <w:tcPr>
            <w:tcW w:w="66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Management’s Discussion and Analysis of Financial Condition and Results of Operations</w:t>
              </w:r>
            </w:hyperlink>
          </w:p>
        </w:tc>
        <w:tc>
          <w:tcPr>
            <w:tcW w:w="3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Quantitative and Qualitative Disclosures About Market Risk</w:t>
              </w:r>
            </w:hyperlink>
          </w:p>
        </w:tc>
        <w:tc>
          <w:tcPr>
            <w:tcW w:w="60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42">
              <w:r>
                <w:rPr>
                  <w:rFonts w:ascii="Arial" w:cs="Arial" w:eastAsia="Arial" w:hAnsi="Arial"/>
                  <w:sz w:val="18"/>
                  <w:szCs w:val="18"/>
                  <w:color w:val="0000EE"/>
                  <w:w w:val="86"/>
                </w:rPr>
                <w:t>Controls and Procedures</w:t>
              </w:r>
            </w:hyperlink>
          </w:p>
        </w:tc>
        <w:tc>
          <w:tcPr>
            <w:tcW w:w="852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0260" w:type="dxa"/>
            <w:vAlign w:val="bottom"/>
            <w:gridSpan w:val="19"/>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43">
              <w:r>
                <w:rPr>
                  <w:rFonts w:ascii="Arial" w:cs="Arial" w:eastAsia="Arial" w:hAnsi="Arial"/>
                  <w:sz w:val="18"/>
                  <w:szCs w:val="18"/>
                  <w:color w:val="0000EE"/>
                  <w:w w:val="85"/>
                </w:rPr>
                <w:t>Legal Proceedings</w:t>
              </w:r>
            </w:hyperlink>
          </w:p>
        </w:tc>
        <w:tc>
          <w:tcPr>
            <w:tcW w:w="660" w:type="dxa"/>
            <w:vAlign w:val="bottom"/>
            <w:tcBorders>
              <w:top w:val="single" w:sz="8" w:color="0000EE"/>
            </w:tcBorders>
            <w:gridSpan w:val="3"/>
          </w:tcPr>
          <w:p>
            <w:pPr>
              <w:spacing w:after="0"/>
              <w:rPr>
                <w:sz w:val="24"/>
                <w:szCs w:val="24"/>
                <w:color w:val="auto"/>
              </w:rPr>
            </w:pPr>
          </w:p>
        </w:tc>
        <w:tc>
          <w:tcPr>
            <w:tcW w:w="83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26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43">
              <w:r>
                <w:rPr>
                  <w:rFonts w:ascii="Arial" w:cs="Arial" w:eastAsia="Arial" w:hAnsi="Arial"/>
                  <w:sz w:val="18"/>
                  <w:szCs w:val="18"/>
                  <w:color w:val="0000EE"/>
                  <w:w w:val="86"/>
                </w:rPr>
                <w:t>Unregistered Sales of Equity Securities and Use of Proceeds</w:t>
              </w:r>
            </w:hyperlink>
          </w:p>
        </w:tc>
        <w:tc>
          <w:tcPr>
            <w:tcW w:w="60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26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80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20" w:type="dxa"/>
            <w:vAlign w:val="bottom"/>
            <w:tcBorders>
              <w:top w:val="single" w:sz="8" w:color="0000EE"/>
            </w:tcBorders>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854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898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968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11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SIGNATURES</w:t>
              </w:r>
            </w:hyperlink>
          </w:p>
        </w:tc>
        <w:tc>
          <w:tcPr>
            <w:tcW w:w="968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0" w:type="dxa"/>
            <w:vAlign w:val="bottom"/>
          </w:tcPr>
          <w:p>
            <w:pPr>
              <w:jc w:val="center"/>
              <w:ind w:left="732"/>
              <w:spacing w:after="0"/>
              <w:rPr>
                <w:sz w:val="20"/>
                <w:szCs w:val="20"/>
                <w:color w:val="auto"/>
              </w:rPr>
            </w:pPr>
            <w:r>
              <w:rPr>
                <w:rFonts w:ascii="Arial" w:cs="Arial" w:eastAsia="Arial" w:hAnsi="Arial"/>
                <w:sz w:val="18"/>
                <w:szCs w:val="18"/>
                <w:b w:val="1"/>
                <w:bCs w:val="1"/>
                <w:color w:val="auto"/>
                <w:w w:val="99"/>
              </w:rPr>
              <w:t>MARRIOTT VACATIONS WORLDWIDE CORPORATION</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0" w:type="dxa"/>
            <w:vAlign w:val="bottom"/>
          </w:tcPr>
          <w:p>
            <w:pPr>
              <w:jc w:val="center"/>
              <w:ind w:left="732"/>
              <w:spacing w:after="0"/>
              <w:rPr>
                <w:sz w:val="20"/>
                <w:szCs w:val="20"/>
                <w:color w:val="auto"/>
              </w:rPr>
            </w:pPr>
            <w:r>
              <w:rPr>
                <w:rFonts w:ascii="Arial" w:cs="Arial" w:eastAsia="Arial" w:hAnsi="Arial"/>
                <w:sz w:val="18"/>
                <w:szCs w:val="18"/>
                <w:b w:val="1"/>
                <w:bCs w:val="1"/>
                <w:color w:val="auto"/>
                <w:w w:val="97"/>
              </w:rPr>
              <w:t>INTERIM CONSOLIDATED STATEMENTS OF OPERATIONS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0" w:type="dxa"/>
            <w:vAlign w:val="bottom"/>
          </w:tcPr>
          <w:p>
            <w:pPr>
              <w:jc w:val="center"/>
              <w:ind w:left="732"/>
              <w:spacing w:after="0"/>
              <w:rPr>
                <w:sz w:val="20"/>
                <w:szCs w:val="20"/>
                <w:color w:val="auto"/>
              </w:rPr>
            </w:pPr>
            <w:r>
              <w:rPr>
                <w:rFonts w:ascii="Arial" w:cs="Arial" w:eastAsia="Arial" w:hAnsi="Arial"/>
                <w:sz w:val="18"/>
                <w:szCs w:val="18"/>
                <w:color w:val="auto"/>
                <w:w w:val="88"/>
              </w:rPr>
              <w:t>(In millions, except per share amounts)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0" w:type="dxa"/>
            <w:vAlign w:val="bottom"/>
          </w:tcPr>
          <w:p>
            <w:pPr>
              <w:jc w:val="center"/>
              <w:ind w:left="732"/>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Twelve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8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8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6"/>
              </w:rPr>
              <w:t>REVENUES</w:t>
            </w:r>
          </w:p>
        </w:tc>
        <w:tc>
          <w:tcPr>
            <w:tcW w:w="8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Financing</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8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rPr>
              <w:t>Other</w:t>
            </w:r>
          </w:p>
        </w:tc>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8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EXPENSES</w:t>
            </w:r>
          </w:p>
        </w:tc>
        <w:tc>
          <w:tcPr>
            <w:tcW w:w="8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Cost of vacation ownership products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Financing</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rPr>
              <w:t>Rental</w:t>
            </w:r>
          </w:p>
        </w:tc>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Litigation settlement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Organizational and separation related</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Interest</w:t>
            </w:r>
          </w:p>
        </w:tc>
        <w:tc>
          <w:tcPr>
            <w:tcW w:w="8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Royalty fee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Gains and other income</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0" w:type="dxa"/>
            <w:vAlign w:val="bottom"/>
            <w:gridSpan w:val="3"/>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9600" w:type="dxa"/>
            <w:vAlign w:val="bottom"/>
            <w:gridSpan w:val="3"/>
          </w:tcPr>
          <w:p>
            <w:pPr>
              <w:spacing w:after="0"/>
              <w:rPr>
                <w:sz w:val="20"/>
                <w:szCs w:val="20"/>
                <w:color w:val="auto"/>
              </w:rPr>
            </w:pPr>
            <w:r>
              <w:rPr>
                <w:rFonts w:ascii="Arial" w:cs="Arial" w:eastAsia="Arial" w:hAnsi="Arial"/>
                <w:sz w:val="18"/>
                <w:szCs w:val="18"/>
                <w:color w:val="auto"/>
              </w:rPr>
              <w:t>Shares used in computing basic earnings per share</w:t>
            </w: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9600" w:type="dxa"/>
            <w:vAlign w:val="bottom"/>
            <w:gridSpan w:val="3"/>
          </w:tcPr>
          <w:p>
            <w:pPr>
              <w:spacing w:after="0"/>
              <w:rPr>
                <w:sz w:val="20"/>
                <w:szCs w:val="20"/>
                <w:color w:val="auto"/>
              </w:rPr>
            </w:pPr>
            <w:r>
              <w:rPr>
                <w:rFonts w:ascii="Arial" w:cs="Arial" w:eastAsia="Arial" w:hAnsi="Arial"/>
                <w:sz w:val="18"/>
                <w:szCs w:val="18"/>
                <w:color w:val="auto"/>
              </w:rPr>
              <w:t>Shares used in computing diluted earnings per share</w:t>
            </w: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ind w:left="22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0" w:type="dxa"/>
            <w:vAlign w:val="bottom"/>
          </w:tcPr>
          <w:p>
            <w:pPr>
              <w:spacing w:after="0"/>
              <w:rPr>
                <w:sz w:val="11"/>
                <w:szCs w:val="11"/>
                <w:color w:val="auto"/>
              </w:rPr>
            </w:pPr>
          </w:p>
        </w:tc>
        <w:tc>
          <w:tcPr>
            <w:tcW w:w="13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March 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2013</w:t>
            </w: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(loss) income, net of tax</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7"/>
              </w:rPr>
              <w:t>(Unaudited)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March 22,</w:t>
            </w:r>
          </w:p>
        </w:tc>
        <w:tc>
          <w:tcPr>
            <w:tcW w:w="6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(including $27 and $31 from VIEs, respectively)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and contracts receivable (including $4 and $5 from VIEs, respectively)</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(including $745 and $727 from VIEs, respectively)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Advance deposits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(including $1 and $1 from VIEs, respectively)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liability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Debt (including $682 and $674 from VIEs, respectively)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 (Note 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Preferred stock—$.01 par value; 2,000,000 shares authorized; none issued or outstanding</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stock—$.01 par value; 100,000,000 shares authorized; 35,326,993 and 35,026,533 shares issued and outstanding,</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2,569</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abbreviation VIEs above means Variable Interest Entities.</w:t>
      </w:r>
    </w:p>
    <w:p>
      <w:pPr>
        <w:spacing w:after="0" w:line="16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7"/>
              </w:rPr>
              <w:t>Twelve Weeks Ended</w:t>
            </w:r>
          </w:p>
        </w:tc>
      </w:tr>
      <w:tr>
        <w:trPr>
          <w:trHeight w:val="129"/>
        </w:trPr>
        <w:tc>
          <w:tcPr>
            <w:tcW w:w="20" w:type="dxa"/>
            <w:vAlign w:val="bottom"/>
          </w:tcPr>
          <w:p>
            <w:pPr>
              <w:spacing w:after="0"/>
              <w:rPr>
                <w:sz w:val="11"/>
                <w:szCs w:val="11"/>
                <w:color w:val="auto"/>
              </w:rPr>
            </w:pPr>
          </w:p>
        </w:tc>
        <w:tc>
          <w:tcPr>
            <w:tcW w:w="948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23,</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2013</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disposal of property and equipment,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Net change in assets and liabilities: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and contracts receivable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Notes receivable originations</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receivable collections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Accounts payable, advance deposits and accrued liabilities</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Liability for Marriott Rewards customer loyalty program</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Payroll and benefit liabilities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9480" w:type="dxa"/>
            <w:vAlign w:val="bottom"/>
          </w:tcPr>
          <w:p>
            <w:pPr>
              <w:ind w:left="860"/>
              <w:spacing w:after="0"/>
              <w:rPr>
                <w:sz w:val="20"/>
                <w:szCs w:val="20"/>
                <w:color w:val="auto"/>
              </w:rPr>
            </w:pPr>
            <w:r>
              <w:rPr>
                <w:rFonts w:ascii="Arial" w:cs="Arial" w:eastAsia="Arial" w:hAnsi="Arial"/>
                <w:sz w:val="18"/>
                <w:szCs w:val="18"/>
                <w:color w:val="auto"/>
              </w:rPr>
              <w:t>Deferred compensation liability</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80" w:type="dxa"/>
            <w:vAlign w:val="bottom"/>
          </w:tcPr>
          <w:p>
            <w:pPr>
              <w:ind w:left="1280"/>
              <w:spacing w:after="0"/>
              <w:rPr>
                <w:sz w:val="20"/>
                <w:szCs w:val="20"/>
                <w:color w:val="auto"/>
              </w:rPr>
            </w:pPr>
            <w:r>
              <w:rPr>
                <w:rFonts w:ascii="Arial" w:cs="Arial" w:eastAsia="Arial" w:hAnsi="Arial"/>
                <w:sz w:val="18"/>
                <w:szCs w:val="18"/>
                <w:color w:val="auto"/>
              </w:rPr>
              <w:t>Net cash (used in) provided by operating activities</w:t>
            </w:r>
          </w:p>
        </w:tc>
        <w:tc>
          <w:tcPr>
            <w:tcW w:w="12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restricted cash</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Dispositions</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investing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2"/>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from securitization transactions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Repayment of debt related to securitizations</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on Revolving Corporate Credit Facility</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Repayments on Revolving Corporate Credit Facility</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exercises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Pr>
          <w:p>
            <w:pPr>
              <w:spacing w:after="0"/>
              <w:rPr>
                <w:sz w:val="2"/>
                <w:szCs w:val="2"/>
                <w:color w:val="auto"/>
              </w:rPr>
            </w:pPr>
          </w:p>
        </w:tc>
        <w:tc>
          <w:tcPr>
            <w:tcW w:w="9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r>
      <w:tr>
        <w:trPr>
          <w:trHeight w:val="20"/>
        </w:trPr>
        <w:tc>
          <w:tcPr>
            <w:tcW w:w="95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9"/>
        </w:trPr>
        <w:tc>
          <w:tcPr>
            <w:tcW w:w="950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8"/>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r>
      <w:tr>
        <w:trPr>
          <w:trHeight w:val="222"/>
        </w:trPr>
        <w:tc>
          <w:tcPr>
            <w:tcW w:w="95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159" w:lineRule="exact"/>
        <w:rPr>
          <w:sz w:val="20"/>
          <w:szCs w:val="20"/>
          <w:color w:val="auto"/>
        </w:rPr>
      </w:pPr>
    </w:p>
    <w:p>
      <w:pPr>
        <w:ind w:right="662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Our Business</w:t>
      </w:r>
    </w:p>
    <w:p>
      <w:pPr>
        <w:spacing w:after="0" w:line="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(“Ritz-Carlton”), a subsidiary of Marriott International, Inc. (“Marriott International”), generally provides on-site management for Ritz-Carlton branded properties.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business is grouped into three reportable segments: North America, Europe and Asia Pacific. We operate 63 properties in the United States and nine other countries and territories.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and renting vacation ownership inventory.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 Inc.</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November 21, 2011, the spin-off of Marriott Vacations Worldwide (the “Spin-Off”) from Marriott International, Inc. (“Marriott International”) was completed. In the Spin-Off, Marriott International’s vacation ownership operations and related residential business were separated from Marriott International through a special tax-free dividend to Marriott International’s shareholders of all of the issued and outstanding common stock of our company. As a result of the Spin-Off, we became an independent company, and our common stock is listed on the New York Stock Exchange under the symbol “VAC.” Following the Spin-Off, we and Marriott International have operated independently, and neither company has any ownership interest in the other.</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order to provide for an orderly transition to our status as an independent, publicly owned company and to govern the ongoing relationship between us and Marriott International, we and Marriott International entered into material agreements pertaining to the provision by each company to the other of certain services, and the rights and obligations of each company, following the Spin-Off. These agreements also provide for each company to indemnify the other against certain liabilities arising from our respective businesses. The agreements include a License, Services, and Development Agreement with Marriott International and its subsidiary Marriott Worldwide Corporation and a License, Services, and Development Agreement with The Ritz-Carlton Hotel Company, L.L.C., under which we are granted the exclusive right, for the terms of the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9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the consolidation accounting guidance. 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144"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We refer throughout to (i) our Interim Consolidated Financial Statements as our “Financial Statements,” (ii) our Interim Consolidated Statements of Operations as our “Statements of Operations,” (iii) our Interim Consolidated Balance Sheets as our “Balance Sheets” and (iv) our Interim Consolidated Statements of Cash Flows as our “Cash Flows.”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Unless otherwise specified, each reference to a particular quarter in these Financial Statements means the twelve weeks ended on the date shown in the following table, rather than the corresponding calendar quarter:</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Fiscal Year</w:t>
            </w:r>
          </w:p>
        </w:tc>
        <w:tc>
          <w:tcPr>
            <w:tcW w:w="18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Quarter-End Date</w:t>
            </w:r>
          </w:p>
        </w:tc>
      </w:tr>
      <w:tr>
        <w:trPr>
          <w:trHeight w:val="203"/>
        </w:trPr>
        <w:tc>
          <w:tcPr>
            <w:tcW w:w="2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2013 First Quarter</w:t>
            </w:r>
          </w:p>
        </w:tc>
        <w:tc>
          <w:tcPr>
            <w:tcW w:w="39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March 22, 2013</w:t>
            </w:r>
          </w:p>
        </w:tc>
      </w:tr>
      <w:tr>
        <w:trPr>
          <w:trHeight w:val="222"/>
        </w:trPr>
        <w:tc>
          <w:tcPr>
            <w:tcW w:w="2560" w:type="dxa"/>
            <w:vAlign w:val="bottom"/>
            <w:gridSpan w:val="2"/>
          </w:tcPr>
          <w:p>
            <w:pPr>
              <w:spacing w:after="0"/>
              <w:rPr>
                <w:sz w:val="20"/>
                <w:szCs w:val="20"/>
                <w:color w:val="auto"/>
              </w:rPr>
            </w:pPr>
            <w:r>
              <w:rPr>
                <w:rFonts w:ascii="Arial" w:cs="Arial" w:eastAsia="Arial" w:hAnsi="Arial"/>
                <w:sz w:val="18"/>
                <w:szCs w:val="18"/>
                <w:color w:val="auto"/>
              </w:rPr>
              <w:t>2012 First Quarter</w:t>
            </w:r>
          </w:p>
        </w:tc>
        <w:tc>
          <w:tcPr>
            <w:tcW w:w="39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March 23, 2012</w:t>
            </w:r>
          </w:p>
        </w:tc>
      </w:tr>
      <w:tr>
        <w:trPr>
          <w:trHeight w:val="356"/>
        </w:trPr>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940" w:type="dxa"/>
            <w:vAlign w:val="bottom"/>
          </w:tcPr>
          <w:p>
            <w:pPr>
              <w:jc w:val="right"/>
              <w:ind w:right="2492"/>
              <w:spacing w:after="0"/>
              <w:rPr>
                <w:sz w:val="20"/>
                <w:szCs w:val="20"/>
                <w:color w:val="auto"/>
              </w:rPr>
            </w:pPr>
            <w:r>
              <w:rPr>
                <w:rFonts w:ascii="Arial" w:cs="Arial" w:eastAsia="Arial" w:hAnsi="Arial"/>
                <w:sz w:val="18"/>
                <w:szCs w:val="18"/>
                <w:color w:val="auto"/>
              </w:rPr>
              <w:t>6</w:t>
            </w:r>
          </w:p>
        </w:tc>
        <w:tc>
          <w:tcPr>
            <w:tcW w:w="12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140" w:lineRule="exact"/>
        <w:rPr>
          <w:sz w:val="20"/>
          <w:szCs w:val="20"/>
          <w:color w:val="auto"/>
        </w:rPr>
      </w:pPr>
    </w:p>
    <w:p>
      <w:pPr>
        <w:jc w:val="both"/>
        <w:ind w:right="400" w:firstLine="456"/>
        <w:spacing w:after="0" w:line="298" w:lineRule="auto"/>
        <w:rPr>
          <w:sz w:val="20"/>
          <w:szCs w:val="20"/>
          <w:color w:val="auto"/>
        </w:rPr>
      </w:pPr>
      <w:r>
        <w:rPr>
          <w:rFonts w:ascii="Arial" w:cs="Arial" w:eastAsia="Arial" w:hAnsi="Arial"/>
          <w:sz w:val="16"/>
          <w:szCs w:val="16"/>
          <w:color w:val="auto"/>
        </w:rPr>
        <w:t>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interim Financial Statements in conjunction with the audited annual Consolidated Financial Statements and notes to those Consolidated Financial Statements included in our Annual Report on Form 10-K for the fiscal year ended December 28, 2012.</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Marriott Rewards customer loyalty program liability, self-insured medical plan reserves, equity-based compensation, income taxes, loss contingencies and exit and disposal activities reserves. Actual amounts may differ from these estimated amounts.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reclassified certain prior year amounts to conform to our 2013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Prior Year Cost Reimbursements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While preparing our Statements of Operations for the year ended December 28, 2012, we discovered an error in the presentation of Cost reimbursements within our prior periods. Consequently, we have restated the accompanying Statements of Operations for the twelve weeks ended March 23, 2012, appearing herein, from amounts previously reported to correct the prior period misstatement for the error. Based on our evaluation of relevant quantitative and qualitative factors, we determined the identified misstatements are immaterial to our individual prior period Financial Statements and have no impact on net income as previously reported.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effect of the restatement of the previously reported Statement of Operations for the twelve weeks ended March 23, 2012.</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gridSpan w:val="4"/>
          </w:tcPr>
          <w:p>
            <w:pPr>
              <w:ind w:left="80"/>
              <w:spacing w:after="0"/>
              <w:rPr>
                <w:sz w:val="20"/>
                <w:szCs w:val="20"/>
                <w:color w:val="auto"/>
              </w:rPr>
            </w:pPr>
            <w:r>
              <w:rPr>
                <w:rFonts w:ascii="Arial" w:cs="Arial" w:eastAsia="Arial" w:hAnsi="Arial"/>
                <w:sz w:val="14"/>
                <w:szCs w:val="14"/>
                <w:b w:val="1"/>
                <w:bCs w:val="1"/>
                <w:color w:val="auto"/>
                <w:w w:val="91"/>
              </w:rPr>
              <w:t>For the Twelve Weeks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March 23, 2012</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4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As</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Previously</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As</w:t>
            </w:r>
          </w:p>
        </w:tc>
      </w:tr>
      <w:tr>
        <w:trPr>
          <w:trHeight w:val="161"/>
        </w:trPr>
        <w:tc>
          <w:tcPr>
            <w:tcW w:w="44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8"/>
              </w:rPr>
              <w:t>Restated</w:t>
            </w: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Cost reimbursements</w:t>
            </w:r>
          </w:p>
        </w:tc>
        <w:tc>
          <w:tcPr>
            <w:tcW w:w="216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REVENUES</w:t>
            </w:r>
          </w:p>
        </w:tc>
        <w:tc>
          <w:tcPr>
            <w:tcW w:w="216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r>
      <w:tr>
        <w:trPr>
          <w:trHeight w:val="323"/>
        </w:trPr>
        <w:tc>
          <w:tcPr>
            <w:tcW w:w="44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216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r>
        <w:trPr>
          <w:trHeight w:val="222"/>
        </w:trPr>
        <w:tc>
          <w:tcPr>
            <w:tcW w:w="4400" w:type="dxa"/>
            <w:vAlign w:val="bottom"/>
          </w:tcPr>
          <w:p>
            <w:pPr>
              <w:ind w:left="880"/>
              <w:spacing w:after="0"/>
              <w:rPr>
                <w:sz w:val="20"/>
                <w:szCs w:val="20"/>
                <w:color w:val="auto"/>
              </w:rPr>
            </w:pPr>
            <w:r>
              <w:rPr>
                <w:rFonts w:ascii="Arial" w:cs="Arial" w:eastAsia="Arial" w:hAnsi="Arial"/>
                <w:sz w:val="18"/>
                <w:szCs w:val="18"/>
                <w:color w:val="auto"/>
              </w:rPr>
              <w:t>TOTAL EXPENSES</w:t>
            </w:r>
          </w:p>
        </w:tc>
        <w:tc>
          <w:tcPr>
            <w:tcW w:w="216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355</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90" w:lineRule="exact"/>
        <w:rPr>
          <w:sz w:val="20"/>
          <w:szCs w:val="20"/>
          <w:color w:val="auto"/>
        </w:rPr>
      </w:pPr>
    </w:p>
    <w:p>
      <w:pPr>
        <w:jc w:val="both"/>
        <w:ind w:left="240" w:right="900"/>
        <w:spacing w:after="0" w:line="268" w:lineRule="auto"/>
        <w:rPr>
          <w:sz w:val="20"/>
          <w:szCs w:val="20"/>
          <w:color w:val="auto"/>
        </w:rPr>
      </w:pPr>
      <w:r>
        <w:rPr>
          <w:rFonts w:ascii="Arial" w:cs="Arial" w:eastAsia="Arial" w:hAnsi="Arial"/>
          <w:sz w:val="18"/>
          <w:szCs w:val="18"/>
          <w:i w:val="1"/>
          <w:iCs w:val="1"/>
          <w:u w:val="single" w:color="auto"/>
          <w:color w:val="auto"/>
        </w:rPr>
        <w:t>Accounting Standards Update No. 2013-02 – “Comprehensive Income (Topic 220): Reporting of Amounts Reclassified Out of Accumulated Other Comprehensive Income” (“ASU No. 2013-02”)</w:t>
      </w:r>
    </w:p>
    <w:p>
      <w:pPr>
        <w:spacing w:after="0" w:line="5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ASU No. 2013-02, which we adopted in the first quarter of 2013, amends existing guidance by requiring that additional information be disclosed about items reclassified (“reclassification adjustments”) out of accumulated other comprehensive income. The additional information includes separately stating the total change for each component of other comprehensive income (for example unrealized gains or losses on available-for-sale securities or foreign currency items) and separately disclosing both current-period other comprehensive income and reclassification adjustments. Entities are also required to present, either on the face of the income statement or in the notes to the financial statements, significant amounts reclassified out of accumulated other comprehensive income as separate line items of net income but only if the entire amount reclassified must be reclassified to net income in the same reporting period. For amounts that are not required to be reclassified in their entirety to net income, an entity must cross-reference to other disclosures that provide additional detail about those amounts. The adoption of this update did not have a material impact on our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Marriott Vacations Worldwide files U.S. consolidated federal and state tax returns, as well as separate tax filings for non-U.S. jurisdictions. On November 21, 2011, we entered into a Tax Sharing and Indemnification Agreement with Marriott International (as subsequently amended, the “Tax Sharing and Indemnification Agreement”), which governs the allocation of responsibility for federal, state, local and foreign income and other taxes related to taxable periods prior to and subsequent to the Spin-Off between Marriott International and Marriott Vacations Worldwide. Under this agreement, if any part of the Spin-Off fails to qualify for the tax treatment stated in the ruling Marriott International received from the U.S. Internal Revenue Service (the “IRS”) in connection with the Spin-Off, taxes imposed will be allocated between Marriott International and Marriott Vacations Worldwide and each will indemnify and hold harmless the other from and against the taxes so allocated. We had unrecognized tax benefits of less than $1 million at March 22, 2013 and less than $1 million at December 28, 2012 relating to contested tax assessments, which, if realized, would have impacted our effective tax rate.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Marriott Vacations Worldwide has joined in the Marriott International U.S. Federal tax consolidated filing for all years prior to 2011 and the portion of 2011 up to the date of the Spin-Off. The IRS has examined Marriott International’s federal income tax returns, and it has settled all issues related to the timeshare business for the tax years through the Spin-Off. Although we do not anticipate that a significant impact to our unrecognized tax benefit balance will occur during the next fiscal year as a result of audits by other tax jurisdictions, it remains possible that the amount of our liability for unrecognized tax benefits could change over that time period. Pursuant to the Tax Sharing and Indemnification Agreement, Marriott International is liable and shall pay the relevant tax authority for all taxes related to the taxable income prior to the Spin-Off. Our tax years subsequent to the Spin-Off are subject to examination by relevant tax authorities.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March 22,</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28,</w:t>
            </w:r>
          </w:p>
        </w:tc>
      </w:tr>
      <w:tr>
        <w:trPr>
          <w:trHeight w:val="161"/>
        </w:trPr>
        <w:tc>
          <w:tcPr>
            <w:tcW w:w="6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2013</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receivable—securitized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r>
      <w:tr>
        <w:trPr>
          <w:trHeight w:val="323"/>
        </w:trPr>
        <w:tc>
          <w:tcPr>
            <w:tcW w:w="6540" w:type="dxa"/>
            <w:vAlign w:val="bottom"/>
          </w:tcPr>
          <w:p>
            <w:pPr>
              <w:spacing w:after="0"/>
              <w:rPr>
                <w:sz w:val="20"/>
                <w:szCs w:val="20"/>
                <w:color w:val="auto"/>
              </w:rPr>
            </w:pPr>
            <w:r>
              <w:rPr>
                <w:rFonts w:ascii="Arial" w:cs="Arial" w:eastAsia="Arial" w:hAnsi="Arial"/>
                <w:sz w:val="18"/>
                <w:szCs w:val="18"/>
                <w:color w:val="auto"/>
              </w:rPr>
              <w:t>Vacation ownership notes receivable—non-securitized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r>
      <w:tr>
        <w:trPr>
          <w:trHeight w:val="223"/>
        </w:trPr>
        <w:tc>
          <w:tcPr>
            <w:tcW w:w="6540" w:type="dxa"/>
            <w:vAlign w:val="bottom"/>
          </w:tcPr>
          <w:p>
            <w:pPr>
              <w:ind w:left="44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11"/>
                <w:szCs w:val="11"/>
                <w:color w:val="auto"/>
              </w:rPr>
              <w:t>(1)</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1,016</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 to Footnote No. 4, “Financial Instruments,” for discussion of eligibility of our vacation ownership notes receivable.</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securitized and non-securitized vacation ownership notes receivable: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Non-Securitized</w:t>
            </w:r>
          </w:p>
        </w:tc>
        <w:tc>
          <w:tcPr>
            <w:tcW w:w="1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Securitized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Vacation</w:t>
            </w:r>
          </w:p>
        </w:tc>
        <w:tc>
          <w:tcPr>
            <w:tcW w:w="1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Vacation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Ownership</w:t>
            </w: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Ownership</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Notes</w:t>
            </w: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Notes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Receivable</w:t>
            </w:r>
          </w:p>
        </w:tc>
        <w:tc>
          <w:tcPr>
            <w:tcW w:w="1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Receivable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2014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2016</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Thereafter</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22, 2013</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w w:val="95"/>
              </w:rPr>
              <w:t>Weighted average stated interest rate at March 22, 2013</w:t>
            </w: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Range of stated interest rates at March 22, 2013</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0.0% to 19.5%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6.0% to 18.7%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0.0% to 19.5%</w:t>
            </w:r>
          </w:p>
        </w:tc>
        <w:tc>
          <w:tcPr>
            <w:tcW w:w="0" w:type="dxa"/>
            <w:vAlign w:val="bottom"/>
          </w:tcPr>
          <w:p>
            <w:pPr>
              <w:spacing w:after="0"/>
              <w:rPr>
                <w:sz w:val="1"/>
                <w:szCs w:val="1"/>
                <w:color w:val="auto"/>
              </w:rPr>
            </w:pPr>
          </w:p>
        </w:tc>
      </w:tr>
      <w:tr>
        <w:trPr>
          <w:trHeight w:val="363"/>
        </w:trPr>
        <w:tc>
          <w:tcPr>
            <w:tcW w:w="4340" w:type="dxa"/>
            <w:vAlign w:val="bottom"/>
          </w:tcPr>
          <w:p>
            <w:pPr>
              <w:spacing w:after="0"/>
              <w:rPr>
                <w:sz w:val="24"/>
                <w:szCs w:val="24"/>
                <w:color w:val="auto"/>
              </w:rPr>
            </w:pPr>
          </w:p>
        </w:tc>
        <w:tc>
          <w:tcPr>
            <w:tcW w:w="1100" w:type="dxa"/>
            <w:vAlign w:val="bottom"/>
          </w:tcPr>
          <w:p>
            <w:pPr>
              <w:jc w:val="right"/>
              <w:ind w:right="5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reflect interest income associated with vacation ownership notes receivable in our Statements of Operations in the Financing revenues caption. The following table summarizes interest income associated with vacation ownership notes receivable:</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24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22,</w:t>
            </w:r>
          </w:p>
        </w:tc>
        <w:tc>
          <w:tcPr>
            <w:tcW w:w="1360" w:type="dxa"/>
            <w:vAlign w:val="bottom"/>
            <w:tcBorders>
              <w:top w:val="single" w:sz="8" w:color="auto"/>
            </w:tcBorders>
            <w:gridSpan w:val="3"/>
          </w:tcPr>
          <w:p>
            <w:pPr>
              <w:ind w:left="760"/>
              <w:spacing w:after="0" w:line="129" w:lineRule="exact"/>
              <w:rPr>
                <w:sz w:val="20"/>
                <w:szCs w:val="20"/>
                <w:color w:val="auto"/>
              </w:rPr>
            </w:pPr>
            <w:r>
              <w:rPr>
                <w:rFonts w:ascii="Arial" w:cs="Arial" w:eastAsia="Arial" w:hAnsi="Arial"/>
                <w:sz w:val="14"/>
                <w:szCs w:val="14"/>
                <w:b w:val="1"/>
                <w:bCs w:val="1"/>
                <w:color w:val="auto"/>
                <w:w w:val="89"/>
              </w:rPr>
              <w:t>March 23,</w:t>
            </w:r>
          </w:p>
        </w:tc>
        <w:tc>
          <w:tcPr>
            <w:tcW w:w="100" w:type="dxa"/>
            <w:vAlign w:val="bottom"/>
          </w:tcPr>
          <w:p>
            <w:pPr>
              <w:spacing w:after="0"/>
              <w:rPr>
                <w:sz w:val="11"/>
                <w:szCs w:val="11"/>
                <w:color w:val="auto"/>
              </w:rPr>
            </w:pPr>
          </w:p>
        </w:tc>
      </w:tr>
      <w:tr>
        <w:trPr>
          <w:trHeight w:val="161"/>
        </w:trPr>
        <w:tc>
          <w:tcPr>
            <w:tcW w:w="6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00"/>
              <w:spacing w:after="0"/>
              <w:rPr>
                <w:sz w:val="20"/>
                <w:szCs w:val="20"/>
                <w:color w:val="auto"/>
              </w:rPr>
            </w:pPr>
            <w:r>
              <w:rPr>
                <w:rFonts w:ascii="Arial" w:cs="Arial" w:eastAsia="Arial" w:hAnsi="Arial"/>
                <w:sz w:val="14"/>
                <w:szCs w:val="14"/>
                <w:b w:val="1"/>
                <w:bCs w:val="1"/>
                <w:color w:val="auto"/>
                <w:w w:val="89"/>
              </w:rPr>
              <w:t>2013</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Interest income associated with vacation ownership notes receivable—securitized</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Interest income associated with vacation ownership notes receivable—non-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securitized</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collectability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related to our vacation ownership notes receivable reserve for the twelve weeks ended March 22, 2013:</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Non-</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Securitized</w:t>
            </w:r>
          </w:p>
        </w:tc>
        <w:tc>
          <w:tcPr>
            <w:tcW w:w="340" w:type="dxa"/>
            <w:vAlign w:val="bottom"/>
          </w:tcPr>
          <w:p>
            <w:pPr>
              <w:spacing w:after="0"/>
              <w:rPr>
                <w:sz w:val="12"/>
                <w:szCs w:val="12"/>
                <w:color w:val="auto"/>
              </w:rPr>
            </w:pPr>
          </w:p>
        </w:tc>
        <w:tc>
          <w:tcPr>
            <w:tcW w:w="13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Securitized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Vacation</w:t>
            </w:r>
          </w:p>
        </w:tc>
        <w:tc>
          <w:tcPr>
            <w:tcW w:w="340" w:type="dxa"/>
            <w:vAlign w:val="bottom"/>
          </w:tcPr>
          <w:p>
            <w:pPr>
              <w:spacing w:after="0"/>
              <w:rPr>
                <w:sz w:val="12"/>
                <w:szCs w:val="12"/>
                <w:color w:val="auto"/>
              </w:rPr>
            </w:pPr>
          </w:p>
        </w:tc>
        <w:tc>
          <w:tcPr>
            <w:tcW w:w="13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Vacation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Ownership</w:t>
            </w:r>
          </w:p>
        </w:tc>
        <w:tc>
          <w:tcPr>
            <w:tcW w:w="340" w:type="dxa"/>
            <w:vAlign w:val="bottom"/>
          </w:tcPr>
          <w:p>
            <w:pPr>
              <w:spacing w:after="0"/>
              <w:rPr>
                <w:sz w:val="12"/>
                <w:szCs w:val="12"/>
                <w:color w:val="auto"/>
              </w:rPr>
            </w:pPr>
          </w:p>
        </w:tc>
        <w:tc>
          <w:tcPr>
            <w:tcW w:w="13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Ownership</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Notes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2"/>
              </w:rPr>
              <w:t>Notes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Receivable</w:t>
            </w:r>
          </w:p>
        </w:tc>
        <w:tc>
          <w:tcPr>
            <w:tcW w:w="340" w:type="dxa"/>
            <w:vAlign w:val="bottom"/>
          </w:tcPr>
          <w:p>
            <w:pPr>
              <w:spacing w:after="0"/>
              <w:rPr>
                <w:sz w:val="12"/>
                <w:szCs w:val="12"/>
                <w:color w:val="auto"/>
              </w:rPr>
            </w:pPr>
          </w:p>
        </w:tc>
        <w:tc>
          <w:tcPr>
            <w:tcW w:w="13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Receivable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3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Reserve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4"/>
              </w:rPr>
              <w:t>Reserve</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year-end 2012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Securitizations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 xml:space="preserve">Clean-up calls </w:t>
            </w:r>
            <w:r>
              <w:rPr>
                <w:rFonts w:ascii="Arial" w:cs="Arial" w:eastAsia="Arial" w:hAnsi="Arial"/>
                <w:sz w:val="11"/>
                <w:szCs w:val="11"/>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(4)</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 xml:space="preserve">Defaulted notes receivable repurchase activity </w:t>
            </w: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(7)</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Balance at March 22, 2013</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57</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40" w:hanging="452"/>
        <w:spacing w:after="0" w:line="228"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securitizations.</w:t>
      </w:r>
    </w:p>
    <w:p>
      <w:pPr>
        <w:spacing w:after="0" w:line="1" w:lineRule="exact"/>
        <w:rPr>
          <w:rFonts w:ascii="Arial" w:cs="Arial" w:eastAsia="Arial" w:hAnsi="Arial"/>
          <w:sz w:val="22"/>
          <w:szCs w:val="22"/>
          <w:color w:val="auto"/>
          <w:vertAlign w:val="superscript"/>
        </w:rPr>
      </w:pPr>
    </w:p>
    <w:p>
      <w:pPr>
        <w:ind w:left="460" w:right="480" w:hanging="452"/>
        <w:spacing w:after="0" w:line="237" w:lineRule="auto"/>
        <w:tabs>
          <w:tab w:leader="none" w:pos="460" w:val="left"/>
        </w:tabs>
        <w:numPr>
          <w:ilvl w:val="0"/>
          <w:numId w:val="5"/>
        </w:numPr>
        <w:rPr>
          <w:rFonts w:ascii="Arial" w:cs="Arial" w:eastAsia="Arial" w:hAnsi="Arial"/>
          <w:sz w:val="21"/>
          <w:szCs w:val="21"/>
          <w:color w:val="auto"/>
          <w:vertAlign w:val="superscript"/>
        </w:rPr>
      </w:pPr>
      <w:r>
        <w:rPr>
          <w:rFonts w:ascii="Arial" w:cs="Arial" w:eastAsia="Arial" w:hAnsi="Arial"/>
          <w:sz w:val="17"/>
          <w:szCs w:val="17"/>
          <w:color w:val="auto"/>
        </w:rPr>
        <w:t>Decrease in securitized vacation ownership notes receivable reserve and increase in non-securitized vacation ownership notes receivable reserve was attributable to the transfer of the reserve when we voluntarily repurchased the vacation ownership notes receivable.</w:t>
      </w:r>
    </w:p>
    <w:p>
      <w:pPr>
        <w:spacing w:after="0" w:line="15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principal, interest, fees and penalties owed and fully reinstate the note. We write off uncollectible vacation ownership notes receivable against the reserve once we receive title of the vacation ownership products through the foreclosure or deed-in-lieu process or, in Europe or Asia Pacific, when revocation is complete. For both non-securitized and securitized vacation ownership notes receivable, we estimated average remaining default rates of 7.27 percent and 7.42 percent as of March 22, 2013 and December 28, 2012, respectively. A 0.5 percentage point increase in the estimated default rate would have resulted in an increase in our allowance for credit losses of $5 million as of March 22, 2013 and $6 million as of December 28, 2012.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Non-</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3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Securitized</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Securitized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340" w:type="dxa"/>
            <w:vAlign w:val="bottom"/>
          </w:tcPr>
          <w:p>
            <w:pPr>
              <w:spacing w:after="0"/>
              <w:rPr>
                <w:sz w:val="12"/>
                <w:szCs w:val="12"/>
                <w:color w:val="auto"/>
              </w:rPr>
            </w:pPr>
          </w:p>
        </w:tc>
        <w:tc>
          <w:tcPr>
            <w:tcW w:w="14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Vacation</w:t>
            </w: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Vacation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3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Ownership</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2"/>
              </w:rPr>
              <w:t>Notes</w:t>
            </w:r>
          </w:p>
        </w:tc>
        <w:tc>
          <w:tcPr>
            <w:tcW w:w="120" w:type="dxa"/>
            <w:vAlign w:val="bottom"/>
          </w:tcPr>
          <w:p>
            <w:pPr>
              <w:spacing w:after="0"/>
              <w:rPr>
                <w:sz w:val="12"/>
                <w:szCs w:val="12"/>
                <w:color w:val="auto"/>
              </w:rPr>
            </w:pPr>
          </w:p>
        </w:tc>
        <w:tc>
          <w:tcPr>
            <w:tcW w:w="52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87"/>
              </w:rPr>
              <w:t>Notes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3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Receivable</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4"/>
              </w:rPr>
              <w:t>Receivable</w:t>
            </w:r>
          </w:p>
        </w:tc>
        <w:tc>
          <w:tcPr>
            <w:tcW w:w="74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6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 notes receivable on non-accrual status at March 22, 2013</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78"/>
              </w:rPr>
              <w:t>74</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Investment in notes receivable on non-accrual status at year-end 2012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r>
      <w:tr>
        <w:trPr>
          <w:trHeight w:val="20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in notes receivable on non-accrual status during the first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quarter of 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r>
      <w:tr>
        <w:trPr>
          <w:trHeight w:val="208"/>
        </w:trPr>
        <w:tc>
          <w:tcPr>
            <w:tcW w:w="6340" w:type="dxa"/>
            <w:vAlign w:val="bottom"/>
          </w:tcPr>
          <w:p>
            <w:pPr>
              <w:spacing w:after="0"/>
              <w:rPr>
                <w:sz w:val="20"/>
                <w:szCs w:val="20"/>
                <w:color w:val="auto"/>
              </w:rPr>
            </w:pPr>
            <w:r>
              <w:rPr>
                <w:rFonts w:ascii="Arial" w:cs="Arial" w:eastAsia="Arial" w:hAnsi="Arial"/>
                <w:sz w:val="18"/>
                <w:szCs w:val="18"/>
                <w:color w:val="auto"/>
              </w:rPr>
              <w:t>Average investment in notes receivable on non-accrual status during the first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340" w:type="dxa"/>
            <w:vAlign w:val="bottom"/>
          </w:tcPr>
          <w:p>
            <w:pPr>
              <w:ind w:left="220"/>
              <w:spacing w:after="0"/>
              <w:rPr>
                <w:sz w:val="20"/>
                <w:szCs w:val="20"/>
                <w:color w:val="auto"/>
              </w:rPr>
            </w:pPr>
            <w:r>
              <w:rPr>
                <w:rFonts w:ascii="Arial" w:cs="Arial" w:eastAsia="Arial" w:hAnsi="Arial"/>
                <w:sz w:val="18"/>
                <w:szCs w:val="18"/>
                <w:color w:val="auto"/>
              </w:rPr>
              <w:t>quarter of 2012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103</w:t>
            </w:r>
          </w:p>
        </w:tc>
        <w:tc>
          <w:tcPr>
            <w:tcW w:w="100" w:type="dxa"/>
            <w:vAlign w:val="bottom"/>
          </w:tcPr>
          <w:p>
            <w:pPr>
              <w:spacing w:after="0"/>
              <w:rPr>
                <w:sz w:val="19"/>
                <w:szCs w:val="19"/>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March 22, 2013:</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Non-</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24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Securitized</w:t>
            </w:r>
          </w:p>
        </w:tc>
        <w:tc>
          <w:tcPr>
            <w:tcW w:w="7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Securitized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4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Vacation</w:t>
            </w:r>
          </w:p>
        </w:tc>
        <w:tc>
          <w:tcPr>
            <w:tcW w:w="7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Vacation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4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Ownership</w:t>
            </w:r>
          </w:p>
        </w:tc>
        <w:tc>
          <w:tcPr>
            <w:tcW w:w="7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Ownership</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Notes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w w:val="87"/>
              </w:rPr>
              <w:t>Notes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2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Receivable</w:t>
            </w:r>
          </w:p>
        </w:tc>
        <w:tc>
          <w:tcPr>
            <w:tcW w:w="7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Receivable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31—90 days past due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91—150 days past due</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Total past due</w:t>
            </w:r>
          </w:p>
        </w:tc>
        <w:tc>
          <w:tcPr>
            <w:tcW w:w="1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r>
      <w:tr>
        <w:trPr>
          <w:trHeight w:val="217"/>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1,047</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802</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1,160</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December 28,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Non-</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Securitized</w:t>
            </w:r>
          </w:p>
        </w:tc>
        <w:tc>
          <w:tcPr>
            <w:tcW w:w="36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Securitized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Vacation</w:t>
            </w:r>
          </w:p>
        </w:tc>
        <w:tc>
          <w:tcPr>
            <w:tcW w:w="3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Vacation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Ownership</w:t>
            </w:r>
          </w:p>
        </w:tc>
        <w:tc>
          <w:tcPr>
            <w:tcW w:w="36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Ownership</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2"/>
              </w:rPr>
              <w:t>Notes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w w:val="87"/>
              </w:rPr>
              <w:t>Notes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00" w:type="dxa"/>
            <w:vAlign w:val="bottom"/>
          </w:tcPr>
          <w:p>
            <w:pPr>
              <w:spacing w:after="0"/>
              <w:rPr>
                <w:sz w:val="14"/>
                <w:szCs w:val="14"/>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Receivable</w:t>
            </w:r>
          </w:p>
        </w:tc>
        <w:tc>
          <w:tcPr>
            <w:tcW w:w="36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Receivable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31—90 days past due</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91—150 days past due</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Total past due</w:t>
            </w: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Total vacation ownership notes receivable</w:t>
            </w: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40" w:type="dxa"/>
            <w:vAlign w:val="bottom"/>
            <w:vMerge w:val="continue"/>
          </w:tcPr>
          <w:p>
            <w:pPr>
              <w:spacing w:after="0"/>
              <w:rPr>
                <w:sz w:val="19"/>
                <w:szCs w:val="19"/>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422</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781</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00" w:type="dxa"/>
            <w:vAlign w:val="bottom"/>
            <w:vMerge w:val="restart"/>
          </w:tcPr>
          <w:p>
            <w:pPr>
              <w:jc w:val="right"/>
              <w:ind w:right="1272"/>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current guidance for disclosures on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and Accounts payable, which had fair values approximating their carrying amounts due to the short maturities and liquidity of these instruments.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1"/>
              </w:rPr>
              <w:t>At March 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ind w:left="160"/>
              <w:spacing w:after="0"/>
              <w:rPr>
                <w:sz w:val="20"/>
                <w:szCs w:val="20"/>
                <w:color w:val="auto"/>
              </w:rPr>
            </w:pPr>
            <w:r>
              <w:rPr>
                <w:rFonts w:ascii="Arial" w:cs="Arial" w:eastAsia="Arial" w:hAnsi="Arial"/>
                <w:sz w:val="14"/>
                <w:szCs w:val="14"/>
                <w:b w:val="1"/>
                <w:bCs w:val="1"/>
                <w:color w:val="auto"/>
              </w:rPr>
              <w:t>At December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3"/>
              </w:rPr>
              <w:t>2012</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600" w:type="dxa"/>
            <w:vAlign w:val="bottom"/>
            <w:gridSpan w:val="4"/>
          </w:tcPr>
          <w:p>
            <w:pPr>
              <w:spacing w:after="0" w:line="115" w:lineRule="exact"/>
              <w:rPr>
                <w:sz w:val="20"/>
                <w:szCs w:val="20"/>
                <w:color w:val="auto"/>
              </w:rPr>
            </w:pPr>
            <w:r>
              <w:rPr>
                <w:rFonts w:ascii="Arial" w:cs="Arial" w:eastAsia="Arial" w:hAnsi="Arial"/>
                <w:sz w:val="12"/>
                <w:szCs w:val="12"/>
                <w:b w:val="1"/>
                <w:bCs w:val="1"/>
                <w:color w:val="auto"/>
              </w:rPr>
              <w:t>Carrying</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35"/>
              <w:spacing w:after="0" w:line="115" w:lineRule="exact"/>
              <w:rPr>
                <w:sz w:val="20"/>
                <w:szCs w:val="20"/>
                <w:color w:val="auto"/>
              </w:rPr>
            </w:pPr>
            <w:r>
              <w:rPr>
                <w:rFonts w:ascii="Arial" w:cs="Arial" w:eastAsia="Arial" w:hAnsi="Arial"/>
                <w:sz w:val="12"/>
                <w:szCs w:val="12"/>
                <w:b w:val="1"/>
                <w:bCs w:val="1"/>
                <w:color w:val="auto"/>
              </w:rPr>
              <w:t>Fair</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3"/>
          </w:tcPr>
          <w:p>
            <w:pPr>
              <w:ind w:left="20"/>
              <w:spacing w:after="0" w:line="115" w:lineRule="exact"/>
              <w:rPr>
                <w:sz w:val="20"/>
                <w:szCs w:val="20"/>
                <w:color w:val="auto"/>
              </w:rPr>
            </w:pPr>
            <w:r>
              <w:rPr>
                <w:rFonts w:ascii="Arial" w:cs="Arial" w:eastAsia="Arial" w:hAnsi="Arial"/>
                <w:sz w:val="12"/>
                <w:szCs w:val="12"/>
                <w:b w:val="1"/>
                <w:bCs w:val="1"/>
                <w:color w:val="auto"/>
              </w:rPr>
              <w:t>Carrying</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55"/>
              <w:spacing w:after="0" w:line="115" w:lineRule="exact"/>
              <w:rPr>
                <w:sz w:val="20"/>
                <w:szCs w:val="20"/>
                <w:color w:val="auto"/>
              </w:rPr>
            </w:pPr>
            <w:r>
              <w:rPr>
                <w:rFonts w:ascii="Arial" w:cs="Arial" w:eastAsia="Arial" w:hAnsi="Arial"/>
                <w:sz w:val="12"/>
                <w:szCs w:val="12"/>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8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6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5"/>
                <w:szCs w:val="15"/>
                <w:color w:val="auto"/>
              </w:rPr>
            </w:pPr>
          </w:p>
        </w:tc>
        <w:tc>
          <w:tcPr>
            <w:tcW w:w="780" w:type="dxa"/>
            <w:vAlign w:val="bottom"/>
            <w:gridSpan w:val="3"/>
          </w:tcPr>
          <w:p>
            <w:pPr>
              <w:jc w:val="right"/>
              <w:ind w:right="30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(1)</w:t>
            </w:r>
          </w:p>
        </w:tc>
        <w:tc>
          <w:tcPr>
            <w:tcW w:w="20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5"/>
                <w:szCs w:val="15"/>
                <w:color w:val="auto"/>
              </w:rPr>
            </w:pPr>
          </w:p>
        </w:tc>
        <w:tc>
          <w:tcPr>
            <w:tcW w:w="600" w:type="dxa"/>
            <w:vAlign w:val="bottom"/>
            <w:gridSpan w:val="3"/>
          </w:tcPr>
          <w:p>
            <w:pPr>
              <w:jc w:val="right"/>
              <w:ind w:right="12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receivable—securitized</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Vacation ownership notes receivable—non-securitized</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6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1,016</w:t>
            </w:r>
          </w:p>
        </w:tc>
        <w:tc>
          <w:tcPr>
            <w:tcW w:w="6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1,256</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Non-recourse debt associated with securitized vacation ownership notes receivable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(572)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(602)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(674)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Warehouse credit facility</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debt</w:t>
            </w: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Total financial liabilities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(874)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(904)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(878)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5580" w:type="dxa"/>
            <w:vAlign w:val="bottom"/>
            <w:vMerge w:val="restart"/>
          </w:tcPr>
          <w:p>
            <w:pPr>
              <w:ind w:left="160"/>
              <w:spacing w:after="0"/>
              <w:rPr>
                <w:sz w:val="20"/>
                <w:szCs w:val="20"/>
                <w:color w:val="auto"/>
              </w:rPr>
            </w:pPr>
            <w:r>
              <w:rPr>
                <w:rFonts w:ascii="Arial" w:cs="Arial" w:eastAsia="Arial" w:hAnsi="Arial"/>
                <w:sz w:val="18"/>
                <w:szCs w:val="18"/>
                <w:color w:val="auto"/>
                <w:w w:val="88"/>
              </w:rPr>
              <w:t>Fair value of financial instruments has been determined using Level 3 inputs.</w:t>
            </w: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5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determines the fair value of the underlying notes receivable.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bifurcate our non-securitized vacation ownership notes receivable into two pools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right="102"/>
              <w:spacing w:after="0"/>
              <w:rPr>
                <w:sz w:val="20"/>
                <w:szCs w:val="20"/>
                <w:color w:val="auto"/>
              </w:rPr>
            </w:pPr>
            <w:r>
              <w:rPr>
                <w:rFonts w:ascii="Arial" w:cs="Arial" w:eastAsia="Arial" w:hAnsi="Arial"/>
                <w:sz w:val="14"/>
                <w:szCs w:val="14"/>
                <w:b w:val="1"/>
                <w:bCs w:val="1"/>
                <w:color w:val="auto"/>
                <w:w w:val="93"/>
              </w:rPr>
              <w:t>At March 22,</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At December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83"/>
              </w:rPr>
              <w:t>2013</w:t>
            </w:r>
          </w:p>
        </w:tc>
        <w:tc>
          <w:tcPr>
            <w:tcW w:w="3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3"/>
              </w:rPr>
              <w:t>2012</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Carrying</w:t>
            </w:r>
          </w:p>
        </w:tc>
        <w:tc>
          <w:tcPr>
            <w:tcW w:w="48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460" w:type="dxa"/>
            <w:vAlign w:val="bottom"/>
          </w:tcPr>
          <w:p>
            <w:pPr>
              <w:spacing w:after="0"/>
              <w:rPr>
                <w:sz w:val="11"/>
                <w:szCs w:val="11"/>
                <w:color w:val="auto"/>
              </w:rPr>
            </w:pPr>
          </w:p>
        </w:tc>
        <w:tc>
          <w:tcPr>
            <w:tcW w:w="5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0"/>
              </w:rPr>
              <w:t>Carrying</w:t>
            </w:r>
          </w:p>
        </w:tc>
        <w:tc>
          <w:tcPr>
            <w:tcW w:w="460" w:type="dxa"/>
            <w:vAlign w:val="bottom"/>
          </w:tcPr>
          <w:p>
            <w:pPr>
              <w:spacing w:after="0"/>
              <w:rPr>
                <w:sz w:val="11"/>
                <w:szCs w:val="11"/>
                <w:color w:val="auto"/>
              </w:rPr>
            </w:pP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4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Value</w:t>
            </w:r>
          </w:p>
        </w:tc>
        <w:tc>
          <w:tcPr>
            <w:tcW w:w="460" w:type="dxa"/>
            <w:vAlign w:val="bottom"/>
          </w:tcPr>
          <w:p>
            <w:pPr>
              <w:spacing w:after="0"/>
              <w:rPr>
                <w:sz w:val="14"/>
                <w:szCs w:val="14"/>
                <w:color w:val="auto"/>
              </w:rPr>
            </w:pPr>
          </w:p>
        </w:tc>
        <w:tc>
          <w:tcPr>
            <w:tcW w:w="56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4"/>
                <w:szCs w:val="14"/>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receivable—eligible for securitization</w:t>
            </w:r>
          </w:p>
        </w:tc>
        <w:tc>
          <w:tcPr>
            <w:tcW w:w="1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$101</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127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Vacation ownership notes receivable—not eligible for securitization</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w w:val="86"/>
              </w:rPr>
              <w:t>202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receivable—non-securitized</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329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estimate the fair value of a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internally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timeshare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internally generate cash flow estimates by modeling all funding activity for our non-recourse warehouse credit facility (the “Warehouse Credit Facility”) with consideration given to the collateral pledged to date. The key drivers in our analysis include default rates, prepayment rates, bond interest rates and structural factors, which we use to estimate the projected cash flows. The discount rate used to calculate the fair value of these cash flows is composed of the market swap rate for the specific average life of the cash flows plus a credit spread. Because the Warehouse Credit Facility debt is not traded in the market, we use a credit spread which is the average of indicative credit spreads obtained from investment banks on our securitized debt for the particular rating that the Warehouse Credit Facility is structured to achieve.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Customer Loyalty Program</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determine the carrying value of the future redemption obligation of our liability for the Marriott Rewards customer loyalty program based on statistical formulas that project the timing of future redemption of Marriott Rewards Points based on historical levels, including estimates of the Marriott Rewards Points that will eventually be redeemed and the “breakage” for points that will never be redeemed. We estimate the fair value of the future redemption obligation by adjusting the contractual discount rate to an estimate of that of a market participant with similar nonperformance risk.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estimate the fair value of our other liabilities that are financial instruments using expected future payments discounted at risk-adjusted rates. These liabilities represent guarantee costs and reserves and deposit liabilities. The carrying values of our guarantee costs and reserves approximate their fair values. We estimate the fair value of our deposit liabilities primarily by discounting future payments at a risk-adjusted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Basic earnings per common share is calculated by dividing net income attributable to common shareholders by the weighted average number of shares of common stock issued and outstanding during the reporting period.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illustrates the reconciliation of the earnings and number of shares used in our calculation of basic and diluted earnings per share.</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86"/>
              </w:rPr>
              <w:t>Twelve Weeks Ended</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6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March 22,</w:t>
            </w:r>
          </w:p>
        </w:tc>
        <w:tc>
          <w:tcPr>
            <w:tcW w:w="1300" w:type="dxa"/>
            <w:vAlign w:val="bottom"/>
            <w:gridSpan w:val="3"/>
          </w:tcPr>
          <w:p>
            <w:pPr>
              <w:ind w:left="700"/>
              <w:spacing w:after="0" w:line="115" w:lineRule="exact"/>
              <w:rPr>
                <w:sz w:val="20"/>
                <w:szCs w:val="20"/>
                <w:color w:val="auto"/>
              </w:rPr>
            </w:pPr>
            <w:r>
              <w:rPr>
                <w:rFonts w:ascii="Arial" w:cs="Arial" w:eastAsia="Arial" w:hAnsi="Arial"/>
                <w:sz w:val="12"/>
                <w:szCs w:val="12"/>
                <w:b w:val="1"/>
                <w:bCs w:val="1"/>
                <w:color w:val="auto"/>
              </w:rPr>
              <w:t>March 23,</w:t>
            </w:r>
          </w:p>
        </w:tc>
        <w:tc>
          <w:tcPr>
            <w:tcW w:w="100" w:type="dxa"/>
            <w:vAlign w:val="bottom"/>
          </w:tcPr>
          <w:p>
            <w:pPr>
              <w:spacing w:after="0"/>
              <w:rPr>
                <w:sz w:val="10"/>
                <w:szCs w:val="10"/>
                <w:color w:val="auto"/>
              </w:rPr>
            </w:pPr>
          </w:p>
        </w:tc>
      </w:tr>
      <w:tr>
        <w:trPr>
          <w:trHeight w:val="176"/>
        </w:trPr>
        <w:tc>
          <w:tcPr>
            <w:tcW w:w="6680" w:type="dxa"/>
            <w:vAlign w:val="bottom"/>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600" w:type="dxa"/>
            <w:vAlign w:val="bottom"/>
            <w:gridSpan w:val="3"/>
          </w:tcPr>
          <w:p>
            <w:pPr>
              <w:jc w:val="right"/>
              <w:spacing w:after="0" w:line="176" w:lineRule="exact"/>
              <w:rPr>
                <w:sz w:val="20"/>
                <w:szCs w:val="20"/>
                <w:color w:val="auto"/>
              </w:rPr>
            </w:pPr>
            <w:r>
              <w:rPr>
                <w:rFonts w:ascii="Arial" w:cs="Arial" w:eastAsia="Arial" w:hAnsi="Arial"/>
                <w:sz w:val="13"/>
                <w:szCs w:val="13"/>
                <w:b w:val="1"/>
                <w:bCs w:val="1"/>
                <w:color w:val="auto"/>
              </w:rPr>
              <w:t xml:space="preserve">2013 </w:t>
            </w:r>
            <w:r>
              <w:rPr>
                <w:rFonts w:ascii="Arial" w:cs="Arial" w:eastAsia="Arial" w:hAnsi="Arial"/>
                <w:sz w:val="20"/>
                <w:szCs w:val="20"/>
                <w:b w:val="1"/>
                <w:bCs w:val="1"/>
                <w:color w:val="auto"/>
                <w:vertAlign w:val="superscript"/>
              </w:rPr>
              <w:t>(1)</w:t>
            </w:r>
          </w:p>
        </w:tc>
        <w:tc>
          <w:tcPr>
            <w:tcW w:w="1300" w:type="dxa"/>
            <w:vAlign w:val="bottom"/>
            <w:gridSpan w:val="3"/>
          </w:tcPr>
          <w:p>
            <w:pPr>
              <w:jc w:val="right"/>
              <w:spacing w:after="0" w:line="176" w:lineRule="exact"/>
              <w:rPr>
                <w:sz w:val="20"/>
                <w:szCs w:val="20"/>
                <w:color w:val="auto"/>
              </w:rPr>
            </w:pPr>
            <w:r>
              <w:rPr>
                <w:rFonts w:ascii="Arial" w:cs="Arial" w:eastAsia="Arial" w:hAnsi="Arial"/>
                <w:sz w:val="13"/>
                <w:szCs w:val="13"/>
                <w:b w:val="1"/>
                <w:bCs w:val="1"/>
                <w:color w:val="auto"/>
              </w:rPr>
              <w:t xml:space="preserve">2012 </w:t>
            </w:r>
            <w:r>
              <w:rPr>
                <w:rFonts w:ascii="Arial" w:cs="Arial" w:eastAsia="Arial" w:hAnsi="Arial"/>
                <w:sz w:val="20"/>
                <w:szCs w:val="20"/>
                <w:b w:val="1"/>
                <w:bCs w:val="1"/>
                <w:color w:val="auto"/>
                <w:vertAlign w:val="superscript"/>
              </w:rPr>
              <w:t>(2)</w:t>
            </w:r>
          </w:p>
        </w:tc>
        <w:tc>
          <w:tcPr>
            <w:tcW w:w="100" w:type="dxa"/>
            <w:vAlign w:val="bottom"/>
          </w:tcPr>
          <w:p>
            <w:pPr>
              <w:spacing w:after="0"/>
              <w:rPr>
                <w:sz w:val="15"/>
                <w:szCs w:val="15"/>
                <w:color w:val="auto"/>
              </w:rPr>
            </w:pPr>
          </w:p>
        </w:tc>
      </w:tr>
      <w:tr>
        <w:trPr>
          <w:trHeight w:val="196"/>
        </w:trPr>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Computation of Basic Earnings Per Share</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7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34.0</w:t>
            </w:r>
          </w:p>
        </w:tc>
        <w:tc>
          <w:tcPr>
            <w:tcW w:w="100" w:type="dxa"/>
            <w:vAlign w:val="bottom"/>
            <w:shd w:val="clear" w:color="auto" w:fill="CCEEFF"/>
          </w:tcPr>
          <w:p>
            <w:pPr>
              <w:spacing w:after="0"/>
              <w:rPr>
                <w:sz w:val="18"/>
                <w:szCs w:val="18"/>
                <w:color w:val="auto"/>
              </w:rPr>
            </w:pPr>
          </w:p>
        </w:tc>
      </w:tr>
      <w:tr>
        <w:trPr>
          <w:trHeight w:val="222"/>
        </w:trPr>
        <w:tc>
          <w:tcPr>
            <w:tcW w:w="6680" w:type="dxa"/>
            <w:vAlign w:val="bottom"/>
          </w:tcPr>
          <w:p>
            <w:pPr>
              <w:ind w:left="440"/>
              <w:spacing w:after="0"/>
              <w:rPr>
                <w:sz w:val="20"/>
                <w:szCs w:val="20"/>
                <w:color w:val="auto"/>
              </w:rPr>
            </w:pPr>
            <w:r>
              <w:rPr>
                <w:rFonts w:ascii="Arial" w:cs="Arial" w:eastAsia="Arial" w:hAnsi="Arial"/>
                <w:sz w:val="18"/>
                <w:szCs w:val="18"/>
                <w:color w:val="auto"/>
              </w:rPr>
              <w:t>Basic earnings per share</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0.52</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0.25</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Computation of Diluted Earnings Per Share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34.0</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stock options and SARs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r>
      <w:tr>
        <w:trPr>
          <w:trHeight w:val="223"/>
        </w:trPr>
        <w:tc>
          <w:tcPr>
            <w:tcW w:w="6680" w:type="dxa"/>
            <w:vAlign w:val="bottom"/>
          </w:tcPr>
          <w:p>
            <w:pPr>
              <w:ind w:left="860"/>
              <w:spacing w:after="0"/>
              <w:rPr>
                <w:sz w:val="20"/>
                <w:szCs w:val="20"/>
                <w:color w:val="auto"/>
              </w:rPr>
            </w:pPr>
            <w:r>
              <w:rPr>
                <w:rFonts w:ascii="Arial" w:cs="Arial" w:eastAsia="Arial" w:hAnsi="Arial"/>
                <w:sz w:val="18"/>
                <w:szCs w:val="18"/>
                <w:color w:val="auto"/>
              </w:rPr>
              <w:t>Restricted stock units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r>
      <w:tr>
        <w:trPr>
          <w:trHeight w:val="216"/>
        </w:trPr>
        <w:tc>
          <w:tcPr>
            <w:tcW w:w="6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for diluted earnings per share</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7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35.7</w:t>
            </w:r>
          </w:p>
        </w:tc>
        <w:tc>
          <w:tcPr>
            <w:tcW w:w="100" w:type="dxa"/>
            <w:vAlign w:val="bottom"/>
            <w:shd w:val="clear" w:color="auto" w:fill="CCEEFF"/>
          </w:tcPr>
          <w:p>
            <w:pPr>
              <w:spacing w:after="0"/>
              <w:rPr>
                <w:sz w:val="18"/>
                <w:szCs w:val="18"/>
                <w:color w:val="auto"/>
              </w:rPr>
            </w:pPr>
          </w:p>
        </w:tc>
      </w:tr>
      <w:tr>
        <w:trPr>
          <w:trHeight w:val="222"/>
        </w:trPr>
        <w:tc>
          <w:tcPr>
            <w:tcW w:w="6680" w:type="dxa"/>
            <w:vAlign w:val="bottom"/>
          </w:tcPr>
          <w:p>
            <w:pPr>
              <w:ind w:left="440"/>
              <w:spacing w:after="0"/>
              <w:rPr>
                <w:sz w:val="20"/>
                <w:szCs w:val="20"/>
                <w:color w:val="auto"/>
              </w:rPr>
            </w:pPr>
            <w:r>
              <w:rPr>
                <w:rFonts w:ascii="Arial" w:cs="Arial" w:eastAsia="Arial" w:hAnsi="Arial"/>
                <w:sz w:val="18"/>
                <w:szCs w:val="18"/>
                <w:color w:val="auto"/>
              </w:rPr>
              <w:t>Diluted earnings per share</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0.50</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0.24</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40" w:hanging="452"/>
        <w:spacing w:after="0" w:line="235"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Approximately 229,000 shares of common stock issuable upon the vesting of certain performance-based awards were not included in the computations of diluted earnings per share for the first quarter of 2013, because the performance conditions required for such shares to vest were not achieved by the end of the reporting period.</w:t>
      </w:r>
    </w:p>
    <w:p>
      <w:pPr>
        <w:spacing w:after="0" w:line="1" w:lineRule="exact"/>
        <w:rPr>
          <w:rFonts w:ascii="Arial" w:cs="Arial" w:eastAsia="Arial" w:hAnsi="Arial"/>
          <w:sz w:val="22"/>
          <w:szCs w:val="22"/>
          <w:color w:val="auto"/>
          <w:vertAlign w:val="superscript"/>
        </w:rPr>
      </w:pPr>
    </w:p>
    <w:p>
      <w:pPr>
        <w:ind w:left="460" w:right="40" w:hanging="452"/>
        <w:spacing w:after="0" w:line="233"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Approximately 157,000 shares of common stock issuable upon the vesting of certain performance-based awards were not included in the computations of diluted earnings per share for the first quarter of 2012, because the performance conditions required for such shares to vest were not achieved by the end of the reporting period.</w:t>
      </w:r>
    </w:p>
    <w:p>
      <w:pPr>
        <w:spacing w:after="0" w:line="15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accordance with the applicable accounting guidance for calculating earnings per share, for the twelve-week period ended March 23, 2012, we have not included 103,568 stock options and stock appreciation rights (“SARs”), with exercise prices ranging from $23.46 to $28.16, in our calculation of diluted earnings per share because the exercise prices were greater than the average market prices for the applicable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1"/>
              </w:rPr>
              <w:t>At March 22,</w:t>
            </w:r>
          </w:p>
        </w:tc>
        <w:tc>
          <w:tcPr>
            <w:tcW w:w="2000" w:type="dxa"/>
            <w:vAlign w:val="bottom"/>
            <w:gridSpan w:val="4"/>
          </w:tcPr>
          <w:p>
            <w:pPr>
              <w:ind w:left="920"/>
              <w:spacing w:after="0"/>
              <w:rPr>
                <w:sz w:val="20"/>
                <w:szCs w:val="20"/>
                <w:color w:val="auto"/>
              </w:rPr>
            </w:pPr>
            <w:r>
              <w:rPr>
                <w:rFonts w:ascii="Arial" w:cs="Arial" w:eastAsia="Arial" w:hAnsi="Arial"/>
                <w:sz w:val="14"/>
                <w:szCs w:val="14"/>
                <w:b w:val="1"/>
                <w:bCs w:val="1"/>
                <w:color w:val="auto"/>
                <w:w w:val="96"/>
              </w:rPr>
              <w:t>At December 28,</w:t>
            </w:r>
          </w:p>
        </w:tc>
      </w:tr>
      <w:tr>
        <w:trPr>
          <w:trHeight w:val="161"/>
        </w:trPr>
        <w:tc>
          <w:tcPr>
            <w:tcW w:w="59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9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Finished goods </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Work-in-progress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Land and infrastructure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r>
      <w:tr>
        <w:trPr>
          <w:trHeight w:val="221"/>
        </w:trPr>
        <w:tc>
          <w:tcPr>
            <w:tcW w:w="5900" w:type="dxa"/>
            <w:vAlign w:val="bottom"/>
          </w:tcPr>
          <w:p>
            <w:pPr>
              <w:ind w:left="440"/>
              <w:spacing w:after="0"/>
              <w:rPr>
                <w:sz w:val="20"/>
                <w:szCs w:val="20"/>
                <w:color w:val="auto"/>
              </w:rPr>
            </w:pPr>
            <w:r>
              <w:rPr>
                <w:rFonts w:ascii="Arial" w:cs="Arial" w:eastAsia="Arial" w:hAnsi="Arial"/>
                <w:sz w:val="18"/>
                <w:szCs w:val="18"/>
                <w:color w:val="auto"/>
              </w:rPr>
              <w:t>Real estate inventory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866</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r>
      <w:tr>
        <w:trPr>
          <w:trHeight w:val="218"/>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retail inventory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22"/>
        </w:trPr>
        <w:tc>
          <w:tcPr>
            <w:tcW w:w="590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873</w:t>
            </w:r>
          </w:p>
        </w:tc>
        <w:tc>
          <w:tcPr>
            <w:tcW w:w="1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completed inventory that is either registered or unregistered and available for sale in its current form.</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w:t>
      </w:r>
    </w:p>
    <w:p>
      <w:pPr>
        <w:spacing w:after="0" w:line="207" w:lineRule="exact"/>
        <w:rPr>
          <w:sz w:val="20"/>
          <w:szCs w:val="20"/>
          <w:color w:val="auto"/>
        </w:rPr>
      </w:pPr>
    </w:p>
    <w:p>
      <w:pPr>
        <w:ind w:right="7860" w:firstLine="8"/>
        <w:spacing w:after="0" w:line="347"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CONTINGENCIES AND COMMITMENTS </w:t>
      </w:r>
      <w:r>
        <w:rPr>
          <w:rFonts w:ascii="Arial" w:cs="Arial" w:eastAsia="Arial" w:hAnsi="Arial"/>
          <w:sz w:val="18"/>
          <w:szCs w:val="18"/>
          <w:i w:val="1"/>
          <w:iCs w:val="1"/>
          <w:color w:val="auto"/>
        </w:rPr>
        <w:t>Guarantees</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issue guarantees to certain lenders in connection with the provision of third-party financing for our sales of vacation ownership products for the North America and Asia Pacific segments. The terms of guarantees to lenders generally require us to fund if the purchaser fails to pay under the term of its note payable. Prior to the Spin-Off, Marriott International guaranteed our performance under these arrangements, and subsequent to the Spin-Off continues to hold a standby letter of credit related to the Asia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Pacific segment guarantee. If Marriott International is required to fund any draws by lenders under this letter of credit it would seek recourse from us. Marriott International no longer guarantees our performance with respect to third-party financing for sales of products in the North America segment. We are entitled to recover any funding to third-party lenders related to these guarantees through reacquisition and resale of the vacation ownership product. Our commitments under these guarantees expire as notes mature or are repaid. The terms of the underlying notes extend to 2022.</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shows the maximum potential amount of future fundings for financing guarantees where we are the primary obligor and the carrying amount of the liability for expected future fundings.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Arial" w:cs="Arial" w:eastAsia="Arial" w:hAnsi="Arial"/>
                <w:sz w:val="14"/>
                <w:szCs w:val="14"/>
                <w:b w:val="1"/>
                <w:bCs w:val="1"/>
                <w:color w:val="auto"/>
                <w:w w:val="92"/>
              </w:rPr>
              <w:t>Maximum</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7"/>
              </w:rPr>
              <w:t>Potential</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Liability for</w:t>
            </w:r>
          </w:p>
        </w:tc>
      </w:tr>
      <w:tr>
        <w:trPr>
          <w:trHeight w:val="149"/>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8"/>
              </w:rPr>
              <w:t>Amount of</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Expected</w:t>
            </w:r>
          </w:p>
        </w:tc>
      </w:tr>
      <w:tr>
        <w:trPr>
          <w:trHeight w:val="149"/>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1"/>
              </w:rPr>
              <w:t>Future</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Future</w:t>
            </w:r>
          </w:p>
        </w:tc>
      </w:tr>
      <w:tr>
        <w:trPr>
          <w:trHeight w:val="149"/>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5"/>
              </w:rPr>
              <w:t>Fundings at</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Fundings at</w:t>
            </w:r>
          </w:p>
        </w:tc>
      </w:tr>
      <w:tr>
        <w:trPr>
          <w:trHeight w:val="161"/>
        </w:trPr>
        <w:tc>
          <w:tcPr>
            <w:tcW w:w="57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March 22, 2013</w:t>
            </w:r>
          </w:p>
        </w:tc>
        <w:tc>
          <w:tcPr>
            <w:tcW w:w="2000" w:type="dxa"/>
            <w:vAlign w:val="bottom"/>
            <w:gridSpan w:val="4"/>
          </w:tcPr>
          <w:p>
            <w:pPr>
              <w:jc w:val="center"/>
              <w:ind w:left="799"/>
              <w:spacing w:after="0"/>
              <w:rPr>
                <w:sz w:val="20"/>
                <w:szCs w:val="20"/>
                <w:color w:val="auto"/>
              </w:rPr>
            </w:pPr>
            <w:r>
              <w:rPr>
                <w:rFonts w:ascii="Arial" w:cs="Arial" w:eastAsia="Arial" w:hAnsi="Arial"/>
                <w:sz w:val="14"/>
                <w:szCs w:val="14"/>
                <w:b w:val="1"/>
                <w:bCs w:val="1"/>
                <w:color w:val="auto"/>
                <w:w w:val="88"/>
              </w:rPr>
              <w:t>March 22, 2013</w:t>
            </w:r>
          </w:p>
        </w:tc>
      </w:tr>
      <w:tr>
        <w:trPr>
          <w:trHeight w:val="196"/>
        </w:trPr>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Asia Pacific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Total guarantees where we are the primary obligor</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included our liability for expected future fundings for guarantees in our Balance Sheets in the Other caption within Liabilities.</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addition to the guarantees we describe in the preceding paragraphs, in conjunction with financing obtained for specific projects or properties owned by joint ventures in which we are a party, we may provide industry standard indemnifications to the lender for loss, liability or damage occurring as a result of the actions of the other joint venture owners or our own 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guarantees we note in the preceding paragraphs, as of March 22, 2013, we had the following commitments outstanding:</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 million (approximately €1 million) of other purchase commitments that we expect to fund during 2014.</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commitments under these contracts were $37 million, of which we expect $9 million, $9 million, $9 million, $5 million and $5 million will be paid in 2013, 2014, 2015, 2016 and 2017, respectively.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Commitments to subsidize vacation ownership associations were $5 million, which we expect will be paid in 2013.</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Surety bonds issued as of March 22, 2013 totaled $90 million, the majority of which were requested by federal, state or local governments related to our operations.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Prior to the Spin-Off, Marriott International also guaranteed our performance using letters of credit under certain agreements necessary to operate our Europe segment. Subsequent to the Spin-Off, Marriott International continues to hold $1 million of standby letters of credit related to these guarantees. If Marriott International is required to fund any draws under these letters of credit it would seek recourse from us.</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Additionally, as of March 22, 2013, we had $6 million of letters of credit outstanding under our four-year $200 million revolving credit facility (the “Revolving Corporate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2012, we agreed to settle two lawsuits in which certain of our subsidiaries were defendants. The plaintiffs in the lawsuits, residential unit owners at The Ritz-Carlton Club and Residences, San Francisco (the “RCC San Francisco”), a project within our North America segment, questioned the adequacy of disclosures made prior to 2008, when our business was part of Marriott International, regarding bonds issued for that project under California’s Mello-Roos Community Facilities Act of 1982 (the “Mello-Roos Act”) and their payment obligations with respect to such bonds. In March 2013, we agreed to settle a third lawsuit in which another residential unit owner at the RCC San Francisco had asserted similar claims. As a result of these matters, we recorded a charge of $41 million in the year ended December 28, 2012. In addition, as a result of the agreement to settle the third lawsuit in the first quarter of 2013 we reversed $1 million of previously recognized expense.</w:t>
      </w:r>
    </w:p>
    <w:p>
      <w:pPr>
        <w:spacing w:after="0" w:line="14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Two additional lawsuits are pending against us primarily relating to disclosure provided to purchasers of fractional interests at the RCC San Francisco. The first was filed on December 21, 2012, by Jon Benner, an owner of fractional interests in the RCC San Francisco, in Superior Court for the State of California, County of San Francisco against us and certain of our subsidiaries on behalf of a putative class consisting of all owners of fractional interests at the RCC San Francisco who allegedly did not receive proper notice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their payment obligations under the Mello-Roos Act. The plaintiff alleges that the disclosures made about bonds issued for the project under this Act and the payment obligations of fractional interest purchasers with respect to such bonds were inadequate, and this and other alleged statutory violations constitute intentional and negligent misrepresentation, fraud and fraudulent concealment. The relief sought includes damages in an unspecified amount, rescission of the purchases, restitution and disgorgement of profits. This lawsuit is distinct from the other lawsuits described above relating to the RCC San Francisco because the disclosure process for the sale of fractional interests differs from that applicable to the sale of whole-ownership units. We dispute the material allegations in the complaint and intend to defend this action vigorously. Given the early stages of the action, we cannot estimate a range of the potential liability, if any, at this time.</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29, 2013, a second lawsuit relating to disclosures provided to fractional interest purchasers at RCC San Francisco was filed against certain of our subsidiaries in San Francisco Superior Court by Elisabeth Gani. Ms. Gani alleges that the issuance of bonds pursuant to the Mello Roos Act on October 31, 2007 constituted a material change that we were obligated to disclose under the California timeshare act. She demands rescission, punitive and exemplary damages and seeks to represent a class of all RCC San Francisco fractional interest purchasers who closed on purchases of their fractional interests subsequent to October 31, 2007. We dispute the material allegations in the Gani complaint and intend to defend this action vigorously. Given the early stages of the action, we cannot estimate a range of the potential liability, if any, at this time.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December 11, 2012, Steven B. Hoyt and Bradley A. Hoyt, purchasers of fractional interests in two Ritz-Carlton Club projects, filed suit in the United States District Court for the District of Minnesota against us, certain of our subsidiaries and The Ritz-Carlton Hotel Company, L.L.C. on behalf of a putative class consisting of all purchasers of fractional interests at Ritz-Carlton Club projects. The plaintiffs allege that program changes beginning in 2009 caused an actionable decrease in the value of the fractional interests purchased. The relief sought includes declaratory and injunctive relief, damages in an unspecified amount, rescission of the purchases, restitution, disgorgement of profits, interest and attorneys’ fees. In response to our motion to dismiss the original complaint, plaintiffs filed an amended complaint. We dispute the material allegations in the amended complaint and intend to continue to defend this action vigorously. Given the early procedural stages of the action and the inherent uncertainties of litigation, we cannot estimate a range of the potential liability, if any, at this time.</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January 30, 2013, Krishna and Sherrie Narayan and 13 other owners of residential units at The Ritz-Carlton Residences, Kapalua Bay (“Kapalua Bay”) were granted leave by the Court to file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In the original complaint, the plaintiffs alleged that defendants mismanaged funds of the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intend to dispute the material allegations in the amended complaint and to continue to defend this action vigorously. Given that the Court recently granted the plaintiffs leave to file the amended complaint and the inherent uncertainties of litigation, we cannot estimate a range of potential liability, if any, at this time.</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September 26, 2012, we filed an arbitration demand against the Kapalua Bay Association for reimbursement of amounts advanced on behalf of the Kapalua Bay Association pursuant to the terms of the management agreement under which one of our subsidiaries provided services to the Kapalua Bay Association. Effective December 31, 2012, the management agreement was terminated as discussed in Footnote No. 11, “Variable Interest Entities.” On April 15, 2013, the Kapalua Bay Association filed a counterclaim against certain of our subsidiaries in the arbitration proceeding. In the counterclaim, the Kapalua Bay Association alleges breach of contract, misrepresentation, breach of fiduciary duty, unfair and deceptive trade practices and unjust enrichment. The relief sought consists of unspecified damages. We dispute the material allegations in the counterclaim and intend to defend this action vigorously. Given the recent filing of the counterclaim and the inherent uncertainties of arbitration, we cannot estimate a range of potential liability, if any, at this time.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estimate the cash outflow associated with completing the phases of our existing portfolio of vacation ownership projects currently under development will be approximately $137 million, of which $15 million is included within liabilities on our Balance Sheet. This estimate is based on our current development plans, which remain subject to change, and we expect the phases currently under development will be completed by 2016.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 on our debt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At March</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22,</w:t>
            </w:r>
          </w:p>
        </w:tc>
        <w:tc>
          <w:tcPr>
            <w:tcW w:w="146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w w:val="96"/>
              </w:rPr>
              <w:t>At December 28,</w:t>
            </w:r>
          </w:p>
        </w:tc>
      </w:tr>
      <w:tr>
        <w:trPr>
          <w:trHeight w:val="161"/>
        </w:trPr>
        <w:tc>
          <w:tcPr>
            <w:tcW w:w="6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2013</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88"/>
        </w:trPr>
        <w:tc>
          <w:tcPr>
            <w:tcW w:w="660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8"/>
              </w:rPr>
              <w:t>Non-recourse debt associated with securitized vacation ownership notes receivable,</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 xml:space="preserve">interest rates ranging from 2.6% to 7.2% (weighted average interest rate of 4.2%) </w:t>
            </w:r>
            <w:r>
              <w:rPr>
                <w:rFonts w:ascii="Arial" w:cs="Arial" w:eastAsia="Arial" w:hAnsi="Arial"/>
                <w:sz w:val="11"/>
                <w:szCs w:val="11"/>
                <w:color w:val="auto"/>
                <w:w w:val="95"/>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 xml:space="preserve">Warehouse credit facility (effective interest rate of 2.4%) </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2"/>
        </w:trPr>
        <w:tc>
          <w:tcPr>
            <w:tcW w:w="66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686</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2900" w:type="dxa"/>
            <w:vAlign w:val="bottom"/>
            <w:vMerge w:val="restart"/>
          </w:tcPr>
          <w:p>
            <w:pPr>
              <w:ind w:left="160"/>
              <w:spacing w:after="0"/>
              <w:rPr>
                <w:sz w:val="20"/>
                <w:szCs w:val="20"/>
                <w:color w:val="auto"/>
              </w:rPr>
            </w:pPr>
            <w:r>
              <w:rPr>
                <w:rFonts w:ascii="Arial" w:cs="Arial" w:eastAsia="Arial" w:hAnsi="Arial"/>
                <w:sz w:val="18"/>
                <w:szCs w:val="18"/>
                <w:color w:val="auto"/>
                <w:w w:val="86"/>
              </w:rPr>
              <w:t>Interest rates are as of March 22, 2013.</w:t>
            </w: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2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See Footnote No. 11, “Variable Interest Entities,” for a discussion of the collateral for the non-recourse debt associated with the securitized vacation ownership notes receivable and the Warehouse Credit Facility. All of our other debt was, and to the extent currently outstanding, is recourse to us but unsecured. The Warehouse Credit Facility currently terminates on September 10, 2014 and if not renewed, any amounts outstanding thereunder would become due and payable 13 months after the termination, at which time all principal and interest collected with respect to the vacation ownership notes receivable held in the Warehouse Credit Facility would be directed to pay down the outstanding debt under the facility. We expect to utilize the ABS market once a year to securitize our vacation ownership notes receivable, including those vacation ownership notes receivable held in the Warehouse Credit Facility.</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no cash borrowings were outstanding as of March 22, 2013 under our Revolving Corporate Credit Facility, any amounts that are borrowed under that facility, as well as obligations with respect to letters of credit issued pursuant to that facility, are secured by a perfected first priority security interest in substantially all of our assets and the assets of the guarantors of that facility, in each case including inventory, subject to certain exceptions.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Vacation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Ownership</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Notes</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Warehouse</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200" w:type="dxa"/>
            <w:vAlign w:val="bottom"/>
            <w:vMerge w:val="continue"/>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720"/>
              <w:spacing w:after="0" w:line="135" w:lineRule="exact"/>
              <w:rPr>
                <w:sz w:val="20"/>
                <w:szCs w:val="20"/>
                <w:color w:val="auto"/>
              </w:rPr>
            </w:pPr>
            <w:r>
              <w:rPr>
                <w:rFonts w:ascii="Arial" w:cs="Arial" w:eastAsia="Arial" w:hAnsi="Arial"/>
                <w:sz w:val="14"/>
                <w:szCs w:val="14"/>
                <w:b w:val="1"/>
                <w:bCs w:val="1"/>
                <w:color w:val="auto"/>
                <w:w w:val="84"/>
              </w:rPr>
              <w:t>Receivable</w:t>
            </w:r>
          </w:p>
        </w:tc>
        <w:tc>
          <w:tcPr>
            <w:tcW w:w="100" w:type="dxa"/>
            <w:vAlign w:val="bottom"/>
          </w:tcPr>
          <w:p>
            <w:pPr>
              <w:spacing w:after="0"/>
              <w:rPr>
                <w:sz w:val="11"/>
                <w:szCs w:val="11"/>
                <w:color w:val="auto"/>
              </w:rPr>
            </w:pPr>
          </w:p>
        </w:tc>
        <w:tc>
          <w:tcPr>
            <w:tcW w:w="1160" w:type="dxa"/>
            <w:vAlign w:val="bottom"/>
            <w:gridSpan w:val="2"/>
          </w:tcPr>
          <w:p>
            <w:pPr>
              <w:jc w:val="right"/>
              <w:ind w:right="760"/>
              <w:spacing w:after="0" w:line="135" w:lineRule="exact"/>
              <w:rPr>
                <w:sz w:val="20"/>
                <w:szCs w:val="20"/>
                <w:color w:val="auto"/>
              </w:rPr>
            </w:pPr>
            <w:r>
              <w:rPr>
                <w:rFonts w:ascii="Arial" w:cs="Arial" w:eastAsia="Arial" w:hAnsi="Arial"/>
                <w:sz w:val="14"/>
                <w:szCs w:val="14"/>
                <w:b w:val="1"/>
                <w:bCs w:val="1"/>
                <w:color w:val="auto"/>
                <w:w w:val="93"/>
              </w:rPr>
              <w:t>Credit</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840" w:type="dxa"/>
            <w:vAlign w:val="bottom"/>
          </w:tcPr>
          <w:p>
            <w:pPr>
              <w:spacing w:after="0"/>
              <w:rPr>
                <w:sz w:val="15"/>
                <w:szCs w:val="15"/>
                <w:color w:val="auto"/>
              </w:rPr>
            </w:pPr>
          </w:p>
        </w:tc>
        <w:tc>
          <w:tcPr>
            <w:tcW w:w="14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6"/>
              </w:rPr>
              <w:t>Securitizations</w:t>
            </w:r>
          </w:p>
        </w:tc>
        <w:tc>
          <w:tcPr>
            <w:tcW w:w="12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Facility </w:t>
            </w:r>
            <w:r>
              <w:rPr>
                <w:rFonts w:ascii="Arial" w:cs="Arial" w:eastAsia="Arial" w:hAnsi="Arial"/>
                <w:sz w:val="20"/>
                <w:szCs w:val="20"/>
                <w:b w:val="1"/>
                <w:bCs w:val="1"/>
                <w:color w:val="auto"/>
                <w:vertAlign w:val="superscript"/>
              </w:rPr>
              <w:t>(1)</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8"/>
              </w:rPr>
              <w:t>Other Debt</w:t>
            </w:r>
          </w:p>
        </w:tc>
        <w:tc>
          <w:tcPr>
            <w:tcW w:w="600" w:type="dxa"/>
            <w:vAlign w:val="bottom"/>
          </w:tcPr>
          <w:p>
            <w:pPr>
              <w:spacing w:after="0"/>
              <w:rPr>
                <w:sz w:val="15"/>
                <w:szCs w:val="15"/>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2014</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2016</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Thereafter</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ind w:left="320"/>
              <w:spacing w:after="0"/>
              <w:rPr>
                <w:sz w:val="20"/>
                <w:szCs w:val="20"/>
                <w:color w:val="auto"/>
              </w:rPr>
            </w:pPr>
            <w:r>
              <w:rPr>
                <w:rFonts w:ascii="Arial" w:cs="Arial" w:eastAsia="Arial" w:hAnsi="Arial"/>
                <w:sz w:val="18"/>
                <w:szCs w:val="18"/>
                <w:color w:val="auto"/>
                <w:w w:val="79"/>
              </w:rPr>
              <w:t>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March 22, 2013</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3860" w:type="dxa"/>
            <w:vAlign w:val="bottom"/>
            <w:vMerge w:val="restart"/>
          </w:tcPr>
          <w:p>
            <w:pPr>
              <w:ind w:left="160"/>
              <w:spacing w:after="0"/>
              <w:rPr>
                <w:sz w:val="20"/>
                <w:szCs w:val="20"/>
                <w:color w:val="auto"/>
              </w:rPr>
            </w:pPr>
            <w:r>
              <w:rPr>
                <w:rFonts w:ascii="Arial" w:cs="Arial" w:eastAsia="Arial" w:hAnsi="Arial"/>
                <w:sz w:val="18"/>
                <w:szCs w:val="18"/>
                <w:color w:val="auto"/>
                <w:w w:val="87"/>
              </w:rPr>
              <w:t>The Warehouse Credit Facility is non-recourse to us.</w:t>
            </w: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paid cash for interest, net of amounts capitalized, of $8 million in the twelve weeks ended March 22, 2013 and $10 million in the twelve weeks ended March 23,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Each of our securitized vacation ownership notes receivable pools is subject to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(related to the interests we retained) to accelerate the principal payments to investors based on the subordination of the different tranches until the performance trigger is cured. During the first quarter of 2013, and as of March 22, 2013, no pools were out of compliance with performance triggers. As of March 22, 2013, we had 6 securitized vacation ownership notes receivable pools outstanding.</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MANDATORILY REDEEMABLE PREFERRED STOCK OF CONSOLIDATED SUBSIDIARY</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October 2011, our subsidiary, MVW US Holdings, Inc. (“MVW US Holdings”) issued $40 million of its mandatorily redeemable Series A (non-voting) preferred stock to Marriott International as part of Marriott International’s internal reorganization prior to the Spin-Off. Subsequently Marriott International sold all of this preferred stock to third-party investors. For the first five years after issuance, the Series A preferred stock will pay an annual cash dividend equal to the five-year U.S. Treasury Rate as of October 19, 2011, plus a spread of 10.958 percent, for a total annual cash dividend rate of 12 percent. On the fifth anniversary of issuance,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The Series A preferred stock has an aggregate liquidation preference of $40 million plus any accrued and unpaid dividends and an additional premium if liquidation occurs during the first five years after the issuance of the preferred stock. As of March 22, 2013,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total of 6 million shares are authorized for issuance under the Marriott Vacations Worldwide Corporation Stock and Cash Incentive Plan (the “Marriott Vacations Worldwide Stock Plan”). As of March 22, 2013, approximately 2 million shares were available for grants under the Marriott Vacations Worldwide Stock Plan.</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For share-based awards with service-only vesting conditions, we measure compensation expense related to share-based payment transactions with our employees and non-employee directors at fair value on the grant date and recognize this expense in the Statement of Operations over the vesting period during which the employees provide service in exchange for the award. For share-based arrangements with performance conditions as a prerequisite to vesting, we recognize compensation expense once it is probable that the corresponding performance condition will be achieved.</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recorded share-based compensation expense related to award grants to our officers, directors and employees of $2 million and $3 million for the twelve weeks ended March 22, 2013 and March 23, 2012, respectively. Our deferred compensation liability related to unvested awards held by our employees totaled $22 million and $23 million at March 22, 2013 and March 23, 2012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granted 177,101 RSUs during the twelve weeks ended March 22, 2013 to our employees, and those RSUs generally vest over four year periods in annual installments commencing one year after the date of grant. RSUs granted in the twelve weeks ended March 22, 2013 had a weighted average grant-date fair value of $40.</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twelve weeks ended March 22, 2013, we granted RSUs with performance-based vesting criteria to key members of management. The number of RSUs earned, if any, will be determined following the end of a three-year performance period based upon our cumulative achievement over that period of specific quantitative operating financial measures. For the RSUs with performance-based vesting criteria issued during the twelve weeks ended March 22, 2013, the maximum amount of RSUs that may vest under the performance-based RSUs is approximately 72,000.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(“SARs”)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granted 66,422 SARs to our employees during the twelve weeks ended March 22, 2013. SARs generally expire ten years after the date of grant and both vest and may be exercised in cumulative installments of one quarter of the number of SARs granted at the end of each of the first four years following the date of grant. These SARs had a weighted average grant-date fair value of $22 and a weighted average exercise price of $40.</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use the Black-Scholes model to estimate the fair value of the stock options or SARs granted. For SARs granted under the Marriott Vacations Worldwide Stock Plan in the twelve weeks ended March 22, 2013,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expected annual dividend per share was $0 based on our expected dividend rate.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twelve weeks ended March 22, 2013:</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Dividend yield</w:t>
            </w:r>
          </w:p>
        </w:tc>
        <w:tc>
          <w:tcPr>
            <w:tcW w:w="33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320" w:type="dxa"/>
            <w:vAlign w:val="bottom"/>
          </w:tcPr>
          <w:p>
            <w:pPr>
              <w:jc w:val="right"/>
              <w:ind w:right="132"/>
              <w:spacing w:after="0"/>
              <w:rPr>
                <w:sz w:val="20"/>
                <w:szCs w:val="20"/>
                <w:color w:val="auto"/>
              </w:rPr>
            </w:pPr>
            <w:r>
              <w:rPr>
                <w:rFonts w:ascii="Arial" w:cs="Arial" w:eastAsia="Arial" w:hAnsi="Arial"/>
                <w:sz w:val="18"/>
                <w:szCs w:val="18"/>
                <w:color w:val="auto"/>
              </w:rPr>
              <w:t>6.25</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loans to third parties. In a vacation ownership notes receivable securitization, various classes of debt securities that the special purpose entities issue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in our Balance Sheet at March 22, 2013:</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Vacation</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Ownership</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Notes</w:t>
            </w:r>
          </w:p>
        </w:tc>
        <w:tc>
          <w:tcPr>
            <w:tcW w:w="6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Warehouse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Receivable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98"/>
              </w:rPr>
              <w:t>Credit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Securitizations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4"/>
                <w:szCs w:val="14"/>
                <w:b w:val="1"/>
                <w:bCs w:val="1"/>
                <w:color w:val="auto"/>
                <w:w w:val="91"/>
              </w:rPr>
              <w:t>Facility</w:t>
            </w:r>
          </w:p>
        </w:tc>
        <w:tc>
          <w:tcPr>
            <w:tcW w:w="66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Vacation ownership notes receivable, net of reserves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620</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twelve weeks ended March 22, 2013:</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Vacation</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Ownership</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Notes</w:t>
            </w:r>
          </w:p>
        </w:tc>
        <w:tc>
          <w:tcPr>
            <w:tcW w:w="380" w:type="dxa"/>
            <w:vAlign w:val="bottom"/>
          </w:tcPr>
          <w:p>
            <w:pPr>
              <w:spacing w:after="0"/>
              <w:rPr>
                <w:sz w:val="12"/>
                <w:szCs w:val="12"/>
                <w:color w:val="auto"/>
              </w:rPr>
            </w:pPr>
          </w:p>
        </w:tc>
        <w:tc>
          <w:tcPr>
            <w:tcW w:w="136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82"/>
              </w:rPr>
              <w:t>Warehouse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Receivable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Credit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2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9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Securitizations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Facility</w:t>
            </w:r>
          </w:p>
        </w:tc>
        <w:tc>
          <w:tcPr>
            <w:tcW w:w="4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2080" w:type="dxa"/>
            <w:vAlign w:val="bottom"/>
            <w:gridSpan w:val="2"/>
          </w:tcPr>
          <w:p>
            <w:pPr>
              <w:ind w:left="19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20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sectPr>
          <w:pgSz w:w="11900" w:h="16838" w:orient="portrait"/>
          <w:cols w:equalWidth="0" w:num="1">
            <w:col w:w="11340"/>
          </w:cols>
          <w:pgMar w:left="240" w:top="459" w:right="319" w:bottom="1440" w:gutter="0" w:footer="0" w:header="0"/>
        </w:sectPr>
      </w:pPr>
    </w:p>
    <w:p>
      <w:pPr>
        <w:jc w:val="center"/>
        <w:ind w:right="-7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40"/>
          </w:cols>
          <w:pgMar w:left="240" w:top="459" w:right="31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960" w:type="dxa"/>
            <w:vAlign w:val="bottom"/>
            <w:tcBorders>
              <w:top w:val="single" w:sz="8" w:color="auto"/>
            </w:tcBorders>
            <w:gridSpan w:val="3"/>
          </w:tcPr>
          <w:p>
            <w:pPr>
              <w:ind w:left="360"/>
              <w:spacing w:after="0" w:line="129" w:lineRule="exact"/>
              <w:rPr>
                <w:sz w:val="20"/>
                <w:szCs w:val="20"/>
                <w:color w:val="auto"/>
              </w:rPr>
            </w:pPr>
            <w:r>
              <w:rPr>
                <w:rFonts w:ascii="Arial" w:cs="Arial" w:eastAsia="Arial" w:hAnsi="Arial"/>
                <w:sz w:val="14"/>
                <w:szCs w:val="14"/>
                <w:b w:val="1"/>
                <w:bCs w:val="1"/>
                <w:color w:val="auto"/>
                <w:w w:val="89"/>
              </w:rPr>
              <w:t>March 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Principal receipts</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receipts</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Principal to investors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Voluntary clean-up calls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to investors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cash flows between us and the Warehouse Credit Facility variable interest entity:</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6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960" w:type="dxa"/>
            <w:vAlign w:val="bottom"/>
            <w:tcBorders>
              <w:top w:val="single" w:sz="8" w:color="auto"/>
            </w:tcBorders>
            <w:gridSpan w:val="3"/>
          </w:tcPr>
          <w:p>
            <w:pPr>
              <w:ind w:left="360"/>
              <w:spacing w:after="0" w:line="129" w:lineRule="exact"/>
              <w:rPr>
                <w:sz w:val="20"/>
                <w:szCs w:val="20"/>
                <w:color w:val="auto"/>
              </w:rPr>
            </w:pPr>
            <w:r>
              <w:rPr>
                <w:rFonts w:ascii="Arial" w:cs="Arial" w:eastAsia="Arial" w:hAnsi="Arial"/>
                <w:sz w:val="14"/>
                <w:szCs w:val="14"/>
                <w:b w:val="1"/>
                <w:bCs w:val="1"/>
                <w:color w:val="auto"/>
                <w:w w:val="89"/>
              </w:rPr>
              <w:t>March 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Net proceeds from vacation ownership notes receivable securitization</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8"/>
                <w:szCs w:val="18"/>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Interest receipts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80" w:type="dxa"/>
            <w:vAlign w:val="bottom"/>
          </w:tcPr>
          <w:p>
            <w:pPr>
              <w:spacing w:after="0"/>
              <w:rPr>
                <w:sz w:val="20"/>
                <w:szCs w:val="20"/>
                <w:color w:val="auto"/>
              </w:rPr>
            </w:pPr>
            <w:r>
              <w:rPr>
                <w:rFonts w:ascii="Arial" w:cs="Arial" w:eastAsia="Arial" w:hAnsi="Arial"/>
                <w:sz w:val="18"/>
                <w:szCs w:val="18"/>
                <w:b w:val="1"/>
                <w:bCs w:val="1"/>
                <w:color w:val="auto"/>
              </w:rPr>
              <w:t>Cash outflows: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Interest to investors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Net Cash Flows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9"/>
                <w:szCs w:val="19"/>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80" w:firstLine="456"/>
        <w:spacing w:after="0" w:line="294" w:lineRule="auto"/>
        <w:rPr>
          <w:sz w:val="20"/>
          <w:szCs w:val="20"/>
          <w:color w:val="auto"/>
        </w:rPr>
      </w:pPr>
      <w:r>
        <w:rPr>
          <w:rFonts w:ascii="Arial" w:cs="Arial" w:eastAsia="Arial" w:hAnsi="Arial"/>
          <w:sz w:val="16"/>
          <w:szCs w:val="16"/>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balance. Our maximum exposure to loss relating to the entities that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an equity investment in and notes receivable due from a variable interest entity that develops and markets vacation ownership and residential products in Hawaii pursuant to a joint venture arrangement. We concluded that the entity is a variable interest entity because the equity investment at risk is not sufficient to permit the entity to finance its activities without additional support from other venture parties. We determined that we are not the primary beneficiary of this entity, as power to direct the activities that most significantly impact the entity’s economic performance is shared among the variable interest holders and, therefore, we do not consolidate the entity. We provided a completion guarantee in favor of the project lenders for which the joint venture has delivered a completed operational project. Although we have not received a release of the guarantee from the lenders, we do not believe we have any exposure for funding. In 2009, we fully impaired our equity investment in the entity and in certain notes receivable due from the entity. In 2010, the continued application of equity losses to our investment in the remaining outstanding notes receivable balance reduced its carrying value to zero. In addition, the venture was unable to pay promissory notes that matured on December 31, 2010 and August 1, 2011. Subsequently, the lenders issued a notice of default to the venture. The lenders initiated foreclosure proceedings with respect to unsold interests in the project. A foreclosure auction was held and, on January 31, 2013, a bid was accepted and confirmed. If the sale is completed, we may receive some payment on our notes receivable due from the entity. We gave notice of breach or termination of various agreements, including management agreements with the owners’ associations at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project, marketing and sales agreements with the venture, and other agreements pursuant to which we provided services to the venture and, as we were unable to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reach agreement with the owners’ associations with respect to our continued provision of services, termination of these agreements was effective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At March 22, 2013 we have a remaining accrual of $10 million for potential future funding included in other liabilities on our Balance Sheet,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representing our remaining expected exposure to loss related to our involvement with this entity. In addition, several owners at the project have filed suit against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several parties involved in the project, including two of our subsidiaries, which could result in additional exposures which are not estimable at this time. See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Footnote No. 7, “Contingencies and Commitments,” for a discussion of certain litigation related to this project.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changes in shareholders’ equity during the twelve weeks ended March 22, 2013:</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Additional</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Paid-In</w:t>
            </w:r>
          </w:p>
        </w:tc>
        <w:tc>
          <w:tcPr>
            <w:tcW w:w="5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80" w:type="dxa"/>
            <w:vAlign w:val="bottom"/>
          </w:tcPr>
          <w:p>
            <w:pPr>
              <w:spacing w:after="0"/>
              <w:rPr>
                <w:sz w:val="12"/>
                <w:szCs w:val="12"/>
                <w:color w:val="auto"/>
              </w:rPr>
            </w:pPr>
          </w:p>
        </w:tc>
        <w:tc>
          <w:tcPr>
            <w:tcW w:w="8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4"/>
              </w:rPr>
              <w:t>Retained</w:t>
            </w:r>
          </w:p>
        </w:tc>
        <w:tc>
          <w:tcPr>
            <w:tcW w:w="3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60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Capital</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4"/>
                <w:szCs w:val="14"/>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3"/>
              </w:rPr>
              <w:t>Earnings</w:t>
            </w:r>
          </w:p>
        </w:tc>
        <w:tc>
          <w:tcPr>
            <w:tcW w:w="3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year-end 2012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Balance at March 22, 2013</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vMerge w:val="continue"/>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46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SEGMENTS</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4" w:lineRule="exact"/>
        <w:rPr>
          <w:sz w:val="20"/>
          <w:szCs w:val="20"/>
          <w:color w:val="auto"/>
        </w:rPr>
      </w:pPr>
    </w:p>
    <w:p>
      <w:pPr>
        <w:jc w:val="both"/>
        <w:ind w:left="900" w:right="120" w:hanging="325"/>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our North America segment, we develop, market, sell and manage vacation ownership and related products under the Marriott Vacation Club and Grand Residences by Marriott brands. We also develop, market and sell vacation ownership and related products under the Ritz-Carlton Destination Club brand, as well as whole ownership residential products under the Ritz-Carlton Residences brand.</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our Europe segment, we develop, market, sell and manage vacation ownership products in several locations in Europe.</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our Asia Pacific segment, we develop, market, sell and manage Marriott Vacation Club, Asia Pacific, a right-to-use points program we introduced in 2006 that we specifically designed to appeal to vacation preferences of the Asian market, as well as a weeks-based right-to-use product.</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Effective December 29, 2012, we have combined the reporting of the financial results of the former Luxury segment with the North America segment based upon our scaling back of separate development activity and the aggregation of future marketing and sales of both upscale tier and luxury tier inventory. Existing service standards and on-site management remain unaffected by our reporting changes. Prior year amounts have been recast for consistency with current year’s presentation.</w:t>
      </w:r>
    </w:p>
    <w:p>
      <w:pPr>
        <w:spacing w:after="0" w:line="143"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We evaluate the performance of our segments based primarily on the results of the segment without allocating corporate expenses or income taxes. We do not allocate corporate interest expense or other financing expenses to our segments. During the 2013 first quarter, we reviewed the allocation of general and administrative expenses to our reportable segments as a result of the realignment of our management structure. Based on this review, we determined to no longer allocate certain general and administrative expenses to our reportable segments. This change, which was effective December 29, 2012, had no impact on our Financial Statements for any prior period. Prior period reportable segment information has been adjusted to reflect the change in reportable segment reporting.</w:t>
      </w:r>
    </w:p>
    <w:p>
      <w:pPr>
        <w:spacing w:after="0" w:line="10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include interest income specific to segment activities within the appropriate segment. We allocate other gains and losses and equity in earnings or losses from our joint ventures to each of our segments. Corporate and other represents that portion of our revenues, equity in earnings or losses, and other gains or losses that are not allocable to our segments.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gridSpan w:val="4"/>
          </w:tcPr>
          <w:p>
            <w:pPr>
              <w:jc w:val="right"/>
              <w:ind w:right="20"/>
              <w:spacing w:after="0" w:line="129" w:lineRule="exact"/>
              <w:rPr>
                <w:sz w:val="20"/>
                <w:szCs w:val="20"/>
                <w:color w:val="auto"/>
              </w:rPr>
            </w:pPr>
            <w:r>
              <w:rPr>
                <w:rFonts w:ascii="Arial" w:cs="Arial" w:eastAsia="Arial" w:hAnsi="Arial"/>
                <w:sz w:val="14"/>
                <w:szCs w:val="14"/>
                <w:b w:val="1"/>
                <w:bCs w:val="1"/>
                <w:color w:val="auto"/>
                <w:w w:val="86"/>
              </w:rPr>
              <w:t>March 22,</w:t>
            </w:r>
          </w:p>
        </w:tc>
        <w:tc>
          <w:tcPr>
            <w:tcW w:w="5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March 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20" w:type="dxa"/>
            <w:vAlign w:val="bottom"/>
            <w:gridSpan w:val="2"/>
          </w:tcPr>
          <w:p>
            <w:pPr>
              <w:ind w:left="138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ind w:right="17"/>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6540" w:type="dxa"/>
            <w:vAlign w:val="bottom"/>
          </w:tcPr>
          <w:p>
            <w:pPr>
              <w:ind w:left="440"/>
              <w:spacing w:after="0"/>
              <w:rPr>
                <w:sz w:val="20"/>
                <w:szCs w:val="20"/>
                <w:color w:val="auto"/>
              </w:rPr>
            </w:pPr>
            <w:r>
              <w:rPr>
                <w:rFonts w:ascii="Arial" w:cs="Arial" w:eastAsia="Arial" w:hAnsi="Arial"/>
                <w:sz w:val="18"/>
                <w:szCs w:val="18"/>
                <w:color w:val="auto"/>
              </w:rPr>
              <w:t>Total segment revenues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c>
          <w:tcPr>
            <w:tcW w:w="820" w:type="dxa"/>
            <w:vAlign w:val="bottom"/>
            <w:gridSpan w:val="3"/>
          </w:tcPr>
          <w:p>
            <w:pPr>
              <w:ind w:left="7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Net Income</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9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6"/>
              </w:rPr>
              <w:t>Twelve Weeks Ended</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5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center"/>
              <w:ind w:left="102"/>
              <w:spacing w:after="0" w:line="129" w:lineRule="exact"/>
              <w:rPr>
                <w:sz w:val="20"/>
                <w:szCs w:val="20"/>
                <w:color w:val="auto"/>
              </w:rPr>
            </w:pPr>
            <w:r>
              <w:rPr>
                <w:rFonts w:ascii="Arial" w:cs="Arial" w:eastAsia="Arial" w:hAnsi="Arial"/>
                <w:sz w:val="14"/>
                <w:szCs w:val="14"/>
                <w:b w:val="1"/>
                <w:bCs w:val="1"/>
                <w:color w:val="auto"/>
                <w:w w:val="92"/>
              </w:rPr>
              <w:t>March 23,</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20" w:type="dxa"/>
            <w:vAlign w:val="bottom"/>
            <w:gridSpan w:val="2"/>
          </w:tcPr>
          <w:p>
            <w:pPr>
              <w:ind w:left="138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ind w:right="77"/>
              <w:spacing w:after="0"/>
              <w:rPr>
                <w:sz w:val="20"/>
                <w:szCs w:val="20"/>
                <w:color w:val="auto"/>
              </w:rPr>
            </w:pPr>
            <w:r>
              <w:rPr>
                <w:rFonts w:ascii="Arial" w:cs="Arial" w:eastAsia="Arial" w:hAnsi="Arial"/>
                <w:sz w:val="14"/>
                <w:szCs w:val="14"/>
                <w:b w:val="1"/>
                <w:bCs w:val="1"/>
                <w:color w:val="auto"/>
                <w:w w:val="83"/>
              </w:rPr>
              <w:t>2013</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6540" w:type="dxa"/>
            <w:vAlign w:val="bottom"/>
          </w:tcPr>
          <w:p>
            <w:pPr>
              <w:ind w:left="440"/>
              <w:spacing w:after="0"/>
              <w:rPr>
                <w:sz w:val="20"/>
                <w:szCs w:val="20"/>
                <w:color w:val="auto"/>
              </w:rPr>
            </w:pPr>
            <w:r>
              <w:rPr>
                <w:rFonts w:ascii="Arial" w:cs="Arial" w:eastAsia="Arial" w:hAnsi="Arial"/>
                <w:sz w:val="18"/>
                <w:szCs w:val="18"/>
                <w:color w:val="auto"/>
              </w:rPr>
              <w:t>Total segment financial results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Assets</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9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left="177"/>
              <w:spacing w:after="0"/>
              <w:rPr>
                <w:sz w:val="20"/>
                <w:szCs w:val="20"/>
                <w:color w:val="auto"/>
              </w:rPr>
            </w:pPr>
            <w:r>
              <w:rPr>
                <w:rFonts w:ascii="Arial" w:cs="Arial" w:eastAsia="Arial" w:hAnsi="Arial"/>
                <w:sz w:val="14"/>
                <w:szCs w:val="14"/>
                <w:b w:val="1"/>
                <w:bCs w:val="1"/>
                <w:color w:val="auto"/>
                <w:w w:val="89"/>
              </w:rPr>
              <w:t>At Period-End</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6"/>
          </w:tcPr>
          <w:p>
            <w:pPr>
              <w:jc w:val="right"/>
              <w:ind w:right="140"/>
              <w:spacing w:after="0" w:line="129" w:lineRule="exact"/>
              <w:rPr>
                <w:sz w:val="20"/>
                <w:szCs w:val="20"/>
                <w:color w:val="auto"/>
              </w:rPr>
            </w:pPr>
            <w:r>
              <w:rPr>
                <w:rFonts w:ascii="Arial" w:cs="Arial" w:eastAsia="Arial" w:hAnsi="Arial"/>
                <w:sz w:val="14"/>
                <w:szCs w:val="14"/>
                <w:b w:val="1"/>
                <w:bCs w:val="1"/>
                <w:color w:val="auto"/>
                <w:w w:val="86"/>
              </w:rPr>
              <w:t>March 22,</w:t>
            </w:r>
          </w:p>
        </w:tc>
        <w:tc>
          <w:tcPr>
            <w:tcW w:w="1300" w:type="dxa"/>
            <w:vAlign w:val="bottom"/>
            <w:gridSpan w:val="5"/>
          </w:tcPr>
          <w:p>
            <w:pPr>
              <w:ind w:left="500"/>
              <w:spacing w:after="0" w:line="129" w:lineRule="exact"/>
              <w:rPr>
                <w:sz w:val="20"/>
                <w:szCs w:val="20"/>
                <w:color w:val="auto"/>
              </w:rPr>
            </w:pPr>
            <w:r>
              <w:rPr>
                <w:rFonts w:ascii="Arial" w:cs="Arial" w:eastAsia="Arial" w:hAnsi="Arial"/>
                <w:sz w:val="14"/>
                <w:szCs w:val="14"/>
                <w:b w:val="1"/>
                <w:bCs w:val="1"/>
                <w:color w:val="auto"/>
                <w:w w:val="85"/>
              </w:rPr>
              <w:t>December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20" w:type="dxa"/>
            <w:vAlign w:val="bottom"/>
            <w:gridSpan w:val="2"/>
          </w:tcPr>
          <w:p>
            <w:pPr>
              <w:ind w:left="138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w w:val="83"/>
              </w:rPr>
              <w:t>2013</w:t>
            </w:r>
          </w:p>
        </w:tc>
        <w:tc>
          <w:tcPr>
            <w:tcW w:w="80" w:type="dxa"/>
            <w:vAlign w:val="bottom"/>
          </w:tcPr>
          <w:p>
            <w:pPr>
              <w:spacing w:after="0"/>
              <w:rPr>
                <w:sz w:val="14"/>
                <w:szCs w:val="14"/>
                <w:color w:val="auto"/>
              </w:rPr>
            </w:pPr>
          </w:p>
        </w:tc>
        <w:tc>
          <w:tcPr>
            <w:tcW w:w="128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2,192</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6540" w:type="dxa"/>
            <w:vAlign w:val="bottom"/>
          </w:tcPr>
          <w:p>
            <w:pPr>
              <w:ind w:left="440"/>
              <w:spacing w:after="0"/>
              <w:rPr>
                <w:sz w:val="20"/>
                <w:szCs w:val="20"/>
                <w:color w:val="auto"/>
              </w:rPr>
            </w:pPr>
            <w:r>
              <w:rPr>
                <w:rFonts w:ascii="Arial" w:cs="Arial" w:eastAsia="Arial" w:hAnsi="Arial"/>
                <w:sz w:val="18"/>
                <w:szCs w:val="18"/>
                <w:color w:val="auto"/>
              </w:rPr>
              <w:t>Total segment assets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2,391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2,569</w:t>
            </w:r>
          </w:p>
        </w:tc>
        <w:tc>
          <w:tcPr>
            <w:tcW w:w="80" w:type="dxa"/>
            <w:vAlign w:val="bottom"/>
          </w:tcPr>
          <w:p>
            <w:pPr>
              <w:spacing w:after="0"/>
              <w:rPr>
                <w:sz w:val="19"/>
                <w:szCs w:val="19"/>
                <w:color w:val="auto"/>
              </w:rPr>
            </w:pP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ORGANIZATIONAL AND SEPARATION RELATED CHARGES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the Spin-Off, Marriott International has continued to provide us with certain information technology, payroll, human resources, and other administrative services pursuant to transition services agreements. In connection with our continued organizational and separation related activities, we have incurred certain expenses to complete our separation from Marriott International. These costs primarily relate to establishing our own information technology systems and services, independent payroll functions and reorganizing certain existing administrative organizations to support our stand-alone public company needs. We expect these efforts to continue through 2014. Organizational and separation related charges as reflected in our Statements of Operations, were $1 million and $2 million for the twelve weeks ended March 22, 2013 and March 23, 2012, respectively. In addition, $1 million was capitalized to Property and equipment on our Balance Sheets during the twelve weeks ended March 22, 2013.</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240" w:top="459" w:right="5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 and can be identified by the use of forward-looking terminology such as the words “believe,” “expect,” “plan,” “intend,” “anticipate,” “estimate,” “predict,” “potential,” “continue,” “may,” “might,” “should,” “could” or the negative of these terms or similar expressions.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except as required by law.</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risk factors discussed in “Risk Factors” in our most recent Annual Report on Form 10-K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and cash flows may be in the future. We refer to (i) our Interim Consolidated Financial Statements as our “Financial Statements,” (ii) our Interim Consolidated Statements of Operations as our “Statements of Operations,” and (iii) our Interim Consolidated Statements of Cash Flows as our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November 21, 2011, the spin-off of our company (the “Spin-Off”) from Marriott International, Inc. (“Marriott International”) was completed. In the Spin-Off, Marriott International’s vacation ownership operations and related residential business were separated from Marriott International through a special tax-free dividend to Marriott International’s shareholders of all of the issued and outstanding common stock of our company. As a result of the Spin-Off, we are an independent company, and our common stock is listed on the New York Stock Exchange under the symbol “VAC.” Following the Spin-Off, we and Marriott International have operated independently, and neither company has any ownership interest in the other.</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connection with the Spin-Off, we entered into several material agreements with Marriott International pertaining to the rights and obligations of each company following the Spin-Off. The agreements include a License, Services, and Development Agreement with Marriott International and its subsidiary Marriott Worldwide Corporation (the “Marriott License Agreement”) and a License, Services, and Development Agreement with The Ritz-Carlton Hotel Company, L.L.C. (the “Ritz-Carlton License Agreement” and, together with the Marriott License Agreement, the “License Agreements”). Under the License Agreements,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and Separation Related Efforts</w:t>
      </w:r>
    </w:p>
    <w:p>
      <w:pPr>
        <w:spacing w:after="0" w:line="96"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Since the Spin-Off, Marriott International has continued to provide us with certain information technology, payroll, human resources and other administrative services pursuant to transition services agreements. In connection with our continued organizational and separation related activities, we have incurred expenses to complete our separation from Marriott International. These costs primarily relate to establishing our own information technology systems and services, independent payroll and accounts payable functions and reorganizing existing human resources, information technology, and related finance and accounting organizations to support our stand-alone public company needs. Organizational and separation related charges were $1 million for the twelve weeks ended March 22, 2013, as reflected in our Statements of Operations. In addition, during the twelve weeks ended March 22, 2013, $1 million was capitalized to Property and equipment on our Balance Sheets. Total future spending for these efforts is expected to be approximately $20 million to $25 million, with costs being incurred through 2014. Once completed, these efforts are expected to generate approximately $15 million to $20 million of annualized savings, of which approximately $1 million of incremental savings are reflected in our first quarter 2013 financial results.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generally provides on-site management for Ritz-Carlton branded properties.</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business is grouped into three reportable segments: North America, Europe and Asia Pacific. Effective December 29, 2012, we have combined the reporting of the financial results of the former Luxury segment with the North America segment based upon our scaling back of separate development activity and the aggregation of future marketing and sales of both upscale tier and luxury tier inventory. Existing service standards and on-site management remain unaffected by our reporting change. Prior year amounts have been recast for consistency with current year’s presentation. We operate 63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revenues from the sale of vacation ownership products when all of the following conditions exist:</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binding sales contract has been executed;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statutory rescission period has expired;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receivable is deemed collectible;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criteria for percentage of completion accounting are met;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remainder of our obligations are substantially completed.</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generally within one to two years from the date of issuance. Sales incentives are only awarded if the sale is closed.</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from vacation ownership purchases as a reduction of revenues from the sale of vacation ownership products at the time we recognize revenues from a sale.</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report, on a supplemental basis, contract sales for each of our three segments. Contract sales represent the total amount of vacation ownership product sales from purchase agreements signed during the period where we have received a down payment of at least ten percent of the contract price, reduced by actual rescissions during the period. Contract sales differ from revenues from the sale of vacation ownership products that we report in our Statements of Operations due to the requirements for revenue recognition described above. We consider contract sales to be an important operating measure because it reflects the pace of sales in our business.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Cost of vacation ownership products includes costs to develop and construct the project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in our Statements of Operations to true-up revenues and costs in that period to those that would have been recorded historically if the revised estimates had been used. These true-ups, which we refer to as product cost true-ups, will have a positive or negative impact on our Statements of Operations.</w:t>
      </w:r>
    </w:p>
    <w:p>
      <w:pPr>
        <w:spacing w:after="0" w:line="12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Our resort management and other services revenues includes revenues we earn for managing our resorts, for providing ancillary offerings including food and beverage, retail, and golf and spa offerings, from annual club dues and certain transaction-based fees charged to owners and other third parties for services, and for providing other services to our guests.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provide day-to-day management services, including housekeeping services, operation of reservation systems, maintenance, and certain accounting and administrative services for property owners’ associations. We receive compensation for such management services; this compensation is generally based on either a percentage of total costs to operate the resorts or a fixed fee arrangement. We earn these fees regardless of usage or occupancy.</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0" w:type="dxa"/>
            <w:vAlign w:val="bottom"/>
            <w:gridSpan w:val="4"/>
          </w:tcPr>
          <w:p>
            <w:pPr>
              <w:ind w:left="34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40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March 22,</w:t>
            </w:r>
          </w:p>
        </w:tc>
        <w:tc>
          <w:tcPr>
            <w:tcW w:w="13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March 23,</w:t>
            </w:r>
          </w:p>
        </w:tc>
        <w:tc>
          <w:tcPr>
            <w:tcW w:w="100" w:type="dxa"/>
            <w:vAlign w:val="bottom"/>
          </w:tcPr>
          <w:p>
            <w:pPr>
              <w:spacing w:after="0"/>
              <w:rPr>
                <w:sz w:val="11"/>
                <w:szCs w:val="11"/>
                <w:color w:val="auto"/>
              </w:rPr>
            </w:pPr>
          </w:p>
        </w:tc>
      </w:tr>
      <w:tr>
        <w:trPr>
          <w:trHeight w:val="161"/>
        </w:trPr>
        <w:tc>
          <w:tcPr>
            <w:tcW w:w="4060" w:type="dxa"/>
            <w:vAlign w:val="bottom"/>
          </w:tcPr>
          <w:p>
            <w:pPr>
              <w:spacing w:after="0"/>
              <w:rPr>
                <w:sz w:val="14"/>
                <w:szCs w:val="14"/>
                <w:color w:val="auto"/>
              </w:rPr>
            </w:pPr>
          </w:p>
        </w:tc>
        <w:tc>
          <w:tcPr>
            <w:tcW w:w="3220" w:type="dxa"/>
            <w:vAlign w:val="bottom"/>
            <w:gridSpan w:val="2"/>
          </w:tcPr>
          <w:p>
            <w:pPr>
              <w:jc w:val="right"/>
              <w:ind w:right="106"/>
              <w:spacing w:after="0"/>
              <w:rPr>
                <w:sz w:val="20"/>
                <w:szCs w:val="20"/>
                <w:color w:val="auto"/>
              </w:rPr>
            </w:pPr>
            <w:r>
              <w:rPr>
                <w:rFonts w:ascii="Arial" w:cs="Arial" w:eastAsia="Arial" w:hAnsi="Arial"/>
                <w:sz w:val="14"/>
                <w:szCs w:val="14"/>
                <w:b w:val="1"/>
                <w:bCs w:val="1"/>
                <w:color w:val="auto"/>
              </w:rPr>
              <w:t>2013</w:t>
            </w:r>
          </w:p>
        </w:tc>
        <w:tc>
          <w:tcPr>
            <w:tcW w:w="13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FICO score</w:t>
            </w:r>
          </w:p>
        </w:tc>
        <w:tc>
          <w:tcPr>
            <w:tcW w:w="2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7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vacation ownership notes receivable, which is generally ten years. The interest income earned from the financing arrangements is earned on an accrual basis on the principal balance outstanding over the life of the arrangement and is recorded as financing revenues on our Statements of Operations.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financing incentive programs, the percentage of customers choosing to finance their vacation ownership purchase with us (which we refer to as “financing propensity”) declined significantly through 2009 and has leveled out since then. As a result, we expect that interest income will continue to decline over the next few years until new originations outpace the decline in principal amount of the existing vacation ownership notes receivable portfolio.</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event of a default, we generally have the right to foreclose on or revoke the mortgaged vacation ownership interest. We typically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in our Statements of Operations. Historical default rates, which represent defaults as a percentage of each year’s beginning gross vacation ownership notes receivable balance, were as follows: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39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tcBorders>
              <w:top w:val="single" w:sz="8" w:color="auto"/>
            </w:tcBorders>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2"/>
              </w:rPr>
              <w:t>March 22,</w:t>
            </w:r>
          </w:p>
        </w:tc>
        <w:tc>
          <w:tcPr>
            <w:tcW w:w="1000" w:type="dxa"/>
            <w:vAlign w:val="bottom"/>
            <w:tcBorders>
              <w:top w:val="single" w:sz="8" w:color="auto"/>
            </w:tcBorders>
            <w:gridSpan w:val="2"/>
          </w:tcPr>
          <w:p>
            <w:pPr>
              <w:jc w:val="center"/>
              <w:ind w:left="312"/>
              <w:spacing w:after="0" w:line="129" w:lineRule="exact"/>
              <w:rPr>
                <w:sz w:val="20"/>
                <w:szCs w:val="20"/>
                <w:color w:val="auto"/>
              </w:rPr>
            </w:pPr>
            <w:r>
              <w:rPr>
                <w:rFonts w:ascii="Arial" w:cs="Arial" w:eastAsia="Arial" w:hAnsi="Arial"/>
                <w:sz w:val="14"/>
                <w:szCs w:val="14"/>
                <w:b w:val="1"/>
                <w:bCs w:val="1"/>
                <w:color w:val="auto"/>
                <w:w w:val="89"/>
              </w:rPr>
              <w:t>March 23,</w:t>
            </w:r>
          </w:p>
        </w:tc>
        <w:tc>
          <w:tcPr>
            <w:tcW w:w="200" w:type="dxa"/>
            <w:vAlign w:val="bottom"/>
          </w:tcPr>
          <w:p>
            <w:pPr>
              <w:spacing w:after="0"/>
              <w:rPr>
                <w:sz w:val="11"/>
                <w:szCs w:val="11"/>
                <w:color w:val="auto"/>
              </w:rPr>
            </w:pPr>
          </w:p>
        </w:tc>
      </w:tr>
      <w:tr>
        <w:trPr>
          <w:trHeight w:val="161"/>
        </w:trPr>
        <w:tc>
          <w:tcPr>
            <w:tcW w:w="398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Historical default rates</w:t>
            </w:r>
          </w:p>
        </w:tc>
        <w:tc>
          <w:tcPr>
            <w:tcW w:w="2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obtain rental inventory from:</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Unsold inventory;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Inventory we control because owners have elected various usage options.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Rental revenues are primarily the revenues we earn from renting this inventory. We also recognize rental revenue from the utilization of plus points under the Marriott Vacation Club Destinations </w:t>
      </w:r>
      <w:r>
        <w:rPr>
          <w:rFonts w:ascii="Arial" w:cs="Arial" w:eastAsia="Arial" w:hAnsi="Arial"/>
          <w:sz w:val="11"/>
          <w:szCs w:val="11"/>
          <w:color w:val="auto"/>
        </w:rPr>
        <w:t>TM</w:t>
      </w:r>
      <w:r>
        <w:rPr>
          <w:rFonts w:ascii="Arial" w:cs="Arial" w:eastAsia="Arial" w:hAnsi="Arial"/>
          <w:sz w:val="18"/>
          <w:szCs w:val="18"/>
          <w:color w:val="auto"/>
        </w:rPr>
        <w:t xml:space="preserve"> (“MVCD”) program when those points are redeemed for rental stays at one of our resorts or upon expiration of the points.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expenses include:</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provide alternate usage options, including Marriott Rewards Points, for owners who elect to exchange their inventory;</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our MVCD program.</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inventory at our Ritz-Carlton branded properties and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night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also record other revenues and expenses which are primarily comprised of fees received from our external exchange company and settlement fees and expenses from the sale of vacation ownership products.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Reimbursements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Cost reimbursements revenues include direct and indirect costs that property owners’ associations and joint ventures in which we participate reimburse to us. In accordance with the accounting guidance for “gross versus net” presentation, we record these revenues on a gross basis. We recognize cost reimbursements revenue when we incur the related reimbursable costs. These costs primarily consist of payroll and payroll related expenses for management of the property owners’ associations and other services we provide where we are the employer, and for development and marketing and sales services that joint ventures contract with us to perform. Cost reimbursements are based upon actual expenses with no added margin.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refer to interest expense associated with the debt from our non-recourse warehouse credit facility (the “Warehouse Credit Facility”) and from the securitization of our vacation ownership notes receivable in the asset-backed securities (“ABS”) market as consumer financing interest expense. We distinguish consumer financing interest expense from all other interest expense (referred to as non-consumer financing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90"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Volume per guest (“VPG”), which we calculate by dividing contract sales, excluding telesales and other sales that are not attributed to a tour at a sales location, by the number of sales tours in a given period. We believe this operating metric is valuable in evaluating the effectiveness of the sales process as it combines the impact of average contract price with the number of touring guests who make a purchase.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Rounding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changes presented in our public filings are calculated using whole dollars.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discussion presents an analysis of results of our operations for the twelve weeks ended March 22, 2013, compared to the twelve weeks ended March 23, 2012.</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940" w:type="dxa"/>
            <w:vAlign w:val="bottom"/>
            <w:tcBorders>
              <w:top w:val="single" w:sz="8" w:color="auto"/>
            </w:tcBorders>
            <w:gridSpan w:val="3"/>
          </w:tcPr>
          <w:p>
            <w:pPr>
              <w:ind w:left="340"/>
              <w:spacing w:after="0" w:line="129" w:lineRule="exact"/>
              <w:rPr>
                <w:sz w:val="20"/>
                <w:szCs w:val="20"/>
                <w:color w:val="auto"/>
              </w:rPr>
            </w:pPr>
            <w:r>
              <w:rPr>
                <w:rFonts w:ascii="Arial" w:cs="Arial" w:eastAsia="Arial" w:hAnsi="Arial"/>
                <w:sz w:val="14"/>
                <w:szCs w:val="14"/>
                <w:b w:val="1"/>
                <w:bCs w:val="1"/>
                <w:color w:val="auto"/>
                <w:w w:val="89"/>
              </w:rPr>
              <w:t>March 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2013</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140</w:t>
            </w:r>
          </w:p>
        </w:tc>
        <w:tc>
          <w:tcPr>
            <w:tcW w:w="42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84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Rental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Organizational and separation related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Royalty fee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840"/>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and other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80" w:type="dxa"/>
            <w:vAlign w:val="bottom"/>
          </w:tcPr>
          <w:p>
            <w:pPr>
              <w:ind w:left="84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ind w:left="84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9"/>
                <w:szCs w:val="19"/>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2013 highlights include:</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North America segment contract sales increased 7 percent to $143 million; VPG increased 11 percent year-over-year to $3,266.</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 margin percentage increased to 15.8 percent in the twelve weeks ended March 22, 2013 from 9.2 percent in the prior year comparable period; North America development margin percentage increased to 17.3 percent in the twelve weeks ended March 22, 2013 from 11.7 percent in the prior year comparable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w w:val="96"/>
              </w:rPr>
              <w:t>Twelve Weeks Ended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2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March 22,</w:t>
            </w:r>
          </w:p>
        </w:tc>
        <w:tc>
          <w:tcPr>
            <w:tcW w:w="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March 23,</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42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82"/>
              <w:spacing w:after="0"/>
              <w:rPr>
                <w:sz w:val="20"/>
                <w:szCs w:val="20"/>
                <w:color w:val="auto"/>
              </w:rPr>
            </w:pPr>
            <w:r>
              <w:rPr>
                <w:rFonts w:ascii="Arial" w:cs="Arial" w:eastAsia="Arial" w:hAnsi="Arial"/>
                <w:sz w:val="14"/>
                <w:szCs w:val="14"/>
                <w:b w:val="1"/>
                <w:bCs w:val="1"/>
                <w:color w:val="auto"/>
                <w:w w:val="96"/>
              </w:rPr>
              <w:t>2013</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6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Change</w:t>
            </w:r>
          </w:p>
        </w:tc>
        <w:tc>
          <w:tcPr>
            <w:tcW w:w="5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 Change</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Contract Sales</w:t>
            </w:r>
          </w:p>
        </w:tc>
        <w:tc>
          <w:tcPr>
            <w:tcW w:w="2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20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156</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154</w:t>
            </w:r>
          </w:p>
        </w:tc>
        <w:tc>
          <w:tcPr>
            <w:tcW w:w="8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r>
      <w:tr>
        <w:trPr>
          <w:trHeight w:val="27"/>
        </w:trPr>
        <w:tc>
          <w:tcPr>
            <w:tcW w:w="4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$2 million increase in total contract sales was driven by $9 million, or 7 percent, of higher contract sales in our key North America segment, partially offset by $4 million of lower contract sales in our Asia Pacific segment due to the closure of our off-site sales locations in Hong Kong and Japan in the fourth quarter of 2012 and $3 million of lower contract sales in our Europe segment as we continued to sell through existing inventory.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increase in contract sales in our North America segment reflected an 11 percent increase in VPG to $3,266 in the twelve weeks ended March 22, 2013 from $2,942 in the prior year comparable period. This increase in VPG was due to a two percent price increase and a slightly more than one percentage point increase in closing efficiency resulting from improved marketing and sales execution.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Twelve Weeks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March 23,</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89"/>
              </w:rPr>
              <w:t>2013</w:t>
            </w:r>
          </w:p>
        </w:tc>
        <w:tc>
          <w:tcPr>
            <w:tcW w:w="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2012</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Change</w:t>
            </w:r>
          </w:p>
        </w:tc>
        <w:tc>
          <w:tcPr>
            <w:tcW w:w="6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222"/>
        </w:trPr>
        <w:tc>
          <w:tcPr>
            <w:tcW w:w="4160" w:type="dxa"/>
            <w:vAlign w:val="bottom"/>
            <w:vMerge w:val="continue"/>
          </w:tcPr>
          <w:p>
            <w:pPr>
              <w:spacing w:after="0"/>
              <w:rPr>
                <w:sz w:val="19"/>
                <w:szCs w:val="19"/>
                <w:color w:val="auto"/>
              </w:rPr>
            </w:pPr>
          </w:p>
        </w:tc>
        <w:tc>
          <w:tcPr>
            <w:tcW w:w="1700" w:type="dxa"/>
            <w:vAlign w:val="bottom"/>
            <w:gridSpan w:val="2"/>
          </w:tcPr>
          <w:p>
            <w:pPr>
              <w:ind w:left="15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increase in revenues from the sale of vacation ownership products was due to the $2 million increase in contract sales and $6 million of higher revenue reportability compared to the prior year comparable period, partially offset by $2 million of higher sales incentives issued in the current year quarter for plus points that will ultimately be recognized upon usage or expiration as rental revenues rather than revenues from the sale of vacation ownership products. The $6 million of higher revenue reportability resulted from $3 million of lower revenue reportability in the twelve weeks ended March 22, 2013 compared to $9 million of lower revenue reportability in the prior year comparable period. The impact of revenue reportability was lower in the current year quarter as more sales met the down payment requirement for revenue recognition purposes as compared to the prior year comparable period. Revenue reportability affects quarter-to-quarter earnings; however, on an annual basis we do not expect revenue reportability to have a material impact on year-over-year earnings.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increase in development margin reflects $4 million of favorable product cost true-ups ($6 million in the twelve weeks ended March 22, 2013 compared to $2 million in the prior year comparable period), a $4 million increase from higher contract sales volume net of direct variable expenses (i.e., cost of vacation ownership products and marketing and sales) mainly from a favorable mix of real estate inventory being sold and more efficient marketing and sales spending and $3 million from higher revenue reportability year-over-year. These increases were partially offset by $1 million of severance related to the restructuring of sales locations in Europe in early 2013.</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favorable product cost true-ups recorded in the twelve weeks ended March 22, 2013 were comprised of $3 million from lower estimated common construction costs, $2 million from changes in sequencing of inventory into the MVCD program driven by the continued reacquisition of previously sold inventory and $1 million from an increase in estimated future revenues associated with our Asia Pacific product.</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nearly 7 percentage point improvement in the development margin percentage reflects a 5 percentage point increase from lower cost of vacation ownership products due to the favorable product cost true-up activity (3 percentage points) and, to a lesser extent, a favorable mix of lower cost real estate inventory being sold, a 2 percentage point increase from efficiencies in marketing and sales spending and a 1 percentage point increase due to higher revenue reportability year-over-year. These increases were partially offset by a 1 percentage point decline due to the severance charges in our Europe segment discussed above.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Twelve Weeks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23,</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2012</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8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1</w:t>
            </w:r>
          </w:p>
        </w:tc>
        <w:tc>
          <w:tcPr>
            <w:tcW w:w="66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6.0 pts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increase in resort management and other services revenues reflects $2 million of additional annual club dues earned in connection with the MVCD program due to the cumulative increase in owners enrolled in the program and $1 million of higher management fees resulting from the cumulative increase in the number of vacation ownership products sold and higher operating costs across the system. These increases are partially offset by $1 million of lower ancillary revenues, which reflects a $3 million decline due to the disposition of a golf course and related assets at one of our Ritz-Carlton branded projects late in 2012, partially offset by a $2 million increase in ancillary revenues from food and beverage and golf offerings at our existing resorts.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improvement in the resort management and other services margin reflects $2 million of additional annual club dues earned in connection with the MVCD program net of expenses, a $1 million increase in management fees net of expenses and $1 million of higher ancillary revenues net of expenses primarily due to the disposition of a golf course and related assets at one of our Ritz-Carlton branded projects late in 2012, which experienced an operating loss in the prior year comparable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3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23,</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2013</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2012</w:t>
            </w:r>
          </w:p>
        </w:tc>
        <w:tc>
          <w:tcPr>
            <w:tcW w:w="7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vMerge w:val="continue"/>
            <w:shd w:val="clear" w:color="auto" w:fill="CCEEFF"/>
          </w:tcPr>
          <w:p>
            <w:pPr>
              <w:spacing w:after="0"/>
              <w:rPr>
                <w:sz w:val="18"/>
                <w:szCs w:val="18"/>
                <w:color w:val="auto"/>
              </w:rPr>
            </w:pPr>
          </w:p>
        </w:tc>
        <w:tc>
          <w:tcPr>
            <w:tcW w:w="2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Financing expenses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96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Financing margin</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0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decrease in financing revenues is due to a $118 million decline in the average gross vacation ownership notes receivable balance. This decline reflects our continued collection of existing vacation ownership notes receivable at a faster pace than our origination of new vacation ownership notes receivable. The $2 million decrease in financing margin from the prior year comparable period reflects the lower interest income, partially offset by lower expenses due to lower foreclosure activity.</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Financing margin net of consumer financing interest expense of $20 million in the twelve weeks ended March 22, 2013 remained unchanged from the prior year comparable period. See “Interest Expense” below for a discussion of consumer financing interest expense.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Twelve Weeks Ended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March 23,</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2012</w:t>
            </w: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Change</w:t>
            </w:r>
          </w:p>
        </w:tc>
        <w:tc>
          <w:tcPr>
            <w:tcW w:w="580" w:type="dxa"/>
            <w:vAlign w:val="bottom"/>
            <w:tcBorders>
              <w:bottom w:val="single" w:sz="8" w:color="CCEEFF"/>
            </w:tcBorders>
            <w:gridSpan w:val="2"/>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Rental revenues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Unsold maintenance fees—upscale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Unsold maintenance fees—luxury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Unsold maintenance fees</w:t>
            </w: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221"/>
        </w:trPr>
        <w:tc>
          <w:tcPr>
            <w:tcW w:w="434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(2)</w:t>
            </w:r>
          </w:p>
        </w:tc>
        <w:tc>
          <w:tcPr>
            <w:tcW w:w="8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Rental margin</w:t>
            </w: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222"/>
        </w:trPr>
        <w:tc>
          <w:tcPr>
            <w:tcW w:w="4340" w:type="dxa"/>
            <w:vAlign w:val="bottom"/>
            <w:vMerge w:val="continue"/>
          </w:tcPr>
          <w:p>
            <w:pPr>
              <w:spacing w:after="0"/>
              <w:rPr>
                <w:sz w:val="19"/>
                <w:szCs w:val="19"/>
                <w:color w:val="auto"/>
              </w:rPr>
            </w:pPr>
          </w:p>
        </w:tc>
        <w:tc>
          <w:tcPr>
            <w:tcW w:w="154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(1)</w:t>
            </w:r>
          </w:p>
        </w:tc>
        <w:tc>
          <w:tcPr>
            <w:tcW w:w="8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(3.4 pts)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w w:val="98"/>
              </w:rPr>
              <w:t>Twelve Weeks Ended</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80" w:type="dxa"/>
            <w:vAlign w:val="bottom"/>
            <w:tcBorders>
              <w:top w:val="single" w:sz="8" w:color="auto"/>
            </w:tcBorders>
            <w:gridSpan w:val="4"/>
          </w:tcPr>
          <w:p>
            <w:pPr>
              <w:jc w:val="right"/>
              <w:ind w:right="440"/>
              <w:spacing w:after="0" w:line="129" w:lineRule="exact"/>
              <w:rPr>
                <w:sz w:val="20"/>
                <w:szCs w:val="20"/>
                <w:color w:val="auto"/>
              </w:rPr>
            </w:pPr>
            <w:r>
              <w:rPr>
                <w:rFonts w:ascii="Arial" w:cs="Arial" w:eastAsia="Arial" w:hAnsi="Arial"/>
                <w:sz w:val="14"/>
                <w:szCs w:val="14"/>
                <w:b w:val="1"/>
                <w:bCs w:val="1"/>
                <w:color w:val="auto"/>
                <w:w w:val="95"/>
              </w:rPr>
              <w:t>March 22,</w:t>
            </w: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4"/>
                <w:szCs w:val="14"/>
                <w:b w:val="1"/>
                <w:bCs w:val="1"/>
                <w:color w:val="auto"/>
                <w:w w:val="92"/>
              </w:rPr>
              <w:t>March 23,</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4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83"/>
              </w:rPr>
              <w:t>2013</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2012</w:t>
            </w: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1"/>
                <w:szCs w:val="11"/>
                <w:color w:val="auto"/>
              </w:rPr>
              <w:t>(1)</w:t>
            </w:r>
          </w:p>
        </w:tc>
        <w:tc>
          <w:tcPr>
            <w:tcW w:w="14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263,892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220,987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42,905</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210.17</w:t>
            </w:r>
          </w:p>
        </w:tc>
        <w:tc>
          <w:tcPr>
            <w:tcW w:w="380" w:type="dxa"/>
            <w:vAlign w:val="bottom"/>
          </w:tcPr>
          <w:p>
            <w:pPr>
              <w:spacing w:after="0"/>
              <w:rPr>
                <w:sz w:val="18"/>
                <w:szCs w:val="18"/>
                <w:color w:val="auto"/>
              </w:rPr>
            </w:pPr>
          </w:p>
        </w:tc>
        <w:tc>
          <w:tcPr>
            <w:tcW w:w="4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80"/>
              <w:spacing w:after="0"/>
              <w:rPr>
                <w:sz w:val="20"/>
                <w:szCs w:val="20"/>
                <w:color w:val="auto"/>
              </w:rPr>
            </w:pPr>
            <w:r>
              <w:rPr>
                <w:rFonts w:ascii="Arial" w:cs="Arial" w:eastAsia="Arial" w:hAnsi="Arial"/>
                <w:sz w:val="18"/>
                <w:szCs w:val="18"/>
                <w:color w:val="auto"/>
                <w:w w:val="90"/>
              </w:rPr>
              <w:t>196.27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13.90</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0.3 pts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Transient keys rented excludes those obtained through the use of plus points.</w:t>
      </w:r>
    </w:p>
    <w:p>
      <w:pPr>
        <w:spacing w:after="0" w:line="15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increase in rental revenues is due to $8 million from a company-wide 19 percent increase in transient keys rented, which were primarily sourced from a 9 percent increase in available keys (40,000 additional available keys) due to an increase in the number of owners choosing to exchange their vacation ownership interests for alternative usage options and a lower utilization of plus points for stays at our resorts, as well as $4 million from a company-wide 7 percent increase in average transient rate driven by stronger consumer demand and mix of available inventory. These increases were partially offset by the recognition of $5 million of lower plus points revenue (which is recognized upon utilization of plus points for stays at our resorts or upon expiration of the points) resulting from our reduced dependency on plus points as incentives for enrollment in our points program.</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decrease in rental margin reflects the $5 million decline in plus points revenue, partially offset by $4 million of higher rental revenues net of direct variable expenses (such as housekeeping), expenses incurred due to owners choosing alternative usage options and higher unsold maintenance fees. The increase in unsold maintenance fees mainly reflects the addition of new inventory upon completion of a phase at one of our projects in Hawaii in 2012 as well as increased expenses associated with our inventory repurchase program.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0" w:type="dxa"/>
            <w:vAlign w:val="bottom"/>
            <w:gridSpan w:val="3"/>
          </w:tcPr>
          <w:p>
            <w:pPr>
              <w:jc w:val="right"/>
              <w:ind w:right="420"/>
              <w:spacing w:after="0" w:line="129" w:lineRule="exact"/>
              <w:rPr>
                <w:sz w:val="20"/>
                <w:szCs w:val="20"/>
                <w:color w:val="auto"/>
              </w:rPr>
            </w:pPr>
            <w:r>
              <w:rPr>
                <w:rFonts w:ascii="Arial" w:cs="Arial" w:eastAsia="Arial" w:hAnsi="Arial"/>
                <w:sz w:val="14"/>
                <w:szCs w:val="14"/>
                <w:b w:val="1"/>
                <w:bCs w:val="1"/>
                <w:color w:val="auto"/>
                <w:w w:val="86"/>
              </w:rPr>
              <w:t>March 22,</w:t>
            </w:r>
          </w:p>
        </w:tc>
        <w:tc>
          <w:tcPr>
            <w:tcW w:w="9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March 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00"/>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revenues</w:t>
            </w:r>
          </w:p>
        </w:tc>
        <w:tc>
          <w:tcPr>
            <w:tcW w:w="2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expenses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net of expenses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Other revenues net of expenses decreased mainly from higher expenses associated with an external exchange company and other miscellaneous expense in the twelve weeks ended March 22, 2013 compared to the prior year comparable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Cost reimbursements increased $1 million, or 1 percent, over the prior year comparable period, reflecting $2 million from the impact of growth across the system, partially offset by $1 million of lower costs associated with the termination of the management contract for a joint venture project in early 2013.</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General and administrative expense increased $2 million (from $19 million to $21 million) over the prior year comparable period due to $2 million of higher personnel related costs, $1 million of higher legal and audit related expenses, and $1 million from timing of expenses as compared to the prior year comparable period. These increases were offset by $1 million of savings related to organizational and separation related efforts (human resources, information technology and finance and accounting) and $1 million from the favorable resolution of an international tax (non-income)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9"/>
              </w:rPr>
              <w:t>March 22,</w:t>
            </w:r>
          </w:p>
        </w:tc>
        <w:tc>
          <w:tcPr>
            <w:tcW w:w="9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March 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00"/>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18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vMerge w:val="continue"/>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Non-consumer financing interest expense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decline in consumer financing interest expense is driven by the lower outstanding debt balances and associated interest costs related to the securitized vacation ownership notes receivable as well as a lower average interest rate. The lower average interest rate reflects the continued pay-down of older securitization transactions that carried higher overall interest rates and the benefit of lower interest rates achieved in our most recently completed securitization of vacation ownership notes receivables and through utilization of our Warehouse Credit Facility.</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Non-consumer financing interest expense of $3 million remained unchanged from the prior year comparable period. A nearly $1 million decline in expense associated with the liability for the Marriott Rewards customer loyalty program under the Marriott Rewards Affiliation Agreement that we and certain of our subsidiaries entered into with Marriott International and its subsidiary Marriott Rewards, LLC (the “Marriott Rewards Agreement”) in connection with the Spin-Off is offset by nearly $1 million of lower capitalized interest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Royalty fee expense of $13 million in the twelve weeks ended March 22, 2013 remains unchanged from the prior year comparable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Income tax expense increased by $3 million to $11 million in the first quarter of 2013 compared to $8 million in the prior year comparable period. The increase in income tax expense is primarily related to an increase in the 2013 pretax income attributable to the United States as noted in the discussion of our North America segment results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EBITDA, a financial measure which is not prescribed or authorized by GAAP, reflects earnings excluding the impact of interest expense, provision for income taxes, depreciation and amortization. We consider EBITDA to be an indicator of operating performance, and we use it to measure our ability to service debt, fund capital expenditures and expand our business. We also use EBITDA,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evaluate Adjusted EBITDA, another non-GAAP financial measure, as an indicator of performance. Adjusted EBITDA excludes the impact of non-cash impairment charges or reversals and restructuring charges and includes the impact of interest expense associated with the debt from the Warehouse Credit Facility and from the securitization of our vacation ownership notes receivable in the ABS market, which together we refer to as consumer financing interest expense. We deduct consumer financing interest expense in determining Adjusted EBITDA since the debt is secured by vacation ownership notes receivable that have been sold to bankruptcy remote special purpose entities and is generally non-recourse to us. We evaluate Adjusted EBITDA, which adjusts for these items, to allow for period-over-period comparisons of our ongoing core operations before material charges. Adjusted EBITDA is also useful in measuring our ability to service our non-securitized debt. Together, EBITDA and Adjusted EBITDA facilitate our comparison of results from our ongoing operations with results from other vacation ownership companies.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EBITDA and Adjusted EBITDA have limitations and should not be considered in isolation or as a substitute for performance measures calculated in accordance with GAAP. In addition, other companies in our industry may calculate Adjusted EBITDA differently than we do or may not calculate it at all, limiting Adjusted EBITDA’s usefulness as a comparative measure. The table below shows our EBITDA and Adjusted EBITDA calculations and reconciles those measures with Net income.</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46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9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March 23,</w:t>
            </w:r>
          </w:p>
        </w:tc>
        <w:tc>
          <w:tcPr>
            <w:tcW w:w="120" w:type="dxa"/>
            <w:vAlign w:val="bottom"/>
          </w:tcPr>
          <w:p>
            <w:pPr>
              <w:spacing w:after="0"/>
              <w:rPr>
                <w:sz w:val="11"/>
                <w:szCs w:val="11"/>
                <w:color w:val="auto"/>
              </w:rPr>
            </w:pPr>
          </w:p>
        </w:tc>
      </w:tr>
      <w:tr>
        <w:trPr>
          <w:trHeight w:val="161"/>
        </w:trPr>
        <w:tc>
          <w:tcPr>
            <w:tcW w:w="4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2013</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Interest expense</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EBITDA</w:t>
            </w:r>
          </w:p>
        </w:tc>
        <w:tc>
          <w:tcPr>
            <w:tcW w:w="2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Consumer financing interest expense</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8"/>
        </w:trPr>
        <w:tc>
          <w:tcPr>
            <w:tcW w:w="4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business is grouped into three reportable business segments: North America, Europe and Asia Pacific. Prior to 2013, our business was grouped into four reportable segments: North America, Luxury, Europe and Asia Pacific. Effective December 29, 2012, we have combined the reporting of the financial results of the former Luxury segment with the North America segment based upon our scaling back of separate development activity and the aggregation of future marketing and sales of both upscale tier and luxury tier inventory. Existing service standards and on-site management remain unaffected by our reporting changes. Prior year amounts have been recast for consistency with current year’s presentation. See Footnote No. 13, “Business Segments,” of the Notes to our Financial Statements for further information on our segments.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22, 2013, we operated the following 63 properties by segment:</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5"/>
              </w:rPr>
              <w:t>U.S.</w:t>
            </w:r>
            <w:r>
              <w:rPr>
                <w:rFonts w:ascii="Arial" w:cs="Arial" w:eastAsia="Arial" w:hAnsi="Arial"/>
                <w:sz w:val="22"/>
                <w:szCs w:val="22"/>
                <w:b w:val="1"/>
                <w:bCs w:val="1"/>
                <w:color w:val="auto"/>
                <w:w w:val="75"/>
                <w:vertAlign w:val="superscript"/>
              </w:rPr>
              <w:t>(1)</w:t>
            </w:r>
          </w:p>
        </w:tc>
        <w:tc>
          <w:tcPr>
            <w:tcW w:w="540" w:type="dxa"/>
            <w:vAlign w:val="bottom"/>
          </w:tcPr>
          <w:p>
            <w:pPr>
              <w:spacing w:after="0"/>
              <w:rPr>
                <w:sz w:val="14"/>
                <w:szCs w:val="14"/>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Non-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7"/>
              </w:rPr>
              <w:t>U.S.</w:t>
            </w: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Europe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5</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19"/>
                <w:szCs w:val="19"/>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14</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5500" w:type="dxa"/>
            <w:vAlign w:val="bottom"/>
            <w:vMerge w:val="restart"/>
          </w:tcPr>
          <w:p>
            <w:pPr>
              <w:jc w:val="right"/>
              <w:ind w:right="2612"/>
              <w:spacing w:after="0"/>
              <w:rPr>
                <w:sz w:val="20"/>
                <w:szCs w:val="20"/>
                <w:color w:val="auto"/>
              </w:rPr>
            </w:pPr>
            <w:r>
              <w:rPr>
                <w:rFonts w:ascii="Arial" w:cs="Arial" w:eastAsia="Arial" w:hAnsi="Arial"/>
                <w:sz w:val="18"/>
                <w:szCs w:val="18"/>
                <w:color w:val="auto"/>
                <w:w w:val="93"/>
              </w:rPr>
              <w:t>Includes incorporated U.S. territories.</w:t>
            </w: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55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ind w:left="22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920" w:type="dxa"/>
            <w:vAlign w:val="bottom"/>
            <w:tcBorders>
              <w:top w:val="single" w:sz="8" w:color="auto"/>
            </w:tcBorders>
            <w:gridSpan w:val="3"/>
          </w:tcPr>
          <w:p>
            <w:pPr>
              <w:ind w:left="320"/>
              <w:spacing w:after="0" w:line="129" w:lineRule="exact"/>
              <w:rPr>
                <w:sz w:val="20"/>
                <w:szCs w:val="20"/>
                <w:color w:val="auto"/>
              </w:rPr>
            </w:pPr>
            <w:r>
              <w:rPr>
                <w:rFonts w:ascii="Arial" w:cs="Arial" w:eastAsia="Arial" w:hAnsi="Arial"/>
                <w:sz w:val="14"/>
                <w:szCs w:val="14"/>
                <w:b w:val="1"/>
                <w:bCs w:val="1"/>
                <w:color w:val="auto"/>
                <w:w w:val="89"/>
              </w:rPr>
              <w:t>March 23,</w:t>
            </w:r>
          </w:p>
        </w:tc>
        <w:tc>
          <w:tcPr>
            <w:tcW w:w="100" w:type="dxa"/>
            <w:vAlign w:val="bottom"/>
          </w:tcPr>
          <w:p>
            <w:pPr>
              <w:spacing w:after="0"/>
              <w:rPr>
                <w:sz w:val="11"/>
                <w:szCs w:val="11"/>
                <w:color w:val="auto"/>
              </w:rPr>
            </w:pPr>
          </w:p>
        </w:tc>
      </w:tr>
      <w:tr>
        <w:trPr>
          <w:trHeight w:val="161"/>
        </w:trPr>
        <w:tc>
          <w:tcPr>
            <w:tcW w:w="6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2013</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126</w:t>
            </w:r>
          </w:p>
        </w:tc>
        <w:tc>
          <w:tcPr>
            <w:tcW w:w="38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84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Royalty fee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840"/>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and other income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Segment financial results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w w:val="96"/>
              </w:rPr>
              <w:t>Twelve Weeks Ended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2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March 22,</w:t>
            </w:r>
          </w:p>
        </w:tc>
        <w:tc>
          <w:tcPr>
            <w:tcW w:w="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March 23,</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42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82"/>
              <w:spacing w:after="0"/>
              <w:rPr>
                <w:sz w:val="20"/>
                <w:szCs w:val="20"/>
                <w:color w:val="auto"/>
              </w:rPr>
            </w:pPr>
            <w:r>
              <w:rPr>
                <w:rFonts w:ascii="Arial" w:cs="Arial" w:eastAsia="Arial" w:hAnsi="Arial"/>
                <w:sz w:val="14"/>
                <w:szCs w:val="14"/>
                <w:b w:val="1"/>
                <w:bCs w:val="1"/>
                <w:color w:val="auto"/>
                <w:w w:val="96"/>
              </w:rPr>
              <w:t>2013</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6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Change</w:t>
            </w:r>
          </w:p>
        </w:tc>
        <w:tc>
          <w:tcPr>
            <w:tcW w:w="5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 Change</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Contract Sales</w:t>
            </w:r>
          </w:p>
        </w:tc>
        <w:tc>
          <w:tcPr>
            <w:tcW w:w="2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28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20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143</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8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9</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r>
      <w:tr>
        <w:trPr>
          <w:trHeight w:val="27"/>
        </w:trPr>
        <w:tc>
          <w:tcPr>
            <w:tcW w:w="4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0"/>
        </w:trPr>
        <w:tc>
          <w:tcPr>
            <w:tcW w:w="4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increase in contract sales in our North America segment reflected an 11 percent increase in VPG to $3,266 in the twelve weeks ended March 22, 2013 from $2,942 in the prior year comparable period. This increase in VPG was due to a two percent price increase and a slightly more than one percentage point increase in closing efficiency resulting from improved marketing and sales execution.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Twelve Weeks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March 23,</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89"/>
              </w:rPr>
              <w:t>2013</w:t>
            </w:r>
          </w:p>
        </w:tc>
        <w:tc>
          <w:tcPr>
            <w:tcW w:w="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2012</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Change</w:t>
            </w:r>
          </w:p>
        </w:tc>
        <w:tc>
          <w:tcPr>
            <w:tcW w:w="6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1980" w:type="dxa"/>
            <w:vAlign w:val="bottom"/>
            <w:gridSpan w:val="2"/>
          </w:tcPr>
          <w:p>
            <w:pPr>
              <w:ind w:left="18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5"/>
              </w:rPr>
              <w:t>5.6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880" w:type="dxa"/>
            <w:vAlign w:val="bottom"/>
          </w:tcPr>
          <w:p>
            <w:pPr>
              <w:spacing w:after="0"/>
              <w:rPr>
                <w:sz w:val="24"/>
                <w:szCs w:val="24"/>
                <w:color w:val="auto"/>
              </w:rPr>
            </w:pPr>
          </w:p>
        </w:tc>
        <w:tc>
          <w:tcPr>
            <w:tcW w:w="1860" w:type="dxa"/>
            <w:vAlign w:val="bottom"/>
          </w:tcPr>
          <w:p>
            <w:pPr>
              <w:jc w:val="right"/>
              <w:ind w:right="3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increase in revenues from the sale of vacation ownership products was due to the $9 million increase in contract sales and $5 million of higher revenue reportability in the twelve weeks ended March 22, 2013 compared to the prior year comparable period, partially offset by $2 million of higher sales incentives issued in the current year quarter for plus points that will ultimately be recognized upon usage or expiration as rental revenues rather than revenues from the sale of vacation ownership products. The $5 million of higher revenue reportability resulted from $5 million of lower revenue reportability in the twelve weeks ended March 22, 2013 compared to $10 million of lower revenue reportability in the prior year comparable period. The impact of revenue reportability was lower in the current year quarter as more sales met the down payment requirement for revenue recognition purposes as compared to the prior year comparable period. There was no change in the sales reserve activity compared to the prior year comparable period because the higher sales reserve related to the increase in contract sales was offset by an improvement in estimated default and delinquency activity in the twelve weeks ended March 22, 2013.</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increase in development margin reflects $3 million of favorable product cost true-ups ($5 million in the twelve weeks ended March 22, 2013 compared to $2 in the prior year comparable period), a $2 million increase from higher contract sales volume net of direct variable expenses (i.e., cost of vacation ownership products and marketing and sales) mainly from a favorable mix of real estate inventory being sold and more efficient marketing and sales spending and $3 million from higher revenue reportability year-over-year.</w:t>
      </w:r>
    </w:p>
    <w:p>
      <w:pPr>
        <w:spacing w:after="0" w:line="14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favorable product cost true-ups recorded in the twelve weeks ended March 22, 2013 were comprised of $3 million from lower estimated common construction costs and $2 million from changes in sequencing of inventory into the MVCD program driven by the continued reacquisition of previously sold inventory.</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nearly 6 percentage point improvement in the development margin percentage reflects a 4 percentage point increase from lower cost of vacation ownership products due to the favorable product cost true-up activity (2 percentage points) and a favorable mix of lower cost real estate inventory being sold, and a 2 percentage point increase due to higher revenue reportability.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Twelve Weeks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23,</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2012</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8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81"/>
              </w:rPr>
              <w:t>7.6 pts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not meaningful</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increase in resort management and other services revenues reflects $2 million of additional annual club dues earned in connection with the MVCD program due to the cumulative increase in owners enrolled in the program, partially offset by $1 million of lower ancillary and other revenues. The lower ancillary revenues reflects a $3 million decline due to the disposition of a golf course and related assets at one of our Ritz-Carlton branded projects late in 2012, partially offset by a $1 million increase in ancillary revenues from food and beverage and golf offerings at our existing resorts and a $1 million increase in other miscellaneous revenues.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improvement in the resort management and other services margin reflects $2 million of additional annual club dues earned in connection with the MVCD program net of expenses, $1 million of higher ancillary revenues net of expenses primarily due to the disposition of a golf course and related assets at one of our Ritz-Carlton branded projects late in 2012, which experienced an operating loss in the prior year comparable period, and $1 million of higher other miscellaneous revenues net of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3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23,</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2013</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2012</w:t>
            </w:r>
          </w:p>
        </w:tc>
        <w:tc>
          <w:tcPr>
            <w:tcW w:w="7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vMerge w:val="continue"/>
            <w:shd w:val="clear" w:color="auto" w:fill="CCEEFF"/>
          </w:tcPr>
          <w:p>
            <w:pPr>
              <w:spacing w:after="0"/>
              <w:rPr>
                <w:sz w:val="18"/>
                <w:szCs w:val="18"/>
                <w:color w:val="auto"/>
              </w:rPr>
            </w:pPr>
          </w:p>
        </w:tc>
        <w:tc>
          <w:tcPr>
            <w:tcW w:w="2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2"/>
        </w:trPr>
        <w:tc>
          <w:tcPr>
            <w:tcW w:w="3800" w:type="dxa"/>
            <w:vAlign w:val="bottom"/>
            <w:gridSpan w:val="2"/>
          </w:tcPr>
          <w:p>
            <w:pPr>
              <w:spacing w:after="0"/>
              <w:rPr>
                <w:sz w:val="20"/>
                <w:szCs w:val="20"/>
                <w:color w:val="auto"/>
              </w:rPr>
            </w:pPr>
            <w:r>
              <w:rPr>
                <w:rFonts w:ascii="Arial" w:cs="Arial" w:eastAsia="Arial" w:hAnsi="Arial"/>
                <w:sz w:val="18"/>
                <w:szCs w:val="18"/>
                <w:color w:val="auto"/>
              </w:rPr>
              <w:t>Financing propensity</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decrease in financing revenues is due to lower interest income from a lower outstanding vacation ownership notes receivable balance. This decline reflects our continued collection of existing vacation ownership notes receivable at a faster pace than our origination of new vacation ownership notes receivable.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8"/>
          </w:tcPr>
          <w:p>
            <w:pPr>
              <w:jc w:val="right"/>
              <w:ind w:right="1000"/>
              <w:spacing w:after="0"/>
              <w:rPr>
                <w:sz w:val="20"/>
                <w:szCs w:val="20"/>
                <w:color w:val="auto"/>
              </w:rPr>
            </w:pPr>
            <w:r>
              <w:rPr>
                <w:rFonts w:ascii="Arial" w:cs="Arial" w:eastAsia="Arial" w:hAnsi="Arial"/>
                <w:sz w:val="14"/>
                <w:szCs w:val="14"/>
                <w:b w:val="1"/>
                <w:bCs w:val="1"/>
                <w:color w:val="auto"/>
              </w:rPr>
              <w:t>Twelve Weeks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March 23,</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2012</w:t>
            </w: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Change</w:t>
            </w:r>
          </w:p>
        </w:tc>
        <w:tc>
          <w:tcPr>
            <w:tcW w:w="580" w:type="dxa"/>
            <w:vAlign w:val="bottom"/>
            <w:tcBorders>
              <w:bottom w:val="single" w:sz="8" w:color="CCEEFF"/>
            </w:tcBorders>
            <w:gridSpan w:val="2"/>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Rental 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Unsold maintenance fees—upscale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8"/>
                <w:szCs w:val="18"/>
                <w:color w:val="auto"/>
              </w:rPr>
              <w:t>(2)</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Unsold maintenance fees—luxury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Unsold maintenance fees</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221"/>
        </w:trPr>
        <w:tc>
          <w:tcPr>
            <w:tcW w:w="5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8"/>
                <w:szCs w:val="18"/>
                <w:color w:val="auto"/>
              </w:rPr>
              <w:t>(1)</w:t>
            </w:r>
          </w:p>
        </w:tc>
        <w:tc>
          <w:tcPr>
            <w:tcW w:w="8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Rental margin</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222"/>
        </w:trPr>
        <w:tc>
          <w:tcPr>
            <w:tcW w:w="5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180" w:type="dxa"/>
            <w:vAlign w:val="bottom"/>
            <w:gridSpan w:val="2"/>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520"/>
              <w:spacing w:after="0"/>
              <w:rPr>
                <w:sz w:val="20"/>
                <w:szCs w:val="20"/>
                <w:color w:val="auto"/>
              </w:rPr>
            </w:pPr>
            <w:r>
              <w:rPr>
                <w:rFonts w:ascii="Arial" w:cs="Arial" w:eastAsia="Arial" w:hAnsi="Arial"/>
                <w:sz w:val="18"/>
                <w:szCs w:val="18"/>
                <w:color w:val="auto"/>
              </w:rPr>
              <w:t>(2)</w:t>
            </w:r>
          </w:p>
        </w:tc>
        <w:tc>
          <w:tcPr>
            <w:tcW w:w="8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(4.3 pts)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5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8"/>
          </w:tcPr>
          <w:p>
            <w:pPr>
              <w:jc w:val="right"/>
              <w:ind w:right="1000"/>
              <w:spacing w:after="0"/>
              <w:rPr>
                <w:sz w:val="20"/>
                <w:szCs w:val="20"/>
                <w:color w:val="auto"/>
              </w:rPr>
            </w:pPr>
            <w:r>
              <w:rPr>
                <w:rFonts w:ascii="Arial" w:cs="Arial" w:eastAsia="Arial" w:hAnsi="Arial"/>
                <w:sz w:val="14"/>
                <w:szCs w:val="14"/>
                <w:b w:val="1"/>
                <w:bCs w:val="1"/>
                <w:color w:val="auto"/>
              </w:rPr>
              <w:t>Twelve Weeks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1080" w:type="dxa"/>
            <w:vAlign w:val="bottom"/>
            <w:tcBorders>
              <w:top w:val="single" w:sz="8" w:color="auto"/>
            </w:tcBorders>
            <w:gridSpan w:val="4"/>
          </w:tcPr>
          <w:p>
            <w:pPr>
              <w:jc w:val="right"/>
              <w:ind w:right="440"/>
              <w:spacing w:after="0" w:line="129" w:lineRule="exact"/>
              <w:rPr>
                <w:sz w:val="20"/>
                <w:szCs w:val="20"/>
                <w:color w:val="auto"/>
              </w:rPr>
            </w:pPr>
            <w:r>
              <w:rPr>
                <w:rFonts w:ascii="Arial" w:cs="Arial" w:eastAsia="Arial" w:hAnsi="Arial"/>
                <w:sz w:val="14"/>
                <w:szCs w:val="14"/>
                <w:b w:val="1"/>
                <w:bCs w:val="1"/>
                <w:color w:val="auto"/>
                <w:w w:val="95"/>
              </w:rPr>
              <w:t>March 22,</w:t>
            </w: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92"/>
              </w:rPr>
              <w:t>March 23,</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2012</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3"/>
              </w:rPr>
              <w:t>Change</w:t>
            </w:r>
          </w:p>
        </w:tc>
        <w:tc>
          <w:tcPr>
            <w:tcW w:w="5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1"/>
                <w:szCs w:val="11"/>
                <w:color w:val="auto"/>
              </w:rPr>
              <w:t>(1)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246,383</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204,884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41,499</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80" w:type="dxa"/>
            <w:vAlign w:val="bottom"/>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208.93</w:t>
            </w:r>
          </w:p>
        </w:tc>
        <w:tc>
          <w:tcPr>
            <w:tcW w:w="4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w w:val="90"/>
              </w:rPr>
              <w:t>194.47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540"/>
              <w:spacing w:after="0"/>
              <w:rPr>
                <w:sz w:val="20"/>
                <w:szCs w:val="20"/>
                <w:color w:val="auto"/>
              </w:rPr>
            </w:pPr>
            <w:r>
              <w:rPr>
                <w:rFonts w:ascii="Arial" w:cs="Arial" w:eastAsia="Arial" w:hAnsi="Arial"/>
                <w:sz w:val="18"/>
                <w:szCs w:val="18"/>
                <w:color w:val="auto"/>
              </w:rPr>
              <w:t>14.46</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5"/>
              </w:rPr>
              <w:t>0.2 pts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Transient keys rented excludes those obtained through the use of plus points.</w:t>
      </w:r>
    </w:p>
    <w:p>
      <w:pPr>
        <w:spacing w:after="0" w:line="15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increase in rental revenues is due to $8 million from a 20 percent increase in transient keys rented, which were primarily sourced from an 11 percent increase in available keys (43,000 additional available keys) due to an increase in the number of owners choosing to exchange their vacation ownership interests for alternative usage options and a lower utilization of plus points for stays at our resorts, as well as $4 million from a 7 percent increase in average transient rate driven by stronger consumer demand and mix of available inventory. These increases were partially offset by the recognition of $5 million of lower plus points revenue (which is recognized upon utilization of plus points for stays at our resorts or upon expiration of the points) resulting from our reduced dependency on plus points as incentives for enrollment in our points program.</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decrease in rental margin reflects the $5 million decline in plus points revenue, partially offset by $3 million of higher rental revenues net of direct variable expenses (such as housekeeping), expenses incurred due to owners choosing alternative usage options and higher unsold maintenance fees. The increase in unsold maintenance fees mainly reflects the addition of new inventory upon completion of a phase at one of our projects in Hawaii in 2012.</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22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49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March 22,</w:t>
            </w:r>
          </w:p>
        </w:tc>
        <w:tc>
          <w:tcPr>
            <w:tcW w:w="1300" w:type="dxa"/>
            <w:vAlign w:val="bottom"/>
            <w:tcBorders>
              <w:top w:val="single" w:sz="8" w:color="auto"/>
            </w:tcBorders>
            <w:gridSpan w:val="3"/>
          </w:tcPr>
          <w:p>
            <w:pPr>
              <w:ind w:left="700"/>
              <w:spacing w:after="0" w:line="129" w:lineRule="exact"/>
              <w:rPr>
                <w:sz w:val="20"/>
                <w:szCs w:val="20"/>
                <w:color w:val="auto"/>
              </w:rPr>
            </w:pPr>
            <w:r>
              <w:rPr>
                <w:rFonts w:ascii="Arial" w:cs="Arial" w:eastAsia="Arial" w:hAnsi="Arial"/>
                <w:sz w:val="14"/>
                <w:szCs w:val="14"/>
                <w:b w:val="1"/>
                <w:bCs w:val="1"/>
                <w:color w:val="auto"/>
                <w:w w:val="89"/>
              </w:rPr>
              <w:t>March 23,</w:t>
            </w:r>
          </w:p>
        </w:tc>
        <w:tc>
          <w:tcPr>
            <w:tcW w:w="100" w:type="dxa"/>
            <w:vAlign w:val="bottom"/>
          </w:tcPr>
          <w:p>
            <w:pPr>
              <w:spacing w:after="0"/>
              <w:rPr>
                <w:sz w:val="11"/>
                <w:szCs w:val="11"/>
                <w:color w:val="auto"/>
              </w:rPr>
            </w:pPr>
          </w:p>
        </w:tc>
      </w:tr>
      <w:tr>
        <w:trPr>
          <w:trHeight w:val="161"/>
        </w:trPr>
        <w:tc>
          <w:tcPr>
            <w:tcW w:w="49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2013</w:t>
            </w: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Sale of vacation ownership products</w:t>
            </w:r>
          </w:p>
        </w:tc>
        <w:tc>
          <w:tcPr>
            <w:tcW w:w="1880" w:type="dxa"/>
            <w:vAlign w:val="bottom"/>
            <w:gridSpan w:val="2"/>
          </w:tcPr>
          <w:p>
            <w:pPr>
              <w:ind w:left="17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Financing</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tcPr>
          <w:p>
            <w:pPr>
              <w:ind w:left="440"/>
              <w:spacing w:after="0"/>
              <w:rPr>
                <w:sz w:val="20"/>
                <w:szCs w:val="20"/>
                <w:color w:val="auto"/>
              </w:rPr>
            </w:pPr>
            <w:r>
              <w:rPr>
                <w:rFonts w:ascii="Arial" w:cs="Arial" w:eastAsia="Arial" w:hAnsi="Arial"/>
                <w:sz w:val="18"/>
                <w:szCs w:val="18"/>
                <w:color w:val="auto"/>
              </w:rPr>
              <w:t>Cost reimbursements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vacation ownership products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Marketing and sales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Rental</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21"/>
        </w:trPr>
        <w:tc>
          <w:tcPr>
            <w:tcW w:w="4920" w:type="dxa"/>
            <w:vAlign w:val="bottom"/>
          </w:tcPr>
          <w:p>
            <w:pPr>
              <w:ind w:left="860"/>
              <w:spacing w:after="0"/>
              <w:rPr>
                <w:sz w:val="20"/>
                <w:szCs w:val="20"/>
                <w:color w:val="auto"/>
              </w:rPr>
            </w:pPr>
            <w:r>
              <w:rPr>
                <w:rFonts w:ascii="Arial" w:cs="Arial" w:eastAsia="Arial" w:hAnsi="Arial"/>
                <w:sz w:val="18"/>
                <w:szCs w:val="18"/>
                <w:color w:val="auto"/>
              </w:rPr>
              <w:t>Total expenses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8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Segment financial results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center"/>
              <w:spacing w:after="0" w:line="205"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060" w:type="dxa"/>
            <w:vAlign w:val="bottom"/>
            <w:gridSpan w:val="3"/>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60" w:type="dxa"/>
            <w:vAlign w:val="bottom"/>
            <w:gridSpan w:val="3"/>
          </w:tcPr>
          <w:p>
            <w:pPr>
              <w:ind w:left="460"/>
              <w:spacing w:after="0"/>
              <w:rPr>
                <w:sz w:val="20"/>
                <w:szCs w:val="20"/>
                <w:color w:val="auto"/>
              </w:rPr>
            </w:pPr>
            <w:r>
              <w:rPr>
                <w:rFonts w:ascii="Arial" w:cs="Arial" w:eastAsia="Arial" w:hAnsi="Arial"/>
                <w:sz w:val="18"/>
                <w:szCs w:val="18"/>
                <w:i w:val="1"/>
                <w:iCs w:val="1"/>
                <w:color w:val="auto"/>
              </w:rPr>
              <w:t>Twelve Weeks Ended March 22, 2013</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7"/>
              </w:rPr>
              <w:t>Twelve Weeks Ended</w:t>
            </w:r>
          </w:p>
        </w:tc>
        <w:tc>
          <w:tcPr>
            <w:tcW w:w="1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March 22,</w:t>
            </w: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9"/>
              </w:rPr>
              <w:t>March 23,</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60" w:type="dxa"/>
            <w:vAlign w:val="bottom"/>
            <w:gridSpan w:val="3"/>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82"/>
              <w:spacing w:after="0"/>
              <w:rPr>
                <w:sz w:val="20"/>
                <w:szCs w:val="20"/>
                <w:color w:val="auto"/>
              </w:rPr>
            </w:pPr>
            <w:r>
              <w:rPr>
                <w:rFonts w:ascii="Arial" w:cs="Arial" w:eastAsia="Arial" w:hAnsi="Arial"/>
                <w:sz w:val="14"/>
                <w:szCs w:val="14"/>
                <w:b w:val="1"/>
                <w:bCs w:val="1"/>
                <w:color w:val="auto"/>
                <w:w w:val="89"/>
              </w:rPr>
              <w:t>2013</w:t>
            </w:r>
          </w:p>
        </w:tc>
        <w:tc>
          <w:tcPr>
            <w:tcW w:w="11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Contract Sales</w:t>
            </w:r>
          </w:p>
        </w:tc>
        <w:tc>
          <w:tcPr>
            <w:tcW w:w="1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0" w:type="dxa"/>
            <w:vAlign w:val="bottom"/>
            <w:gridSpan w:val="2"/>
          </w:tcPr>
          <w:p>
            <w:pPr>
              <w:ind w:left="880"/>
              <w:spacing w:after="0"/>
              <w:rPr>
                <w:sz w:val="20"/>
                <w:szCs w:val="20"/>
                <w:color w:val="auto"/>
              </w:rPr>
            </w:pPr>
            <w:r>
              <w:rPr>
                <w:rFonts w:ascii="Arial" w:cs="Arial" w:eastAsia="Arial" w:hAnsi="Arial"/>
                <w:sz w:val="18"/>
                <w:szCs w:val="18"/>
                <w:color w:val="auto"/>
              </w:rPr>
              <w:t>Vacation ownership</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center"/>
              <w:spacing w:after="0"/>
              <w:rPr>
                <w:sz w:val="20"/>
                <w:szCs w:val="20"/>
                <w:color w:val="auto"/>
              </w:rPr>
            </w:pPr>
            <w:r>
              <w:rPr>
                <w:rFonts w:ascii="Arial" w:cs="Arial" w:eastAsia="Arial" w:hAnsi="Arial"/>
                <w:sz w:val="18"/>
                <w:szCs w:val="18"/>
                <w:color w:val="auto"/>
                <w:w w:val="99"/>
              </w:rPr>
              <w:t>(3)</w:t>
            </w:r>
          </w:p>
        </w:tc>
        <w:tc>
          <w:tcPr>
            <w:tcW w:w="1360" w:type="dxa"/>
            <w:vAlign w:val="bottom"/>
            <w:gridSpan w:val="5"/>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3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Twelve Weeks Ended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23,</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89"/>
              </w:rPr>
              <w:t>2013</w:t>
            </w:r>
          </w:p>
        </w:tc>
        <w:tc>
          <w:tcPr>
            <w:tcW w:w="5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2012</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1"/>
              </w:rPr>
              <w:t>Change</w:t>
            </w:r>
          </w:p>
        </w:tc>
        <w:tc>
          <w:tcPr>
            <w:tcW w:w="6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2"/>
        </w:trPr>
        <w:tc>
          <w:tcPr>
            <w:tcW w:w="56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(5.9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lower revenue from the sale of vacation ownership products reflects the $3 million decline in contract sales, and is partially offset by $1 million of higher revenue reportability. The development margin in the twelve weeks ended March 22, 2013 is unchanged from the prior year comparable period. Results for the twelve weeks ended March 22, 2013 include $1 million of severance related to the restructuring of sales locations in Europe in early 2013. Additionally, cost of vacation ownership products is less than $1 million in the twelve weeks ended March 22, 2013 as a result of a favorable product cost true-up and a favorable resolution of a tax (non-income) matter.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Asia Pacific</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4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22,</w:t>
            </w:r>
          </w:p>
        </w:tc>
        <w:tc>
          <w:tcPr>
            <w:tcW w:w="1340" w:type="dxa"/>
            <w:vAlign w:val="bottom"/>
            <w:tcBorders>
              <w:top w:val="single" w:sz="8" w:color="auto"/>
            </w:tcBorders>
            <w:gridSpan w:val="3"/>
          </w:tcPr>
          <w:p>
            <w:pPr>
              <w:ind w:left="740"/>
              <w:spacing w:after="0" w:line="129" w:lineRule="exact"/>
              <w:rPr>
                <w:sz w:val="20"/>
                <w:szCs w:val="20"/>
                <w:color w:val="auto"/>
              </w:rPr>
            </w:pPr>
            <w:r>
              <w:rPr>
                <w:rFonts w:ascii="Arial" w:cs="Arial" w:eastAsia="Arial" w:hAnsi="Arial"/>
                <w:sz w:val="14"/>
                <w:szCs w:val="14"/>
                <w:b w:val="1"/>
                <w:bCs w:val="1"/>
                <w:color w:val="auto"/>
                <w:w w:val="89"/>
              </w:rPr>
              <w:t>March 23,</w:t>
            </w:r>
          </w:p>
        </w:tc>
        <w:tc>
          <w:tcPr>
            <w:tcW w:w="100" w:type="dxa"/>
            <w:vAlign w:val="bottom"/>
          </w:tcPr>
          <w:p>
            <w:pPr>
              <w:spacing w:after="0"/>
              <w:rPr>
                <w:sz w:val="11"/>
                <w:szCs w:val="11"/>
                <w:color w:val="auto"/>
              </w:rPr>
            </w:pPr>
          </w:p>
        </w:tc>
      </w:tr>
      <w:tr>
        <w:trPr>
          <w:trHeight w:val="161"/>
        </w:trPr>
        <w:tc>
          <w:tcPr>
            <w:tcW w:w="4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2013</w:t>
            </w: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Sale of vacation ownership products</w:t>
            </w:r>
          </w:p>
        </w:tc>
        <w:tc>
          <w:tcPr>
            <w:tcW w:w="18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Financing</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23"/>
        </w:trPr>
        <w:tc>
          <w:tcPr>
            <w:tcW w:w="4880" w:type="dxa"/>
            <w:vAlign w:val="bottom"/>
          </w:tcPr>
          <w:p>
            <w:pPr>
              <w:ind w:left="440"/>
              <w:spacing w:after="0"/>
              <w:rPr>
                <w:sz w:val="20"/>
                <w:szCs w:val="20"/>
                <w:color w:val="auto"/>
              </w:rPr>
            </w:pPr>
            <w:r>
              <w:rPr>
                <w:rFonts w:ascii="Arial" w:cs="Arial" w:eastAsia="Arial" w:hAnsi="Arial"/>
                <w:sz w:val="18"/>
                <w:szCs w:val="18"/>
                <w:color w:val="auto"/>
              </w:rPr>
              <w:t>Cost reimbursements</w:t>
            </w:r>
          </w:p>
        </w:tc>
        <w:tc>
          <w:tcPr>
            <w:tcW w:w="1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4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22"/>
        </w:trPr>
        <w:tc>
          <w:tcPr>
            <w:tcW w:w="48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vacation ownership products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Marketing and sales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Rental</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1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30"/>
        </w:trPr>
        <w:tc>
          <w:tcPr>
            <w:tcW w:w="4880" w:type="dxa"/>
            <w:vAlign w:val="bottom"/>
          </w:tcPr>
          <w:p>
            <w:pPr>
              <w:ind w:left="860"/>
              <w:spacing w:after="0"/>
              <w:rPr>
                <w:sz w:val="20"/>
                <w:szCs w:val="20"/>
                <w:color w:val="auto"/>
              </w:rPr>
            </w:pPr>
            <w:r>
              <w:rPr>
                <w:rFonts w:ascii="Arial" w:cs="Arial" w:eastAsia="Arial" w:hAnsi="Arial"/>
                <w:sz w:val="18"/>
                <w:szCs w:val="18"/>
                <w:color w:val="auto"/>
              </w:rPr>
              <w:t>Total expenses</w:t>
            </w:r>
          </w:p>
        </w:tc>
        <w:tc>
          <w:tcPr>
            <w:tcW w:w="1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Segment financial results</w:t>
            </w:r>
          </w:p>
        </w:tc>
        <w:tc>
          <w:tcPr>
            <w:tcW w:w="188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our Asia Pacific segment, we continue to identify opportunities for development margin improvement and, as a result, we closed our off-site sales locations in Hong Kong and Japan in the fourth quarter of 2012. Our on-site sales locations have proven to be more efficient sales channels than our off-site sales locations and, therefore, we plan to focus our efforts towards future inventory acquisitions with strong on-site sales distribution potential.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8"/>
              </w:rPr>
              <w:t>Twelve Weeks Ended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1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22,</w:t>
            </w:r>
          </w:p>
        </w:tc>
        <w:tc>
          <w:tcPr>
            <w:tcW w:w="6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23,</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61"/>
        </w:trPr>
        <w:tc>
          <w:tcPr>
            <w:tcW w:w="41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82"/>
              <w:spacing w:after="0"/>
              <w:rPr>
                <w:sz w:val="20"/>
                <w:szCs w:val="20"/>
                <w:color w:val="auto"/>
              </w:rPr>
            </w:pPr>
            <w:r>
              <w:rPr>
                <w:rFonts w:ascii="Arial" w:cs="Arial" w:eastAsia="Arial" w:hAnsi="Arial"/>
                <w:sz w:val="14"/>
                <w:szCs w:val="14"/>
                <w:b w:val="1"/>
                <w:bCs w:val="1"/>
                <w:color w:val="auto"/>
                <w:w w:val="96"/>
              </w:rPr>
              <w:t>2013</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Contract Sales</w:t>
            </w:r>
          </w:p>
        </w:tc>
        <w:tc>
          <w:tcPr>
            <w:tcW w:w="1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16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18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7"/>
        </w:trPr>
        <w:tc>
          <w:tcPr>
            <w:tcW w:w="4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0"/>
        </w:trPr>
        <w:tc>
          <w:tcPr>
            <w:tcW w:w="4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80" w:firstLine="456"/>
        <w:spacing w:after="0" w:line="268" w:lineRule="auto"/>
        <w:rPr>
          <w:sz w:val="20"/>
          <w:szCs w:val="20"/>
          <w:color w:val="auto"/>
        </w:rPr>
      </w:pPr>
      <w:r>
        <w:rPr>
          <w:rFonts w:ascii="Arial" w:cs="Arial" w:eastAsia="Arial" w:hAnsi="Arial"/>
          <w:sz w:val="18"/>
          <w:szCs w:val="18"/>
          <w:color w:val="auto"/>
        </w:rPr>
        <w:t>The decline in contract sales reflects the closure of off-site sales locations in 2012, partially offset by improvements at existing sales locations. These changes resulted in a 60 percent decrease in sales tours and a $1,373 increase in VPG.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Twelve Weeks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23,</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2013</w:t>
            </w: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2012</w:t>
            </w: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2"/>
        </w:trPr>
        <w:tc>
          <w:tcPr>
            <w:tcW w:w="4140" w:type="dxa"/>
            <w:vAlign w:val="bottom"/>
            <w:vMerge w:val="continue"/>
          </w:tcPr>
          <w:p>
            <w:pPr>
              <w:spacing w:after="0"/>
              <w:rPr>
                <w:sz w:val="19"/>
                <w:szCs w:val="19"/>
                <w:color w:val="auto"/>
              </w:rPr>
            </w:pPr>
          </w:p>
        </w:tc>
        <w:tc>
          <w:tcPr>
            <w:tcW w:w="1660" w:type="dxa"/>
            <w:vAlign w:val="bottom"/>
            <w:gridSpan w:val="2"/>
          </w:tcPr>
          <w:p>
            <w:pPr>
              <w:ind w:left="15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23.4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development margin increase is due to the lower sales volume net of direct variable expenses (</w:t>
      </w:r>
      <w:r>
        <w:rPr>
          <w:rFonts w:ascii="Arial" w:cs="Arial" w:eastAsia="Arial" w:hAnsi="Arial"/>
          <w:sz w:val="16"/>
          <w:szCs w:val="16"/>
          <w:i w:val="1"/>
          <w:iCs w:val="1"/>
          <w:color w:val="auto"/>
        </w:rPr>
        <w:t>i.e.</w:t>
      </w:r>
      <w:r>
        <w:rPr>
          <w:rFonts w:ascii="Arial" w:cs="Arial" w:eastAsia="Arial" w:hAnsi="Arial"/>
          <w:sz w:val="16"/>
          <w:szCs w:val="16"/>
          <w:color w:val="auto"/>
        </w:rPr>
        <w:t>, cost of vacation ownership products and marketing and sales) as a result of more efficient marketing and sales spending at our existing sales locations in the twelve weeks ended March 22, 2013.</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24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22,</w:t>
            </w:r>
          </w:p>
        </w:tc>
        <w:tc>
          <w:tcPr>
            <w:tcW w:w="1360" w:type="dxa"/>
            <w:vAlign w:val="bottom"/>
            <w:tcBorders>
              <w:top w:val="single" w:sz="8" w:color="auto"/>
            </w:tcBorders>
            <w:gridSpan w:val="3"/>
          </w:tcPr>
          <w:p>
            <w:pPr>
              <w:ind w:left="760"/>
              <w:spacing w:after="0" w:line="129" w:lineRule="exact"/>
              <w:rPr>
                <w:sz w:val="20"/>
                <w:szCs w:val="20"/>
                <w:color w:val="auto"/>
              </w:rPr>
            </w:pPr>
            <w:r>
              <w:rPr>
                <w:rFonts w:ascii="Arial" w:cs="Arial" w:eastAsia="Arial" w:hAnsi="Arial"/>
                <w:sz w:val="14"/>
                <w:szCs w:val="14"/>
                <w:b w:val="1"/>
                <w:bCs w:val="1"/>
                <w:color w:val="auto"/>
                <w:w w:val="89"/>
              </w:rPr>
              <w:t>March 23,</w:t>
            </w:r>
          </w:p>
        </w:tc>
        <w:tc>
          <w:tcPr>
            <w:tcW w:w="100" w:type="dxa"/>
            <w:vAlign w:val="bottom"/>
          </w:tcPr>
          <w:p>
            <w:pPr>
              <w:spacing w:after="0"/>
              <w:rPr>
                <w:sz w:val="11"/>
                <w:szCs w:val="11"/>
                <w:color w:val="auto"/>
              </w:rPr>
            </w:pPr>
          </w:p>
        </w:tc>
      </w:tr>
      <w:tr>
        <w:trPr>
          <w:trHeight w:val="161"/>
        </w:trPr>
        <w:tc>
          <w:tcPr>
            <w:tcW w:w="4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2013</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vacation ownership products</w:t>
            </w:r>
          </w:p>
        </w:tc>
        <w:tc>
          <w:tcPr>
            <w:tcW w:w="2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Financing</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Organizational and separation related</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Royalty fee</w:t>
            </w:r>
          </w:p>
        </w:tc>
        <w:tc>
          <w:tcPr>
            <w:tcW w:w="2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212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Corporate and Other captures information not specifically identifiable to an individual segment, including expenses in support of our financing operations, non-capitalizable development expenses supporting overall company development, company-wide general and administrative costs, the fixed royalty fee payable under the License Agreements and interest expense.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March 22, 2013</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Total expenses decreased $2 million over the prior year comparable period. The $2 million decrease was the result of $2 million of lower interest expense, $1 million of lower financing expenses due to lower foreclosure activity and $1 million of lower organizational and separation related expenses, partially offset by $2 million of higher general and administrative expenses.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$2 million decline in interest expense was due to $2 million of lower consumer financing interest expense. The decline in consumer financing interest expense is driven by the lower outstanding debt balances related to the securitized vacation ownership notes receivable as well as a lower average interest rate. The lower average interest rate reflects the continued pay-down of older securitization transactions that carried higher overall interest rates and the benefit of lower interest rates achieved in our most recently completed securitization of vacation ownership notes receivables and through utilization of the Warehouse Credit Facility. Non-consumer financing interest expense remained unchanged from the prior year comparable period. A nearly $1 million decline in expense associated with the liability for the Marriott Rewards customer loyalty program under the Marriott Rewards Agreement which we entered into in connection with the Spin-Off is offset by nearly $1 million of lower capitalized interest costs.</w:t>
      </w:r>
    </w:p>
    <w:p>
      <w:pPr>
        <w:spacing w:after="0" w:line="11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General and administrative expense increased $2 million (from $19 million to $21 million) over the prior year comparable period due to $2 million of higher personnel related costs, $1 million of higher legal and audit related expenses, and $1 million from timing of expenses as compared to the prior year comparable period. These increases were offset by $1 million of savings related to organizational and separation related efforts (human resources, information technology and finance and accounting) and $1 million from the resolution of an international tax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See Footnote No. 1 to our Financial Statements, “Summary of Significant Accounting Policies,” for information related to our adoption of new accounting standards in the twelve weeks ended March 22,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Our capital needs are supported by cash on hand ($119 million at the end of the first quarter of 2013), cash generated from operations, our ability to raise capital through securitizations in the ABS market, and to the extent necessary, funds available under the Warehouse Credit Facility and the Revolving Corporate Credit Facility. We believe these sources will be adequate to meet our short-term and long-term liquidity requirements, finance our long-term growth plans, satisfy debt service requirements, and fulfill other cash requirements. At the end of the first quarter of 2013, $682 million of the $686 million of total debt outstanding is non-recourse debt associated with secured vacation ownership notes receivable. In addition, we have $40 million of mandatorily redeemable preferred stock of a consolidated subsidiary that we are not required to redeem until October 2021; however we may redeem the preferred stock after October 2016 at our option.</w:t>
      </w:r>
    </w:p>
    <w:p>
      <w:pPr>
        <w:spacing w:after="0" w:line="14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sufficient real estate inventory to meet expected demand for our vacation ownership products for the next several years. At the end of the first quarter of 2013, we had $866 million of real estate inventory on hand, comprised of $454 million of finished goods, $145 million of work-in-process, and $267 million of land and infrastructure. As a result, we expect our real estate inventory spending (discussed below) will be less than or in line with cost of sales for the near term. We also expect to sell excess Ritz-Carlton branded inventory and dispose of undeveloped land, and to sell most of our remaining Ritz-Carlton branded inventory through the MVCD program over the next few years, in order to generate incremental cash and reduce related carrying costs.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vacation ownership product offerings also allow us to more efficiently utilize our real estate inventory. The majority of our sales are of a points-based product, which permits us to sell vacation ownership products at most of our sales locations, including those where little or no weeks-based inventory remains available for sale. Because we no longer need specific resort-based inventory at each sales location, we expect to have fewer resorts under construction at any given time and expect to better leverage successful sales locations at completed resorts. We expect that this will allow us to maintain long-term sales locations and minimize the need to develop and staff on-site sales locations at smaller projects in the future. We believe these points-based programs better position us to align our construction of real estate inventory with the pace of sales of vacation ownership products by slowing down or accelerating construction, as demand across our portfolio and market conditions dictate.</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During the twelve weeks ended March 22, 2013 we had a net increase in cash and cash equivalents of $15 million compared to a $33 million net decrease in cash and cash equivalents during the twelve weeks ended March 23, 2012. The following table summarizes such changes:</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5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940" w:type="dxa"/>
            <w:vAlign w:val="bottom"/>
            <w:tcBorders>
              <w:top w:val="single" w:sz="8" w:color="auto"/>
            </w:tcBorders>
            <w:gridSpan w:val="3"/>
          </w:tcPr>
          <w:p>
            <w:pPr>
              <w:ind w:left="340"/>
              <w:spacing w:after="0" w:line="129" w:lineRule="exact"/>
              <w:rPr>
                <w:sz w:val="20"/>
                <w:szCs w:val="20"/>
                <w:color w:val="auto"/>
              </w:rPr>
            </w:pPr>
            <w:r>
              <w:rPr>
                <w:rFonts w:ascii="Arial" w:cs="Arial" w:eastAsia="Arial" w:hAnsi="Arial"/>
                <w:sz w:val="14"/>
                <w:szCs w:val="14"/>
                <w:b w:val="1"/>
                <w:bCs w:val="1"/>
                <w:color w:val="auto"/>
                <w:w w:val="89"/>
              </w:rPr>
              <w:t>March 23,</w:t>
            </w:r>
          </w:p>
        </w:tc>
        <w:tc>
          <w:tcPr>
            <w:tcW w:w="120" w:type="dxa"/>
            <w:vAlign w:val="bottom"/>
          </w:tcPr>
          <w:p>
            <w:pPr>
              <w:spacing w:after="0"/>
              <w:rPr>
                <w:sz w:val="11"/>
                <w:szCs w:val="11"/>
                <w:color w:val="auto"/>
              </w:rPr>
            </w:pPr>
          </w:p>
        </w:tc>
      </w:tr>
      <w:tr>
        <w:trPr>
          <w:trHeight w:val="161"/>
        </w:trPr>
        <w:tc>
          <w:tcPr>
            <w:tcW w:w="51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2013</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1580" w:type="dxa"/>
            <w:vAlign w:val="bottom"/>
            <w:gridSpan w:val="2"/>
          </w:tcPr>
          <w:p>
            <w:pPr>
              <w:ind w:left="14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7"/>
        </w:trPr>
        <w:tc>
          <w:tcPr>
            <w:tcW w:w="5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cash and cash equivalents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0"/>
        </w:trPr>
        <w:tc>
          <w:tcPr>
            <w:tcW w:w="5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the twelve weeks ended March 22, 2013, we used $11 million of cash flows for operating activities, compared to generating $25 million of cash flows from operating activities in the twelve weeks ended March 23, 2012. Our primary sources of funds from operations are (1) cash sales and down payments on financed sales, (2) cash from our financing operations, including principal and interest payments received on outstanding notes receivables and (3) net cash generated from our rental and resort management and other services operations. Outflows include spending for the development of new phases of existing resorts or turnkey purchases of new inventory as well as funding our working capital needs.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minimize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 related outflows. In addition, our cash from operations varies due to the timing of our owners’ repayment of vacation ownership notes receivable, the closing of sales contracts for vacation ownership products, the rate at which owners finance their vacation ownership purchase with us, and cash outlays for real estate inventory development.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twelve weeks ended March 22, 2013, cash from operating activities was impacted by the timing of unsold maintenance fee payments to property owners’ associations as compared to the prior year comparable period, higher bonus payouts associated with 2012 financial performance and payment of a previously accrued legal settlement.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net income and adjustments for non-cash items, the following operating activities are key drivers of our cash flow from operating activities: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estate inventory spending less than cost of sales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ind w:left="26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5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9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March 23,</w:t>
            </w:r>
          </w:p>
        </w:tc>
        <w:tc>
          <w:tcPr>
            <w:tcW w:w="120" w:type="dxa"/>
            <w:vAlign w:val="bottom"/>
          </w:tcPr>
          <w:p>
            <w:pPr>
              <w:spacing w:after="0"/>
              <w:rPr>
                <w:sz w:val="11"/>
                <w:szCs w:val="11"/>
                <w:color w:val="auto"/>
              </w:rPr>
            </w:pPr>
          </w:p>
        </w:tc>
      </w:tr>
      <w:tr>
        <w:trPr>
          <w:trHeight w:val="161"/>
        </w:trPr>
        <w:tc>
          <w:tcPr>
            <w:tcW w:w="53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2013</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 inventory spending</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Real estate inventory costs</w:t>
            </w: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 estate inventory spending less than cost of sales</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in our Statements of Operations related to sale of vacation ownership products (a non-cash item).</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Given the significant level of completed real estate inventory on hand, as well as the capital efficiency resulting from our MVCD program, our spending for real estate inventory remained below the amount of real estate inventory costs in each of the twelve week periods ended March 22, 2013 and March 23, 2012. We expect our real estate inventory spending to remain in line with or below real estate inventory costs in the near term.</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recently expanded our existing vacation ownership interest repurchase program pursuant to which we are proactively buying back previously sold vacation ownership interests at lower costs than would be required to develop new inventory. By repurchasing inventory in desirable locations we expect to be able to stabilize the future cost of vacation ownership products for the next several years.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 receivable collections in excess of new mortgages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6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9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March 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2013</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 receivable collections (non-securitized vacation ownership notes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Notes receivable collections (securitized vacation ownership notes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New vacation ownership notes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440"/>
              <w:spacing w:after="0"/>
              <w:rPr>
                <w:sz w:val="20"/>
                <w:szCs w:val="20"/>
                <w:color w:val="auto"/>
              </w:rPr>
            </w:pPr>
            <w:r>
              <w:rPr>
                <w:rFonts w:ascii="Arial" w:cs="Arial" w:eastAsia="Arial" w:hAnsi="Arial"/>
                <w:sz w:val="18"/>
                <w:szCs w:val="18"/>
                <w:color w:val="auto"/>
              </w:rPr>
              <w:t>Notes receivable collections in excess of new mortgages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Notes receivable collections include principal from non-securitized and securitized vacation ownership notes receivable for all periods reported. Collections in the twelve weeks ended March 22, 2013 remained in line with the prior year comparable period. New vacation ownership notes receivable increased slightly in the twelve weeks ended March 22, 2013 compared to the twelve weeks ended March 23, 2012 due to an increase in the number of contract closings that occurred in the twelve weeks ended March 22, 2013 compared to the twelve weeks ended March 23, 2012, mainly in our North America segment, partially offset by a 1 percentage point decline in the financing propensity of purchasers in our North America segment (to 40 percent in the twelve weeks ended March 22, 2013 from 41 percent in the prior year comparable period). During the first quarter of 2013, and as of March 22, 2013, no pools were out of compliance with performance triggers.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Twelve Weeks Ended</w:t>
            </w:r>
          </w:p>
        </w:tc>
      </w:tr>
      <w:tr>
        <w:trPr>
          <w:trHeight w:val="129"/>
        </w:trPr>
        <w:tc>
          <w:tcPr>
            <w:tcW w:w="6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9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March 23,</w:t>
            </w:r>
          </w:p>
        </w:tc>
        <w:tc>
          <w:tcPr>
            <w:tcW w:w="120" w:type="dxa"/>
            <w:vAlign w:val="bottom"/>
          </w:tcPr>
          <w:p>
            <w:pPr>
              <w:spacing w:after="0"/>
              <w:rPr>
                <w:sz w:val="11"/>
                <w:szCs w:val="11"/>
                <w:color w:val="auto"/>
              </w:rPr>
            </w:pPr>
          </w:p>
        </w:tc>
      </w:tr>
      <w:tr>
        <w:trPr>
          <w:trHeight w:val="161"/>
        </w:trPr>
        <w:tc>
          <w:tcPr>
            <w:tcW w:w="6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2013</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 for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6600" w:type="dxa"/>
            <w:vAlign w:val="bottom"/>
          </w:tcPr>
          <w:p>
            <w:pPr>
              <w:ind w:left="440"/>
              <w:spacing w:after="0"/>
              <w:rPr>
                <w:sz w:val="20"/>
                <w:szCs w:val="20"/>
                <w:color w:val="auto"/>
              </w:rPr>
            </w:pPr>
            <w:r>
              <w:rPr>
                <w:rFonts w:ascii="Arial" w:cs="Arial" w:eastAsia="Arial" w:hAnsi="Arial"/>
                <w:sz w:val="18"/>
                <w:szCs w:val="18"/>
                <w:color w:val="auto"/>
              </w:rPr>
              <w:t>Net cash provided by investing activities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Capital expenditures for property and equipment relates to spending for technology development, buildings and equipment used at sales locations, and ancillary offerings at resorts such as food and beverage locations.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the twelve weeks ended March 22, 2013, capital expenditures for property and equipment of $3 million included $2 million of spending to support normal business operations (such as sales locations and ancillary assets) and $1 million for technology spending.</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the twelve weeks ended March 23, 2012, capital expenditures for property and equipment of $3 million included spending to support normal business operations (such as sales locations and ancillary assets).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Decrease in Restricted Cash</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Restricted cash primarily consists of cash held in a reserve account related to vacation ownership notes receivable securitizations, cash collected for maintenance fees to be remitted to property owners’ associations, and deposits received, primarily associated with vacation ownership products that are held in escrow until the associated contract has closed or the period in which it can be rescinded has passed, depending on legal requirements. The decrease in restricted cash in the twelve weeks ended March 22, 2013 and March 23, 2012 reflects payments to property owners’ associations for maintenance fees collected on their behalf prior to the end of 2012. We expect the fluctuation in restricted cash for maintenance fee activity to be relatively stable, with cash inflows occurring in the fourth quarter upon receipt of maintenance fees and cash out flows occurring in the first quarter upon remittance to property owners’ associations.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Dispositions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Dispositions in the twelve weeks ended March 22, 2013, related to the sale of a multi-family parcel and several lots in St. Thomas, USVI.</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Twelve Weeks Ended</w:t>
            </w:r>
          </w:p>
        </w:tc>
        <w:tc>
          <w:tcPr>
            <w:tcW w:w="0" w:type="dxa"/>
            <w:vAlign w:val="bottom"/>
          </w:tcPr>
          <w:p>
            <w:pPr>
              <w:spacing w:after="0"/>
              <w:rPr>
                <w:sz w:val="1"/>
                <w:szCs w:val="1"/>
                <w:color w:val="auto"/>
              </w:rPr>
            </w:pPr>
          </w:p>
        </w:tc>
      </w:tr>
      <w:tr>
        <w:trPr>
          <w:trHeight w:val="129"/>
        </w:trPr>
        <w:tc>
          <w:tcPr>
            <w:tcW w:w="6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22,</w:t>
            </w:r>
          </w:p>
        </w:tc>
        <w:tc>
          <w:tcPr>
            <w:tcW w:w="940" w:type="dxa"/>
            <w:vAlign w:val="bottom"/>
            <w:tcBorders>
              <w:top w:val="single" w:sz="8" w:color="auto"/>
            </w:tcBorders>
            <w:gridSpan w:val="3"/>
          </w:tcPr>
          <w:p>
            <w:pPr>
              <w:ind w:left="340"/>
              <w:spacing w:after="0" w:line="129" w:lineRule="exact"/>
              <w:rPr>
                <w:sz w:val="20"/>
                <w:szCs w:val="20"/>
                <w:color w:val="auto"/>
              </w:rPr>
            </w:pPr>
            <w:r>
              <w:rPr>
                <w:rFonts w:ascii="Arial" w:cs="Arial" w:eastAsia="Arial" w:hAnsi="Arial"/>
                <w:sz w:val="14"/>
                <w:szCs w:val="14"/>
                <w:b w:val="1"/>
                <w:bCs w:val="1"/>
                <w:color w:val="auto"/>
                <w:w w:val="89"/>
              </w:rPr>
              <w:t>March 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Borrowings from securitization transactions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440"/>
              <w:spacing w:after="0"/>
              <w:rPr>
                <w:sz w:val="20"/>
                <w:szCs w:val="20"/>
                <w:color w:val="auto"/>
              </w:rPr>
            </w:pPr>
            <w:r>
              <w:rPr>
                <w:rFonts w:ascii="Arial" w:cs="Arial" w:eastAsia="Arial" w:hAnsi="Arial"/>
                <w:sz w:val="18"/>
                <w:szCs w:val="18"/>
                <w:color w:val="auto"/>
              </w:rPr>
              <w:t>Warehouse Credit Facility</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400" w:type="dxa"/>
            <w:vAlign w:val="bottom"/>
          </w:tcPr>
          <w:p>
            <w:pPr>
              <w:spacing w:after="0"/>
              <w:rPr>
                <w:sz w:val="19"/>
                <w:szCs w:val="19"/>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Repayment of debt related to securitizations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Bonds payable on securitized vacation ownership notes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Warehouse Credit Facility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1"/>
        </w:trPr>
        <w:tc>
          <w:tcPr>
            <w:tcW w:w="6620" w:type="dxa"/>
            <w:vAlign w:val="bottom"/>
          </w:tcPr>
          <w:p>
            <w:pPr>
              <w:spacing w:after="0"/>
              <w:rPr>
                <w:sz w:val="20"/>
                <w:szCs w:val="20"/>
                <w:color w:val="auto"/>
              </w:rPr>
            </w:pPr>
            <w:r>
              <w:rPr>
                <w:rFonts w:ascii="Arial" w:cs="Arial" w:eastAsia="Arial" w:hAnsi="Arial"/>
                <w:sz w:val="18"/>
                <w:szCs w:val="18"/>
                <w:color w:val="auto"/>
              </w:rPr>
              <w:t>Borrowings on Revolving Corporate Credit Facility</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Repayment of Revolving Corporate Credit Facility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Proceeds from stock option exercises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Borrowings / Repayments of debt related to securitizations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and we reflect payments of bonds payable associated with vacation ownership notes receivable securitizations and on the Warehouse Credit Facility, including vacation ownership notes receivable repurchases, as “Repayment of debt related to securitizations,” within “Cash from Financing Activities.”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Repayments on the non-recourse debt associated with our securitized vacation ownership notes receivable totaled $103 million (including $52 million for voluntary retirement clean-up calls) and $76 million (including $12 million for voluntary clean-up calls) in each of the twelve weeks ended March 22, 2013 and March 23, 2012, respectively.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December 28, 2012, other than those resulting from changes in the amount of debt outstanding. As of the end of the first quarter of 2013, debt increased by $8 million to $686 million compared to $678 million at year-end 2012, all of which related to an increase in non-recourse debt associated with previously securitized vacation ownership notes receivable, including draw downs on the Warehouse Credit Facility. At the end of the first quarter of 2013, future debt payments to be paid out of collections from our vacation ownership notes receivable, including principal and interest, totaled $800 million and are due as follows: $92 million in 2013; $115 million in 2014; $191 million in 2015; $105 million in 2016; $77 million in 2017; and $220 million thereafter.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provided guarantees to certain lenders in connection with the provision of third-party financing for our vacation ownership product sales, which guarantees generally have a stated maximum amount of funding and a term of five to ten years. The terms of the guarantees require us to fund if the purchaser fails to pay under the terms of the note payable. We are then entitled to repossess the property and retain the proceeds from its resale. Our commitments under these guarantees diminish as principal payments are made by the purchaser to the third-party lender. Our current exposure under such guarantees as of the end of the first quarter of 2013 in the Asia Pacific and North America segments is $16 million and $3 million, respectively, and the underlying debt to third-party lenders will mature between 2013 and 2022.</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Additionally, in connection with an equity method investment, we provided a completion guarantee in favor of the project lenders. The joint venture has since delivered a completed operational project. Although we have not received a release of our guarantee from the lenders, we do not believe we have any funding exposure under this guarantee.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7, “Contingencies and Commitments,” of the Notes to our Financial Statements.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exposure to market risk has not changed materially from that disclosed in the Annual Report on Form 10-K for the year ended December 28, 2012.</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Disclosure Controls and Procedures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(the “Exchange Act”)), and management necessarily applied its judgment in assessing the costs and benefits of such controls and procedures, which by their nature, can provide only reasonable assurance about management’s control objectives.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Although we continue to use Marriott International’s financial systems to process and record various transactions, we have recently ceased using Marriott International’s systems for the transactions described below, resulting in new controls over financial reporting.</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fourth quarter of 2012, we ceased using Marriott International’s systems and services for certain payroll and benefit related items. In connection with our outsourcing of these services to a third party, and in order to continuously improve our internal control environment, we implemented new internal controls over financial reporting related to payroll and benefit related transactions. Such controls were enhanced during the first quarter of 2013 as we continued to operate our new processes related to payroll and benefit related transactions.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Also in the first quarter of 2013, we ceased using Marriott International’s systems to account for Property and equipment and capitalized costs of real estate inventory and, as a result, we implemented new functionality in our existing suite of financial applications and controls over financial reporting related to Property and equipment and capitalized costs of real estate inventory.</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Other than those noted above, there were no changes in our internal control over financial reporting during the first quarter of 2013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7, “Contingencies and Commitments,” to our Consolidated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December 28,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Exhibits filed or furnished as a part of this Quarterly Report on Form 10-Q are listed on the Index to Exhibits on page E-1, which is incorporated by reference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MARRIOTT VACATIONS WORLDWIDE CORPORATION</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April 25, 2013</w:t>
      </w:r>
      <w:r>
        <w:rPr>
          <w:sz w:val="20"/>
          <w:szCs w:val="20"/>
          <w:color w:val="auto"/>
        </w:rPr>
        <w:tab/>
      </w:r>
      <w:r>
        <w:rPr>
          <w:rFonts w:ascii="Arial" w:cs="Arial" w:eastAsia="Arial" w:hAnsi="Arial"/>
          <w:sz w:val="15"/>
          <w:szCs w:val="15"/>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3"/>
          </w:tcPr>
          <w:p>
            <w:pPr>
              <w:ind w:left="392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120" w:type="dxa"/>
            <w:vAlign w:val="bottom"/>
          </w:tcPr>
          <w:p>
            <w:pPr>
              <w:spacing w:after="0"/>
              <w:rPr>
                <w:sz w:val="24"/>
                <w:szCs w:val="2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Exhibit</w:t>
            </w:r>
          </w:p>
        </w:tc>
        <w:tc>
          <w:tcPr>
            <w:tcW w:w="5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No.</w:t>
            </w:r>
          </w:p>
        </w:tc>
        <w:tc>
          <w:tcPr>
            <w:tcW w:w="50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40" w:type="dxa"/>
            <w:vAlign w:val="bottom"/>
          </w:tcPr>
          <w:p>
            <w:pPr>
              <w:spacing w:after="0"/>
              <w:rPr>
                <w:sz w:val="14"/>
                <w:szCs w:val="14"/>
                <w:color w:val="auto"/>
              </w:rPr>
            </w:pPr>
          </w:p>
        </w:tc>
      </w:tr>
      <w:tr>
        <w:trPr>
          <w:trHeight w:val="316"/>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89"/>
              </w:rPr>
              <w:t>Restated Certificate of Incorporation of Marriott Vacations Worldwide Corporation, incorporated by reference to Exhibit 3.1 of the Company’s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Current Report on Form 8-K filed on November 22, 2011.</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0"/>
              </w:rPr>
              <w:t>Restated Bylaws of Marriott Vacations Worldwide Corporation, incorporated by reference to Exhibit 3.2 of the Company’s Current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Form 8-K filed on November 22, 2011.</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4"/>
              </w:rPr>
              <w:t>Letter Agreement, dated as of February 21, 2013, between Marriott International, Inc. and Marriott Vacations Worldwide Corporation,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2"/>
              </w:rPr>
              <w:t>supplementing the License, Services, and Development Agreement, entered into on November 17, 2011, among The Ritz-Carlton Hotel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0"/>
              </w:rPr>
              <w:t>Company, L.L.C., Marriott Vacations Worldwide Corporation and the other signatories thereto filed as Exhibit 10.2 to the Company’s Annual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Report on Form 10-K filed February 22, 2013.</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5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attached the following documents formatted in XBRL (Extensible Business Reporting Language) as Exhibit 101 to this report: (i) the Interim Consolidated Statements of Operations for the twelve weeks ended March 22, 2013 and March 23, 2012, respectively; (ii) the Interim Consolidated Statements of Comprehensive Income for the twelve weeks ended March 22, 2013 and March 23, 2012, respectively; (iii) the Interim Consolidated Balance Sheets at March 22, 2013 and December 28, 2012; and (iv) the Interim Consolidated Statements of Cash Flows for the twelve weeks ended March 22, 2013 and March 23, 2012, respectively. Pursuant to Rule 406T of Regulation S-T, the interactive data files in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00"/>
          </w:cols>
          <w:pgMar w:left="240" w:top="459" w:right="2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14605</wp:posOffset>
            </wp:positionV>
            <wp:extent cx="1337945" cy="694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3794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10400 Fernwood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Bethesda, MD 20817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Bill Barrie</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Letter Agreement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 to Design Review Addendum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Bill:</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purpose of this letter (“Letter Agreement”) is to document and formalize a supplement to the terms of the Design Review Addendum (“Addendum”), which Addendum is part of and is incorporated into that certain License, Services, and Development Agreement dated effective November 19, 2011 (“License Agreement”) by and between Marriott International, Inc. (“MII”) and Marriott Vacations Worldwide Corporation (“MVWC”) as Exhibit G, and to memorialize the terms of our agreement regarding the process for design review relating to renovation and/or refurbishment of Existing Projects (as defined in the Addendum), all as set forth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License Agreement and Addendum, MVWC and MII agree as follows: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Notwithstanding the terms and conditions of the Addendum and License Agreement, the following is intended to clarify the specific requirements of compliance with the Addendum (Exhibit G of the License Agreement) as it relates to Existing Projects.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Project Pipeline Review</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MII and MVWC will conduct a semi-annual review of all planned and active projects at Existing Projects for the then-current and subsequent year, with MVWC having the responsibility to schedule the semi-annual review meeting. Any cost and expense pre-approved by MVWC and incurred with respect to such semi-annual review meeting will be paid by MVWC. The goals of this review are:</w:t>
      </w:r>
    </w:p>
    <w:p>
      <w:pPr>
        <w:spacing w:after="0" w:line="5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Ensure alignment of required reviews and schedules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Agree upon degree of review for each project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Marriott to execute required waivers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 process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139700</wp:posOffset>
            </wp:positionV>
            <wp:extent cx="4271010" cy="1054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71010" cy="1054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Categories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recognition of the varying degree of project scopes, complexities and impacts, all MVWC renovation and refurbishment projects will be subject to one of three processes with MII (as defined below). All MVWC projects will be tracked via a project planning matrix. The planning matrix or matrices will track all villa/unit projects and any supplemental projects. The matrices will track key milestone dates and any requests for approval/approvals as it relates to the Addendum. The below sets out agreement between MII and MVWC with respect to the processes for those different types of projects at the Projects.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Processes</w:t>
      </w:r>
    </w:p>
    <w:p>
      <w:pPr>
        <w:spacing w:after="0" w:line="96" w:lineRule="exact"/>
        <w:rPr>
          <w:sz w:val="20"/>
          <w:szCs w:val="20"/>
          <w:color w:val="auto"/>
        </w:rPr>
      </w:pPr>
    </w:p>
    <w:p>
      <w:pPr>
        <w:ind w:left="460" w:right="140" w:hanging="452"/>
        <w:spacing w:after="0" w:line="344" w:lineRule="auto"/>
        <w:tabs>
          <w:tab w:leader="none" w:pos="4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following types of projects at the Projects will follow the current review process outlined under Sections 2, 3 and 4, as applicable, of the Addendum: </w:t>
      </w:r>
      <w:r>
        <w:rPr>
          <w:rFonts w:ascii="Arial" w:cs="Arial" w:eastAsia="Arial" w:hAnsi="Arial"/>
          <w:sz w:val="18"/>
          <w:szCs w:val="18"/>
          <w:u w:val="single" w:color="auto"/>
          <w:color w:val="auto"/>
        </w:rPr>
        <w:t>Addendum</w:t>
      </w: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new buildings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Changes to existing building footprints</w:t>
      </w:r>
    </w:p>
    <w:p>
      <w:pPr>
        <w:spacing w:after="0" w:line="84" w:lineRule="exact"/>
        <w:rPr>
          <w:rFonts w:ascii="Arial" w:cs="Arial" w:eastAsia="Arial" w:hAnsi="Arial"/>
          <w:sz w:val="18"/>
          <w:szCs w:val="18"/>
          <w:color w:val="auto"/>
        </w:rPr>
      </w:pPr>
    </w:p>
    <w:p>
      <w:pPr>
        <w:ind w:left="460" w:right="2040" w:hanging="452"/>
        <w:spacing w:after="0" w:line="344" w:lineRule="auto"/>
        <w:tabs>
          <w:tab w:leader="none" w:pos="4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following types of projects at the Projects will follow the revised review process set out in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 xml:space="preserve"> attached hereto: </w:t>
      </w:r>
      <w:r>
        <w:rPr>
          <w:rFonts w:ascii="Arial" w:cs="Arial" w:eastAsia="Arial" w:hAnsi="Arial"/>
          <w:sz w:val="18"/>
          <w:szCs w:val="18"/>
          <w:u w:val="single" w:color="auto"/>
          <w:color w:val="auto"/>
        </w:rPr>
        <w:t>Modification for Villas/Units, Corridors and Public Spaces</w:t>
      </w: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The specific review process is set out in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 xml:space="preserve"> attached hereto and relates to the following types of projects:</w:t>
      </w:r>
    </w:p>
    <w:p>
      <w:pPr>
        <w:spacing w:after="0" w:line="96"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Softgoods – new design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Soft/case goods – new design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Softgoods – multiple re-upholster items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New carpet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Exterior coloration or architectural change to existing buildings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Technical Services Fees set forth in the Addendum apply to the above-referenced types of modifications.</w:t>
      </w:r>
    </w:p>
    <w:p>
      <w:pPr>
        <w:spacing w:after="0" w:line="90" w:lineRule="exact"/>
        <w:rPr>
          <w:sz w:val="20"/>
          <w:szCs w:val="20"/>
          <w:color w:val="auto"/>
        </w:rPr>
      </w:pPr>
    </w:p>
    <w:p>
      <w:pPr>
        <w:jc w:val="both"/>
        <w:ind w:left="460" w:right="140"/>
        <w:spacing w:after="0" w:line="259" w:lineRule="auto"/>
        <w:rPr>
          <w:sz w:val="20"/>
          <w:szCs w:val="20"/>
          <w:color w:val="auto"/>
        </w:rPr>
      </w:pPr>
      <w:r>
        <w:rPr>
          <w:rFonts w:ascii="Arial" w:cs="Arial" w:eastAsia="Arial" w:hAnsi="Arial"/>
          <w:sz w:val="18"/>
          <w:szCs w:val="18"/>
          <w:color w:val="auto"/>
        </w:rPr>
        <w:t>In addition to the Technical Services Fees to be paid, when lobby areas at an Existing Project are to be modified in conjunction with a villa/unit, corridor and/or public space modification at the Existing Project, the following fees associated with the lobby area modification will be paid by MVWC to MII as follows:</w:t>
      </w:r>
    </w:p>
    <w:p>
      <w:pPr>
        <w:spacing w:after="0" w:line="59" w:lineRule="exact"/>
        <w:rPr>
          <w:sz w:val="20"/>
          <w:szCs w:val="20"/>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Softgoods only – new design - $3,000</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Soft and case goods – new design - $8,000</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Soft, case and hard surfaces (tile, millwork, etc.) - $10,000</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47" w:name="page48"/>
    <w:bookmarkEnd w:id="47"/>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above, MII will send an invoice for the Technical Services Fees, as well as an invoice relating to a lobby area modification, as and if applicable, to MVWC in accordance with the timing set forth in the Addendum.</w:t>
      </w:r>
    </w:p>
    <w:p>
      <w:pPr>
        <w:spacing w:after="0" w:line="51" w:lineRule="exact"/>
        <w:rPr>
          <w:sz w:val="20"/>
          <w:szCs w:val="20"/>
          <w:color w:val="auto"/>
        </w:rPr>
      </w:pPr>
    </w:p>
    <w:p>
      <w:pPr>
        <w:ind w:left="460" w:right="1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types of projects at the Projects do not require compliance with the Addendum, but will be in one of two categories, Review Waivers or an Automatic Waiver, as follows:</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Waivers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There will be no Technical Services Fees and no Review Fees associated with the following waivers and process.</w:t>
      </w:r>
    </w:p>
    <w:p>
      <w:pPr>
        <w:spacing w:after="0" w:line="252" w:lineRule="exact"/>
        <w:rPr>
          <w:rFonts w:ascii="Arial" w:cs="Arial" w:eastAsia="Arial" w:hAnsi="Arial"/>
          <w:sz w:val="18"/>
          <w:szCs w:val="18"/>
          <w:color w:val="auto"/>
        </w:rPr>
      </w:pPr>
    </w:p>
    <w:p>
      <w:pPr>
        <w:ind w:left="1060" w:hanging="139"/>
        <w:spacing w:after="0"/>
        <w:tabs>
          <w:tab w:leader="none" w:pos="1060"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Review Waivers:</w:t>
      </w:r>
    </w:p>
    <w:p>
      <w:pPr>
        <w:spacing w:after="0" w:line="90" w:lineRule="exact"/>
        <w:rPr>
          <w:rFonts w:ascii="Arial" w:cs="Arial" w:eastAsia="Arial" w:hAnsi="Arial"/>
          <w:sz w:val="18"/>
          <w:szCs w:val="18"/>
          <w:color w:val="auto"/>
        </w:rPr>
      </w:pPr>
    </w:p>
    <w:p>
      <w:pPr>
        <w:ind w:left="1460" w:right="240" w:hanging="547"/>
        <w:spacing w:after="0" w:line="332" w:lineRule="auto"/>
        <w:tabs>
          <w:tab w:leader="none" w:pos="14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All mutually agreed upon projects waived during semi-annual project review meeting. MII will execute a waiver in substantially the form attached hereto as </w:t>
      </w:r>
      <w:r>
        <w:rPr>
          <w:rFonts w:ascii="Arial" w:cs="Arial" w:eastAsia="Arial" w:hAnsi="Arial"/>
          <w:sz w:val="16"/>
          <w:szCs w:val="16"/>
          <w:b w:val="1"/>
          <w:bCs w:val="1"/>
          <w:u w:val="single" w:color="auto"/>
          <w:color w:val="auto"/>
        </w:rPr>
        <w:t>Schedule “B”</w:t>
      </w:r>
      <w:r>
        <w:rPr>
          <w:rFonts w:ascii="Arial" w:cs="Arial" w:eastAsia="Arial" w:hAnsi="Arial"/>
          <w:sz w:val="16"/>
          <w:szCs w:val="16"/>
          <w:color w:val="auto"/>
        </w:rPr>
        <w:t xml:space="preserve"> at such project review meeting for those agreed upon projects to be waived.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Automatic Waivers (no written waiver required):</w:t>
      </w:r>
    </w:p>
    <w:p>
      <w:pPr>
        <w:spacing w:after="0" w:line="90" w:lineRule="exact"/>
        <w:rPr>
          <w:sz w:val="20"/>
          <w:szCs w:val="20"/>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ADA remediation work</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Selective work – paint, vinyl wall covering, and single re-upholstered items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Back of house space renovations and refurbishments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Detached secondary spaces renovations and refurbishments – (e.g., Kids Club, Fitness Center, Multi-purpose Rooms)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Continuation of a previously approved design scheme in subsequent phases of a Project</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MII and MVWC agree that the Addendum and this Letter Agreement do not apply to those projects at Existing Projects for which the condominium owners association at such Existing Projects have hired a third-party project manager or director and neither MVWC nor MII are engaged by the Association for such project work.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termination of this Letter Agreement shall coincide with the termination of the License Agreement.</w:t>
      </w:r>
    </w:p>
    <w:p>
      <w:pPr>
        <w:spacing w:after="0" w:line="17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Other than as specifically and expressly set forth herein, nothing in this Letter Agreement shall be deemed to supersede, waive any rights, claims, demands or release MII or MVWC from any duties or obligations set forth in the License Agreement or to otherwise modify the License Agreement and Addendum.</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48" w:name="page49"/>
    <w:bookmarkEnd w:id="48"/>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you are in agreement with terms and conditions of the understanding reflected in this correspondence, kindly evidence your agreement by having an authorized officer of MII execute below and deliver a scanned copy to </w:t>
      </w:r>
      <w:r>
        <w:rPr>
          <w:rFonts w:ascii="Arial" w:cs="Arial" w:eastAsia="Arial" w:hAnsi="Arial"/>
          <w:sz w:val="18"/>
          <w:szCs w:val="18"/>
          <w:u w:val="single" w:color="auto"/>
          <w:color w:val="auto"/>
        </w:rPr>
        <w:t>john.albert@mvwc.com</w:t>
      </w:r>
      <w:r>
        <w:rPr>
          <w:rFonts w:ascii="Arial" w:cs="Arial" w:eastAsia="Arial" w:hAnsi="Arial"/>
          <w:sz w:val="18"/>
          <w:szCs w:val="18"/>
          <w:color w:val="auto"/>
        </w:rPr>
        <w: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Marriott Vacations Worldwide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128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Ralph Lee Cunningham</w:t>
            </w:r>
          </w:p>
        </w:tc>
      </w:tr>
      <w:tr>
        <w:trPr>
          <w:trHeight w:val="223"/>
        </w:trPr>
        <w:tc>
          <w:tcPr>
            <w:tcW w:w="1280" w:type="dxa"/>
            <w:vAlign w:val="bottom"/>
          </w:tcPr>
          <w:p>
            <w:pPr>
              <w:spacing w:after="0"/>
              <w:rPr>
                <w:sz w:val="20"/>
                <w:szCs w:val="20"/>
                <w:color w:val="auto"/>
              </w:rPr>
            </w:pPr>
            <w:r>
              <w:rPr>
                <w:rFonts w:ascii="Arial" w:cs="Arial" w:eastAsia="Arial" w:hAnsi="Arial"/>
                <w:sz w:val="18"/>
                <w:szCs w:val="18"/>
                <w:color w:val="auto"/>
              </w:rPr>
              <w:t>Printed Name:</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Ralph Lee Cunningham</w:t>
            </w:r>
          </w:p>
        </w:tc>
      </w:tr>
      <w:tr>
        <w:trPr>
          <w:trHeight w:val="224"/>
        </w:trPr>
        <w:tc>
          <w:tcPr>
            <w:tcW w:w="128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Joined in and Consented to by: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Kimball</w:t>
            </w:r>
          </w:p>
        </w:tc>
      </w:tr>
      <w:tr>
        <w:trPr>
          <w:trHeight w:val="223"/>
        </w:trPr>
        <w:tc>
          <w:tcPr>
            <w:tcW w:w="1340" w:type="dxa"/>
            <w:vAlign w:val="bottom"/>
          </w:tcPr>
          <w:p>
            <w:pPr>
              <w:spacing w:after="0"/>
              <w:rPr>
                <w:sz w:val="20"/>
                <w:szCs w:val="20"/>
                <w:color w:val="auto"/>
              </w:rPr>
            </w:pPr>
            <w:r>
              <w:rPr>
                <w:rFonts w:ascii="Arial" w:cs="Arial" w:eastAsia="Arial" w:hAnsi="Arial"/>
                <w:sz w:val="18"/>
                <w:szCs w:val="18"/>
                <w:color w:val="auto"/>
              </w:rPr>
              <w:t>Printed Name: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Kevin Kimball</w:t>
            </w:r>
          </w:p>
        </w:tc>
      </w:tr>
      <w:tr>
        <w:trPr>
          <w:trHeight w:val="224"/>
        </w:trPr>
        <w:tc>
          <w:tcPr>
            <w:tcW w:w="134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EVP, Marriott International, Inc.</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9" w:name="page50"/>
    <w:bookmarkEnd w:id="49"/>
    <w:p>
      <w:pPr>
        <w:ind w:left="50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 Process for Villas/Units, Corridors &amp; Public Spaces at Existing Projects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For those Existing Projects whereby MVWC is contracted by the condominium owners association to perform the project work at the Existing Project.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w w:val="88"/>
              </w:rPr>
              <w:t>Project Phase</w:t>
            </w:r>
          </w:p>
        </w:tc>
        <w:tc>
          <w:tcPr>
            <w:tcW w:w="1440" w:type="dxa"/>
            <w:vAlign w:val="bottom"/>
          </w:tcPr>
          <w:p>
            <w:pPr>
              <w:spacing w:after="0"/>
              <w:rPr>
                <w:sz w:val="14"/>
                <w:szCs w:val="14"/>
                <w:color w:val="auto"/>
              </w:rPr>
            </w:pPr>
          </w:p>
        </w:tc>
        <w:tc>
          <w:tcPr>
            <w:tcW w:w="8120" w:type="dxa"/>
            <w:vAlign w:val="bottom"/>
            <w:gridSpan w:val="5"/>
          </w:tcPr>
          <w:p>
            <w:pPr>
              <w:ind w:left="460"/>
              <w:spacing w:after="0"/>
              <w:rPr>
                <w:sz w:val="20"/>
                <w:szCs w:val="20"/>
                <w:color w:val="auto"/>
              </w:rPr>
            </w:pPr>
            <w:r>
              <w:rPr>
                <w:rFonts w:ascii="Arial" w:cs="Arial" w:eastAsia="Arial" w:hAnsi="Arial"/>
                <w:sz w:val="14"/>
                <w:szCs w:val="14"/>
                <w:b w:val="1"/>
                <w:bCs w:val="1"/>
                <w:color w:val="auto"/>
              </w:rPr>
              <w:t>Description</w:t>
            </w: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MVWC</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rPr>
              <w:t>MII</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preliminary:</w:t>
            </w: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280" w:type="dxa"/>
            <w:vAlign w:val="bottom"/>
            <w:gridSpan w:val="2"/>
          </w:tcPr>
          <w:p>
            <w:pPr>
              <w:spacing w:after="0" w:line="182" w:lineRule="exact"/>
              <w:rPr>
                <w:sz w:val="20"/>
                <w:szCs w:val="20"/>
                <w:color w:val="auto"/>
              </w:rPr>
            </w:pPr>
            <w:r>
              <w:rPr>
                <w:rFonts w:ascii="Arial" w:cs="Arial" w:eastAsia="Arial" w:hAnsi="Arial"/>
                <w:sz w:val="18"/>
                <w:szCs w:val="18"/>
                <w:color w:val="auto"/>
              </w:rPr>
              <w:t>Business Project Planning</w:t>
            </w:r>
          </w:p>
        </w:tc>
        <w:tc>
          <w:tcPr>
            <w:tcW w:w="460" w:type="dxa"/>
            <w:vAlign w:val="bottom"/>
          </w:tcPr>
          <w:p>
            <w:pPr>
              <w:spacing w:after="0"/>
              <w:rPr>
                <w:sz w:val="15"/>
                <w:szCs w:val="15"/>
                <w:color w:val="auto"/>
              </w:rPr>
            </w:pPr>
          </w:p>
        </w:tc>
        <w:tc>
          <w:tcPr>
            <w:tcW w:w="700" w:type="dxa"/>
            <w:vAlign w:val="bottom"/>
            <w:gridSpan w:val="2"/>
          </w:tcPr>
          <w:p>
            <w:pPr>
              <w:spacing w:after="0" w:line="182" w:lineRule="exact"/>
              <w:rPr>
                <w:sz w:val="20"/>
                <w:szCs w:val="20"/>
                <w:color w:val="auto"/>
              </w:rPr>
            </w:pPr>
            <w:r>
              <w:rPr>
                <w:rFonts w:ascii="Arial" w:cs="Arial" w:eastAsia="Arial" w:hAnsi="Arial"/>
                <w:sz w:val="18"/>
                <w:szCs w:val="18"/>
                <w:color w:val="auto"/>
              </w:rPr>
              <w:t>Develop</w:t>
            </w:r>
          </w:p>
        </w:tc>
        <w:tc>
          <w:tcPr>
            <w:tcW w:w="69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20"/>
              <w:spacing w:after="0"/>
              <w:rPr>
                <w:sz w:val="20"/>
                <w:szCs w:val="20"/>
                <w:color w:val="auto"/>
              </w:rPr>
            </w:pPr>
            <w:r>
              <w:rPr>
                <w:rFonts w:ascii="Arial" w:cs="Arial" w:eastAsia="Arial" w:hAnsi="Arial"/>
                <w:sz w:val="18"/>
                <w:szCs w:val="18"/>
                <w:color w:val="auto"/>
              </w:rPr>
              <w:t>Scope</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20"/>
              <w:spacing w:after="0"/>
              <w:rPr>
                <w:sz w:val="20"/>
                <w:szCs w:val="20"/>
                <w:color w:val="auto"/>
              </w:rPr>
            </w:pPr>
            <w:r>
              <w:rPr>
                <w:rFonts w:ascii="Arial" w:cs="Arial" w:eastAsia="Arial" w:hAnsi="Arial"/>
                <w:sz w:val="18"/>
                <w:szCs w:val="18"/>
                <w:color w:val="auto"/>
              </w:rPr>
              <w:t>Cost estimate ***</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20"/>
              <w:spacing w:after="0"/>
              <w:rPr>
                <w:sz w:val="20"/>
                <w:szCs w:val="20"/>
                <w:color w:val="auto"/>
              </w:rPr>
            </w:pPr>
            <w:r>
              <w:rPr>
                <w:rFonts w:ascii="Arial" w:cs="Arial" w:eastAsia="Arial" w:hAnsi="Arial"/>
                <w:sz w:val="18"/>
                <w:szCs w:val="18"/>
                <w:color w:val="auto"/>
              </w:rPr>
              <w:t>Schedule</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20"/>
              <w:spacing w:after="0"/>
              <w:rPr>
                <w:sz w:val="20"/>
                <w:szCs w:val="20"/>
                <w:color w:val="auto"/>
              </w:rPr>
            </w:pPr>
            <w:r>
              <w:rPr>
                <w:rFonts w:ascii="Arial" w:cs="Arial" w:eastAsia="Arial" w:hAnsi="Arial"/>
                <w:sz w:val="18"/>
                <w:szCs w:val="18"/>
                <w:color w:val="auto"/>
              </w:rPr>
              <w:t>Financial analysis</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20"/>
              <w:spacing w:after="0"/>
              <w:rPr>
                <w:sz w:val="20"/>
                <w:szCs w:val="20"/>
                <w:color w:val="auto"/>
              </w:rPr>
            </w:pPr>
            <w:r>
              <w:rPr>
                <w:rFonts w:ascii="Arial" w:cs="Arial" w:eastAsia="Arial" w:hAnsi="Arial"/>
                <w:sz w:val="18"/>
                <w:szCs w:val="18"/>
                <w:color w:val="auto"/>
              </w:rPr>
              <w:t>Unit outage analysis</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20"/>
              <w:spacing w:after="0"/>
              <w:rPr>
                <w:sz w:val="20"/>
                <w:szCs w:val="20"/>
                <w:color w:val="auto"/>
              </w:rPr>
            </w:pPr>
            <w:r>
              <w:rPr>
                <w:rFonts w:ascii="Arial" w:cs="Arial" w:eastAsia="Arial" w:hAnsi="Arial"/>
                <w:sz w:val="18"/>
                <w:szCs w:val="18"/>
                <w:color w:val="auto"/>
              </w:rPr>
              <w:t>Inventory blocking</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373"/>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Project Phase</w:t>
            </w: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Description</w:t>
            </w:r>
          </w:p>
        </w:tc>
        <w:tc>
          <w:tcPr>
            <w:tcW w:w="6940" w:type="dxa"/>
            <w:vAlign w:val="bottom"/>
          </w:tcPr>
          <w:p>
            <w:pPr>
              <w:spacing w:after="0"/>
              <w:rPr>
                <w:sz w:val="24"/>
                <w:szCs w:val="2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MVWC</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rPr>
              <w:t>MII</w:t>
            </w:r>
          </w:p>
        </w:tc>
        <w:tc>
          <w:tcPr>
            <w:tcW w:w="0" w:type="dxa"/>
            <w:vAlign w:val="bottom"/>
          </w:tcPr>
          <w:p>
            <w:pPr>
              <w:spacing w:after="0"/>
              <w:rPr>
                <w:sz w:val="1"/>
                <w:szCs w:val="1"/>
                <w:color w:val="auto"/>
              </w:rPr>
            </w:pPr>
          </w:p>
        </w:tc>
      </w:tr>
      <w:tr>
        <w:trPr>
          <w:trHeight w:val="195"/>
        </w:trPr>
        <w:tc>
          <w:tcPr>
            <w:tcW w:w="2280" w:type="dxa"/>
            <w:vAlign w:val="bottom"/>
            <w:gridSpan w:val="2"/>
          </w:tcPr>
          <w:p>
            <w:pPr>
              <w:spacing w:after="0" w:line="195" w:lineRule="exact"/>
              <w:rPr>
                <w:sz w:val="20"/>
                <w:szCs w:val="20"/>
                <w:color w:val="auto"/>
              </w:rPr>
            </w:pPr>
            <w:r>
              <w:rPr>
                <w:rFonts w:ascii="Arial" w:cs="Arial" w:eastAsia="Arial" w:hAnsi="Arial"/>
                <w:sz w:val="18"/>
                <w:szCs w:val="18"/>
                <w:color w:val="auto"/>
              </w:rPr>
              <w:t>Design Development</w:t>
            </w:r>
          </w:p>
        </w:tc>
        <w:tc>
          <w:tcPr>
            <w:tcW w:w="460" w:type="dxa"/>
            <w:vAlign w:val="bottom"/>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7500" w:type="dxa"/>
            <w:vAlign w:val="bottom"/>
            <w:gridSpan w:val="3"/>
          </w:tcPr>
          <w:p>
            <w:pPr>
              <w:ind w:left="140"/>
              <w:spacing w:after="0" w:line="195" w:lineRule="exact"/>
              <w:rPr>
                <w:sz w:val="20"/>
                <w:szCs w:val="20"/>
                <w:color w:val="auto"/>
              </w:rPr>
            </w:pPr>
            <w:r>
              <w:rPr>
                <w:rFonts w:ascii="Arial" w:cs="Arial" w:eastAsia="Arial" w:hAnsi="Arial"/>
                <w:sz w:val="18"/>
                <w:szCs w:val="18"/>
                <w:color w:val="auto"/>
              </w:rPr>
              <w:t>Identify design teams</w:t>
            </w:r>
          </w:p>
        </w:tc>
        <w:tc>
          <w:tcPr>
            <w:tcW w:w="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R</w:t>
            </w:r>
          </w:p>
        </w:tc>
        <w:tc>
          <w:tcPr>
            <w:tcW w:w="320" w:type="dxa"/>
            <w:vAlign w:val="bottom"/>
          </w:tcPr>
          <w:p>
            <w:pPr>
              <w:spacing w:after="0"/>
              <w:rPr>
                <w:sz w:val="16"/>
                <w:szCs w:val="16"/>
                <w:color w:val="auto"/>
              </w:rPr>
            </w:pP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   Hire interior design firm</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   Develop/approve inspiration boards *</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   Develop early concept *</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   Develop final concept *</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   MVWC Executive committee approval *</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2"/>
              </w:rPr>
              <w:t>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SMDR approval **</w:t>
            </w:r>
          </w:p>
        </w:tc>
        <w:tc>
          <w:tcPr>
            <w:tcW w:w="78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S</w:t>
            </w:r>
          </w:p>
        </w:tc>
        <w:tc>
          <w:tcPr>
            <w:tcW w:w="240" w:type="dxa"/>
            <w:vAlign w:val="bottom"/>
          </w:tcPr>
          <w:p>
            <w:pPr>
              <w:jc w:val="center"/>
              <w:spacing w:after="0"/>
              <w:rPr>
                <w:sz w:val="20"/>
                <w:szCs w:val="20"/>
                <w:color w:val="auto"/>
              </w:rPr>
            </w:pPr>
            <w:r>
              <w:rPr>
                <w:rFonts w:ascii="Arial" w:cs="Arial" w:eastAsia="Arial" w:hAnsi="Arial"/>
                <w:sz w:val="18"/>
                <w:szCs w:val="18"/>
                <w:color w:val="auto"/>
                <w:w w:val="91"/>
              </w:rPr>
              <w:t>R</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Update cost estimate</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40"/>
              <w:spacing w:after="0"/>
              <w:rPr>
                <w:sz w:val="20"/>
                <w:szCs w:val="20"/>
                <w:color w:val="auto"/>
              </w:rPr>
            </w:pPr>
            <w:r>
              <w:rPr>
                <w:rFonts w:ascii="Arial" w:cs="Arial" w:eastAsia="Arial" w:hAnsi="Arial"/>
                <w:sz w:val="18"/>
                <w:szCs w:val="18"/>
                <w:color w:val="auto"/>
              </w:rPr>
              <w:t>Develop construction package</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   Design approval – Association ***</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353"/>
        </w:trPr>
        <w:tc>
          <w:tcPr>
            <w:tcW w:w="840" w:type="dxa"/>
            <w:vAlign w:val="bottom"/>
          </w:tcPr>
          <w:p>
            <w:pPr>
              <w:spacing w:after="0"/>
              <w:rPr>
                <w:sz w:val="20"/>
                <w:szCs w:val="20"/>
                <w:color w:val="auto"/>
              </w:rPr>
            </w:pPr>
            <w:r>
              <w:rPr>
                <w:rFonts w:ascii="Arial" w:cs="Arial" w:eastAsia="Arial" w:hAnsi="Arial"/>
                <w:sz w:val="14"/>
                <w:szCs w:val="14"/>
                <w:b w:val="1"/>
                <w:bCs w:val="1"/>
                <w:color w:val="auto"/>
                <w:w w:val="88"/>
              </w:rPr>
              <w:t>Project Phase</w:t>
            </w:r>
          </w:p>
        </w:tc>
        <w:tc>
          <w:tcPr>
            <w:tcW w:w="1440" w:type="dxa"/>
            <w:vAlign w:val="bottom"/>
          </w:tcPr>
          <w:p>
            <w:pPr>
              <w:spacing w:after="0"/>
              <w:rPr>
                <w:sz w:val="24"/>
                <w:szCs w:val="24"/>
                <w:color w:val="auto"/>
              </w:rPr>
            </w:pPr>
          </w:p>
        </w:tc>
        <w:tc>
          <w:tcPr>
            <w:tcW w:w="8120" w:type="dxa"/>
            <w:vAlign w:val="bottom"/>
            <w:gridSpan w:val="5"/>
          </w:tcPr>
          <w:p>
            <w:pPr>
              <w:ind w:left="460"/>
              <w:spacing w:after="0"/>
              <w:rPr>
                <w:sz w:val="20"/>
                <w:szCs w:val="20"/>
                <w:color w:val="auto"/>
              </w:rPr>
            </w:pPr>
            <w:r>
              <w:rPr>
                <w:rFonts w:ascii="Arial" w:cs="Arial" w:eastAsia="Arial" w:hAnsi="Arial"/>
                <w:sz w:val="14"/>
                <w:szCs w:val="14"/>
                <w:b w:val="1"/>
                <w:bCs w:val="1"/>
                <w:color w:val="auto"/>
              </w:rPr>
              <w:t>Description</w:t>
            </w: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MVWC</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rPr>
              <w:t>MII</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w w:val="95"/>
              </w:rPr>
              <w:t>Bid Pricing</w:t>
            </w:r>
          </w:p>
        </w:tc>
        <w:tc>
          <w:tcPr>
            <w:tcW w:w="1440" w:type="dxa"/>
            <w:vAlign w:val="bottom"/>
          </w:tcPr>
          <w:p>
            <w:pPr>
              <w:spacing w:after="0"/>
              <w:rPr>
                <w:sz w:val="16"/>
                <w:szCs w:val="16"/>
                <w:color w:val="auto"/>
              </w:rPr>
            </w:pPr>
          </w:p>
        </w:tc>
        <w:tc>
          <w:tcPr>
            <w:tcW w:w="620" w:type="dxa"/>
            <w:vAlign w:val="bottom"/>
            <w:gridSpan w:val="2"/>
          </w:tcPr>
          <w:p>
            <w:pPr>
              <w:ind w:left="460"/>
              <w:spacing w:after="0" w:line="195" w:lineRule="exact"/>
              <w:rPr>
                <w:sz w:val="20"/>
                <w:szCs w:val="20"/>
                <w:color w:val="auto"/>
              </w:rPr>
            </w:pPr>
            <w:r>
              <w:rPr>
                <w:rFonts w:ascii="Arial" w:cs="Arial" w:eastAsia="Arial" w:hAnsi="Arial"/>
                <w:sz w:val="18"/>
                <w:szCs w:val="18"/>
                <w:color w:val="auto"/>
              </w:rPr>
              <w:t>•</w:t>
            </w:r>
          </w:p>
        </w:tc>
        <w:tc>
          <w:tcPr>
            <w:tcW w:w="7500" w:type="dxa"/>
            <w:vAlign w:val="bottom"/>
            <w:gridSpan w:val="3"/>
          </w:tcPr>
          <w:p>
            <w:pPr>
              <w:ind w:left="120"/>
              <w:spacing w:after="0" w:line="195" w:lineRule="exact"/>
              <w:rPr>
                <w:sz w:val="20"/>
                <w:szCs w:val="20"/>
                <w:color w:val="auto"/>
              </w:rPr>
            </w:pPr>
            <w:r>
              <w:rPr>
                <w:rFonts w:ascii="Arial" w:cs="Arial" w:eastAsia="Arial" w:hAnsi="Arial"/>
                <w:sz w:val="18"/>
                <w:szCs w:val="18"/>
                <w:color w:val="auto"/>
              </w:rPr>
              <w:t>Review FF&amp;E specs</w:t>
            </w:r>
          </w:p>
        </w:tc>
        <w:tc>
          <w:tcPr>
            <w:tcW w:w="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R</w:t>
            </w:r>
          </w:p>
        </w:tc>
        <w:tc>
          <w:tcPr>
            <w:tcW w:w="320" w:type="dxa"/>
            <w:vAlign w:val="bottom"/>
          </w:tcPr>
          <w:p>
            <w:pPr>
              <w:spacing w:after="0"/>
              <w:rPr>
                <w:sz w:val="16"/>
                <w:szCs w:val="16"/>
                <w:color w:val="auto"/>
              </w:rPr>
            </w:pP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2"/>
              </w:rPr>
              <w:t>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120" w:type="dxa"/>
            <w:vAlign w:val="bottom"/>
            <w:gridSpan w:val="5"/>
          </w:tcPr>
          <w:p>
            <w:pPr>
              <w:ind w:left="460"/>
              <w:spacing w:after="0"/>
              <w:rPr>
                <w:sz w:val="20"/>
                <w:szCs w:val="20"/>
                <w:color w:val="auto"/>
              </w:rPr>
            </w:pPr>
            <w:r>
              <w:rPr>
                <w:rFonts w:ascii="Arial" w:cs="Arial" w:eastAsia="Arial" w:hAnsi="Arial"/>
                <w:sz w:val="18"/>
                <w:szCs w:val="18"/>
                <w:color w:val="auto"/>
              </w:rPr>
              <w:t>•   Final Approval of regionalized artwork/carpet *</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Approve construction scope</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20"/>
              <w:spacing w:after="0"/>
              <w:rPr>
                <w:sz w:val="20"/>
                <w:szCs w:val="20"/>
                <w:color w:val="auto"/>
              </w:rPr>
            </w:pPr>
            <w:r>
              <w:rPr>
                <w:rFonts w:ascii="Arial" w:cs="Arial" w:eastAsia="Arial" w:hAnsi="Arial"/>
                <w:sz w:val="18"/>
                <w:szCs w:val="18"/>
                <w:color w:val="auto"/>
              </w:rPr>
              <w:t>Bid project</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Approve required re-selections</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120" w:type="dxa"/>
            <w:vAlign w:val="bottom"/>
            <w:gridSpan w:val="5"/>
          </w:tcPr>
          <w:p>
            <w:pPr>
              <w:ind w:left="460"/>
              <w:spacing w:after="0"/>
              <w:rPr>
                <w:sz w:val="20"/>
                <w:szCs w:val="20"/>
                <w:color w:val="auto"/>
              </w:rPr>
            </w:pPr>
            <w:r>
              <w:rPr>
                <w:rFonts w:ascii="Arial" w:cs="Arial" w:eastAsia="Arial" w:hAnsi="Arial"/>
                <w:sz w:val="18"/>
                <w:szCs w:val="18"/>
                <w:color w:val="auto"/>
              </w:rPr>
              <w:t>•   Develop final scope, schedule, budget</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353"/>
        </w:trPr>
        <w:tc>
          <w:tcPr>
            <w:tcW w:w="840" w:type="dxa"/>
            <w:vAlign w:val="bottom"/>
          </w:tcPr>
          <w:p>
            <w:pPr>
              <w:spacing w:after="0"/>
              <w:rPr>
                <w:sz w:val="20"/>
                <w:szCs w:val="20"/>
                <w:color w:val="auto"/>
              </w:rPr>
            </w:pPr>
            <w:r>
              <w:rPr>
                <w:rFonts w:ascii="Arial" w:cs="Arial" w:eastAsia="Arial" w:hAnsi="Arial"/>
                <w:sz w:val="14"/>
                <w:szCs w:val="14"/>
                <w:b w:val="1"/>
                <w:bCs w:val="1"/>
                <w:color w:val="auto"/>
                <w:w w:val="88"/>
              </w:rPr>
              <w:t>Project Phase</w:t>
            </w:r>
          </w:p>
        </w:tc>
        <w:tc>
          <w:tcPr>
            <w:tcW w:w="1440" w:type="dxa"/>
            <w:vAlign w:val="bottom"/>
          </w:tcPr>
          <w:p>
            <w:pPr>
              <w:spacing w:after="0"/>
              <w:rPr>
                <w:sz w:val="24"/>
                <w:szCs w:val="24"/>
                <w:color w:val="auto"/>
              </w:rPr>
            </w:pPr>
          </w:p>
        </w:tc>
        <w:tc>
          <w:tcPr>
            <w:tcW w:w="8120" w:type="dxa"/>
            <w:vAlign w:val="bottom"/>
            <w:gridSpan w:val="5"/>
          </w:tcPr>
          <w:p>
            <w:pPr>
              <w:ind w:left="460"/>
              <w:spacing w:after="0"/>
              <w:rPr>
                <w:sz w:val="20"/>
                <w:szCs w:val="20"/>
                <w:color w:val="auto"/>
              </w:rPr>
            </w:pPr>
            <w:r>
              <w:rPr>
                <w:rFonts w:ascii="Arial" w:cs="Arial" w:eastAsia="Arial" w:hAnsi="Arial"/>
                <w:sz w:val="14"/>
                <w:szCs w:val="14"/>
                <w:b w:val="1"/>
                <w:bCs w:val="1"/>
                <w:color w:val="auto"/>
              </w:rPr>
              <w:t>Description</w:t>
            </w: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MVWC</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rPr>
              <w:t>MII</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Execution</w:t>
            </w:r>
          </w:p>
        </w:tc>
        <w:tc>
          <w:tcPr>
            <w:tcW w:w="1440" w:type="dxa"/>
            <w:vAlign w:val="bottom"/>
          </w:tcPr>
          <w:p>
            <w:pPr>
              <w:spacing w:after="0"/>
              <w:rPr>
                <w:sz w:val="16"/>
                <w:szCs w:val="16"/>
                <w:color w:val="auto"/>
              </w:rPr>
            </w:pPr>
          </w:p>
        </w:tc>
        <w:tc>
          <w:tcPr>
            <w:tcW w:w="620" w:type="dxa"/>
            <w:vAlign w:val="bottom"/>
            <w:gridSpan w:val="2"/>
          </w:tcPr>
          <w:p>
            <w:pPr>
              <w:ind w:left="460"/>
              <w:spacing w:after="0" w:line="195" w:lineRule="exact"/>
              <w:rPr>
                <w:sz w:val="20"/>
                <w:szCs w:val="20"/>
                <w:color w:val="auto"/>
              </w:rPr>
            </w:pPr>
            <w:r>
              <w:rPr>
                <w:rFonts w:ascii="Arial" w:cs="Arial" w:eastAsia="Arial" w:hAnsi="Arial"/>
                <w:sz w:val="18"/>
                <w:szCs w:val="18"/>
                <w:color w:val="auto"/>
              </w:rPr>
              <w:t>•</w:t>
            </w:r>
          </w:p>
        </w:tc>
        <w:tc>
          <w:tcPr>
            <w:tcW w:w="7500" w:type="dxa"/>
            <w:vAlign w:val="bottom"/>
            <w:gridSpan w:val="3"/>
          </w:tcPr>
          <w:p>
            <w:pPr>
              <w:ind w:left="120"/>
              <w:spacing w:after="0" w:line="195" w:lineRule="exact"/>
              <w:rPr>
                <w:sz w:val="20"/>
                <w:szCs w:val="20"/>
                <w:color w:val="auto"/>
              </w:rPr>
            </w:pPr>
            <w:r>
              <w:rPr>
                <w:rFonts w:ascii="Arial" w:cs="Arial" w:eastAsia="Arial" w:hAnsi="Arial"/>
                <w:sz w:val="18"/>
                <w:szCs w:val="18"/>
                <w:color w:val="auto"/>
              </w:rPr>
              <w:t>Execute COA agreement ***</w:t>
            </w:r>
          </w:p>
        </w:tc>
        <w:tc>
          <w:tcPr>
            <w:tcW w:w="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R</w:t>
            </w:r>
          </w:p>
        </w:tc>
        <w:tc>
          <w:tcPr>
            <w:tcW w:w="320" w:type="dxa"/>
            <w:vAlign w:val="bottom"/>
          </w:tcPr>
          <w:p>
            <w:pPr>
              <w:spacing w:after="0"/>
              <w:rPr>
                <w:sz w:val="16"/>
                <w:szCs w:val="16"/>
                <w:color w:val="auto"/>
              </w:rPr>
            </w:pP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120" w:type="dxa"/>
            <w:vAlign w:val="bottom"/>
            <w:gridSpan w:val="5"/>
          </w:tcPr>
          <w:p>
            <w:pPr>
              <w:ind w:left="460"/>
              <w:spacing w:after="0"/>
              <w:rPr>
                <w:sz w:val="20"/>
                <w:szCs w:val="20"/>
                <w:color w:val="auto"/>
              </w:rPr>
            </w:pPr>
            <w:r>
              <w:rPr>
                <w:rFonts w:ascii="Arial" w:cs="Arial" w:eastAsia="Arial" w:hAnsi="Arial"/>
                <w:sz w:val="18"/>
                <w:szCs w:val="18"/>
                <w:color w:val="auto"/>
              </w:rPr>
              <w:t>•   Execute procurement &amp; general contractor agreements</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20"/>
              <w:spacing w:after="0"/>
              <w:rPr>
                <w:sz w:val="20"/>
                <w:szCs w:val="20"/>
                <w:color w:val="auto"/>
              </w:rPr>
            </w:pPr>
            <w:r>
              <w:rPr>
                <w:rFonts w:ascii="Arial" w:cs="Arial" w:eastAsia="Arial" w:hAnsi="Arial"/>
                <w:sz w:val="18"/>
                <w:szCs w:val="18"/>
                <w:color w:val="auto"/>
              </w:rPr>
              <w:t>Pre construction meeting</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20"/>
              <w:spacing w:after="0"/>
              <w:rPr>
                <w:sz w:val="20"/>
                <w:szCs w:val="20"/>
                <w:color w:val="auto"/>
              </w:rPr>
            </w:pPr>
            <w:r>
              <w:rPr>
                <w:rFonts w:ascii="Arial" w:cs="Arial" w:eastAsia="Arial" w:hAnsi="Arial"/>
                <w:sz w:val="18"/>
                <w:szCs w:val="18"/>
                <w:color w:val="auto"/>
              </w:rPr>
              <w:t>Field supervision</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20"/>
              <w:spacing w:after="0"/>
              <w:rPr>
                <w:sz w:val="20"/>
                <w:szCs w:val="20"/>
                <w:color w:val="auto"/>
              </w:rPr>
            </w:pPr>
            <w:r>
              <w:rPr>
                <w:rFonts w:ascii="Arial" w:cs="Arial" w:eastAsia="Arial" w:hAnsi="Arial"/>
                <w:sz w:val="18"/>
                <w:szCs w:val="18"/>
                <w:color w:val="auto"/>
              </w:rPr>
              <w:t>Punch</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500" w:type="dxa"/>
            <w:vAlign w:val="bottom"/>
            <w:gridSpan w:val="3"/>
          </w:tcPr>
          <w:p>
            <w:pPr>
              <w:ind w:left="120"/>
              <w:spacing w:after="0"/>
              <w:rPr>
                <w:sz w:val="20"/>
                <w:szCs w:val="20"/>
                <w:color w:val="auto"/>
              </w:rPr>
            </w:pPr>
            <w:r>
              <w:rPr>
                <w:rFonts w:ascii="Arial" w:cs="Arial" w:eastAsia="Arial" w:hAnsi="Arial"/>
                <w:sz w:val="18"/>
                <w:szCs w:val="18"/>
                <w:color w:val="auto"/>
              </w:rPr>
              <w:t>Close out</w:t>
            </w: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R</w:t>
            </w:r>
          </w:p>
        </w:tc>
        <w:tc>
          <w:tcPr>
            <w:tcW w:w="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MII representative in attendance via conference call</w:t>
      </w:r>
    </w:p>
    <w:p>
      <w:pPr>
        <w:spacing w:after="0" w:line="15"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Presentation at MII Corporate Headquarters (Note: SMDR submission, review and approval is optional and at the discretion of MII)</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Presentation for approval by applicable condominium owners association(s) at Board Meeting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w:t>
      </w:r>
      <w:r>
        <w:rPr>
          <w:rFonts w:ascii="Arial" w:cs="Arial" w:eastAsia="Arial" w:hAnsi="Arial"/>
          <w:sz w:val="18"/>
          <w:szCs w:val="18"/>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 = Responsible (party is responsible to coordinate and/or provide the specified item,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 Approve (party is to approve, in writing, the specified item within five (5) business days of receipt)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 Support (party to support and/or provide consultation for the other party relative to the specified item)</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WAIVER</w:t>
      </w:r>
    </w:p>
    <w:p>
      <w:pPr>
        <w:spacing w:after="0" w:line="171" w:lineRule="exact"/>
        <w:rPr>
          <w:sz w:val="20"/>
          <w:szCs w:val="20"/>
          <w:color w:val="auto"/>
        </w:rPr>
      </w:pPr>
    </w:p>
    <w:p>
      <w:pPr>
        <w:ind w:left="600" w:hanging="59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-13970</wp:posOffset>
            </wp:positionV>
            <wp:extent cx="3346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-13970</wp:posOffset>
            </wp:positionV>
            <wp:extent cx="1117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10400 Fernwood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Bethesda, MD 20817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-17780</wp:posOffset>
            </wp:positionV>
            <wp:extent cx="7804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w:t>
      </w:r>
    </w:p>
    <w:p>
      <w:pPr>
        <w:spacing w:after="0" w:line="17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Dear</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-13970</wp:posOffset>
            </wp:positionV>
            <wp:extent cx="7804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Reference is made to Exhibit G, Design Review Addendum (the “</w:t>
      </w:r>
      <w:r>
        <w:rPr>
          <w:rFonts w:ascii="Arial" w:cs="Arial" w:eastAsia="Arial" w:hAnsi="Arial"/>
          <w:sz w:val="18"/>
          <w:szCs w:val="18"/>
          <w:u w:val="single" w:color="auto"/>
          <w:color w:val="auto"/>
        </w:rPr>
        <w:t>Addendum</w:t>
      </w:r>
      <w:r>
        <w:rPr>
          <w:rFonts w:ascii="Arial" w:cs="Arial" w:eastAsia="Arial" w:hAnsi="Arial"/>
          <w:sz w:val="18"/>
          <w:szCs w:val="18"/>
          <w:color w:val="auto"/>
        </w:rPr>
        <w:t>”), attached to and incorporated in the License, Services and Development Agreement dated effective November 19, 2011 (the “</w:t>
      </w:r>
      <w:r>
        <w:rPr>
          <w:rFonts w:ascii="Arial" w:cs="Arial" w:eastAsia="Arial" w:hAnsi="Arial"/>
          <w:sz w:val="18"/>
          <w:szCs w:val="18"/>
          <w:u w:val="single" w:color="auto"/>
          <w:color w:val="auto"/>
        </w:rPr>
        <w:t>License Agreement</w:t>
      </w:r>
      <w:r>
        <w:rPr>
          <w:rFonts w:ascii="Arial" w:cs="Arial" w:eastAsia="Arial" w:hAnsi="Arial"/>
          <w:sz w:val="18"/>
          <w:szCs w:val="18"/>
          <w:color w:val="auto"/>
        </w:rPr>
        <w:t>”) by and between Marriott International Inc. and Marriott Worldwide Corporation (collectively, “</w:t>
      </w:r>
      <w:r>
        <w:rPr>
          <w:rFonts w:ascii="Arial" w:cs="Arial" w:eastAsia="Arial" w:hAnsi="Arial"/>
          <w:sz w:val="18"/>
          <w:szCs w:val="18"/>
          <w:u w:val="single" w:color="auto"/>
          <w:color w:val="auto"/>
        </w:rPr>
        <w:t>Licensor</w:t>
      </w:r>
      <w:r>
        <w:rPr>
          <w:rFonts w:ascii="Arial" w:cs="Arial" w:eastAsia="Arial" w:hAnsi="Arial"/>
          <w:sz w:val="18"/>
          <w:szCs w:val="18"/>
          <w:color w:val="auto"/>
        </w:rPr>
        <w:t>”) and Marriott Vacations Worldwide Corporation (“</w:t>
      </w:r>
      <w:r>
        <w:rPr>
          <w:rFonts w:ascii="Arial" w:cs="Arial" w:eastAsia="Arial" w:hAnsi="Arial"/>
          <w:sz w:val="18"/>
          <w:szCs w:val="18"/>
          <w:u w:val="single" w:color="auto"/>
          <w:color w:val="auto"/>
        </w:rPr>
        <w:t>Licensee</w:t>
      </w:r>
      <w:r>
        <w:rPr>
          <w:rFonts w:ascii="Arial" w:cs="Arial" w:eastAsia="Arial" w:hAnsi="Arial"/>
          <w:sz w:val="18"/>
          <w:szCs w:val="18"/>
          <w:color w:val="auto"/>
        </w:rPr>
        <w:t>”). Capital terms used herein, unless otherwise noted, shall have the meaning ascribed in the License Agreement.</w:t>
      </w:r>
    </w:p>
    <w:p>
      <w:pPr>
        <w:spacing w:after="0" w:line="137"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[Choose of the following: Marriott Resorts Hospitality Corporation, on behalf of [insert name of the association] </w:t>
      </w:r>
      <w:r>
        <w:rPr>
          <w:rFonts w:ascii="Arial" w:cs="Arial" w:eastAsia="Arial" w:hAnsi="Arial"/>
          <w:sz w:val="18"/>
          <w:szCs w:val="18"/>
          <w:b w:val="1"/>
          <w:bCs w:val="1"/>
          <w:u w:val="single" w:color="auto"/>
          <w:color w:val="auto"/>
        </w:rPr>
        <w:t>or</w:t>
      </w:r>
      <w:r>
        <w:rPr>
          <w:rFonts w:ascii="Arial" w:cs="Arial" w:eastAsia="Arial" w:hAnsi="Arial"/>
          <w:sz w:val="18"/>
          <w:szCs w:val="18"/>
          <w:b w:val="1"/>
          <w:bCs w:val="1"/>
          <w:color w:val="auto"/>
        </w:rPr>
        <w:t xml:space="preserve"> Marriott Ownership Resorts, Inc.] </w:t>
      </w:r>
      <w:r>
        <w:rPr>
          <w:rFonts w:ascii="Arial" w:cs="Arial" w:eastAsia="Arial" w:hAnsi="Arial"/>
          <w:sz w:val="18"/>
          <w:szCs w:val="18"/>
          <w:color w:val="auto"/>
        </w:rPr>
        <w:t>has deemed it necessary and beneficial to complete the following project(s) at the Property (the “</w:t>
      </w:r>
      <w:r>
        <w:rPr>
          <w:rFonts w:ascii="Arial" w:cs="Arial" w:eastAsia="Arial" w:hAnsi="Arial"/>
          <w:sz w:val="18"/>
          <w:szCs w:val="18"/>
          <w:u w:val="single" w:color="auto"/>
          <w:color w:val="auto"/>
        </w:rPr>
        <w:t>Project</w:t>
      </w:r>
      <w:r>
        <w:rPr>
          <w:rFonts w:ascii="Arial" w:cs="Arial" w:eastAsia="Arial" w:hAnsi="Arial"/>
          <w:sz w:val="18"/>
          <w:szCs w:val="18"/>
          <w:color w:val="auto"/>
        </w:rPr>
        <w: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[Insert details regarding the activity and the scope for the project for which the waiver is sought.]</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Article 1.1 of the Addendum permits Licensee to proceed with minor renovations and refurbishments without the cost and time associated with the review process outlined in Article 3 of the Addendum. More specifically, Article 1.1 describes a Refurbishment Review Waiver Request whereby Licensee may request Licensor to waive the requirements specified in Article 3 upon submission of detail regarding activities and the scope of the project. This letter, and any attachments hereto, serves as Licensee’s written request to Licensor to waive the review requirements of the License Agreement relative to the Project, the scope of which is described above and/or attached.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1" w:name="page52"/>
    <w:bookmarkEnd w:id="51"/>
    <w:p>
      <w:pPr>
        <w:ind w:right="9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signing below, Licensor hereby waives the requirements relative to design review as detailed in Article 3 of the Addendum. Please have this letter countersigned by an authorized representative of Licensor within three (3) business days to avoid delaying the Project.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Thank you in advance for your cooperation.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[Marriott Resorts Hospitality Corporation </w:t>
      </w:r>
      <w:r>
        <w:rPr>
          <w:rFonts w:ascii="Arial" w:cs="Arial" w:eastAsia="Arial" w:hAnsi="Arial"/>
          <w:sz w:val="18"/>
          <w:szCs w:val="18"/>
          <w:b w:val="1"/>
          <w:bCs w:val="1"/>
          <w:u w:val="single" w:color="auto"/>
          <w:color w:val="auto"/>
        </w:rPr>
        <w:t>or</w:t>
      </w:r>
      <w:r>
        <w:rPr>
          <w:rFonts w:ascii="Arial" w:cs="Arial" w:eastAsia="Arial" w:hAnsi="Arial"/>
          <w:sz w:val="18"/>
          <w:szCs w:val="18"/>
          <w:b w:val="1"/>
          <w:bCs w:val="1"/>
          <w:color w:val="auto"/>
        </w:rPr>
        <w:t xml:space="preserve"> Marriott Ownership Resorts,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2718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7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Waiver of the requirements relative to design review as detailed in Article 3 of the Addendum, acknowledged and agreed to by Licensor as an authorized signatory for and on behalf of Marriott International, Inc. and Marriott Worldwide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Marriott International,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Marriott Worldwide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9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9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90" w:lineRule="exact"/>
        <w:rPr>
          <w:sz w:val="20"/>
          <w:szCs w:val="20"/>
          <w:color w:val="auto"/>
        </w:rPr>
      </w:pPr>
    </w:p>
    <w:p>
      <w:pPr>
        <w:ind w:left="460" w:right="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22, 2013 (the “Quarterly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Quarterly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April 25,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John E. Geller, Jr., Executive Vice President and Chief Financial Officer of Marriott Vacations Worldwide Corporation (the “Company”) certify that:</w:t>
      </w:r>
    </w:p>
    <w:p>
      <w:pPr>
        <w:spacing w:after="0" w:line="113" w:lineRule="exact"/>
        <w:rPr>
          <w:sz w:val="20"/>
          <w:szCs w:val="20"/>
          <w:color w:val="auto"/>
        </w:rPr>
      </w:pPr>
    </w:p>
    <w:p>
      <w:pPr>
        <w:ind w:left="460" w:right="4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22, 2013 (the “Quarterly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Quarterly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April 25,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7"/>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upperLetter"/>
      <w:start w:val="1"/>
    </w:lvl>
    <w:lvl w:ilvl="1">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upperLetter"/>
      <w:start w:val="3"/>
    </w:lvl>
    <w:lvl w:ilvl="1">
      <w:lvlJc w:val="left"/>
      <w:lvlText w:val="•"/>
      <w:numFmt w:val="bullet"/>
      <w:start w:val="1"/>
    </w:lvl>
    <w:lvl w:ilvl="2">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2019-12-08T01:18:48Z</dcterms:created>
  <dcterms:modified xsi:type="dcterms:W3CDTF">2019-12-08T01:18:48Z</dcterms:modified>
</cp:coreProperties>
</file>