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600"/>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1308735</wp:posOffset>
            </wp:positionH>
            <wp:positionV relativeFrom="page">
              <wp:posOffset>763905</wp:posOffset>
            </wp:positionV>
            <wp:extent cx="53346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34635" cy="8255"/>
                    </a:xfrm>
                    <a:prstGeom prst="rect">
                      <a:avLst/>
                    </a:prstGeom>
                    <a:noFill/>
                  </pic:spPr>
                </pic:pic>
              </a:graphicData>
            </a:graphic>
          </wp:anchor>
        </w:drawing>
        <w:drawing>
          <wp:anchor simplePos="0" relativeHeight="251657728" behindDoc="1" locked="0" layoutInCell="0" allowOverlap="1">
            <wp:simplePos x="0" y="0"/>
            <wp:positionH relativeFrom="page">
              <wp:posOffset>1308735</wp:posOffset>
            </wp:positionH>
            <wp:positionV relativeFrom="page">
              <wp:posOffset>730885</wp:posOffset>
            </wp:positionV>
            <wp:extent cx="53346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34635" cy="8255"/>
                    </a:xfrm>
                    <a:prstGeom prst="rect">
                      <a:avLst/>
                    </a:prstGeom>
                    <a:noFill/>
                  </pic:spPr>
                </pic:pic>
              </a:graphicData>
            </a:graphic>
          </wp:anchor>
        </w:drawing>
        <w:t>UNITED STATES</w:t>
      </w:r>
    </w:p>
    <w:p>
      <w:pPr>
        <w:spacing w:after="0" w:line="49" w:lineRule="exact"/>
        <w:rPr>
          <w:sz w:val="24"/>
          <w:szCs w:val="24"/>
          <w:color w:val="auto"/>
        </w:rPr>
      </w:pPr>
    </w:p>
    <w:p>
      <w:pPr>
        <w:jc w:val="center"/>
        <w:ind w:left="60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5"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52"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0"/>
          <w:szCs w:val="10"/>
          <w:color w:val="auto"/>
        </w:rPr>
        <w:t>___________________________________________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122" w:lineRule="exact"/>
        <w:rPr>
          <w:sz w:val="24"/>
          <w:szCs w:val="24"/>
          <w:color w:val="auto"/>
        </w:rPr>
      </w:pPr>
    </w:p>
    <w:p>
      <w:pPr>
        <w:ind w:left="1860" w:hanging="419"/>
        <w:spacing w:after="0"/>
        <w:tabs>
          <w:tab w:leader="none" w:pos="18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1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For the quarterly period ended September 30, 2022</w:t>
      </w:r>
    </w:p>
    <w:p>
      <w:pPr>
        <w:spacing w:after="0" w:line="6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33" w:lineRule="exact"/>
        <w:rPr>
          <w:sz w:val="24"/>
          <w:szCs w:val="24"/>
          <w:color w:val="auto"/>
        </w:rPr>
      </w:pPr>
    </w:p>
    <w:p>
      <w:pPr>
        <w:ind w:left="1860" w:hanging="419"/>
        <w:spacing w:after="0"/>
        <w:tabs>
          <w:tab w:leader="none" w:pos="18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26" w:lineRule="exact"/>
        <w:rPr>
          <w:sz w:val="24"/>
          <w:szCs w:val="24"/>
          <w:color w:val="auto"/>
        </w:rPr>
      </w:pPr>
    </w:p>
    <w:p>
      <w:pPr>
        <w:ind w:left="3500"/>
        <w:spacing w:after="0"/>
        <w:tabs>
          <w:tab w:leader="none" w:pos="668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3672205</wp:posOffset>
            </wp:positionH>
            <wp:positionV relativeFrom="paragraph">
              <wp:posOffset>-3810</wp:posOffset>
            </wp:positionV>
            <wp:extent cx="12433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9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Commission file number 001-35219</w:t>
      </w:r>
    </w:p>
    <w:p>
      <w:pPr>
        <w:spacing w:after="0" w:line="3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8"/>
          <w:szCs w:val="38"/>
          <w:b w:val="1"/>
          <w:bCs w:val="1"/>
          <w:color w:val="auto"/>
        </w:rPr>
        <w:t>Marriott Vacations Worldwide Corporation</w:t>
      </w:r>
    </w:p>
    <w:p>
      <w:pPr>
        <w:spacing w:after="0" w:line="5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11"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121" w:lineRule="exact"/>
        <w:rPr>
          <w:sz w:val="24"/>
          <w:szCs w:val="24"/>
          <w:color w:val="auto"/>
        </w:rPr>
      </w:pPr>
    </w:p>
    <w:tbl>
      <w:tblPr>
        <w:tblLayout w:type="fixed"/>
        <w:tblInd w:w="2260" w:type="dxa"/>
        <w:tblCellMar>
          <w:top w:w="0" w:type="dxa"/>
          <w:left w:w="0" w:type="dxa"/>
          <w:bottom w:w="0" w:type="dxa"/>
          <w:right w:w="0" w:type="dxa"/>
        </w:tblCellMar>
      </w:tblPr>
      <w:tr>
        <w:trPr>
          <w:trHeight w:val="228"/>
        </w:trPr>
        <w:tc>
          <w:tcPr>
            <w:tcW w:w="3940" w:type="dxa"/>
            <w:vAlign w:val="bottom"/>
          </w:tcPr>
          <w:p>
            <w:pPr>
              <w:jc w:val="center"/>
              <w:ind w:right="1064"/>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2260" w:type="dxa"/>
            <w:vAlign w:val="bottom"/>
          </w:tcPr>
          <w:p>
            <w:pPr>
              <w:jc w:val="right"/>
              <w:ind w:right="44"/>
              <w:spacing w:after="0"/>
              <w:rPr>
                <w:sz w:val="20"/>
                <w:szCs w:val="20"/>
                <w:color w:val="auto"/>
              </w:rPr>
            </w:pPr>
            <w:r>
              <w:rPr>
                <w:rFonts w:ascii="Times New Roman" w:cs="Times New Roman" w:eastAsia="Times New Roman" w:hAnsi="Times New Roman"/>
                <w:sz w:val="17"/>
                <w:szCs w:val="17"/>
                <w:b w:val="1"/>
                <w:bCs w:val="1"/>
                <w:color w:val="auto"/>
              </w:rPr>
              <w:t>45-2598330</w:t>
            </w:r>
          </w:p>
        </w:tc>
      </w:tr>
      <w:tr>
        <w:trPr>
          <w:trHeight w:val="196"/>
        </w:trPr>
        <w:tc>
          <w:tcPr>
            <w:tcW w:w="3940" w:type="dxa"/>
            <w:vAlign w:val="bottom"/>
          </w:tcPr>
          <w:p>
            <w:pPr>
              <w:jc w:val="center"/>
              <w:ind w:right="1064"/>
              <w:spacing w:after="0"/>
              <w:rPr>
                <w:sz w:val="20"/>
                <w:szCs w:val="20"/>
                <w:color w:val="auto"/>
              </w:rPr>
            </w:pPr>
            <w:r>
              <w:rPr>
                <w:rFonts w:ascii="Times New Roman" w:cs="Times New Roman" w:eastAsia="Times New Roman" w:hAnsi="Times New Roman"/>
                <w:sz w:val="14"/>
                <w:szCs w:val="14"/>
                <w:b w:val="1"/>
                <w:bCs w:val="1"/>
                <w:color w:val="auto"/>
                <w:w w:val="98"/>
              </w:rPr>
              <w:t>(State or other jurisdiction of</w:t>
            </w:r>
          </w:p>
        </w:tc>
        <w:tc>
          <w:tcPr>
            <w:tcW w:w="2260" w:type="dxa"/>
            <w:vAlign w:val="bottom"/>
          </w:tcPr>
          <w:p>
            <w:pPr>
              <w:jc w:val="center"/>
              <w:ind w:left="1104"/>
              <w:spacing w:after="0"/>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3"/>
        </w:trPr>
        <w:tc>
          <w:tcPr>
            <w:tcW w:w="3940" w:type="dxa"/>
            <w:vAlign w:val="bottom"/>
          </w:tcPr>
          <w:p>
            <w:pPr>
              <w:jc w:val="center"/>
              <w:ind w:right="1064"/>
              <w:spacing w:after="0"/>
              <w:rPr>
                <w:sz w:val="20"/>
                <w:szCs w:val="20"/>
                <w:color w:val="auto"/>
              </w:rPr>
            </w:pPr>
            <w:r>
              <w:rPr>
                <w:rFonts w:ascii="Times New Roman" w:cs="Times New Roman" w:eastAsia="Times New Roman" w:hAnsi="Times New Roman"/>
                <w:sz w:val="14"/>
                <w:szCs w:val="14"/>
                <w:b w:val="1"/>
                <w:bCs w:val="1"/>
                <w:color w:val="auto"/>
                <w:w w:val="98"/>
              </w:rPr>
              <w:t>incorporation or organization)</w:t>
            </w:r>
          </w:p>
        </w:tc>
        <w:tc>
          <w:tcPr>
            <w:tcW w:w="2260" w:type="dxa"/>
            <w:vAlign w:val="bottom"/>
          </w:tcPr>
          <w:p>
            <w:pPr>
              <w:jc w:val="center"/>
              <w:ind w:left="1104"/>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r>
        <w:trPr>
          <w:trHeight w:val="245"/>
        </w:trPr>
        <w:tc>
          <w:tcPr>
            <w:tcW w:w="3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9002 San Marco Court  Orlando FL</w:t>
            </w:r>
          </w:p>
        </w:tc>
        <w:tc>
          <w:tcPr>
            <w:tcW w:w="2260" w:type="dxa"/>
            <w:vAlign w:val="bottom"/>
          </w:tcPr>
          <w:p>
            <w:pPr>
              <w:jc w:val="right"/>
              <w:ind w:right="244"/>
              <w:spacing w:after="0"/>
              <w:rPr>
                <w:sz w:val="20"/>
                <w:szCs w:val="20"/>
                <w:color w:val="auto"/>
              </w:rPr>
            </w:pPr>
            <w:r>
              <w:rPr>
                <w:rFonts w:ascii="Times New Roman" w:cs="Times New Roman" w:eastAsia="Times New Roman" w:hAnsi="Times New Roman"/>
                <w:sz w:val="17"/>
                <w:szCs w:val="17"/>
                <w:b w:val="1"/>
                <w:bCs w:val="1"/>
                <w:color w:val="auto"/>
              </w:rPr>
              <w:t>32819</w:t>
            </w:r>
          </w:p>
        </w:tc>
      </w:tr>
      <w:tr>
        <w:trPr>
          <w:trHeight w:val="183"/>
        </w:trPr>
        <w:tc>
          <w:tcPr>
            <w:tcW w:w="3940" w:type="dxa"/>
            <w:vAlign w:val="bottom"/>
          </w:tcPr>
          <w:p>
            <w:pPr>
              <w:jc w:val="center"/>
              <w:ind w:right="1064"/>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w:t>
            </w:r>
          </w:p>
        </w:tc>
        <w:tc>
          <w:tcPr>
            <w:tcW w:w="2260" w:type="dxa"/>
            <w:vAlign w:val="bottom"/>
          </w:tcPr>
          <w:p>
            <w:pPr>
              <w:jc w:val="center"/>
              <w:ind w:left="1104"/>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bl>
    <w:p>
      <w:pPr>
        <w:spacing w:after="0" w:line="106" w:lineRule="exact"/>
        <w:rPr>
          <w:sz w:val="24"/>
          <w:szCs w:val="24"/>
          <w:color w:val="auto"/>
        </w:rPr>
      </w:pPr>
    </w:p>
    <w:p>
      <w:pPr>
        <w:ind w:left="3200" w:right="3060" w:firstLine="303"/>
        <w:spacing w:after="0" w:line="285" w:lineRule="auto"/>
        <w:tabs>
          <w:tab w:leader="none" w:pos="3924"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206-6000 </w:t>
      </w:r>
      <w:r>
        <w:rPr>
          <w:rFonts w:ascii="Times New Roman" w:cs="Times New Roman" w:eastAsia="Times New Roman" w:hAnsi="Times New Roman"/>
          <w:sz w:val="13"/>
          <w:szCs w:val="13"/>
          <w:b w:val="1"/>
          <w:bCs w:val="1"/>
          <w:color w:val="auto"/>
        </w:rPr>
        <w:t>(Registrant’s telephone number, including area code)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3"/>
          <w:szCs w:val="13"/>
          <w:b w:val="1"/>
          <w:bCs w:val="1"/>
          <w:color w:val="auto"/>
        </w:rPr>
        <w:t>(Former name, former address and former fiscal year, if changed since last report)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7" w:lineRule="exact"/>
        <w:rPr>
          <w:sz w:val="24"/>
          <w:szCs w:val="24"/>
          <w:color w:val="auto"/>
        </w:rPr>
      </w:pPr>
    </w:p>
    <w:tbl>
      <w:tblPr>
        <w:tblLayout w:type="fixed"/>
        <w:tblInd w:w="1430" w:type="dxa"/>
        <w:tblCellMar>
          <w:top w:w="0" w:type="dxa"/>
          <w:left w:w="0" w:type="dxa"/>
          <w:bottom w:w="0" w:type="dxa"/>
          <w:right w:w="0" w:type="dxa"/>
        </w:tblCellMar>
      </w:tblPr>
      <w:tr>
        <w:trPr>
          <w:trHeight w:val="202"/>
        </w:trPr>
        <w:tc>
          <w:tcPr>
            <w:tcW w:w="31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3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r>
      <w:tr>
        <w:trPr>
          <w:trHeight w:val="217"/>
        </w:trPr>
        <w:tc>
          <w:tcPr>
            <w:tcW w:w="31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VAC</w:t>
            </w: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8"/>
        </w:trPr>
        <w:tc>
          <w:tcPr>
            <w:tcW w:w="312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bl>
    <w:p>
      <w:pPr>
        <w:spacing w:after="0" w:line="173" w:lineRule="exact"/>
        <w:rPr>
          <w:sz w:val="24"/>
          <w:szCs w:val="24"/>
          <w:color w:val="auto"/>
        </w:rPr>
      </w:pPr>
    </w:p>
    <w:p>
      <w:pPr>
        <w:ind w:right="120"/>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1" w:lineRule="exact"/>
        <w:rPr>
          <w:sz w:val="24"/>
          <w:szCs w:val="24"/>
          <w:color w:val="auto"/>
        </w:rPr>
      </w:pPr>
    </w:p>
    <w:p>
      <w:pPr>
        <w:ind w:right="16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8"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20"/>
          </w:cols>
          <w:pgMar w:left="320" w:top="1376" w:right="459" w:bottom="1440" w:gutter="0" w:footer="0" w:header="0"/>
        </w:sectPr>
      </w:pPr>
    </w:p>
    <w:p>
      <w:pPr>
        <w:spacing w:after="0" w:line="20"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tabs>
          <w:tab w:leader="none" w:pos="50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jc w:val="center"/>
        <w:spacing w:after="0"/>
        <w:tabs>
          <w:tab w:leader="none" w:pos="32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tabs>
          <w:tab w:leader="none" w:pos="48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06" w:lineRule="exact"/>
        <w:rPr>
          <w:sz w:val="24"/>
          <w:szCs w:val="24"/>
          <w:color w:val="auto"/>
        </w:rPr>
      </w:pPr>
    </w:p>
    <w:p>
      <w:pPr>
        <w:sectPr>
          <w:pgSz w:w="11900" w:h="16838" w:orient="portrait"/>
          <w:cols w:equalWidth="0" w:num="5">
            <w:col w:w="2100" w:space="720"/>
            <w:col w:w="1640" w:space="720"/>
            <w:col w:w="1880" w:space="660"/>
            <w:col w:w="2360" w:space="720"/>
            <w:col w:w="320"/>
          </w:cols>
          <w:pgMar w:left="320" w:top="1376" w:right="459" w:bottom="1440" w:gutter="0" w:footer="0" w:header="0"/>
          <w:type w:val="continuous"/>
        </w:sectPr>
      </w:pPr>
    </w:p>
    <w:p>
      <w:pPr>
        <w:ind w:left="80"/>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2" w:lineRule="exact"/>
        <w:rPr>
          <w:sz w:val="24"/>
          <w:szCs w:val="24"/>
          <w:color w:val="auto"/>
        </w:rPr>
      </w:pPr>
    </w:p>
    <w:p>
      <w:pPr>
        <w:sectPr>
          <w:pgSz w:w="11900" w:h="16838" w:orient="portrait"/>
          <w:cols w:equalWidth="0" w:num="2">
            <w:col w:w="2100" w:space="720"/>
            <w:col w:w="8300"/>
          </w:cols>
          <w:pgMar w:left="320" w:top="1376" w:right="459" w:bottom="1440" w:gutter="0" w:footer="0" w:header="0"/>
          <w:type w:val="continuous"/>
        </w:sectPr>
      </w:pPr>
    </w:p>
    <w:p>
      <w:pPr>
        <w:ind w:right="34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2" w:lineRule="exact"/>
        <w:rPr>
          <w:sz w:val="24"/>
          <w:szCs w:val="24"/>
          <w:color w:val="auto"/>
        </w:rPr>
      </w:pPr>
    </w:p>
    <w:p>
      <w:pPr>
        <w:ind w:right="2480"/>
        <w:spacing w:after="0" w:line="27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6"/>
          <w:szCs w:val="16"/>
          <w:color w:val="auto"/>
        </w:rPr>
        <w:t xml:space="preserve"> The number of shares outstanding of the issuer’s common stock, par value $0.01 per share, as of October 31, 2022 was 38,320,142.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713105</wp:posOffset>
            </wp:positionV>
            <wp:extent cx="71634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908050</wp:posOffset>
            </wp:positionH>
            <wp:positionV relativeFrom="paragraph">
              <wp:posOffset>108585</wp:posOffset>
            </wp:positionV>
            <wp:extent cx="53346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34635" cy="8255"/>
                    </a:xfrm>
                    <a:prstGeom prst="rect">
                      <a:avLst/>
                    </a:prstGeom>
                    <a:noFill/>
                  </pic:spPr>
                </pic:pic>
              </a:graphicData>
            </a:graphic>
          </wp:anchor>
        </w:drawing>
        <w:drawing>
          <wp:anchor simplePos="0" relativeHeight="251657728" behindDoc="1" locked="0" layoutInCell="0" allowOverlap="1">
            <wp:simplePos x="0" y="0"/>
            <wp:positionH relativeFrom="column">
              <wp:posOffset>908050</wp:posOffset>
            </wp:positionH>
            <wp:positionV relativeFrom="paragraph">
              <wp:posOffset>75565</wp:posOffset>
            </wp:positionV>
            <wp:extent cx="53346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34635" cy="8255"/>
                    </a:xfrm>
                    <a:prstGeom prst="rect">
                      <a:avLst/>
                    </a:prstGeom>
                    <a:noFill/>
                  </pic:spPr>
                </pic:pic>
              </a:graphicData>
            </a:graphic>
          </wp:anchor>
        </w:drawing>
      </w:r>
    </w:p>
    <w:p>
      <w:pPr>
        <w:sectPr>
          <w:pgSz w:w="11900" w:h="16838" w:orient="portrait"/>
          <w:cols w:equalWidth="0" w:num="1">
            <w:col w:w="11120"/>
          </w:cols>
          <w:pgMar w:left="320" w:top="1376" w:right="459" w:bottom="1440" w:gutter="0" w:footer="0" w:header="0"/>
          <w:type w:val="continuous"/>
        </w:sectPr>
      </w:pPr>
    </w:p>
    <w:bookmarkStart w:id="1" w:name="page2"/>
    <w:bookmarkEnd w:id="1"/>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FORM 10-Q TABLE OF CONTENTS</w:t>
      </w:r>
    </w:p>
    <w:p>
      <w:pPr>
        <w:spacing w:after="0" w:line="39" w:lineRule="exact"/>
        <w:rPr>
          <w:sz w:val="20"/>
          <w:szCs w:val="20"/>
          <w:color w:val="auto"/>
        </w:rPr>
      </w:pPr>
    </w:p>
    <w:tbl>
      <w:tblPr>
        <w:tblLayout w:type="fixed"/>
        <w:tblInd w:w="1440" w:type="dxa"/>
        <w:tblCellMar>
          <w:top w:w="0" w:type="dxa"/>
          <w:left w:w="0" w:type="dxa"/>
          <w:bottom w:w="0" w:type="dxa"/>
          <w:right w:w="0" w:type="dxa"/>
        </w:tblCellMar>
      </w:tblPr>
      <w:tr>
        <w:trPr>
          <w:trHeight w:val="183"/>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9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2180" w:type="dxa"/>
            <w:vAlign w:val="bottom"/>
            <w:gridSpan w:val="10"/>
            <w:vMerge w:val="restart"/>
          </w:tcPr>
          <w:p>
            <w:pPr>
              <w:spacing w:after="0"/>
              <w:rPr>
                <w:sz w:val="20"/>
                <w:szCs w:val="20"/>
                <w:color w:val="auto"/>
              </w:rPr>
            </w:pPr>
            <w:r>
              <w:rPr>
                <w:rFonts w:ascii="Times New Roman" w:cs="Times New Roman" w:eastAsia="Times New Roman" w:hAnsi="Times New Roman"/>
                <w:sz w:val="16"/>
                <w:szCs w:val="16"/>
                <w:b w:val="1"/>
                <w:bCs w:val="1"/>
                <w:color w:val="0000FF"/>
              </w:rPr>
              <w:t>FINANCIAL INFORMATION</w:t>
            </w:r>
          </w:p>
        </w:tc>
        <w:tc>
          <w:tcPr>
            <w:tcW w:w="4340" w:type="dxa"/>
            <w:vAlign w:val="bottom"/>
            <w:gridSpan w:val="9"/>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980" w:type="dxa"/>
            <w:vAlign w:val="bottom"/>
            <w:vMerge w:val="continue"/>
          </w:tcPr>
          <w:p>
            <w:pPr>
              <w:spacing w:after="0"/>
              <w:rPr>
                <w:sz w:val="14"/>
                <w:szCs w:val="14"/>
                <w:color w:val="auto"/>
              </w:rPr>
            </w:pPr>
          </w:p>
        </w:tc>
        <w:tc>
          <w:tcPr>
            <w:tcW w:w="2180" w:type="dxa"/>
            <w:vAlign w:val="bottom"/>
            <w:gridSpan w:val="10"/>
            <w:vMerge w:val="continue"/>
          </w:tcPr>
          <w:p>
            <w:pPr>
              <w:spacing w:after="0"/>
              <w:rPr>
                <w:sz w:val="14"/>
                <w:szCs w:val="14"/>
                <w:color w:val="auto"/>
              </w:rPr>
            </w:pPr>
          </w:p>
        </w:tc>
        <w:tc>
          <w:tcPr>
            <w:tcW w:w="4340" w:type="dxa"/>
            <w:vAlign w:val="bottom"/>
            <w:gridSpan w:val="9"/>
            <w:vMerge w:val="continue"/>
          </w:tcPr>
          <w:p>
            <w:pPr>
              <w:spacing w:after="0"/>
              <w:rPr>
                <w:sz w:val="14"/>
                <w:szCs w:val="14"/>
                <w:color w:val="auto"/>
              </w:rPr>
            </w:pPr>
          </w:p>
        </w:tc>
        <w:tc>
          <w:tcPr>
            <w:tcW w:w="480" w:type="dxa"/>
            <w:vAlign w:val="bottom"/>
            <w:gridSpan w:val="2"/>
          </w:tcPr>
          <w:p>
            <w:pPr>
              <w:jc w:val="center"/>
              <w:ind w:left="319"/>
              <w:spacing w:after="0" w:line="161" w:lineRule="exact"/>
              <w:rPr>
                <w:sz w:val="20"/>
                <w:szCs w:val="20"/>
                <w:color w:val="auto"/>
              </w:rPr>
            </w:pPr>
            <w:r>
              <w:rPr>
                <w:rFonts w:ascii="Times New Roman" w:cs="Times New Roman" w:eastAsia="Times New Roman" w:hAnsi="Times New Roman"/>
                <w:sz w:val="16"/>
                <w:szCs w:val="16"/>
                <w:color w:val="0000FF"/>
                <w:w w:val="99"/>
              </w:rPr>
              <w:t>1</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Item 1.</w:t>
            </w:r>
          </w:p>
        </w:tc>
        <w:tc>
          <w:tcPr>
            <w:tcW w:w="180" w:type="dxa"/>
            <w:vAlign w:val="bottom"/>
          </w:tcPr>
          <w:p>
            <w:pPr>
              <w:spacing w:after="0"/>
              <w:rPr>
                <w:sz w:val="19"/>
                <w:szCs w:val="19"/>
                <w:color w:val="auto"/>
              </w:rPr>
            </w:pPr>
          </w:p>
        </w:tc>
        <w:tc>
          <w:tcPr>
            <w:tcW w:w="13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Financial Statements</w:t>
            </w:r>
          </w:p>
        </w:tc>
        <w:tc>
          <w:tcPr>
            <w:tcW w:w="620" w:type="dxa"/>
            <w:vAlign w:val="bottom"/>
            <w:gridSpan w:val="3"/>
          </w:tcPr>
          <w:p>
            <w:pPr>
              <w:spacing w:after="0"/>
              <w:rPr>
                <w:sz w:val="19"/>
                <w:szCs w:val="19"/>
                <w:color w:val="auto"/>
              </w:rPr>
            </w:pPr>
          </w:p>
        </w:tc>
        <w:tc>
          <w:tcPr>
            <w:tcW w:w="4340" w:type="dxa"/>
            <w:vAlign w:val="bottom"/>
            <w:gridSpan w:val="9"/>
          </w:tcPr>
          <w:p>
            <w:pPr>
              <w:spacing w:after="0"/>
              <w:rPr>
                <w:sz w:val="19"/>
                <w:szCs w:val="19"/>
                <w:color w:val="auto"/>
              </w:rPr>
            </w:pPr>
          </w:p>
        </w:tc>
        <w:tc>
          <w:tcPr>
            <w:tcW w:w="480" w:type="dxa"/>
            <w:vAlign w:val="bottom"/>
            <w:gridSpan w:val="2"/>
          </w:tcPr>
          <w:p>
            <w:pPr>
              <w:jc w:val="center"/>
              <w:ind w:left="319"/>
              <w:spacing w:after="0"/>
              <w:rPr>
                <w:sz w:val="20"/>
                <w:szCs w:val="20"/>
                <w:color w:val="auto"/>
              </w:rPr>
            </w:pPr>
            <w:r>
              <w:rPr>
                <w:rFonts w:ascii="Times New Roman" w:cs="Times New Roman" w:eastAsia="Times New Roman" w:hAnsi="Times New Roman"/>
                <w:sz w:val="16"/>
                <w:szCs w:val="16"/>
                <w:color w:val="0000FF"/>
                <w:w w:val="99"/>
              </w:rPr>
              <w:t>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0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Interim Consolidated Statements of Income</w:t>
            </w:r>
          </w:p>
        </w:tc>
        <w:tc>
          <w:tcPr>
            <w:tcW w:w="480" w:type="dxa"/>
            <w:vAlign w:val="bottom"/>
            <w:gridSpan w:val="2"/>
          </w:tcPr>
          <w:p>
            <w:pPr>
              <w:jc w:val="center"/>
              <w:ind w:left="319"/>
              <w:spacing w:after="0"/>
              <w:rPr>
                <w:sz w:val="20"/>
                <w:szCs w:val="20"/>
                <w:color w:val="auto"/>
              </w:rPr>
            </w:pPr>
            <w:r>
              <w:rPr>
                <w:rFonts w:ascii="Times New Roman" w:cs="Times New Roman" w:eastAsia="Times New Roman" w:hAnsi="Times New Roman"/>
                <w:sz w:val="16"/>
                <w:szCs w:val="16"/>
                <w:color w:val="0000FF"/>
                <w:w w:val="99"/>
              </w:rPr>
              <w:t>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4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Interim Consolidated Statements of Comprehensive Income</w:t>
            </w:r>
          </w:p>
        </w:tc>
        <w:tc>
          <w:tcPr>
            <w:tcW w:w="2160" w:type="dxa"/>
            <w:vAlign w:val="bottom"/>
            <w:gridSpan w:val="3"/>
          </w:tcPr>
          <w:p>
            <w:pPr>
              <w:spacing w:after="0"/>
              <w:rPr>
                <w:sz w:val="19"/>
                <w:szCs w:val="19"/>
                <w:color w:val="auto"/>
              </w:rPr>
            </w:pPr>
          </w:p>
        </w:tc>
        <w:tc>
          <w:tcPr>
            <w:tcW w:w="480" w:type="dxa"/>
            <w:vAlign w:val="bottom"/>
            <w:gridSpan w:val="2"/>
          </w:tcPr>
          <w:p>
            <w:pPr>
              <w:jc w:val="center"/>
              <w:ind w:left="319"/>
              <w:spacing w:after="0"/>
              <w:rPr>
                <w:sz w:val="20"/>
                <w:szCs w:val="20"/>
                <w:color w:val="auto"/>
              </w:rPr>
            </w:pPr>
            <w:r>
              <w:rPr>
                <w:rFonts w:ascii="Times New Roman" w:cs="Times New Roman" w:eastAsia="Times New Roman" w:hAnsi="Times New Roman"/>
                <w:sz w:val="16"/>
                <w:szCs w:val="16"/>
                <w:color w:val="0000FF"/>
                <w:w w:val="99"/>
              </w:rPr>
              <w:t>2</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4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Interim Consolidated Balance Sheets</w:t>
            </w:r>
          </w:p>
        </w:tc>
        <w:tc>
          <w:tcPr>
            <w:tcW w:w="2160" w:type="dxa"/>
            <w:vAlign w:val="bottom"/>
            <w:gridSpan w:val="3"/>
          </w:tcPr>
          <w:p>
            <w:pPr>
              <w:spacing w:after="0"/>
              <w:rPr>
                <w:sz w:val="19"/>
                <w:szCs w:val="19"/>
                <w:color w:val="auto"/>
              </w:rPr>
            </w:pPr>
          </w:p>
        </w:tc>
        <w:tc>
          <w:tcPr>
            <w:tcW w:w="480" w:type="dxa"/>
            <w:vAlign w:val="bottom"/>
            <w:gridSpan w:val="2"/>
          </w:tcPr>
          <w:p>
            <w:pPr>
              <w:jc w:val="center"/>
              <w:ind w:left="319"/>
              <w:spacing w:after="0"/>
              <w:rPr>
                <w:sz w:val="20"/>
                <w:szCs w:val="20"/>
                <w:color w:val="auto"/>
              </w:rPr>
            </w:pPr>
            <w:r>
              <w:rPr>
                <w:rFonts w:ascii="Times New Roman" w:cs="Times New Roman" w:eastAsia="Times New Roman" w:hAnsi="Times New Roman"/>
                <w:sz w:val="16"/>
                <w:szCs w:val="16"/>
                <w:color w:val="0000FF"/>
                <w:w w:val="99"/>
              </w:rPr>
              <w:t>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0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Interim Consolidated Statements of Cash Flows</w:t>
            </w:r>
          </w:p>
        </w:tc>
        <w:tc>
          <w:tcPr>
            <w:tcW w:w="480" w:type="dxa"/>
            <w:vAlign w:val="bottom"/>
            <w:gridSpan w:val="2"/>
          </w:tcPr>
          <w:p>
            <w:pPr>
              <w:jc w:val="center"/>
              <w:ind w:left="319"/>
              <w:spacing w:after="0"/>
              <w:rPr>
                <w:sz w:val="20"/>
                <w:szCs w:val="20"/>
                <w:color w:val="auto"/>
              </w:rPr>
            </w:pPr>
            <w:r>
              <w:rPr>
                <w:rFonts w:ascii="Times New Roman" w:cs="Times New Roman" w:eastAsia="Times New Roman" w:hAnsi="Times New Roman"/>
                <w:sz w:val="16"/>
                <w:szCs w:val="16"/>
                <w:color w:val="0000FF"/>
                <w:w w:val="99"/>
              </w:rPr>
              <w:t>4</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20" w:type="dxa"/>
            <w:vAlign w:val="bottom"/>
            <w:gridSpan w:val="4"/>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0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Interim Consolidated Statements of Shareholders’ Equity</w:t>
            </w:r>
          </w:p>
        </w:tc>
        <w:tc>
          <w:tcPr>
            <w:tcW w:w="480" w:type="dxa"/>
            <w:vAlign w:val="bottom"/>
            <w:gridSpan w:val="2"/>
          </w:tcPr>
          <w:p>
            <w:pPr>
              <w:jc w:val="center"/>
              <w:ind w:left="319"/>
              <w:spacing w:after="0"/>
              <w:rPr>
                <w:sz w:val="20"/>
                <w:szCs w:val="20"/>
                <w:color w:val="auto"/>
              </w:rPr>
            </w:pPr>
            <w:r>
              <w:rPr>
                <w:rFonts w:ascii="Times New Roman" w:cs="Times New Roman" w:eastAsia="Times New Roman" w:hAnsi="Times New Roman"/>
                <w:sz w:val="16"/>
                <w:szCs w:val="16"/>
                <w:color w:val="0000FF"/>
                <w:w w:val="99"/>
              </w:rPr>
              <w:t>6</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8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Interim Condensed Notes to Consolidated Financial Statements</w:t>
            </w:r>
          </w:p>
        </w:tc>
        <w:tc>
          <w:tcPr>
            <w:tcW w:w="1940" w:type="dxa"/>
            <w:vAlign w:val="bottom"/>
            <w:gridSpan w:val="2"/>
          </w:tcPr>
          <w:p>
            <w:pPr>
              <w:spacing w:after="0"/>
              <w:rPr>
                <w:sz w:val="19"/>
                <w:szCs w:val="19"/>
                <w:color w:val="auto"/>
              </w:rPr>
            </w:pPr>
          </w:p>
        </w:tc>
        <w:tc>
          <w:tcPr>
            <w:tcW w:w="480" w:type="dxa"/>
            <w:vAlign w:val="bottom"/>
            <w:gridSpan w:val="2"/>
          </w:tcPr>
          <w:p>
            <w:pPr>
              <w:jc w:val="center"/>
              <w:ind w:left="319"/>
              <w:spacing w:after="0"/>
              <w:rPr>
                <w:sz w:val="20"/>
                <w:szCs w:val="20"/>
                <w:color w:val="auto"/>
              </w:rPr>
            </w:pPr>
            <w:r>
              <w:rPr>
                <w:rFonts w:ascii="Times New Roman" w:cs="Times New Roman" w:eastAsia="Times New Roman" w:hAnsi="Times New Roman"/>
                <w:sz w:val="16"/>
                <w:szCs w:val="16"/>
                <w:color w:val="0000FF"/>
                <w:w w:val="99"/>
              </w:rPr>
              <w:t>8</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Item 2.</w:t>
            </w:r>
          </w:p>
        </w:tc>
        <w:tc>
          <w:tcPr>
            <w:tcW w:w="180" w:type="dxa"/>
            <w:vAlign w:val="bottom"/>
          </w:tcPr>
          <w:p>
            <w:pPr>
              <w:spacing w:after="0"/>
              <w:rPr>
                <w:sz w:val="19"/>
                <w:szCs w:val="19"/>
                <w:color w:val="auto"/>
              </w:rPr>
            </w:pPr>
          </w:p>
        </w:tc>
        <w:tc>
          <w:tcPr>
            <w:tcW w:w="634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9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43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Item 3.</w:t>
            </w:r>
          </w:p>
        </w:tc>
        <w:tc>
          <w:tcPr>
            <w:tcW w:w="180" w:type="dxa"/>
            <w:vAlign w:val="bottom"/>
          </w:tcPr>
          <w:p>
            <w:pPr>
              <w:spacing w:after="0"/>
              <w:rPr>
                <w:sz w:val="19"/>
                <w:szCs w:val="19"/>
                <w:color w:val="auto"/>
              </w:rPr>
            </w:pPr>
          </w:p>
        </w:tc>
        <w:tc>
          <w:tcPr>
            <w:tcW w:w="634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9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76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Item 4.</w:t>
            </w:r>
          </w:p>
        </w:tc>
        <w:tc>
          <w:tcPr>
            <w:tcW w:w="180" w:type="dxa"/>
            <w:vAlign w:val="bottom"/>
          </w:tcPr>
          <w:p>
            <w:pPr>
              <w:spacing w:after="0"/>
              <w:rPr>
                <w:sz w:val="19"/>
                <w:szCs w:val="19"/>
                <w:color w:val="auto"/>
              </w:rPr>
            </w:pPr>
          </w:p>
        </w:tc>
        <w:tc>
          <w:tcPr>
            <w:tcW w:w="398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2360" w:type="dxa"/>
            <w:vAlign w:val="bottom"/>
            <w:gridSpan w:val="5"/>
          </w:tcPr>
          <w:p>
            <w:pPr>
              <w:spacing w:after="0"/>
              <w:rPr>
                <w:sz w:val="19"/>
                <w:szCs w:val="19"/>
                <w:color w:val="auto"/>
              </w:rPr>
            </w:pPr>
          </w:p>
        </w:tc>
        <w:tc>
          <w:tcPr>
            <w:tcW w:w="9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76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184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0000FF"/>
              </w:rPr>
              <w:t>OTHER INFORMATION</w:t>
            </w:r>
          </w:p>
        </w:tc>
        <w:tc>
          <w:tcPr>
            <w:tcW w:w="4680" w:type="dxa"/>
            <w:vAlign w:val="bottom"/>
            <w:gridSpan w:val="10"/>
          </w:tcPr>
          <w:p>
            <w:pPr>
              <w:spacing w:after="0"/>
              <w:rPr>
                <w:sz w:val="19"/>
                <w:szCs w:val="19"/>
                <w:color w:val="auto"/>
              </w:rPr>
            </w:pPr>
          </w:p>
        </w:tc>
        <w:tc>
          <w:tcPr>
            <w:tcW w:w="9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76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Item 1.</w:t>
            </w:r>
          </w:p>
        </w:tc>
        <w:tc>
          <w:tcPr>
            <w:tcW w:w="180" w:type="dxa"/>
            <w:vAlign w:val="bottom"/>
          </w:tcPr>
          <w:p>
            <w:pPr>
              <w:spacing w:after="0"/>
              <w:rPr>
                <w:sz w:val="19"/>
                <w:szCs w:val="19"/>
                <w:color w:val="auto"/>
              </w:rPr>
            </w:pPr>
          </w:p>
        </w:tc>
        <w:tc>
          <w:tcPr>
            <w:tcW w:w="16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2320" w:type="dxa"/>
            <w:vAlign w:val="bottom"/>
            <w:gridSpan w:val="5"/>
          </w:tcPr>
          <w:p>
            <w:pPr>
              <w:spacing w:after="0"/>
              <w:rPr>
                <w:sz w:val="19"/>
                <w:szCs w:val="19"/>
                <w:color w:val="auto"/>
              </w:rPr>
            </w:pPr>
          </w:p>
        </w:tc>
        <w:tc>
          <w:tcPr>
            <w:tcW w:w="2360" w:type="dxa"/>
            <w:vAlign w:val="bottom"/>
            <w:gridSpan w:val="5"/>
          </w:tcPr>
          <w:p>
            <w:pPr>
              <w:spacing w:after="0"/>
              <w:rPr>
                <w:sz w:val="19"/>
                <w:szCs w:val="19"/>
                <w:color w:val="auto"/>
              </w:rPr>
            </w:pPr>
          </w:p>
        </w:tc>
        <w:tc>
          <w:tcPr>
            <w:tcW w:w="9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76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160" w:type="dxa"/>
            <w:vAlign w:val="bottom"/>
            <w:tcBorders>
              <w:left w:val="single" w:sz="8" w:color="0000FF"/>
            </w:tcBorders>
            <w:gridSpan w:val="9"/>
            <w:shd w:val="clear" w:color="auto" w:fill="0000FF"/>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Item 1A.</w:t>
            </w:r>
          </w:p>
        </w:tc>
        <w:tc>
          <w:tcPr>
            <w:tcW w:w="18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w w:val="96"/>
              </w:rPr>
              <w:t>Risk Factors</w:t>
            </w:r>
          </w:p>
        </w:tc>
        <w:tc>
          <w:tcPr>
            <w:tcW w:w="3160" w:type="dxa"/>
            <w:vAlign w:val="bottom"/>
            <w:gridSpan w:val="9"/>
          </w:tcPr>
          <w:p>
            <w:pPr>
              <w:spacing w:after="0"/>
              <w:rPr>
                <w:sz w:val="19"/>
                <w:szCs w:val="19"/>
                <w:color w:val="auto"/>
              </w:rPr>
            </w:pPr>
          </w:p>
        </w:tc>
        <w:tc>
          <w:tcPr>
            <w:tcW w:w="2360" w:type="dxa"/>
            <w:vAlign w:val="bottom"/>
            <w:gridSpan w:val="5"/>
          </w:tcPr>
          <w:p>
            <w:pPr>
              <w:spacing w:after="0"/>
              <w:rPr>
                <w:sz w:val="19"/>
                <w:szCs w:val="19"/>
                <w:color w:val="auto"/>
              </w:rPr>
            </w:pPr>
          </w:p>
        </w:tc>
        <w:tc>
          <w:tcPr>
            <w:tcW w:w="9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76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160" w:type="dxa"/>
            <w:vAlign w:val="bottom"/>
            <w:tcBorders>
              <w:left w:val="single" w:sz="8" w:color="0000FF"/>
            </w:tcBorders>
            <w:gridSpan w:val="9"/>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Item 2.</w:t>
            </w:r>
          </w:p>
        </w:tc>
        <w:tc>
          <w:tcPr>
            <w:tcW w:w="180" w:type="dxa"/>
            <w:vAlign w:val="bottom"/>
          </w:tcPr>
          <w:p>
            <w:pPr>
              <w:spacing w:after="0"/>
              <w:rPr>
                <w:sz w:val="19"/>
                <w:szCs w:val="19"/>
                <w:color w:val="auto"/>
              </w:rPr>
            </w:pPr>
          </w:p>
        </w:tc>
        <w:tc>
          <w:tcPr>
            <w:tcW w:w="634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9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77</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520" w:type="dxa"/>
            <w:vAlign w:val="bottom"/>
            <w:tcBorders>
              <w:left w:val="single" w:sz="8" w:color="0000FF"/>
            </w:tcBorders>
            <w:gridSpan w:val="14"/>
            <w:shd w:val="clear" w:color="auto" w:fill="0000FF"/>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Item 6.</w:t>
            </w:r>
          </w:p>
        </w:tc>
        <w:tc>
          <w:tcPr>
            <w:tcW w:w="180" w:type="dxa"/>
            <w:vAlign w:val="bottom"/>
          </w:tcPr>
          <w:p>
            <w:pPr>
              <w:spacing w:after="0"/>
              <w:rPr>
                <w:sz w:val="19"/>
                <w:szCs w:val="19"/>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Exhibits</w:t>
            </w:r>
          </w:p>
        </w:tc>
        <w:tc>
          <w:tcPr>
            <w:tcW w:w="5780" w:type="dxa"/>
            <w:vAlign w:val="bottom"/>
            <w:gridSpan w:val="15"/>
          </w:tcPr>
          <w:p>
            <w:pPr>
              <w:spacing w:after="0"/>
              <w:rPr>
                <w:sz w:val="19"/>
                <w:szCs w:val="19"/>
                <w:color w:val="auto"/>
              </w:rPr>
            </w:pPr>
          </w:p>
        </w:tc>
        <w:tc>
          <w:tcPr>
            <w:tcW w:w="9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77</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520" w:type="dxa"/>
            <w:vAlign w:val="bottom"/>
            <w:gridSpan w:val="14"/>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980" w:type="dxa"/>
            <w:vAlign w:val="bottom"/>
          </w:tcPr>
          <w:p>
            <w:pPr>
              <w:spacing w:after="0"/>
              <w:rPr>
                <w:sz w:val="19"/>
                <w:szCs w:val="19"/>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6"/>
                <w:szCs w:val="16"/>
                <w:color w:val="0000FF"/>
                <w:w w:val="96"/>
              </w:rPr>
              <w:t>SIGNATURES</w:t>
            </w:r>
          </w:p>
        </w:tc>
        <w:tc>
          <w:tcPr>
            <w:tcW w:w="5520" w:type="dxa"/>
            <w:vAlign w:val="bottom"/>
            <w:gridSpan w:val="14"/>
          </w:tcPr>
          <w:p>
            <w:pPr>
              <w:spacing w:after="0"/>
              <w:rPr>
                <w:sz w:val="19"/>
                <w:szCs w:val="19"/>
                <w:color w:val="auto"/>
              </w:rPr>
            </w:pPr>
          </w:p>
        </w:tc>
        <w:tc>
          <w:tcPr>
            <w:tcW w:w="9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80</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 xml:space="preserve">Throughout this report, we refer to Marriott Vacations Worldwide Corporation, together with its consolidated subsidiaries, as “Marriott Vacations Worldwide,” “MVW,” “we,” “us,” or “the Company.” We also refer to brands that we own, as well as those brands that we license, as our brands. All brand names, trademarks, trade names, and service marks cited in this report are the property of their respective owners, including those of other companies and organizations. Solely for convenience, trademarks, trade names, and service marks referred to in this report may appear without the </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8"/>
          <w:szCs w:val="8"/>
          <w:color w:val="auto"/>
        </w:rPr>
        <w:t>TM</w:t>
      </w:r>
      <w:r>
        <w:rPr>
          <w:rFonts w:ascii="Times New Roman" w:cs="Times New Roman" w:eastAsia="Times New Roman" w:hAnsi="Times New Roman"/>
          <w:sz w:val="17"/>
          <w:szCs w:val="17"/>
          <w:color w:val="auto"/>
        </w:rPr>
        <w:t xml:space="preserve"> symbols, however such references are not intended to indicate in any way that MVW or the owner, as applicable, will not assert, to the fullest extent under applicable law, all rights to such trademarks, trade names, and service marks.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Capitalized terms used and not specifically defined herein have the same meanings given those terms in our Annual Report on Form 10-K for the year</w:t>
      </w:r>
    </w:p>
    <w:p>
      <w:pPr>
        <w:spacing w:after="0" w:line="31"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7"/>
          <w:szCs w:val="17"/>
          <w:color w:val="auto"/>
        </w:rPr>
        <w:t>ended December 31, 2021 (the “2021 Annual Report”). When discussing our properties or markets, we refer to the United States, Mexico, Central America, and the Caribbean as “North America.”</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Impact of the COVID-19 Pandemic</w:t>
      </w:r>
    </w:p>
    <w:p>
      <w:pPr>
        <w:spacing w:after="0" w:line="118"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The COVID-19 pandemic has caused significant disruptions in international and U.S. economies and markets, and has also had an unprecedented impact on the travel and hospitality industries, as well as the Company. We discuss the impacts of the COVID-19 pandemic and its potential future implications throughout this report; however, the COVID-19 pandemic, and any recovery therefrom, continues to evolve and further potential impacts on our business in the future remain uncertain.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631825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156"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11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tab/>
        <w:t>Financial Statements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INTERIM CONSOLIDATED STATEMENTS OF INCOME</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millions, except per share amounts)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4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8"/>
                <w:szCs w:val="18"/>
                <w:color w:val="auto"/>
              </w:rPr>
            </w:pPr>
          </w:p>
        </w:tc>
        <w:tc>
          <w:tcPr>
            <w:tcW w:w="346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51"/>
        </w:trPr>
        <w:tc>
          <w:tcPr>
            <w:tcW w:w="14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220" w:type="dxa"/>
            <w:vAlign w:val="bottom"/>
            <w:tcBorders>
              <w:top w:val="single" w:sz="8" w:color="auto"/>
            </w:tcBorders>
            <w:gridSpan w:val="3"/>
          </w:tcPr>
          <w:p>
            <w:pPr>
              <w:jc w:val="center"/>
              <w:ind w:right="160"/>
              <w:spacing w:after="0" w:line="152"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080" w:type="dxa"/>
            <w:vAlign w:val="bottom"/>
            <w:tcBorders>
              <w:top w:val="single" w:sz="8" w:color="auto"/>
            </w:tcBorders>
            <w:gridSpan w:val="2"/>
          </w:tcPr>
          <w:p>
            <w:pPr>
              <w:jc w:val="right"/>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3"/>
                <w:szCs w:val="13"/>
                <w:color w:val="auto"/>
              </w:rPr>
            </w:pPr>
          </w:p>
        </w:tc>
        <w:tc>
          <w:tcPr>
            <w:tcW w:w="1200" w:type="dxa"/>
            <w:vAlign w:val="bottom"/>
            <w:tcBorders>
              <w:top w:val="single" w:sz="8" w:color="auto"/>
            </w:tcBorders>
            <w:gridSpan w:val="3"/>
          </w:tcPr>
          <w:p>
            <w:pPr>
              <w:ind w:left="60"/>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120" w:type="dxa"/>
            <w:vAlign w:val="bottom"/>
            <w:tcBorders>
              <w:top w:val="single" w:sz="8" w:color="auto"/>
            </w:tcBorders>
            <w:gridSpan w:val="2"/>
          </w:tcPr>
          <w:p>
            <w:pPr>
              <w:jc w:val="right"/>
              <w:ind w:right="14"/>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420" w:type="dxa"/>
            <w:vAlign w:val="bottom"/>
          </w:tcPr>
          <w:p>
            <w:pPr>
              <w:spacing w:after="0"/>
              <w:rPr>
                <w:sz w:val="17"/>
                <w:szCs w:val="17"/>
                <w:color w:val="auto"/>
              </w:rPr>
            </w:pPr>
          </w:p>
        </w:tc>
        <w:tc>
          <w:tcPr>
            <w:tcW w:w="36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420" w:type="dxa"/>
            <w:vAlign w:val="bottom"/>
          </w:tcPr>
          <w:p>
            <w:pPr>
              <w:spacing w:after="0"/>
              <w:rPr>
                <w:sz w:val="19"/>
                <w:szCs w:val="19"/>
                <w:color w:val="auto"/>
              </w:rPr>
            </w:pPr>
          </w:p>
        </w:tc>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420" w:type="dxa"/>
            <w:vAlign w:val="bottom"/>
          </w:tcPr>
          <w:p>
            <w:pPr>
              <w:spacing w:after="0"/>
              <w:rPr>
                <w:sz w:val="20"/>
                <w:szCs w:val="20"/>
                <w:color w:val="auto"/>
              </w:rPr>
            </w:pPr>
          </w:p>
        </w:tc>
        <w:tc>
          <w:tcPr>
            <w:tcW w:w="3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140" w:type="dxa"/>
            <w:vAlign w:val="bottom"/>
          </w:tcPr>
          <w:p>
            <w:pPr>
              <w:spacing w:after="0"/>
              <w:rPr>
                <w:sz w:val="20"/>
                <w:szCs w:val="20"/>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40" w:type="dxa"/>
            <w:vAlign w:val="bottom"/>
          </w:tcPr>
          <w:p>
            <w:pPr>
              <w:spacing w:after="0"/>
              <w:rPr>
                <w:sz w:val="20"/>
                <w:szCs w:val="20"/>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1,179</w:t>
            </w:r>
          </w:p>
        </w:tc>
        <w:tc>
          <w:tcPr>
            <w:tcW w:w="120" w:type="dxa"/>
            <w:vAlign w:val="bottom"/>
          </w:tcPr>
          <w:p>
            <w:pPr>
              <w:spacing w:after="0"/>
              <w:rPr>
                <w:sz w:val="20"/>
                <w:szCs w:val="20"/>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789</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420" w:type="dxa"/>
            <w:vAlign w:val="bottom"/>
          </w:tcPr>
          <w:p>
            <w:pPr>
              <w:spacing w:after="0"/>
              <w:rPr>
                <w:sz w:val="21"/>
                <w:szCs w:val="21"/>
                <w:color w:val="auto"/>
              </w:rPr>
            </w:pPr>
          </w:p>
        </w:tc>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Management and exchange</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638</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420" w:type="dxa"/>
            <w:vAlign w:val="bottom"/>
          </w:tcPr>
          <w:p>
            <w:pPr>
              <w:spacing w:after="0"/>
              <w:rPr>
                <w:sz w:val="20"/>
                <w:szCs w:val="20"/>
                <w:color w:val="auto"/>
              </w:rPr>
            </w:pPr>
          </w:p>
        </w:tc>
        <w:tc>
          <w:tcPr>
            <w:tcW w:w="3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Rental</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340</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420" w:type="dxa"/>
            <w:vAlign w:val="bottom"/>
          </w:tcPr>
          <w:p>
            <w:pPr>
              <w:spacing w:after="0"/>
              <w:rPr>
                <w:sz w:val="21"/>
                <w:szCs w:val="21"/>
                <w:color w:val="auto"/>
              </w:rPr>
            </w:pPr>
          </w:p>
        </w:tc>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Financing</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196</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420" w:type="dxa"/>
            <w:vAlign w:val="bottom"/>
          </w:tcPr>
          <w:p>
            <w:pPr>
              <w:spacing w:after="0"/>
              <w:rPr>
                <w:sz w:val="20"/>
                <w:szCs w:val="20"/>
                <w:color w:val="auto"/>
              </w:rPr>
            </w:pPr>
          </w:p>
        </w:tc>
        <w:tc>
          <w:tcPr>
            <w:tcW w:w="3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827</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3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1,252</w:t>
            </w:r>
          </w:p>
        </w:tc>
        <w:tc>
          <w:tcPr>
            <w:tcW w:w="1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w:t>
            </w:r>
          </w:p>
        </w:tc>
        <w:tc>
          <w:tcPr>
            <w:tcW w:w="14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3,468</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2,790</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4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420" w:type="dxa"/>
            <w:vAlign w:val="bottom"/>
          </w:tcPr>
          <w:p>
            <w:pPr>
              <w:spacing w:after="0"/>
              <w:rPr>
                <w:sz w:val="21"/>
                <w:szCs w:val="21"/>
                <w:color w:val="auto"/>
              </w:rPr>
            </w:pPr>
          </w:p>
        </w:tc>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of vacation ownership products</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178</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420" w:type="dxa"/>
            <w:vAlign w:val="bottom"/>
          </w:tcPr>
          <w:p>
            <w:pPr>
              <w:spacing w:after="0"/>
              <w:rPr>
                <w:sz w:val="20"/>
                <w:szCs w:val="20"/>
                <w:color w:val="auto"/>
              </w:rPr>
            </w:pPr>
          </w:p>
        </w:tc>
        <w:tc>
          <w:tcPr>
            <w:tcW w:w="3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Marketing and sales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439</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420" w:type="dxa"/>
            <w:vAlign w:val="bottom"/>
          </w:tcPr>
          <w:p>
            <w:pPr>
              <w:spacing w:after="0"/>
              <w:rPr>
                <w:sz w:val="21"/>
                <w:szCs w:val="21"/>
                <w:color w:val="auto"/>
              </w:rPr>
            </w:pPr>
          </w:p>
        </w:tc>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Management and exchange</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381</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420" w:type="dxa"/>
            <w:vAlign w:val="bottom"/>
          </w:tcPr>
          <w:p>
            <w:pPr>
              <w:spacing w:after="0"/>
              <w:rPr>
                <w:sz w:val="20"/>
                <w:szCs w:val="20"/>
                <w:color w:val="auto"/>
              </w:rPr>
            </w:pPr>
          </w:p>
        </w:tc>
        <w:tc>
          <w:tcPr>
            <w:tcW w:w="3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Rental</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247</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420" w:type="dxa"/>
            <w:vAlign w:val="bottom"/>
          </w:tcPr>
          <w:p>
            <w:pPr>
              <w:spacing w:after="0"/>
              <w:rPr>
                <w:sz w:val="21"/>
                <w:szCs w:val="21"/>
                <w:color w:val="auto"/>
              </w:rPr>
            </w:pPr>
          </w:p>
        </w:tc>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Financing</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64</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420" w:type="dxa"/>
            <w:vAlign w:val="bottom"/>
          </w:tcPr>
          <w:p>
            <w:pPr>
              <w:spacing w:after="0"/>
              <w:rPr>
                <w:sz w:val="20"/>
                <w:szCs w:val="20"/>
                <w:color w:val="auto"/>
              </w:rPr>
            </w:pPr>
          </w:p>
        </w:tc>
        <w:tc>
          <w:tcPr>
            <w:tcW w:w="3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166</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420" w:type="dxa"/>
            <w:vAlign w:val="bottom"/>
          </w:tcPr>
          <w:p>
            <w:pPr>
              <w:spacing w:after="0"/>
              <w:rPr>
                <w:sz w:val="21"/>
                <w:szCs w:val="21"/>
                <w:color w:val="auto"/>
              </w:rPr>
            </w:pPr>
          </w:p>
        </w:tc>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112</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420" w:type="dxa"/>
            <w:vAlign w:val="bottom"/>
          </w:tcPr>
          <w:p>
            <w:pPr>
              <w:spacing w:after="0"/>
              <w:rPr>
                <w:sz w:val="20"/>
                <w:szCs w:val="20"/>
                <w:color w:val="auto"/>
              </w:rPr>
            </w:pPr>
          </w:p>
        </w:tc>
        <w:tc>
          <w:tcPr>
            <w:tcW w:w="3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Litigation charges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8</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420" w:type="dxa"/>
            <w:vAlign w:val="bottom"/>
          </w:tcPr>
          <w:p>
            <w:pPr>
              <w:spacing w:after="0"/>
              <w:rPr>
                <w:sz w:val="21"/>
                <w:szCs w:val="21"/>
                <w:color w:val="auto"/>
              </w:rPr>
            </w:pPr>
          </w:p>
        </w:tc>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Royalty fee</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78</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420" w:type="dxa"/>
            <w:vAlign w:val="bottom"/>
          </w:tcPr>
          <w:p>
            <w:pPr>
              <w:spacing w:after="0"/>
              <w:rPr>
                <w:sz w:val="20"/>
                <w:szCs w:val="20"/>
                <w:color w:val="auto"/>
              </w:rPr>
            </w:pPr>
          </w:p>
        </w:tc>
        <w:tc>
          <w:tcPr>
            <w:tcW w:w="3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Impairment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420" w:type="dxa"/>
            <w:vAlign w:val="bottom"/>
          </w:tcPr>
          <w:p>
            <w:pPr>
              <w:spacing w:after="0"/>
              <w:rPr>
                <w:sz w:val="21"/>
                <w:szCs w:val="21"/>
                <w:color w:val="auto"/>
              </w:rPr>
            </w:pPr>
          </w:p>
        </w:tc>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1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14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827</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420" w:type="dxa"/>
            <w:vAlign w:val="bottom"/>
          </w:tcPr>
          <w:p>
            <w:pPr>
              <w:spacing w:after="0"/>
              <w:rPr>
                <w:sz w:val="19"/>
                <w:szCs w:val="19"/>
                <w:color w:val="auto"/>
              </w:rPr>
            </w:pPr>
          </w:p>
        </w:tc>
        <w:tc>
          <w:tcPr>
            <w:tcW w:w="36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1,012</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896</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2,505</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(Losses) gains and other (expense) income, net</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420" w:type="dxa"/>
            <w:vAlign w:val="bottom"/>
          </w:tcPr>
          <w:p>
            <w:pPr>
              <w:spacing w:after="0"/>
              <w:rPr>
                <w:sz w:val="20"/>
                <w:szCs w:val="20"/>
                <w:color w:val="auto"/>
              </w:rPr>
            </w:pPr>
          </w:p>
        </w:tc>
        <w:tc>
          <w:tcPr>
            <w:tcW w:w="3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420" w:type="dxa"/>
            <w:vAlign w:val="bottom"/>
          </w:tcPr>
          <w:p>
            <w:pPr>
              <w:spacing w:after="0"/>
              <w:rPr>
                <w:sz w:val="21"/>
                <w:szCs w:val="21"/>
                <w:color w:val="auto"/>
              </w:rPr>
            </w:pPr>
          </w:p>
        </w:tc>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Transaction and integration costs</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420" w:type="dxa"/>
            <w:vAlign w:val="bottom"/>
          </w:tcPr>
          <w:p>
            <w:pPr>
              <w:spacing w:after="0"/>
              <w:rPr>
                <w:sz w:val="20"/>
                <w:szCs w:val="20"/>
                <w:color w:val="auto"/>
              </w:rPr>
            </w:pPr>
          </w:p>
        </w:tc>
        <w:tc>
          <w:tcPr>
            <w:tcW w:w="3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420" w:type="dxa"/>
            <w:vAlign w:val="bottom"/>
          </w:tcPr>
          <w:p>
            <w:pPr>
              <w:spacing w:after="0"/>
              <w:rPr>
                <w:sz w:val="13"/>
                <w:szCs w:val="13"/>
                <w:color w:val="auto"/>
              </w:rPr>
            </w:pPr>
          </w:p>
        </w:tc>
        <w:tc>
          <w:tcPr>
            <w:tcW w:w="3660" w:type="dxa"/>
            <w:vAlign w:val="bottom"/>
            <w:tcBorders>
              <w:top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7"/>
                <w:szCs w:val="17"/>
                <w:b w:val="1"/>
                <w:bCs w:val="1"/>
                <w:color w:val="auto"/>
              </w:rPr>
              <w:t>INCOME BEFORE INCOME TAXES AND</w:t>
            </w: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NONCONTROLLING INTERESTS</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57</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420" w:type="dxa"/>
            <w:vAlign w:val="bottom"/>
          </w:tcPr>
          <w:p>
            <w:pPr>
              <w:spacing w:after="0"/>
              <w:rPr>
                <w:sz w:val="20"/>
                <w:szCs w:val="20"/>
                <w:color w:val="auto"/>
              </w:rPr>
            </w:pPr>
          </w:p>
        </w:tc>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420" w:type="dxa"/>
            <w:vAlign w:val="bottom"/>
          </w:tcPr>
          <w:p>
            <w:pPr>
              <w:spacing w:after="0"/>
              <w:rPr>
                <w:sz w:val="20"/>
                <w:szCs w:val="20"/>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420" w:type="dxa"/>
            <w:vAlign w:val="bottom"/>
          </w:tcPr>
          <w:p>
            <w:pPr>
              <w:spacing w:after="0"/>
              <w:rPr>
                <w:sz w:val="13"/>
                <w:szCs w:val="13"/>
                <w:color w:val="auto"/>
              </w:rPr>
            </w:pPr>
          </w:p>
        </w:tc>
        <w:tc>
          <w:tcPr>
            <w:tcW w:w="3660" w:type="dxa"/>
            <w:vAlign w:val="bottom"/>
            <w:tcBorders>
              <w:top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7"/>
                <w:szCs w:val="17"/>
                <w:b w:val="1"/>
                <w:bCs w:val="1"/>
                <w:color w:val="auto"/>
              </w:rPr>
              <w:t>NET INCOME (LOSS) ATTRIBUTABLE TO</w:t>
            </w:r>
          </w:p>
        </w:tc>
        <w:tc>
          <w:tcPr>
            <w:tcW w:w="240" w:type="dxa"/>
            <w:vAlign w:val="bottom"/>
            <w:tcBorders>
              <w:top w:val="single" w:sz="8" w:color="auto"/>
            </w:tcBorders>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1420" w:type="dxa"/>
            <w:vAlign w:val="bottom"/>
          </w:tcPr>
          <w:p>
            <w:pPr>
              <w:spacing w:after="0"/>
              <w:rPr>
                <w:sz w:val="19"/>
                <w:szCs w:val="19"/>
                <w:color w:val="auto"/>
              </w:rPr>
            </w:pPr>
          </w:p>
        </w:tc>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COMMON SHAREHOLDERS</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4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420" w:type="dxa"/>
            <w:vAlign w:val="bottom"/>
          </w:tcPr>
          <w:p>
            <w:pPr>
              <w:spacing w:after="0"/>
              <w:rPr>
                <w:sz w:val="14"/>
                <w:szCs w:val="14"/>
                <w:color w:val="auto"/>
              </w:rPr>
            </w:pPr>
          </w:p>
        </w:tc>
        <w:tc>
          <w:tcPr>
            <w:tcW w:w="366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b w:val="1"/>
                <w:bCs w:val="1"/>
                <w:color w:val="auto"/>
              </w:rPr>
              <w:t>EARNINGS (LOSS) PER SHARE</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20" w:type="dxa"/>
            <w:vAlign w:val="bottom"/>
          </w:tcPr>
          <w:p>
            <w:pPr>
              <w:spacing w:after="0"/>
              <w:rPr>
                <w:sz w:val="14"/>
                <w:szCs w:val="14"/>
                <w:color w:val="auto"/>
              </w:rPr>
            </w:pPr>
          </w:p>
        </w:tc>
        <w:tc>
          <w:tcPr>
            <w:tcW w:w="366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b w:val="1"/>
                <w:bCs w:val="1"/>
                <w:color w:val="auto"/>
              </w:rPr>
              <w:t>ATTRIBUTABLE TO COMMON</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SHAREHOLDERS</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420" w:type="dxa"/>
            <w:vAlign w:val="bottom"/>
          </w:tcPr>
          <w:p>
            <w:pPr>
              <w:spacing w:after="0"/>
              <w:rPr>
                <w:sz w:val="20"/>
                <w:szCs w:val="20"/>
                <w:color w:val="auto"/>
              </w:rPr>
            </w:pPr>
          </w:p>
        </w:tc>
        <w:tc>
          <w:tcPr>
            <w:tcW w:w="3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40" w:type="dxa"/>
            <w:vAlign w:val="bottom"/>
          </w:tcPr>
          <w:p>
            <w:pPr>
              <w:spacing w:after="0"/>
              <w:rPr>
                <w:sz w:val="20"/>
                <w:szCs w:val="20"/>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0.24</w:t>
            </w:r>
          </w:p>
        </w:tc>
        <w:tc>
          <w:tcPr>
            <w:tcW w:w="140" w:type="dxa"/>
            <w:vAlign w:val="bottom"/>
          </w:tcPr>
          <w:p>
            <w:pPr>
              <w:spacing w:after="0"/>
              <w:rPr>
                <w:sz w:val="20"/>
                <w:szCs w:val="20"/>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7.39</w:t>
            </w:r>
          </w:p>
        </w:tc>
        <w:tc>
          <w:tcPr>
            <w:tcW w:w="120" w:type="dxa"/>
            <w:vAlign w:val="bottom"/>
          </w:tcPr>
          <w:p>
            <w:pPr>
              <w:spacing w:after="0"/>
              <w:rPr>
                <w:sz w:val="20"/>
                <w:szCs w:val="20"/>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420" w:type="dxa"/>
            <w:vAlign w:val="bottom"/>
          </w:tcPr>
          <w:p>
            <w:pPr>
              <w:spacing w:after="0"/>
              <w:rPr>
                <w:sz w:val="21"/>
                <w:szCs w:val="21"/>
                <w:color w:val="auto"/>
              </w:rPr>
            </w:pPr>
          </w:p>
        </w:tc>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0.23</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420" w:type="dxa"/>
            <w:vAlign w:val="bottom"/>
          </w:tcPr>
          <w:p>
            <w:pPr>
              <w:spacing w:after="0"/>
              <w:rPr>
                <w:sz w:val="22"/>
                <w:szCs w:val="22"/>
                <w:color w:val="auto"/>
              </w:rPr>
            </w:pPr>
          </w:p>
        </w:tc>
        <w:tc>
          <w:tcPr>
            <w:tcW w:w="3900" w:type="dxa"/>
            <w:vAlign w:val="bottom"/>
            <w:gridSpan w:val="2"/>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1420" w:type="dxa"/>
            <w:vAlign w:val="bottom"/>
          </w:tcPr>
          <w:p>
            <w:pPr>
              <w:spacing w:after="0"/>
              <w:rPr>
                <w:sz w:val="21"/>
                <w:szCs w:val="21"/>
                <w:color w:val="auto"/>
              </w:rPr>
            </w:pPr>
          </w:p>
        </w:tc>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CASH DIVIDENDS DECLARED PER SHARE </w:t>
            </w: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0.62</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0.54</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0.54</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3"/>
        </w:trPr>
        <w:tc>
          <w:tcPr>
            <w:tcW w:w="1420" w:type="dxa"/>
            <w:vAlign w:val="bottom"/>
          </w:tcPr>
          <w:p>
            <w:pPr>
              <w:spacing w:after="0"/>
              <w:rPr>
                <w:sz w:val="24"/>
                <w:szCs w:val="24"/>
                <w:color w:val="auto"/>
              </w:rPr>
            </w:pPr>
          </w:p>
        </w:tc>
        <w:tc>
          <w:tcPr>
            <w:tcW w:w="6360" w:type="dxa"/>
            <w:vAlign w:val="bottom"/>
            <w:gridSpan w:val="8"/>
          </w:tcPr>
          <w:p>
            <w:pPr>
              <w:jc w:val="center"/>
              <w:ind w:left="1954"/>
              <w:spacing w:after="0"/>
              <w:rPr>
                <w:sz w:val="20"/>
                <w:szCs w:val="20"/>
                <w:color w:val="auto"/>
              </w:rPr>
            </w:pPr>
            <w:r>
              <w:rPr>
                <w:rFonts w:ascii="Times New Roman" w:cs="Times New Roman" w:eastAsia="Times New Roman" w:hAnsi="Times New Roman"/>
                <w:sz w:val="17"/>
                <w:szCs w:val="17"/>
                <w:b w:val="1"/>
                <w:bCs w:val="1"/>
                <w:color w:val="auto"/>
              </w:rPr>
              <w:t>See Notes to Interim Consolidated Financial Statements</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14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142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INTERIM CONSOLIDATED STATEMENTS OF COMPREHENSIVE INCOME</w:t>
      </w:r>
    </w:p>
    <w:p>
      <w:pPr>
        <w:spacing w:after="0" w:line="1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(In millions)</w:t>
      </w:r>
    </w:p>
    <w:p>
      <w:pPr>
        <w:spacing w:after="0" w:line="1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(Unaudited)</w:t>
      </w:r>
    </w:p>
    <w:p>
      <w:pPr>
        <w:spacing w:after="0" w:line="333" w:lineRule="exact"/>
        <w:rPr>
          <w:sz w:val="20"/>
          <w:szCs w:val="20"/>
          <w:color w:val="auto"/>
        </w:rPr>
      </w:pPr>
    </w:p>
    <w:tbl>
      <w:tblPr>
        <w:tblLayout w:type="fixed"/>
        <w:tblInd w:w="1420" w:type="dxa"/>
        <w:tblCellMar>
          <w:top w:w="0" w:type="dxa"/>
          <w:left w:w="0" w:type="dxa"/>
          <w:bottom w:w="0" w:type="dxa"/>
          <w:right w:w="0" w:type="dxa"/>
        </w:tblCellMar>
      </w:tblPr>
      <w:tr>
        <w:trPr>
          <w:trHeight w:val="208"/>
        </w:trPr>
        <w:tc>
          <w:tcPr>
            <w:tcW w:w="3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660" w:type="dxa"/>
            <w:vAlign w:val="bottom"/>
          </w:tcPr>
          <w:p>
            <w:pPr>
              <w:spacing w:after="0"/>
              <w:rPr>
                <w:sz w:val="13"/>
                <w:szCs w:val="13"/>
                <w:color w:val="auto"/>
              </w:rPr>
            </w:pPr>
          </w:p>
        </w:tc>
        <w:tc>
          <w:tcPr>
            <w:tcW w:w="1220" w:type="dxa"/>
            <w:vAlign w:val="bottom"/>
            <w:gridSpan w:val="3"/>
          </w:tcPr>
          <w:p>
            <w:pPr>
              <w:ind w:left="60"/>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8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3"/>
                <w:szCs w:val="13"/>
                <w:color w:val="auto"/>
              </w:rPr>
            </w:pPr>
          </w:p>
        </w:tc>
        <w:tc>
          <w:tcPr>
            <w:tcW w:w="1200" w:type="dxa"/>
            <w:vAlign w:val="bottom"/>
            <w:gridSpan w:val="3"/>
          </w:tcPr>
          <w:p>
            <w:pPr>
              <w:ind w:left="60"/>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120" w:type="dxa"/>
            <w:vAlign w:val="bottom"/>
            <w:gridSpan w:val="2"/>
          </w:tcPr>
          <w:p>
            <w:pPr>
              <w:jc w:val="right"/>
              <w:ind w:right="14"/>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06"/>
        </w:trPr>
        <w:tc>
          <w:tcPr>
            <w:tcW w:w="36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8"/>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8"/>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59"/>
        </w:trPr>
        <w:tc>
          <w:tcPr>
            <w:tcW w:w="3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169"/>
        </w:trPr>
        <w:tc>
          <w:tcPr>
            <w:tcW w:w="3660" w:type="dxa"/>
            <w:vAlign w:val="bottom"/>
          </w:tcPr>
          <w:p>
            <w:pPr>
              <w:ind w:left="220"/>
              <w:spacing w:after="0" w:line="168" w:lineRule="exact"/>
              <w:rPr>
                <w:sz w:val="20"/>
                <w:szCs w:val="20"/>
                <w:color w:val="auto"/>
              </w:rPr>
            </w:pPr>
            <w:r>
              <w:rPr>
                <w:rFonts w:ascii="Times New Roman" w:cs="Times New Roman" w:eastAsia="Times New Roman" w:hAnsi="Times New Roman"/>
                <w:sz w:val="17"/>
                <w:szCs w:val="17"/>
                <w:color w:val="auto"/>
              </w:rPr>
              <w:t>Reclassification of foreign currency translation</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adjustments realized upon disposition of entities</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6"/>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Derivative instrument adjustment, net of tax</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4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149"/>
        </w:trPr>
        <w:tc>
          <w:tcPr>
            <w:tcW w:w="3660" w:type="dxa"/>
            <w:vAlign w:val="bottom"/>
          </w:tcPr>
          <w:p>
            <w:pPr>
              <w:ind w:left="20"/>
              <w:spacing w:after="0" w:line="149" w:lineRule="exact"/>
              <w:rPr>
                <w:sz w:val="20"/>
                <w:szCs w:val="20"/>
                <w:color w:val="auto"/>
              </w:rPr>
            </w:pPr>
            <w:r>
              <w:rPr>
                <w:rFonts w:ascii="Times New Roman" w:cs="Times New Roman" w:eastAsia="Times New Roman" w:hAnsi="Times New Roman"/>
                <w:sz w:val="17"/>
                <w:szCs w:val="17"/>
                <w:b w:val="1"/>
                <w:bCs w:val="1"/>
                <w:color w:val="auto"/>
              </w:rPr>
              <w:t>OTHER COMPREHENSIVE GAIN (LOSS),</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OF TAX</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4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39"/>
        </w:trPr>
        <w:tc>
          <w:tcPr>
            <w:tcW w:w="3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660" w:type="dxa"/>
            <w:vAlign w:val="bottom"/>
          </w:tcPr>
          <w:p>
            <w:pPr>
              <w:ind w:left="220"/>
              <w:spacing w:after="0" w:line="168" w:lineRule="exact"/>
              <w:rPr>
                <w:sz w:val="20"/>
                <w:szCs w:val="20"/>
                <w:color w:val="auto"/>
              </w:rPr>
            </w:pPr>
            <w:r>
              <w:rPr>
                <w:rFonts w:ascii="Times New Roman" w:cs="Times New Roman" w:eastAsia="Times New Roman" w:hAnsi="Times New Roman"/>
                <w:sz w:val="17"/>
                <w:szCs w:val="17"/>
                <w:color w:val="auto"/>
              </w:rPr>
              <w:t>Net income attributable to noncontrolling</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169"/>
        </w:trPr>
        <w:tc>
          <w:tcPr>
            <w:tcW w:w="3660" w:type="dxa"/>
            <w:vAlign w:val="bottom"/>
            <w:shd w:val="clear" w:color="auto" w:fill="CCEEFF"/>
          </w:tcPr>
          <w:p>
            <w:pPr>
              <w:ind w:left="220"/>
              <w:spacing w:after="0" w:line="168" w:lineRule="exact"/>
              <w:rPr>
                <w:sz w:val="20"/>
                <w:szCs w:val="20"/>
                <w:color w:val="auto"/>
              </w:rPr>
            </w:pPr>
            <w:r>
              <w:rPr>
                <w:rFonts w:ascii="Times New Roman" w:cs="Times New Roman" w:eastAsia="Times New Roman" w:hAnsi="Times New Roman"/>
                <w:sz w:val="17"/>
                <w:szCs w:val="17"/>
                <w:color w:val="auto"/>
              </w:rPr>
              <w:t>Other comprehensive income attributable to</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9"/>
        </w:trPr>
        <w:tc>
          <w:tcPr>
            <w:tcW w:w="3660" w:type="dxa"/>
            <w:vAlign w:val="bottom"/>
          </w:tcPr>
          <w:p>
            <w:pPr>
              <w:ind w:left="20"/>
              <w:spacing w:after="0" w:line="149" w:lineRule="exact"/>
              <w:rPr>
                <w:sz w:val="20"/>
                <w:szCs w:val="20"/>
                <w:color w:val="auto"/>
              </w:rPr>
            </w:pPr>
            <w:r>
              <w:rPr>
                <w:rFonts w:ascii="Times New Roman" w:cs="Times New Roman" w:eastAsia="Times New Roman" w:hAnsi="Times New Roman"/>
                <w:sz w:val="17"/>
                <w:szCs w:val="17"/>
                <w:b w:val="1"/>
                <w:bCs w:val="1"/>
                <w:color w:val="auto"/>
              </w:rPr>
              <w:t>COMPREHENSIVE INCOME</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66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b w:val="1"/>
                <w:bCs w:val="1"/>
                <w:color w:val="auto"/>
              </w:rPr>
              <w:t>ATTRIBUTABLE TO NONCONTROLLING</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INTERESTS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39"/>
        </w:trPr>
        <w:tc>
          <w:tcPr>
            <w:tcW w:w="366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660" w:type="dxa"/>
            <w:vAlign w:val="bottom"/>
          </w:tcPr>
          <w:p>
            <w:pPr>
              <w:ind w:left="20"/>
              <w:spacing w:after="0" w:line="149" w:lineRule="exact"/>
              <w:rPr>
                <w:sz w:val="20"/>
                <w:szCs w:val="20"/>
                <w:color w:val="auto"/>
              </w:rPr>
            </w:pPr>
            <w:r>
              <w:rPr>
                <w:rFonts w:ascii="Times New Roman" w:cs="Times New Roman" w:eastAsia="Times New Roman" w:hAnsi="Times New Roman"/>
                <w:sz w:val="17"/>
                <w:szCs w:val="17"/>
                <w:b w:val="1"/>
                <w:bCs w:val="1"/>
                <w:color w:val="auto"/>
              </w:rPr>
              <w:t>COMPREHENSIVE INCOME (LOSS)</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66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b w:val="1"/>
                <w:bCs w:val="1"/>
                <w:color w:val="auto"/>
              </w:rPr>
              <w:t>ATTRIBUTABLE TO COMMON</w:t>
            </w:r>
          </w:p>
        </w:tc>
        <w:tc>
          <w:tcPr>
            <w:tcW w:w="24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40" w:type="dxa"/>
            <w:vAlign w:val="bottom"/>
          </w:tcPr>
          <w:p>
            <w:pPr>
              <w:spacing w:after="0"/>
              <w:rPr>
                <w:sz w:val="14"/>
                <w:szCs w:val="14"/>
                <w:color w:val="auto"/>
              </w:rPr>
            </w:pPr>
          </w:p>
        </w:tc>
        <w:tc>
          <w:tcPr>
            <w:tcW w:w="760" w:type="dxa"/>
            <w:vAlign w:val="bottom"/>
            <w:vMerge w:val="restart"/>
          </w:tcPr>
          <w:p>
            <w:pPr>
              <w:jc w:val="right"/>
              <w:ind w:right="598"/>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40" w:type="dxa"/>
            <w:vAlign w:val="bottom"/>
          </w:tcPr>
          <w:p>
            <w:pPr>
              <w:spacing w:after="0"/>
              <w:rPr>
                <w:sz w:val="14"/>
                <w:szCs w:val="14"/>
                <w:color w:val="auto"/>
              </w:rPr>
            </w:pPr>
          </w:p>
        </w:tc>
        <w:tc>
          <w:tcPr>
            <w:tcW w:w="2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120" w:type="dxa"/>
            <w:vAlign w:val="bottom"/>
          </w:tcPr>
          <w:p>
            <w:pPr>
              <w:spacing w:after="0"/>
              <w:rPr>
                <w:sz w:val="14"/>
                <w:szCs w:val="14"/>
                <w:color w:val="auto"/>
              </w:rPr>
            </w:pPr>
          </w:p>
        </w:tc>
        <w:tc>
          <w:tcPr>
            <w:tcW w:w="780" w:type="dxa"/>
            <w:vAlign w:val="bottom"/>
            <w:vMerge w:val="restart"/>
          </w:tcPr>
          <w:p>
            <w:pPr>
              <w:jc w:val="right"/>
              <w:ind w:right="598"/>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2"/>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SHAREHOLDERS</w:t>
            </w:r>
          </w:p>
        </w:tc>
        <w:tc>
          <w:tcPr>
            <w:tcW w:w="24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b w:val="1"/>
          <w:bCs w:val="1"/>
          <w:color w:val="auto"/>
        </w:rPr>
        <w:t>See Notes to the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INTERIM CONSOLIDATED BALANCE SHEETS</w:t>
      </w:r>
    </w:p>
    <w:p>
      <w:pPr>
        <w:spacing w:after="0" w:line="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(In millions, except share and per share data)</w:t>
      </w:r>
    </w:p>
    <w:p>
      <w:pPr>
        <w:spacing w:after="0" w:line="125" w:lineRule="exact"/>
        <w:rPr>
          <w:sz w:val="20"/>
          <w:szCs w:val="20"/>
          <w:color w:val="auto"/>
        </w:rPr>
      </w:pPr>
    </w:p>
    <w:tbl>
      <w:tblPr>
        <w:tblLayout w:type="fixed"/>
        <w:tblInd w:w="1420" w:type="dxa"/>
        <w:tblCellMar>
          <w:top w:w="0" w:type="dxa"/>
          <w:left w:w="0" w:type="dxa"/>
          <w:bottom w:w="0" w:type="dxa"/>
          <w:right w:w="0" w:type="dxa"/>
        </w:tblCellMar>
      </w:tblPr>
      <w:tr>
        <w:trPr>
          <w:trHeight w:val="205"/>
        </w:trPr>
        <w:tc>
          <w:tcPr>
            <w:tcW w:w="5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Unaudited</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0"/>
        </w:trPr>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September 30, 2022</w:t>
            </w:r>
          </w:p>
        </w:tc>
        <w:tc>
          <w:tcPr>
            <w:tcW w:w="100" w:type="dxa"/>
            <w:vAlign w:val="bottom"/>
          </w:tcPr>
          <w:p>
            <w:pPr>
              <w:spacing w:after="0"/>
              <w:rPr>
                <w:sz w:val="18"/>
                <w:szCs w:val="18"/>
                <w:color w:val="auto"/>
              </w:rPr>
            </w:pP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w w:val="97"/>
              </w:rPr>
              <w:t>December 31, 2021</w:t>
            </w:r>
          </w:p>
        </w:tc>
      </w:tr>
      <w:tr>
        <w:trPr>
          <w:trHeight w:val="229"/>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r>
      <w:tr>
        <w:trPr>
          <w:trHeight w:val="246"/>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342</w:t>
            </w:r>
          </w:p>
        </w:tc>
      </w:tr>
      <w:tr>
        <w:trPr>
          <w:trHeight w:val="24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 (including $67 and $139 from VIEs, respectively)</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461</w:t>
            </w:r>
          </w:p>
        </w:tc>
      </w:tr>
      <w:tr>
        <w:trPr>
          <w:trHeight w:val="169"/>
        </w:trPr>
        <w:tc>
          <w:tcPr>
            <w:tcW w:w="524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Accounts and contracts receivable, net (including $12 and $12 from VIEs,</w:t>
            </w: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33"/>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respectively)</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279</w:t>
            </w:r>
          </w:p>
        </w:tc>
      </w:tr>
      <w:tr>
        <w:trPr>
          <w:trHeight w:val="169"/>
        </w:trPr>
        <w:tc>
          <w:tcPr>
            <w:tcW w:w="524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Vacation ownership notes receivable, net (including $1,662 and $1,662</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23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from VIEs, respectively)</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2,045</w:t>
            </w:r>
          </w:p>
        </w:tc>
      </w:tr>
      <w:tr>
        <w:trPr>
          <w:trHeight w:val="246"/>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Inventory</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719</w:t>
            </w:r>
          </w:p>
        </w:tc>
      </w:tr>
      <w:tr>
        <w:trPr>
          <w:trHeight w:val="24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1,136</w:t>
            </w:r>
          </w:p>
        </w:tc>
      </w:tr>
      <w:tr>
        <w:trPr>
          <w:trHeight w:val="246"/>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3,150</w:t>
            </w:r>
          </w:p>
        </w:tc>
      </w:tr>
      <w:tr>
        <w:trPr>
          <w:trHeight w:val="24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Intangibles, net</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924</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993</w:t>
            </w:r>
          </w:p>
        </w:tc>
      </w:tr>
      <w:tr>
        <w:trPr>
          <w:trHeight w:val="246"/>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(including $68 and $76 from VIEs, respectively)</w:t>
            </w:r>
          </w:p>
        </w:tc>
        <w:tc>
          <w:tcPr>
            <w:tcW w:w="1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459</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488</w:t>
            </w:r>
          </w:p>
        </w:tc>
      </w:tr>
      <w:tr>
        <w:trPr>
          <w:trHeight w:val="238"/>
        </w:trPr>
        <w:tc>
          <w:tcPr>
            <w:tcW w:w="5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9,237</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9,613</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05"/>
        </w:trPr>
        <w:tc>
          <w:tcPr>
            <w:tcW w:w="5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4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46"/>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265</w:t>
            </w:r>
          </w:p>
        </w:tc>
      </w:tr>
      <w:tr>
        <w:trPr>
          <w:trHeight w:val="24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Advance deposits</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160</w:t>
            </w:r>
          </w:p>
        </w:tc>
      </w:tr>
      <w:tr>
        <w:trPr>
          <w:trHeight w:val="246"/>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liabilities (including $2 and $2 from VIEs, respectively)</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345</w:t>
            </w:r>
          </w:p>
        </w:tc>
      </w:tr>
      <w:tr>
        <w:trPr>
          <w:trHeight w:val="24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453</w:t>
            </w:r>
          </w:p>
        </w:tc>
      </w:tr>
      <w:tr>
        <w:trPr>
          <w:trHeight w:val="246"/>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Payroll and benefits liability</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201</w:t>
            </w:r>
          </w:p>
        </w:tc>
      </w:tr>
      <w:tr>
        <w:trPr>
          <w:trHeight w:val="24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compensation liability</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142</w:t>
            </w:r>
          </w:p>
        </w:tc>
      </w:tr>
      <w:tr>
        <w:trPr>
          <w:trHeight w:val="169"/>
        </w:trPr>
        <w:tc>
          <w:tcPr>
            <w:tcW w:w="524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Securitized debt, net (including $1,830 and $1,877 from VIEs,</w:t>
            </w: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33"/>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respectively)</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1,856</w:t>
            </w:r>
          </w:p>
        </w:tc>
      </w:tr>
      <w:tr>
        <w:trPr>
          <w:trHeight w:val="24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 net</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2,749</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2,631</w:t>
            </w:r>
          </w:p>
        </w:tc>
      </w:tr>
      <w:tr>
        <w:trPr>
          <w:trHeight w:val="246"/>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224</w:t>
            </w:r>
          </w:p>
        </w:tc>
      </w:tr>
      <w:tr>
        <w:trPr>
          <w:trHeight w:val="24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taxes</w:t>
            </w:r>
          </w:p>
        </w:tc>
        <w:tc>
          <w:tcPr>
            <w:tcW w:w="1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350</w:t>
            </w:r>
          </w:p>
        </w:tc>
      </w:tr>
      <w:tr>
        <w:trPr>
          <w:trHeight w:val="226"/>
        </w:trPr>
        <w:tc>
          <w:tcPr>
            <w:tcW w:w="52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6,609</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6,627</w:t>
            </w:r>
          </w:p>
        </w:tc>
      </w:tr>
      <w:tr>
        <w:trPr>
          <w:trHeight w:val="22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Contingencies and Commitments (Note 11)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169"/>
        </w:trPr>
        <w:tc>
          <w:tcPr>
            <w:tcW w:w="524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Preferred stock — $0.01 par value; 2,000,000 shares authorized; none</w:t>
            </w: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33"/>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issued or outstanding</w:t>
            </w:r>
          </w:p>
        </w:tc>
        <w:tc>
          <w:tcPr>
            <w:tcW w:w="10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r>
      <w:tr>
        <w:trPr>
          <w:trHeight w:val="169"/>
        </w:trPr>
        <w:tc>
          <w:tcPr>
            <w:tcW w:w="524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Common stock — $0.01 par value; 100,000,000 shares authorized;</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23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75,744,121 and 75,519,049 shares issued, respectively</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w:t>
            </w:r>
          </w:p>
        </w:tc>
      </w:tr>
      <w:tr>
        <w:trPr>
          <w:trHeight w:val="246"/>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Treasury stock — at cost; 37,036,447 and 33,235,671 shares, respectively</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(1,356)</w:t>
            </w:r>
          </w:p>
        </w:tc>
      </w:tr>
      <w:tr>
        <w:trPr>
          <w:trHeight w:val="24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3,968</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4,072</w:t>
            </w:r>
          </w:p>
        </w:tc>
      </w:tr>
      <w:tr>
        <w:trPr>
          <w:trHeight w:val="246"/>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4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Retained earnings</w:t>
            </w:r>
          </w:p>
        </w:tc>
        <w:tc>
          <w:tcPr>
            <w:tcW w:w="1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w:t>
            </w: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275</w:t>
            </w:r>
          </w:p>
        </w:tc>
      </w:tr>
      <w:tr>
        <w:trPr>
          <w:trHeight w:val="226"/>
        </w:trPr>
        <w:tc>
          <w:tcPr>
            <w:tcW w:w="5240" w:type="dxa"/>
            <w:vAlign w:val="bottom"/>
          </w:tcPr>
          <w:p>
            <w:pPr>
              <w:ind w:left="440"/>
              <w:spacing w:after="0"/>
              <w:rPr>
                <w:sz w:val="20"/>
                <w:szCs w:val="20"/>
                <w:color w:val="auto"/>
              </w:rPr>
            </w:pPr>
            <w:r>
              <w:rPr>
                <w:rFonts w:ascii="Times New Roman" w:cs="Times New Roman" w:eastAsia="Times New Roman" w:hAnsi="Times New Roman"/>
                <w:sz w:val="17"/>
                <w:szCs w:val="17"/>
                <w:b w:val="1"/>
                <w:bCs w:val="1"/>
                <w:color w:val="auto"/>
              </w:rPr>
              <w:t>TOTAL MVW SHAREHOLDERS' EQUITY</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2,976</w:t>
            </w:r>
          </w:p>
        </w:tc>
      </w:tr>
      <w:tr>
        <w:trPr>
          <w:trHeight w:val="24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w:t>
            </w:r>
          </w:p>
        </w:tc>
      </w:tr>
      <w:tr>
        <w:trPr>
          <w:trHeight w:val="226"/>
        </w:trPr>
        <w:tc>
          <w:tcPr>
            <w:tcW w:w="52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b w:val="1"/>
                <w:bCs w:val="1"/>
                <w:color w:val="auto"/>
              </w:rPr>
              <w:t>TOTAL EQUITY</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2,628</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2,986</w:t>
            </w:r>
          </w:p>
        </w:tc>
      </w:tr>
      <w:tr>
        <w:trPr>
          <w:trHeight w:val="238"/>
        </w:trPr>
        <w:tc>
          <w:tcPr>
            <w:tcW w:w="5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LIABILITIES AND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9,237</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9,613</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abbreviation VIEs above means Variable Interest Entities.</w:t>
      </w:r>
    </w:p>
    <w:p>
      <w:pPr>
        <w:spacing w:after="0" w:line="21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b w:val="1"/>
          <w:bCs w:val="1"/>
          <w:color w:val="auto"/>
        </w:rPr>
        <w:t>See Notes to Interim Consolidated Financial Statements</w:t>
      </w:r>
    </w:p>
    <w:p>
      <w:pPr>
        <w:spacing w:after="0" w:line="200" w:lineRule="exact"/>
        <w:rPr>
          <w:sz w:val="20"/>
          <w:szCs w:val="20"/>
          <w:color w:val="auto"/>
        </w:rPr>
      </w:pPr>
    </w:p>
    <w:p>
      <w:pPr>
        <w:spacing w:after="0" w:line="20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INTERIM CONSOLIDATED STATEMENTS OF CASH FLOWS</w:t>
      </w:r>
    </w:p>
    <w:p>
      <w:pPr>
        <w:spacing w:after="0" w:line="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(In millions)</w:t>
      </w:r>
    </w:p>
    <w:p>
      <w:pPr>
        <w:spacing w:after="0" w:line="1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(Unaudited)</w:t>
      </w:r>
    </w:p>
    <w:p>
      <w:pPr>
        <w:spacing w:after="0" w:line="74" w:lineRule="exact"/>
        <w:rPr>
          <w:sz w:val="20"/>
          <w:szCs w:val="20"/>
          <w:color w:val="auto"/>
        </w:rPr>
      </w:pPr>
    </w:p>
    <w:tbl>
      <w:tblPr>
        <w:tblLayout w:type="fixed"/>
        <w:tblInd w:w="1420" w:type="dxa"/>
        <w:tblCellMar>
          <w:top w:w="0" w:type="dxa"/>
          <w:left w:w="0" w:type="dxa"/>
          <w:bottom w:w="0" w:type="dxa"/>
          <w:right w:w="0" w:type="dxa"/>
        </w:tblCellMar>
      </w:tblPr>
      <w:tr>
        <w:trPr>
          <w:trHeight w:val="208"/>
        </w:trPr>
        <w:tc>
          <w:tcPr>
            <w:tcW w:w="5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1"/>
        </w:trPr>
        <w:tc>
          <w:tcPr>
            <w:tcW w:w="5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3"/>
                <w:szCs w:val="13"/>
                <w:color w:val="auto"/>
              </w:rPr>
            </w:pPr>
          </w:p>
        </w:tc>
        <w:tc>
          <w:tcPr>
            <w:tcW w:w="1180" w:type="dxa"/>
            <w:vAlign w:val="bottom"/>
          </w:tcPr>
          <w:p>
            <w:pPr>
              <w:jc w:val="right"/>
              <w:ind w:right="94"/>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6"/>
        </w:trPr>
        <w:tc>
          <w:tcPr>
            <w:tcW w:w="57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8"/>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46"/>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182"/>
        </w:trPr>
        <w:tc>
          <w:tcPr>
            <w:tcW w:w="57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Adjustments to reconcile net income (loss) to net cash, cash equivalents and</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3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 provided by operating activities:</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46"/>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 of intangibles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112</w:t>
            </w:r>
          </w:p>
        </w:tc>
      </w:tr>
      <w:tr>
        <w:trPr>
          <w:trHeight w:val="246"/>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debt discount and issuance costs</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41</w:t>
            </w:r>
          </w:p>
        </w:tc>
      </w:tr>
      <w:tr>
        <w:trPr>
          <w:trHeight w:val="246"/>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Vacation ownership notes receivable reserve</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73</w:t>
            </w:r>
          </w:p>
        </w:tc>
      </w:tr>
      <w:tr>
        <w:trPr>
          <w:trHeight w:val="246"/>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Share-based compensation</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33</w:t>
            </w:r>
          </w:p>
        </w:tc>
      </w:tr>
      <w:tr>
        <w:trPr>
          <w:trHeight w:val="246"/>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Impairment charges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w:t>
            </w:r>
          </w:p>
        </w:tc>
      </w:tr>
      <w:tr>
        <w:trPr>
          <w:trHeight w:val="246"/>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Gains and other income, net</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r>
      <w:tr>
        <w:trPr>
          <w:trHeight w:val="246"/>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income taxes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10</w:t>
            </w:r>
          </w:p>
        </w:tc>
      </w:tr>
      <w:tr>
        <w:trPr>
          <w:trHeight w:val="246"/>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change in assets and liabilities:</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46"/>
        </w:trPr>
        <w:tc>
          <w:tcPr>
            <w:tcW w:w="57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Accounts and contracts receivable</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54</w:t>
            </w:r>
          </w:p>
        </w:tc>
      </w:tr>
      <w:tr>
        <w:trPr>
          <w:trHeight w:val="246"/>
        </w:trPr>
        <w:tc>
          <w:tcPr>
            <w:tcW w:w="5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Vacation ownership notes receivable originations</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w:t>
            </w:r>
          </w:p>
        </w:tc>
      </w:tr>
      <w:tr>
        <w:trPr>
          <w:trHeight w:val="246"/>
        </w:trPr>
        <w:tc>
          <w:tcPr>
            <w:tcW w:w="57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Vacation ownership notes receivable collections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532</w:t>
            </w:r>
          </w:p>
        </w:tc>
      </w:tr>
      <w:tr>
        <w:trPr>
          <w:trHeight w:val="246"/>
        </w:trPr>
        <w:tc>
          <w:tcPr>
            <w:tcW w:w="5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Inventory</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59</w:t>
            </w:r>
          </w:p>
        </w:tc>
      </w:tr>
      <w:tr>
        <w:trPr>
          <w:trHeight w:val="246"/>
        </w:trPr>
        <w:tc>
          <w:tcPr>
            <w:tcW w:w="57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Other assets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46"/>
        </w:trPr>
        <w:tc>
          <w:tcPr>
            <w:tcW w:w="5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Accounts payable, advance deposits and accrued liabilities</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46"/>
        </w:trPr>
        <w:tc>
          <w:tcPr>
            <w:tcW w:w="57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Deferred revenue</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119</w:t>
            </w:r>
          </w:p>
        </w:tc>
      </w:tr>
      <w:tr>
        <w:trPr>
          <w:trHeight w:val="246"/>
        </w:trPr>
        <w:tc>
          <w:tcPr>
            <w:tcW w:w="5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Payroll and benefit liabilities</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35</w:t>
            </w:r>
          </w:p>
        </w:tc>
      </w:tr>
      <w:tr>
        <w:trPr>
          <w:trHeight w:val="246"/>
        </w:trPr>
        <w:tc>
          <w:tcPr>
            <w:tcW w:w="57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Deferred compensation liability</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14</w:t>
            </w:r>
          </w:p>
        </w:tc>
      </w:tr>
      <w:tr>
        <w:trPr>
          <w:trHeight w:val="246"/>
        </w:trPr>
        <w:tc>
          <w:tcPr>
            <w:tcW w:w="5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Other liabilities</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23</w:t>
            </w:r>
          </w:p>
        </w:tc>
      </w:tr>
      <w:tr>
        <w:trPr>
          <w:trHeight w:val="246"/>
        </w:trPr>
        <w:tc>
          <w:tcPr>
            <w:tcW w:w="57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Deconsolidation of certain Consolidated Property Owners' Associations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46"/>
        </w:trPr>
        <w:tc>
          <w:tcPr>
            <w:tcW w:w="5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Purchase of vacation ownership units for future transfer to inventory</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46"/>
        </w:trPr>
        <w:tc>
          <w:tcPr>
            <w:tcW w:w="5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net</w:t>
            </w: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3</w:t>
            </w:r>
          </w:p>
        </w:tc>
      </w:tr>
      <w:tr>
        <w:trPr>
          <w:trHeight w:val="162"/>
        </w:trPr>
        <w:tc>
          <w:tcPr>
            <w:tcW w:w="5700" w:type="dxa"/>
            <w:vAlign w:val="bottom"/>
            <w:shd w:val="clear" w:color="auto" w:fill="CCEEFF"/>
          </w:tcPr>
          <w:p>
            <w:pPr>
              <w:ind w:left="640"/>
              <w:spacing w:after="0" w:line="162" w:lineRule="exact"/>
              <w:rPr>
                <w:sz w:val="20"/>
                <w:szCs w:val="20"/>
                <w:color w:val="auto"/>
              </w:rPr>
            </w:pPr>
            <w:r>
              <w:rPr>
                <w:rFonts w:ascii="Times New Roman" w:cs="Times New Roman" w:eastAsia="Times New Roman" w:hAnsi="Times New Roman"/>
                <w:sz w:val="17"/>
                <w:szCs w:val="17"/>
                <w:color w:val="auto"/>
              </w:rPr>
              <w:t>Net cash, cash equivalents and restricted cash provided by operating</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33"/>
        </w:trPr>
        <w:tc>
          <w:tcPr>
            <w:tcW w:w="57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activities</w:t>
            </w: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303</w:t>
            </w:r>
          </w:p>
        </w:tc>
      </w:tr>
      <w:tr>
        <w:trPr>
          <w:trHeight w:val="226"/>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6"/>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Acquisition of a business, net of cash and restricted cash acquired</w:t>
            </w: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r>
      <w:tr>
        <w:trPr>
          <w:trHeight w:val="169"/>
        </w:trPr>
        <w:tc>
          <w:tcPr>
            <w:tcW w:w="5700" w:type="dxa"/>
            <w:vAlign w:val="bottom"/>
          </w:tcPr>
          <w:p>
            <w:pPr>
              <w:ind w:left="220"/>
              <w:spacing w:after="0" w:line="168" w:lineRule="exact"/>
              <w:rPr>
                <w:sz w:val="20"/>
                <w:szCs w:val="20"/>
                <w:color w:val="auto"/>
              </w:rPr>
            </w:pPr>
            <w:r>
              <w:rPr>
                <w:rFonts w:ascii="Times New Roman" w:cs="Times New Roman" w:eastAsia="Times New Roman" w:hAnsi="Times New Roman"/>
                <w:sz w:val="17"/>
                <w:szCs w:val="17"/>
                <w:color w:val="auto"/>
              </w:rPr>
              <w:t>Proceeds from disposition of subsidiaries, net of cash and restricted cash</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3"/>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transferred</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r>
      <w:tr>
        <w:trPr>
          <w:trHeight w:val="246"/>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Capital expenditures for property and equipment (excluding inventory)</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46"/>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Issuance of note receivable to VIE</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r>
      <w:tr>
        <w:trPr>
          <w:trHeight w:val="246"/>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Proceeds from collection of note receivable from VIE</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r>
      <w:tr>
        <w:trPr>
          <w:trHeight w:val="246"/>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Purchase of company owned life insurance</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46"/>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net</w:t>
            </w: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r>
      <w:tr>
        <w:trPr>
          <w:trHeight w:val="149"/>
        </w:trPr>
        <w:tc>
          <w:tcPr>
            <w:tcW w:w="5700" w:type="dxa"/>
            <w:vAlign w:val="bottom"/>
          </w:tcPr>
          <w:p>
            <w:pPr>
              <w:ind w:left="640"/>
              <w:spacing w:after="0" w:line="149" w:lineRule="exact"/>
              <w:rPr>
                <w:sz w:val="20"/>
                <w:szCs w:val="20"/>
                <w:color w:val="auto"/>
              </w:rPr>
            </w:pPr>
            <w:r>
              <w:rPr>
                <w:rFonts w:ascii="Times New Roman" w:cs="Times New Roman" w:eastAsia="Times New Roman" w:hAnsi="Times New Roman"/>
                <w:sz w:val="17"/>
                <w:szCs w:val="17"/>
                <w:color w:val="auto"/>
              </w:rPr>
              <w:t>Net cash, cash equivalents and restricted cash provided by (used in)</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33"/>
        </w:trPr>
        <w:tc>
          <w:tcPr>
            <w:tcW w:w="57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investing activities</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w:t>
            </w:r>
          </w:p>
        </w:tc>
      </w:tr>
    </w:tbl>
    <w:p>
      <w:pPr>
        <w:spacing w:after="0" w:line="200" w:lineRule="exact"/>
        <w:rPr>
          <w:sz w:val="20"/>
          <w:szCs w:val="20"/>
          <w:color w:val="auto"/>
        </w:rPr>
      </w:pPr>
    </w:p>
    <w:p>
      <w:pPr>
        <w:spacing w:after="0" w:line="31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1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See Notes to Interim Consolidated Financial Statements</w:t>
      </w:r>
    </w:p>
    <w:p>
      <w:pPr>
        <w:spacing w:after="0" w:line="200" w:lineRule="exact"/>
        <w:rPr>
          <w:sz w:val="20"/>
          <w:szCs w:val="20"/>
          <w:color w:val="auto"/>
        </w:rPr>
      </w:pPr>
    </w:p>
    <w:p>
      <w:pPr>
        <w:spacing w:after="0" w:line="20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INTERIM CONSOLIDATED STATEMENTS OF CASH FLOWS (CONTINUED)</w:t>
      </w:r>
    </w:p>
    <w:p>
      <w:pPr>
        <w:spacing w:after="0" w:line="1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(In millions)</w:t>
      </w:r>
    </w:p>
    <w:p>
      <w:pPr>
        <w:spacing w:after="0" w:line="1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(Unaudited)</w:t>
      </w:r>
    </w:p>
    <w:p>
      <w:pPr>
        <w:spacing w:after="0" w:line="268" w:lineRule="exact"/>
        <w:rPr>
          <w:sz w:val="20"/>
          <w:szCs w:val="20"/>
          <w:color w:val="auto"/>
        </w:rPr>
      </w:pPr>
    </w:p>
    <w:tbl>
      <w:tblPr>
        <w:tblLayout w:type="fixed"/>
        <w:tblInd w:w="1420" w:type="dxa"/>
        <w:tblCellMar>
          <w:top w:w="0" w:type="dxa"/>
          <w:left w:w="0" w:type="dxa"/>
          <w:bottom w:w="0" w:type="dxa"/>
          <w:right w:w="0" w:type="dxa"/>
        </w:tblCellMar>
      </w:tblPr>
      <w:tr>
        <w:trPr>
          <w:trHeight w:val="208"/>
        </w:trPr>
        <w:tc>
          <w:tcPr>
            <w:tcW w:w="5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1"/>
        </w:trPr>
        <w:tc>
          <w:tcPr>
            <w:tcW w:w="5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3"/>
                <w:szCs w:val="13"/>
                <w:color w:val="auto"/>
              </w:rPr>
            </w:pPr>
          </w:p>
        </w:tc>
        <w:tc>
          <w:tcPr>
            <w:tcW w:w="1180" w:type="dxa"/>
            <w:vAlign w:val="bottom"/>
          </w:tcPr>
          <w:p>
            <w:pPr>
              <w:jc w:val="right"/>
              <w:ind w:right="94"/>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6"/>
        </w:trPr>
        <w:tc>
          <w:tcPr>
            <w:tcW w:w="57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8"/>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46"/>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Borrowings from securitization transactions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425</w:t>
            </w:r>
          </w:p>
        </w:tc>
      </w:tr>
      <w:tr>
        <w:trPr>
          <w:trHeight w:val="246"/>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Repayment of debt related to securitization transactions</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w:t>
            </w:r>
          </w:p>
        </w:tc>
      </w:tr>
      <w:tr>
        <w:trPr>
          <w:trHeight w:val="246"/>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debt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1,061</w:t>
            </w:r>
          </w:p>
        </w:tc>
      </w:tr>
      <w:tr>
        <w:trPr>
          <w:trHeight w:val="246"/>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Repayments of debt</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(1,039)</w:t>
            </w:r>
          </w:p>
        </w:tc>
      </w:tr>
      <w:tr>
        <w:trPr>
          <w:trHeight w:val="246"/>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Purchase of convertible note hedges</w:t>
            </w:r>
          </w:p>
        </w:tc>
        <w:tc>
          <w:tcPr>
            <w:tcW w:w="14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46"/>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Proceeds from issuance of warrants</w:t>
            </w: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70</w:t>
            </w:r>
          </w:p>
        </w:tc>
      </w:tr>
      <w:tr>
        <w:trPr>
          <w:trHeight w:val="246"/>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Finance lease payment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46"/>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Payment of debt issuance costs</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46"/>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46"/>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Payment of dividends</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r>
      <w:tr>
        <w:trPr>
          <w:trHeight w:val="246"/>
        </w:trPr>
        <w:tc>
          <w:tcPr>
            <w:tcW w:w="5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Payment of withholding taxes on vesting of restricted stock units</w:t>
            </w: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149"/>
        </w:trPr>
        <w:tc>
          <w:tcPr>
            <w:tcW w:w="570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7"/>
                <w:szCs w:val="17"/>
                <w:color w:val="auto"/>
              </w:rPr>
              <w:t>Net cash, cash equivalents and restricted cash used in financing</w:t>
            </w: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233"/>
        </w:trPr>
        <w:tc>
          <w:tcPr>
            <w:tcW w:w="57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activities</w:t>
            </w: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r>
      <w:tr>
        <w:trPr>
          <w:trHeight w:val="149"/>
        </w:trPr>
        <w:tc>
          <w:tcPr>
            <w:tcW w:w="5700" w:type="dxa"/>
            <w:vAlign w:val="bottom"/>
          </w:tcPr>
          <w:p>
            <w:pPr>
              <w:ind w:left="220"/>
              <w:spacing w:after="0" w:line="149" w:lineRule="exact"/>
              <w:rPr>
                <w:sz w:val="20"/>
                <w:szCs w:val="20"/>
                <w:color w:val="auto"/>
              </w:rPr>
            </w:pPr>
            <w:r>
              <w:rPr>
                <w:rFonts w:ascii="Times New Roman" w:cs="Times New Roman" w:eastAsia="Times New Roman" w:hAnsi="Times New Roman"/>
                <w:sz w:val="17"/>
                <w:szCs w:val="17"/>
                <w:color w:val="auto"/>
              </w:rPr>
              <w:t>Effect of changes in exchange rates on cash, cash equivalents and restricted</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33"/>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4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cash, cash equivalents and restricted cash</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r>
      <w:tr>
        <w:trPr>
          <w:trHeight w:val="246"/>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803</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992</w:t>
            </w:r>
          </w:p>
        </w:tc>
      </w:tr>
      <w:tr>
        <w:trPr>
          <w:trHeight w:val="23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882</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92"/>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DISCLOSURES</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46"/>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Non-cash issuance of debt in connection with asset acquisition</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r>
      <w:tr>
        <w:trPr>
          <w:trHeight w:val="246"/>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Non-cash issuance of treasury stock for employee stock purchase plan</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w:t>
            </w:r>
          </w:p>
        </w:tc>
      </w:tr>
      <w:tr>
        <w:trPr>
          <w:trHeight w:val="246"/>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Non-cash issuance of treasury stock in connection with Welk Acquisition</w:t>
            </w:r>
          </w:p>
        </w:tc>
        <w:tc>
          <w:tcPr>
            <w:tcW w:w="14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248</w:t>
            </w:r>
          </w:p>
        </w:tc>
      </w:tr>
      <w:tr>
        <w:trPr>
          <w:trHeight w:val="246"/>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Non-cash transfer from inventory to property and equipment</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105</w:t>
            </w:r>
          </w:p>
        </w:tc>
      </w:tr>
      <w:tr>
        <w:trPr>
          <w:trHeight w:val="246"/>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Non-cash transfer from property and equipment to inventory</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w:t>
            </w:r>
          </w:p>
        </w:tc>
      </w:tr>
      <w:tr>
        <w:trPr>
          <w:trHeight w:val="246"/>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Non-cash transfer of other assets to property and equipment</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22</w:t>
            </w:r>
          </w:p>
        </w:tc>
      </w:tr>
      <w:tr>
        <w:trPr>
          <w:trHeight w:val="246"/>
        </w:trPr>
        <w:tc>
          <w:tcPr>
            <w:tcW w:w="5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6"/>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Dividends payable</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23</w:t>
            </w:r>
          </w:p>
        </w:tc>
      </w:tr>
      <w:tr>
        <w:trPr>
          <w:trHeight w:val="246"/>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paid, net of amounts capitalized</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136</w:t>
            </w:r>
          </w:p>
        </w:tc>
      </w:tr>
      <w:tr>
        <w:trPr>
          <w:trHeight w:val="169"/>
        </w:trPr>
        <w:tc>
          <w:tcPr>
            <w:tcW w:w="5700" w:type="dxa"/>
            <w:vAlign w:val="bottom"/>
            <w:shd w:val="clear" w:color="auto" w:fill="CCEEFF"/>
          </w:tcPr>
          <w:p>
            <w:pPr>
              <w:ind w:left="220"/>
              <w:spacing w:after="0" w:line="168" w:lineRule="exact"/>
              <w:rPr>
                <w:sz w:val="20"/>
                <w:szCs w:val="20"/>
                <w:color w:val="auto"/>
              </w:rPr>
            </w:pPr>
            <w:r>
              <w:rPr>
                <w:rFonts w:ascii="Times New Roman" w:cs="Times New Roman" w:eastAsia="Times New Roman" w:hAnsi="Times New Roman"/>
                <w:sz w:val="17"/>
                <w:szCs w:val="17"/>
                <w:color w:val="auto"/>
              </w:rPr>
              <w:t>Income taxes paid, net of refunds (income tax refunds, net of income taxes</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33"/>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paid)</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bl>
    <w:p>
      <w:pPr>
        <w:spacing w:after="0" w:line="200" w:lineRule="exact"/>
        <w:rPr>
          <w:sz w:val="20"/>
          <w:szCs w:val="20"/>
          <w:color w:val="auto"/>
        </w:rPr>
      </w:pPr>
    </w:p>
    <w:p>
      <w:pPr>
        <w:spacing w:after="0" w:line="29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b w:val="1"/>
          <w:bCs w:val="1"/>
          <w:color w:val="auto"/>
        </w:rPr>
        <w:t>See Notes to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7" w:name="page8"/>
    <w:bookmarkEnd w:id="7"/>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INTERIM CONSOLIDATED STATEMENTS OF SHAREHOLDERS’ EQUITY</w:t>
      </w:r>
    </w:p>
    <w:p>
      <w:pPr>
        <w:spacing w:after="0" w:line="1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(In millions)</w:t>
      </w:r>
    </w:p>
    <w:p>
      <w:pPr>
        <w:spacing w:after="0" w:line="1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(Unaudited)</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920" w:type="dxa"/>
            <w:vAlign w:val="bottom"/>
            <w:vMerge w:val="restart"/>
          </w:tcPr>
          <w:p>
            <w:pPr>
              <w:jc w:val="center"/>
              <w:ind w:right="1291"/>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90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Total MVW</w:t>
            </w: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920" w:type="dxa"/>
            <w:vAlign w:val="bottom"/>
            <w:vMerge w:val="continue"/>
          </w:tcPr>
          <w:p>
            <w:pPr>
              <w:spacing w:after="0"/>
              <w:rPr>
                <w:sz w:val="12"/>
                <w:szCs w:val="12"/>
                <w:color w:val="auto"/>
              </w:rPr>
            </w:pPr>
          </w:p>
        </w:tc>
        <w:tc>
          <w:tcPr>
            <w:tcW w:w="2100" w:type="dxa"/>
            <w:vAlign w:val="bottom"/>
            <w:vMerge w:val="restart"/>
          </w:tcPr>
          <w:p>
            <w:pPr>
              <w:jc w:val="center"/>
              <w:ind w:left="1091"/>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980" w:type="dxa"/>
            <w:vAlign w:val="bottom"/>
            <w:vMerge w:val="continue"/>
          </w:tcPr>
          <w:p>
            <w:pPr>
              <w:spacing w:after="0"/>
              <w:rPr>
                <w:sz w:val="12"/>
                <w:szCs w:val="12"/>
                <w:color w:val="auto"/>
              </w:rPr>
            </w:pPr>
          </w:p>
        </w:tc>
        <w:tc>
          <w:tcPr>
            <w:tcW w:w="12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Other</w:t>
            </w:r>
          </w:p>
        </w:tc>
        <w:tc>
          <w:tcPr>
            <w:tcW w:w="9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60" w:type="dxa"/>
            <w:vAlign w:val="bottom"/>
            <w:vMerge w:val="continue"/>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Noncontrolling</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920" w:type="dxa"/>
            <w:vAlign w:val="bottom"/>
          </w:tcPr>
          <w:p>
            <w:pPr>
              <w:jc w:val="center"/>
              <w:ind w:right="1291"/>
              <w:spacing w:after="0" w:line="143"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210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9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2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900" w:type="dxa"/>
            <w:vAlign w:val="bottom"/>
            <w:vMerge w:val="continue"/>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Shareholders'</w:t>
            </w:r>
          </w:p>
        </w:tc>
        <w:tc>
          <w:tcPr>
            <w:tcW w:w="1160" w:type="dxa"/>
            <w:vAlign w:val="bottom"/>
            <w:vMerge w:val="continue"/>
          </w:tcPr>
          <w:p>
            <w:pPr>
              <w:spacing w:after="0"/>
              <w:rPr>
                <w:sz w:val="12"/>
                <w:szCs w:val="12"/>
                <w:color w:val="auto"/>
              </w:rPr>
            </w:pPr>
          </w:p>
        </w:tc>
        <w:tc>
          <w:tcPr>
            <w:tcW w:w="8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w w:val="94"/>
              </w:rPr>
              <w:t>Total Equity</w:t>
            </w:r>
          </w:p>
        </w:tc>
        <w:tc>
          <w:tcPr>
            <w:tcW w:w="0" w:type="dxa"/>
            <w:vAlign w:val="bottom"/>
          </w:tcPr>
          <w:p>
            <w:pPr>
              <w:spacing w:after="0"/>
              <w:rPr>
                <w:sz w:val="1"/>
                <w:szCs w:val="1"/>
                <w:color w:val="auto"/>
              </w:rPr>
            </w:pPr>
          </w:p>
        </w:tc>
      </w:tr>
      <w:tr>
        <w:trPr>
          <w:trHeight w:val="185"/>
        </w:trPr>
        <w:tc>
          <w:tcPr>
            <w:tcW w:w="1920" w:type="dxa"/>
            <w:vAlign w:val="bottom"/>
          </w:tcPr>
          <w:p>
            <w:pPr>
              <w:jc w:val="center"/>
              <w:ind w:right="1291"/>
              <w:spacing w:after="0"/>
              <w:rPr>
                <w:sz w:val="20"/>
                <w:szCs w:val="20"/>
                <w:color w:val="auto"/>
              </w:rPr>
            </w:pPr>
            <w:r>
              <w:rPr>
                <w:rFonts w:ascii="Times New Roman" w:cs="Times New Roman" w:eastAsia="Times New Roman" w:hAnsi="Times New Roman"/>
                <w:sz w:val="14"/>
                <w:szCs w:val="14"/>
                <w:b w:val="1"/>
                <w:bCs w:val="1"/>
                <w:color w:val="auto"/>
                <w:w w:val="94"/>
              </w:rPr>
              <w:t>Issued</w:t>
            </w:r>
          </w:p>
        </w:tc>
        <w:tc>
          <w:tcPr>
            <w:tcW w:w="2100" w:type="dxa"/>
            <w:vAlign w:val="bottom"/>
          </w:tcPr>
          <w:p>
            <w:pPr>
              <w:jc w:val="center"/>
              <w:ind w:left="109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(Loss) Income</w:t>
            </w:r>
          </w:p>
        </w:tc>
        <w:tc>
          <w:tcPr>
            <w:tcW w:w="9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Equity</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7198360" cy="2305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8360" cy="230505"/>
                    </a:xfrm>
                    <a:prstGeom prst="rect">
                      <a:avLst/>
                    </a:prstGeom>
                    <a:noFill/>
                  </pic:spPr>
                </pic:pic>
              </a:graphicData>
            </a:graphic>
          </wp:anchor>
        </w:drawing>
      </w:r>
    </w:p>
    <w:p>
      <w:pPr>
        <w:sectPr>
          <w:pgSz w:w="11900" w:h="16838" w:orient="portrait"/>
          <w:cols w:equalWidth="0" w:num="1">
            <w:col w:w="11340"/>
          </w:cols>
          <w:pgMar w:left="320" w:top="1260" w:right="239" w:bottom="1440" w:gutter="0" w:footer="0" w:header="0"/>
        </w:sectPr>
      </w:pPr>
    </w:p>
    <w:p>
      <w:pPr>
        <w:spacing w:after="0" w:line="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75.5</w:t>
      </w:r>
    </w:p>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w:t>
      </w:r>
    </w:p>
    <w:p>
      <w:pPr>
        <w:spacing w:after="0" w:line="1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75.5</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w:t>
      </w:r>
    </w:p>
    <w:p>
      <w:pPr>
        <w:spacing w:after="0" w:line="1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w:t>
      </w:r>
    </w:p>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5"/>
        </w:trPr>
        <w:tc>
          <w:tcPr>
            <w:tcW w:w="2420" w:type="dxa"/>
            <w:vAlign w:val="bottom"/>
          </w:tcPr>
          <w:p>
            <w:pPr>
              <w:spacing w:after="0" w:line="145" w:lineRule="exact"/>
              <w:rPr>
                <w:sz w:val="20"/>
                <w:szCs w:val="20"/>
                <w:color w:val="auto"/>
              </w:rPr>
            </w:pPr>
            <w:r>
              <w:rPr>
                <w:rFonts w:ascii="Times New Roman" w:cs="Times New Roman" w:eastAsia="Times New Roman" w:hAnsi="Times New Roman"/>
                <w:sz w:val="16"/>
                <w:szCs w:val="16"/>
                <w:b w:val="1"/>
                <w:bCs w:val="1"/>
                <w:color w:val="auto"/>
              </w:rPr>
              <w:t>BALANCE AT DECEMBER 31,</w:t>
            </w:r>
          </w:p>
        </w:tc>
        <w:tc>
          <w:tcPr>
            <w:tcW w:w="320" w:type="dxa"/>
            <w:vAlign w:val="bottom"/>
            <w:tcBorders>
              <w:top w:val="single" w:sz="8" w:color="auto"/>
            </w:tcBorders>
            <w:vMerge w:val="restart"/>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tcBorders>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   (1,356)</w:t>
            </w:r>
          </w:p>
        </w:tc>
        <w:tc>
          <w:tcPr>
            <w:tcW w:w="120" w:type="dxa"/>
            <w:vAlign w:val="bottom"/>
          </w:tcPr>
          <w:p>
            <w:pPr>
              <w:spacing w:after="0"/>
              <w:rPr>
                <w:sz w:val="12"/>
                <w:szCs w:val="12"/>
                <w:color w:val="auto"/>
              </w:rPr>
            </w:pPr>
          </w:p>
        </w:tc>
        <w:tc>
          <w:tcPr>
            <w:tcW w:w="260" w:type="dxa"/>
            <w:vAlign w:val="bottom"/>
            <w:tcBorders>
              <w:top w:val="single" w:sz="8" w:color="auto"/>
            </w:tcBorders>
            <w:vMerge w:val="restart"/>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4,072</w:t>
            </w:r>
          </w:p>
        </w:tc>
        <w:tc>
          <w:tcPr>
            <w:tcW w:w="140" w:type="dxa"/>
            <w:vAlign w:val="bottom"/>
          </w:tcPr>
          <w:p>
            <w:pPr>
              <w:spacing w:after="0"/>
              <w:rPr>
                <w:sz w:val="12"/>
                <w:szCs w:val="12"/>
                <w:color w:val="auto"/>
              </w:rPr>
            </w:pPr>
          </w:p>
        </w:tc>
        <w:tc>
          <w:tcPr>
            <w:tcW w:w="440" w:type="dxa"/>
            <w:vAlign w:val="bottom"/>
            <w:tcBorders>
              <w:top w:val="single" w:sz="8" w:color="auto"/>
            </w:tcBorders>
            <w:vMerge w:val="restart"/>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2"/>
                <w:szCs w:val="12"/>
                <w:color w:val="auto"/>
              </w:rPr>
            </w:pPr>
          </w:p>
        </w:tc>
        <w:tc>
          <w:tcPr>
            <w:tcW w:w="300" w:type="dxa"/>
            <w:vAlign w:val="bottom"/>
            <w:tcBorders>
              <w:top w:val="single" w:sz="8" w:color="auto"/>
            </w:tcBorders>
            <w:vMerge w:val="restart"/>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275</w:t>
            </w:r>
          </w:p>
        </w:tc>
        <w:tc>
          <w:tcPr>
            <w:tcW w:w="140" w:type="dxa"/>
            <w:vAlign w:val="bottom"/>
          </w:tcPr>
          <w:p>
            <w:pPr>
              <w:spacing w:after="0"/>
              <w:rPr>
                <w:sz w:val="12"/>
                <w:szCs w:val="12"/>
                <w:color w:val="auto"/>
              </w:rPr>
            </w:pPr>
          </w:p>
        </w:tc>
        <w:tc>
          <w:tcPr>
            <w:tcW w:w="320" w:type="dxa"/>
            <w:vAlign w:val="bottom"/>
            <w:tcBorders>
              <w:top w:val="single" w:sz="8" w:color="auto"/>
            </w:tcBorders>
            <w:vMerge w:val="restart"/>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2,976</w:t>
            </w:r>
          </w:p>
        </w:tc>
        <w:tc>
          <w:tcPr>
            <w:tcW w:w="140" w:type="dxa"/>
            <w:vAlign w:val="bottom"/>
          </w:tcPr>
          <w:p>
            <w:pPr>
              <w:spacing w:after="0"/>
              <w:rPr>
                <w:sz w:val="12"/>
                <w:szCs w:val="12"/>
                <w:color w:val="auto"/>
              </w:rPr>
            </w:pPr>
          </w:p>
        </w:tc>
        <w:tc>
          <w:tcPr>
            <w:tcW w:w="460" w:type="dxa"/>
            <w:vAlign w:val="bottom"/>
            <w:tcBorders>
              <w:top w:val="single" w:sz="8" w:color="auto"/>
            </w:tcBorders>
            <w:vMerge w:val="restart"/>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2"/>
                <w:szCs w:val="12"/>
                <w:color w:val="auto"/>
              </w:rPr>
            </w:pPr>
          </w:p>
        </w:tc>
        <w:tc>
          <w:tcPr>
            <w:tcW w:w="240" w:type="dxa"/>
            <w:vAlign w:val="bottom"/>
            <w:tcBorders>
              <w:top w:val="single" w:sz="8" w:color="auto"/>
            </w:tcBorders>
            <w:vMerge w:val="restart"/>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2,986</w:t>
            </w:r>
          </w:p>
        </w:tc>
        <w:tc>
          <w:tcPr>
            <w:tcW w:w="0" w:type="dxa"/>
            <w:vAlign w:val="bottom"/>
          </w:tcPr>
          <w:p>
            <w:pPr>
              <w:spacing w:after="0"/>
              <w:rPr>
                <w:sz w:val="1"/>
                <w:szCs w:val="1"/>
                <w:color w:val="auto"/>
              </w:rPr>
            </w:pPr>
          </w:p>
        </w:tc>
      </w:tr>
      <w:tr>
        <w:trPr>
          <w:trHeight w:val="124"/>
        </w:trPr>
        <w:tc>
          <w:tcPr>
            <w:tcW w:w="24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2021</w:t>
            </w:r>
          </w:p>
        </w:tc>
        <w:tc>
          <w:tcPr>
            <w:tcW w:w="32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42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420" w:type="dxa"/>
            <w:vAlign w:val="bottom"/>
          </w:tcPr>
          <w:p>
            <w:pPr>
              <w:ind w:left="180"/>
              <w:spacing w:after="0" w:line="158" w:lineRule="exact"/>
              <w:rPr>
                <w:sz w:val="20"/>
                <w:szCs w:val="20"/>
                <w:color w:val="auto"/>
              </w:rPr>
            </w:pPr>
            <w:r>
              <w:rPr>
                <w:rFonts w:ascii="Times New Roman" w:cs="Times New Roman" w:eastAsia="Times New Roman" w:hAnsi="Times New Roman"/>
                <w:sz w:val="16"/>
                <w:szCs w:val="16"/>
                <w:color w:val="auto"/>
              </w:rPr>
              <w:t>Impact of adoption of ASU</w:t>
            </w:r>
          </w:p>
        </w:tc>
        <w:tc>
          <w:tcPr>
            <w:tcW w:w="320" w:type="dxa"/>
            <w:vAlign w:val="bottom"/>
          </w:tcPr>
          <w:p>
            <w:pPr>
              <w:spacing w:after="0"/>
              <w:rPr>
                <w:sz w:val="13"/>
                <w:szCs w:val="13"/>
                <w:color w:val="auto"/>
              </w:rPr>
            </w:pPr>
          </w:p>
        </w:tc>
        <w:tc>
          <w:tcPr>
            <w:tcW w:w="6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3"/>
                <w:szCs w:val="13"/>
                <w:color w:val="auto"/>
              </w:rPr>
            </w:pPr>
          </w:p>
        </w:tc>
        <w:tc>
          <w:tcPr>
            <w:tcW w:w="5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31</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24"/>
        </w:trPr>
        <w:tc>
          <w:tcPr>
            <w:tcW w:w="242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2020-06</w:t>
            </w:r>
          </w:p>
        </w:tc>
        <w:tc>
          <w:tcPr>
            <w:tcW w:w="3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2420" w:type="dxa"/>
            <w:vAlign w:val="bottom"/>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OPENING BALANCE 2022</w:t>
            </w:r>
          </w:p>
        </w:tc>
        <w:tc>
          <w:tcPr>
            <w:tcW w:w="320" w:type="dxa"/>
            <w:vAlign w:val="bottom"/>
          </w:tcPr>
          <w:p>
            <w:pPr>
              <w:spacing w:after="0"/>
              <w:rPr>
                <w:sz w:val="17"/>
                <w:szCs w:val="17"/>
                <w:color w:val="auto"/>
              </w:rPr>
            </w:pPr>
          </w:p>
        </w:tc>
        <w:tc>
          <w:tcPr>
            <w:tcW w:w="4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3,961</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306</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2,896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2,906</w:t>
            </w:r>
          </w:p>
        </w:tc>
        <w:tc>
          <w:tcPr>
            <w:tcW w:w="0" w:type="dxa"/>
            <w:vAlign w:val="bottom"/>
          </w:tcPr>
          <w:p>
            <w:pPr>
              <w:spacing w:after="0"/>
              <w:rPr>
                <w:sz w:val="1"/>
                <w:szCs w:val="1"/>
                <w:color w:val="auto"/>
              </w:rPr>
            </w:pPr>
          </w:p>
        </w:tc>
      </w:tr>
      <w:tr>
        <w:trPr>
          <w:trHeight w:val="206"/>
        </w:trPr>
        <w:tc>
          <w:tcPr>
            <w:tcW w:w="2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58</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58</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161"/>
        </w:trPr>
        <w:tc>
          <w:tcPr>
            <w:tcW w:w="2420" w:type="dxa"/>
            <w:vAlign w:val="bottom"/>
          </w:tcPr>
          <w:p>
            <w:pPr>
              <w:ind w:left="180"/>
              <w:spacing w:after="0" w:line="161" w:lineRule="exact"/>
              <w:rPr>
                <w:sz w:val="20"/>
                <w:szCs w:val="20"/>
                <w:color w:val="auto"/>
              </w:rPr>
            </w:pPr>
            <w:r>
              <w:rPr>
                <w:rFonts w:ascii="Times New Roman" w:cs="Times New Roman" w:eastAsia="Times New Roman" w:hAnsi="Times New Roman"/>
                <w:sz w:val="16"/>
                <w:szCs w:val="16"/>
                <w:color w:val="auto"/>
              </w:rPr>
              <w:t>Foreign currency translation</w:t>
            </w:r>
          </w:p>
        </w:tc>
        <w:tc>
          <w:tcPr>
            <w:tcW w:w="320" w:type="dxa"/>
            <w:vAlign w:val="bottom"/>
          </w:tcPr>
          <w:p>
            <w:pPr>
              <w:spacing w:after="0"/>
              <w:rPr>
                <w:sz w:val="14"/>
                <w:szCs w:val="14"/>
                <w:color w:val="auto"/>
              </w:rPr>
            </w:pPr>
          </w:p>
        </w:tc>
        <w:tc>
          <w:tcPr>
            <w:tcW w:w="6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4"/>
                <w:szCs w:val="14"/>
                <w:color w:val="auto"/>
              </w:rPr>
            </w:pPr>
          </w:p>
        </w:tc>
        <w:tc>
          <w:tcPr>
            <w:tcW w:w="66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4"/>
                <w:szCs w:val="14"/>
                <w:color w:val="auto"/>
              </w:rPr>
            </w:pPr>
          </w:p>
        </w:tc>
        <w:tc>
          <w:tcPr>
            <w:tcW w:w="6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24"/>
        </w:trPr>
        <w:tc>
          <w:tcPr>
            <w:tcW w:w="242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adjustments</w:t>
            </w:r>
          </w:p>
        </w:tc>
        <w:tc>
          <w:tcPr>
            <w:tcW w:w="3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24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420" w:type="dxa"/>
            <w:vAlign w:val="bottom"/>
          </w:tcPr>
          <w:p>
            <w:pPr>
              <w:ind w:left="180"/>
              <w:spacing w:after="0" w:line="161" w:lineRule="exact"/>
              <w:rPr>
                <w:sz w:val="20"/>
                <w:szCs w:val="20"/>
                <w:color w:val="auto"/>
              </w:rPr>
            </w:pPr>
            <w:r>
              <w:rPr>
                <w:rFonts w:ascii="Times New Roman" w:cs="Times New Roman" w:eastAsia="Times New Roman" w:hAnsi="Times New Roman"/>
                <w:sz w:val="16"/>
                <w:szCs w:val="16"/>
                <w:color w:val="auto"/>
              </w:rPr>
              <w:t>Derivative instrument</w:t>
            </w:r>
          </w:p>
        </w:tc>
        <w:tc>
          <w:tcPr>
            <w:tcW w:w="320" w:type="dxa"/>
            <w:vAlign w:val="bottom"/>
          </w:tcPr>
          <w:p>
            <w:pPr>
              <w:spacing w:after="0"/>
              <w:rPr>
                <w:sz w:val="13"/>
                <w:szCs w:val="13"/>
                <w:color w:val="auto"/>
              </w:rPr>
            </w:pPr>
          </w:p>
        </w:tc>
        <w:tc>
          <w:tcPr>
            <w:tcW w:w="6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3"/>
                <w:szCs w:val="13"/>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3"/>
                <w:szCs w:val="13"/>
                <w:color w:val="auto"/>
              </w:rPr>
            </w:pPr>
          </w:p>
        </w:tc>
        <w:tc>
          <w:tcPr>
            <w:tcW w:w="66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3"/>
                <w:szCs w:val="13"/>
                <w:color w:val="auto"/>
              </w:rPr>
            </w:pPr>
          </w:p>
        </w:tc>
        <w:tc>
          <w:tcPr>
            <w:tcW w:w="6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24"/>
        </w:trPr>
        <w:tc>
          <w:tcPr>
            <w:tcW w:w="242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adjustment</w:t>
            </w:r>
          </w:p>
        </w:tc>
        <w:tc>
          <w:tcPr>
            <w:tcW w:w="3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24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wp:posOffset>
            </wp:positionH>
            <wp:positionV relativeFrom="paragraph">
              <wp:posOffset>-457200</wp:posOffset>
            </wp:positionV>
            <wp:extent cx="7198360" cy="2305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8360" cy="230505"/>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-728980</wp:posOffset>
            </wp:positionV>
            <wp:extent cx="7198360" cy="139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8360" cy="13970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60" w:space="220"/>
            <w:col w:w="10560"/>
          </w:cols>
          <w:pgMar w:left="320" w:top="1260" w:right="2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0.2</w:t>
            </w:r>
          </w:p>
        </w:tc>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Share-based compensation plans</w:t>
            </w:r>
          </w:p>
        </w:tc>
        <w:tc>
          <w:tcPr>
            <w:tcW w:w="3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5"/>
        </w:trPr>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2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10"/>
        </w:trPr>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Dividends</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98"/>
        </w:trPr>
        <w:tc>
          <w:tcPr>
            <w:tcW w:w="6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75.7</w:t>
            </w:r>
          </w:p>
        </w:tc>
        <w:tc>
          <w:tcPr>
            <w:tcW w:w="2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BALANCE AT MARCH 31, 2022</w:t>
            </w:r>
          </w:p>
        </w:tc>
        <w:tc>
          <w:tcPr>
            <w:tcW w:w="32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(1,474)</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3,945</w:t>
            </w:r>
          </w:p>
        </w:tc>
        <w:tc>
          <w:tcPr>
            <w:tcW w:w="14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338</w:t>
            </w:r>
          </w:p>
        </w:tc>
        <w:tc>
          <w:tcPr>
            <w:tcW w:w="14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2,814</w:t>
            </w:r>
          </w:p>
        </w:tc>
        <w:tc>
          <w:tcPr>
            <w:tcW w:w="14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2,824</w:t>
            </w:r>
          </w:p>
        </w:tc>
        <w:tc>
          <w:tcPr>
            <w:tcW w:w="0" w:type="dxa"/>
            <w:vAlign w:val="bottom"/>
          </w:tcPr>
          <w:p>
            <w:pPr>
              <w:spacing w:after="0"/>
              <w:rPr>
                <w:sz w:val="1"/>
                <w:szCs w:val="1"/>
                <w:color w:val="auto"/>
              </w:rPr>
            </w:pPr>
          </w:p>
        </w:tc>
      </w:tr>
      <w:tr>
        <w:trPr>
          <w:trHeight w:val="203"/>
        </w:trPr>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income (loss)</w:t>
            </w: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136</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136</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156"/>
        </w:trPr>
        <w:tc>
          <w:tcPr>
            <w:tcW w:w="6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tcPr>
          <w:p>
            <w:pPr>
              <w:ind w:left="320"/>
              <w:spacing w:after="0" w:line="155" w:lineRule="exact"/>
              <w:rPr>
                <w:sz w:val="20"/>
                <w:szCs w:val="20"/>
                <w:color w:val="auto"/>
              </w:rPr>
            </w:pPr>
            <w:r>
              <w:rPr>
                <w:rFonts w:ascii="Times New Roman" w:cs="Times New Roman" w:eastAsia="Times New Roman" w:hAnsi="Times New Roman"/>
                <w:sz w:val="16"/>
                <w:szCs w:val="16"/>
                <w:color w:val="auto"/>
              </w:rPr>
              <w:t>Foreign currency translation</w:t>
            </w:r>
          </w:p>
        </w:tc>
        <w:tc>
          <w:tcPr>
            <w:tcW w:w="320" w:type="dxa"/>
            <w:vAlign w:val="bottom"/>
          </w:tcPr>
          <w:p>
            <w:pPr>
              <w:spacing w:after="0"/>
              <w:rPr>
                <w:sz w:val="13"/>
                <w:szCs w:val="13"/>
                <w:color w:val="auto"/>
              </w:rPr>
            </w:pPr>
          </w:p>
        </w:tc>
        <w:tc>
          <w:tcPr>
            <w:tcW w:w="6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3"/>
                <w:szCs w:val="13"/>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24"/>
        </w:trPr>
        <w:tc>
          <w:tcPr>
            <w:tcW w:w="640" w:type="dxa"/>
            <w:vAlign w:val="bottom"/>
            <w:vMerge w:val="continue"/>
          </w:tcPr>
          <w:p>
            <w:pPr>
              <w:spacing w:after="0"/>
              <w:rPr>
                <w:sz w:val="10"/>
                <w:szCs w:val="10"/>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auto"/>
              </w:rPr>
              <w:t>adjustments</w:t>
            </w:r>
          </w:p>
        </w:tc>
        <w:tc>
          <w:tcPr>
            <w:tcW w:w="3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40" w:type="dxa"/>
            <w:vAlign w:val="bottom"/>
          </w:tcPr>
          <w:p>
            <w:pPr>
              <w:spacing w:after="0"/>
              <w:rPr>
                <w:sz w:val="7"/>
                <w:szCs w:val="7"/>
                <w:color w:val="auto"/>
              </w:rPr>
            </w:pPr>
          </w:p>
        </w:tc>
        <w:tc>
          <w:tcPr>
            <w:tcW w:w="2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640" w:type="dxa"/>
            <w:vAlign w:val="bottom"/>
            <w:shd w:val="clear" w:color="auto" w:fill="CCEEFF"/>
          </w:tcPr>
          <w:p>
            <w:pPr>
              <w:spacing w:after="0"/>
              <w:rPr>
                <w:sz w:val="13"/>
                <w:szCs w:val="13"/>
                <w:color w:val="auto"/>
              </w:rPr>
            </w:pPr>
          </w:p>
        </w:tc>
        <w:tc>
          <w:tcPr>
            <w:tcW w:w="2560" w:type="dxa"/>
            <w:vAlign w:val="bottom"/>
            <w:shd w:val="clear" w:color="auto" w:fill="CCEEFF"/>
          </w:tcPr>
          <w:p>
            <w:pPr>
              <w:ind w:left="320"/>
              <w:spacing w:after="0" w:line="158" w:lineRule="exact"/>
              <w:rPr>
                <w:sz w:val="20"/>
                <w:szCs w:val="20"/>
                <w:color w:val="auto"/>
              </w:rPr>
            </w:pPr>
            <w:r>
              <w:rPr>
                <w:rFonts w:ascii="Times New Roman" w:cs="Times New Roman" w:eastAsia="Times New Roman" w:hAnsi="Times New Roman"/>
                <w:sz w:val="16"/>
                <w:szCs w:val="16"/>
                <w:color w:val="auto"/>
              </w:rPr>
              <w:t>Reclassification of foreign</w:t>
            </w:r>
          </w:p>
        </w:tc>
        <w:tc>
          <w:tcPr>
            <w:tcW w:w="3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shd w:val="clear" w:color="auto" w:fill="CCEEFF"/>
          </w:tcPr>
          <w:p>
            <w:pPr>
              <w:ind w:left="320"/>
              <w:spacing w:after="0" w:line="155" w:lineRule="exact"/>
              <w:rPr>
                <w:sz w:val="20"/>
                <w:szCs w:val="20"/>
                <w:color w:val="auto"/>
              </w:rPr>
            </w:pPr>
            <w:r>
              <w:rPr>
                <w:rFonts w:ascii="Times New Roman" w:cs="Times New Roman" w:eastAsia="Times New Roman" w:hAnsi="Times New Roman"/>
                <w:sz w:val="16"/>
                <w:szCs w:val="16"/>
                <w:color w:val="auto"/>
              </w:rPr>
              <w:t>currency translation adjustments</w:t>
            </w:r>
          </w:p>
        </w:tc>
        <w:tc>
          <w:tcPr>
            <w:tcW w:w="32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24"/>
        </w:trPr>
        <w:tc>
          <w:tcPr>
            <w:tcW w:w="640" w:type="dxa"/>
            <w:vAlign w:val="bottom"/>
            <w:vMerge w:val="continue"/>
            <w:shd w:val="clear" w:color="auto" w:fill="CCEEFF"/>
          </w:tcPr>
          <w:p>
            <w:pPr>
              <w:spacing w:after="0"/>
              <w:rPr>
                <w:sz w:val="10"/>
                <w:szCs w:val="10"/>
                <w:color w:val="auto"/>
              </w:rPr>
            </w:pPr>
          </w:p>
        </w:tc>
        <w:tc>
          <w:tcPr>
            <w:tcW w:w="2560" w:type="dxa"/>
            <w:vAlign w:val="bottom"/>
            <w:vMerge w:val="restart"/>
            <w:shd w:val="clear" w:color="auto" w:fill="CCEEFF"/>
          </w:tcPr>
          <w:p>
            <w:pPr>
              <w:ind w:left="320"/>
              <w:spacing w:after="0" w:line="155" w:lineRule="exact"/>
              <w:rPr>
                <w:sz w:val="20"/>
                <w:szCs w:val="20"/>
                <w:color w:val="auto"/>
              </w:rPr>
            </w:pPr>
            <w:r>
              <w:rPr>
                <w:rFonts w:ascii="Times New Roman" w:cs="Times New Roman" w:eastAsia="Times New Roman" w:hAnsi="Times New Roman"/>
                <w:sz w:val="16"/>
                <w:szCs w:val="16"/>
                <w:color w:val="auto"/>
              </w:rPr>
              <w:t>realized upon disposition of</w:t>
            </w:r>
          </w:p>
        </w:tc>
        <w:tc>
          <w:tcPr>
            <w:tcW w:w="32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940" w:type="dxa"/>
            <w:vAlign w:val="bottom"/>
            <w:gridSpan w:val="2"/>
            <w:vMerge w:val="continue"/>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40" w:type="dxa"/>
            <w:vAlign w:val="bottom"/>
            <w:gridSpan w:val="2"/>
            <w:vMerge w:val="continue"/>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640" w:type="dxa"/>
            <w:vAlign w:val="bottom"/>
            <w:shd w:val="clear" w:color="auto" w:fill="CCEEFF"/>
          </w:tcPr>
          <w:p>
            <w:pPr>
              <w:spacing w:after="0"/>
              <w:rPr>
                <w:sz w:val="2"/>
                <w:szCs w:val="2"/>
                <w:color w:val="auto"/>
              </w:rPr>
            </w:pPr>
          </w:p>
        </w:tc>
        <w:tc>
          <w:tcPr>
            <w:tcW w:w="2560" w:type="dxa"/>
            <w:vAlign w:val="bottom"/>
            <w:vMerge w:val="continue"/>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640" w:type="dxa"/>
            <w:vAlign w:val="bottom"/>
            <w:shd w:val="clear" w:color="auto" w:fill="CCEEFF"/>
          </w:tcPr>
          <w:p>
            <w:pPr>
              <w:spacing w:after="0"/>
              <w:rPr>
                <w:sz w:val="18"/>
                <w:szCs w:val="18"/>
                <w:color w:val="auto"/>
              </w:rPr>
            </w:pPr>
          </w:p>
        </w:tc>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entities</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tcPr>
          <w:p>
            <w:pPr>
              <w:ind w:left="320"/>
              <w:spacing w:after="0" w:line="155" w:lineRule="exact"/>
              <w:rPr>
                <w:sz w:val="20"/>
                <w:szCs w:val="20"/>
                <w:color w:val="auto"/>
              </w:rPr>
            </w:pPr>
            <w:r>
              <w:rPr>
                <w:rFonts w:ascii="Times New Roman" w:cs="Times New Roman" w:eastAsia="Times New Roman" w:hAnsi="Times New Roman"/>
                <w:sz w:val="16"/>
                <w:szCs w:val="16"/>
                <w:color w:val="auto"/>
              </w:rPr>
              <w:t>Derivative instrument</w:t>
            </w:r>
          </w:p>
        </w:tc>
        <w:tc>
          <w:tcPr>
            <w:tcW w:w="320" w:type="dxa"/>
            <w:vAlign w:val="bottom"/>
          </w:tcPr>
          <w:p>
            <w:pPr>
              <w:spacing w:after="0"/>
              <w:rPr>
                <w:sz w:val="13"/>
                <w:szCs w:val="13"/>
                <w:color w:val="auto"/>
              </w:rPr>
            </w:pPr>
          </w:p>
        </w:tc>
        <w:tc>
          <w:tcPr>
            <w:tcW w:w="6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3"/>
                <w:szCs w:val="13"/>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3"/>
                <w:szCs w:val="13"/>
                <w:color w:val="auto"/>
              </w:rPr>
            </w:pPr>
          </w:p>
        </w:tc>
        <w:tc>
          <w:tcPr>
            <w:tcW w:w="66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3"/>
                <w:szCs w:val="13"/>
                <w:color w:val="auto"/>
              </w:rPr>
            </w:pPr>
          </w:p>
        </w:tc>
        <w:tc>
          <w:tcPr>
            <w:tcW w:w="6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24"/>
        </w:trPr>
        <w:tc>
          <w:tcPr>
            <w:tcW w:w="640" w:type="dxa"/>
            <w:vAlign w:val="bottom"/>
            <w:vMerge w:val="continue"/>
          </w:tcPr>
          <w:p>
            <w:pPr>
              <w:spacing w:after="0"/>
              <w:rPr>
                <w:sz w:val="10"/>
                <w:szCs w:val="10"/>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auto"/>
              </w:rPr>
              <w:t>adjustment</w:t>
            </w:r>
          </w:p>
        </w:tc>
        <w:tc>
          <w:tcPr>
            <w:tcW w:w="3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40" w:type="dxa"/>
            <w:vAlign w:val="bottom"/>
          </w:tcPr>
          <w:p>
            <w:pPr>
              <w:spacing w:after="0"/>
              <w:rPr>
                <w:sz w:val="7"/>
                <w:szCs w:val="7"/>
                <w:color w:val="auto"/>
              </w:rPr>
            </w:pPr>
          </w:p>
        </w:tc>
        <w:tc>
          <w:tcPr>
            <w:tcW w:w="2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6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shd w:val="clear" w:color="auto" w:fill="CCEEFF"/>
          </w:tcPr>
          <w:p>
            <w:pPr>
              <w:ind w:left="320"/>
              <w:spacing w:after="0" w:line="158" w:lineRule="exact"/>
              <w:rPr>
                <w:sz w:val="20"/>
                <w:szCs w:val="20"/>
                <w:color w:val="auto"/>
              </w:rPr>
            </w:pPr>
            <w:r>
              <w:rPr>
                <w:rFonts w:ascii="Times New Roman" w:cs="Times New Roman" w:eastAsia="Times New Roman" w:hAnsi="Times New Roman"/>
                <w:sz w:val="16"/>
                <w:szCs w:val="16"/>
                <w:color w:val="auto"/>
              </w:rPr>
              <w:t>Adjustment for 2022 Convertible</w:t>
            </w:r>
          </w:p>
        </w:tc>
        <w:tc>
          <w:tcPr>
            <w:tcW w:w="32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24"/>
        </w:trPr>
        <w:tc>
          <w:tcPr>
            <w:tcW w:w="640" w:type="dxa"/>
            <w:vAlign w:val="bottom"/>
            <w:vMerge w:val="continue"/>
            <w:shd w:val="clear" w:color="auto" w:fill="CCEEFF"/>
          </w:tcPr>
          <w:p>
            <w:pPr>
              <w:spacing w:after="0"/>
              <w:rPr>
                <w:sz w:val="10"/>
                <w:szCs w:val="10"/>
                <w:color w:val="auto"/>
              </w:rPr>
            </w:pPr>
          </w:p>
        </w:tc>
        <w:tc>
          <w:tcPr>
            <w:tcW w:w="256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Note Hedges</w:t>
            </w:r>
          </w:p>
        </w:tc>
        <w:tc>
          <w:tcPr>
            <w:tcW w:w="32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940" w:type="dxa"/>
            <w:vAlign w:val="bottom"/>
            <w:gridSpan w:val="2"/>
            <w:vMerge w:val="continue"/>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40" w:type="dxa"/>
            <w:vAlign w:val="bottom"/>
            <w:gridSpan w:val="2"/>
            <w:vMerge w:val="continue"/>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640" w:type="dxa"/>
            <w:vAlign w:val="bottom"/>
            <w:shd w:val="clear" w:color="auto" w:fill="CCEEFF"/>
          </w:tcPr>
          <w:p>
            <w:pPr>
              <w:spacing w:after="0"/>
              <w:rPr>
                <w:sz w:val="7"/>
                <w:szCs w:val="7"/>
                <w:color w:val="auto"/>
              </w:rPr>
            </w:pPr>
          </w:p>
        </w:tc>
        <w:tc>
          <w:tcPr>
            <w:tcW w:w="2560" w:type="dxa"/>
            <w:vAlign w:val="bottom"/>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Share-based compensation plans</w:t>
            </w:r>
          </w:p>
        </w:tc>
        <w:tc>
          <w:tcPr>
            <w:tcW w:w="32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0"/>
        </w:trPr>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156"/>
        </w:trPr>
        <w:tc>
          <w:tcPr>
            <w:tcW w:w="6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tcPr>
          <w:p>
            <w:pPr>
              <w:ind w:left="320"/>
              <w:spacing w:after="0" w:line="155" w:lineRule="exact"/>
              <w:rPr>
                <w:sz w:val="20"/>
                <w:szCs w:val="20"/>
                <w:color w:val="auto"/>
              </w:rPr>
            </w:pPr>
            <w:r>
              <w:rPr>
                <w:rFonts w:ascii="Times New Roman" w:cs="Times New Roman" w:eastAsia="Times New Roman" w:hAnsi="Times New Roman"/>
                <w:sz w:val="16"/>
                <w:szCs w:val="16"/>
                <w:color w:val="auto"/>
              </w:rPr>
              <w:t>Deconsolidation of certain</w:t>
            </w:r>
          </w:p>
        </w:tc>
        <w:tc>
          <w:tcPr>
            <w:tcW w:w="320" w:type="dxa"/>
            <w:vAlign w:val="bottom"/>
          </w:tcPr>
          <w:p>
            <w:pPr>
              <w:spacing w:after="0"/>
              <w:rPr>
                <w:sz w:val="13"/>
                <w:szCs w:val="13"/>
                <w:color w:val="auto"/>
              </w:rPr>
            </w:pPr>
          </w:p>
        </w:tc>
        <w:tc>
          <w:tcPr>
            <w:tcW w:w="6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3"/>
                <w:szCs w:val="13"/>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3"/>
                <w:szCs w:val="13"/>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3"/>
                <w:szCs w:val="13"/>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3"/>
                <w:szCs w:val="13"/>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56"/>
        </w:trPr>
        <w:tc>
          <w:tcPr>
            <w:tcW w:w="640" w:type="dxa"/>
            <w:vAlign w:val="bottom"/>
            <w:vMerge w:val="continue"/>
          </w:tcPr>
          <w:p>
            <w:pPr>
              <w:spacing w:after="0"/>
              <w:rPr>
                <w:sz w:val="13"/>
                <w:szCs w:val="13"/>
                <w:color w:val="auto"/>
              </w:rPr>
            </w:pPr>
          </w:p>
        </w:tc>
        <w:tc>
          <w:tcPr>
            <w:tcW w:w="2560" w:type="dxa"/>
            <w:vAlign w:val="bottom"/>
          </w:tcPr>
          <w:p>
            <w:pPr>
              <w:ind w:left="320"/>
              <w:spacing w:after="0" w:line="155" w:lineRule="exact"/>
              <w:rPr>
                <w:sz w:val="20"/>
                <w:szCs w:val="20"/>
                <w:color w:val="auto"/>
              </w:rPr>
            </w:pPr>
            <w:r>
              <w:rPr>
                <w:rFonts w:ascii="Times New Roman" w:cs="Times New Roman" w:eastAsia="Times New Roman" w:hAnsi="Times New Roman"/>
                <w:sz w:val="16"/>
                <w:szCs w:val="16"/>
                <w:color w:val="auto"/>
              </w:rPr>
              <w:t>Consolidated Property Owners'</w:t>
            </w:r>
          </w:p>
        </w:tc>
        <w:tc>
          <w:tcPr>
            <w:tcW w:w="32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Associations</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Dividends</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98"/>
        </w:trPr>
        <w:tc>
          <w:tcPr>
            <w:tcW w:w="6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75.7</w:t>
            </w:r>
          </w:p>
        </w:tc>
        <w:tc>
          <w:tcPr>
            <w:tcW w:w="2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BALANCE AT JUNE 30, 2022</w:t>
            </w:r>
          </w:p>
        </w:tc>
        <w:tc>
          <w:tcPr>
            <w:tcW w:w="32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(1,666)</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3,963</w:t>
            </w:r>
          </w:p>
        </w:tc>
        <w:tc>
          <w:tcPr>
            <w:tcW w:w="14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448</w:t>
            </w:r>
          </w:p>
        </w:tc>
        <w:tc>
          <w:tcPr>
            <w:tcW w:w="14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2,745</w:t>
            </w:r>
          </w:p>
        </w:tc>
        <w:tc>
          <w:tcPr>
            <w:tcW w:w="14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2,746</w:t>
            </w:r>
          </w:p>
        </w:tc>
        <w:tc>
          <w:tcPr>
            <w:tcW w:w="0" w:type="dxa"/>
            <w:vAlign w:val="bottom"/>
          </w:tcPr>
          <w:p>
            <w:pPr>
              <w:spacing w:after="0"/>
              <w:rPr>
                <w:sz w:val="1"/>
                <w:szCs w:val="1"/>
                <w:color w:val="auto"/>
              </w:rPr>
            </w:pPr>
          </w:p>
        </w:tc>
      </w:tr>
      <w:tr>
        <w:trPr>
          <w:trHeight w:val="203"/>
        </w:trPr>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109</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109</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156"/>
        </w:trPr>
        <w:tc>
          <w:tcPr>
            <w:tcW w:w="6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tcPr>
          <w:p>
            <w:pPr>
              <w:ind w:left="320"/>
              <w:spacing w:after="0" w:line="155" w:lineRule="exact"/>
              <w:rPr>
                <w:sz w:val="20"/>
                <w:szCs w:val="20"/>
                <w:color w:val="auto"/>
              </w:rPr>
            </w:pPr>
            <w:r>
              <w:rPr>
                <w:rFonts w:ascii="Times New Roman" w:cs="Times New Roman" w:eastAsia="Times New Roman" w:hAnsi="Times New Roman"/>
                <w:sz w:val="16"/>
                <w:szCs w:val="16"/>
                <w:color w:val="auto"/>
              </w:rPr>
              <w:t>Foreign currency translation</w:t>
            </w:r>
          </w:p>
        </w:tc>
        <w:tc>
          <w:tcPr>
            <w:tcW w:w="320" w:type="dxa"/>
            <w:vAlign w:val="bottom"/>
          </w:tcPr>
          <w:p>
            <w:pPr>
              <w:spacing w:after="0"/>
              <w:rPr>
                <w:sz w:val="13"/>
                <w:szCs w:val="13"/>
                <w:color w:val="auto"/>
              </w:rPr>
            </w:pPr>
          </w:p>
        </w:tc>
        <w:tc>
          <w:tcPr>
            <w:tcW w:w="6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3"/>
                <w:szCs w:val="13"/>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5"/>
        </w:trPr>
        <w:tc>
          <w:tcPr>
            <w:tcW w:w="640" w:type="dxa"/>
            <w:vAlign w:val="bottom"/>
            <w:vMerge w:val="continue"/>
          </w:tcPr>
          <w:p>
            <w:pPr>
              <w:spacing w:after="0"/>
              <w:rPr>
                <w:sz w:val="17"/>
                <w:szCs w:val="17"/>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adjustments</w:t>
            </w:r>
          </w:p>
        </w:tc>
        <w:tc>
          <w:tcPr>
            <w:tcW w:w="32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6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shd w:val="clear" w:color="auto" w:fill="CCEEFF"/>
          </w:tcPr>
          <w:p>
            <w:pPr>
              <w:ind w:left="320"/>
              <w:spacing w:after="0" w:line="158" w:lineRule="exact"/>
              <w:rPr>
                <w:sz w:val="20"/>
                <w:szCs w:val="20"/>
                <w:color w:val="auto"/>
              </w:rPr>
            </w:pPr>
            <w:r>
              <w:rPr>
                <w:rFonts w:ascii="Times New Roman" w:cs="Times New Roman" w:eastAsia="Times New Roman" w:hAnsi="Times New Roman"/>
                <w:sz w:val="16"/>
                <w:szCs w:val="16"/>
                <w:color w:val="auto"/>
              </w:rPr>
              <w:t>Derivative instrument</w:t>
            </w:r>
          </w:p>
        </w:tc>
        <w:tc>
          <w:tcPr>
            <w:tcW w:w="32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7"/>
        </w:trPr>
        <w:tc>
          <w:tcPr>
            <w:tcW w:w="640" w:type="dxa"/>
            <w:vAlign w:val="bottom"/>
            <w:vMerge w:val="continue"/>
            <w:shd w:val="clear" w:color="auto" w:fill="CCEEFF"/>
          </w:tcPr>
          <w:p>
            <w:pPr>
              <w:spacing w:after="0"/>
              <w:rPr>
                <w:sz w:val="18"/>
                <w:szCs w:val="18"/>
                <w:color w:val="auto"/>
              </w:rPr>
            </w:pPr>
          </w:p>
        </w:tc>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adjustment</w:t>
            </w:r>
          </w:p>
        </w:tc>
        <w:tc>
          <w:tcPr>
            <w:tcW w:w="32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tcPr>
          <w:p>
            <w:pPr>
              <w:ind w:left="320"/>
              <w:spacing w:after="0" w:line="155" w:lineRule="exact"/>
              <w:rPr>
                <w:sz w:val="20"/>
                <w:szCs w:val="20"/>
                <w:color w:val="auto"/>
              </w:rPr>
            </w:pPr>
            <w:r>
              <w:rPr>
                <w:rFonts w:ascii="Times New Roman" w:cs="Times New Roman" w:eastAsia="Times New Roman" w:hAnsi="Times New Roman"/>
                <w:sz w:val="16"/>
                <w:szCs w:val="16"/>
                <w:color w:val="auto"/>
              </w:rPr>
              <w:t>Tax effect on equity, convertible</w:t>
            </w:r>
          </w:p>
        </w:tc>
        <w:tc>
          <w:tcPr>
            <w:tcW w:w="320" w:type="dxa"/>
            <w:vAlign w:val="bottom"/>
          </w:tcPr>
          <w:p>
            <w:pPr>
              <w:spacing w:after="0"/>
              <w:rPr>
                <w:sz w:val="13"/>
                <w:szCs w:val="13"/>
                <w:color w:val="auto"/>
              </w:rPr>
            </w:pPr>
          </w:p>
        </w:tc>
        <w:tc>
          <w:tcPr>
            <w:tcW w:w="6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3"/>
                <w:szCs w:val="13"/>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5"/>
        </w:trPr>
        <w:tc>
          <w:tcPr>
            <w:tcW w:w="640" w:type="dxa"/>
            <w:vAlign w:val="bottom"/>
            <w:vMerge w:val="continue"/>
          </w:tcPr>
          <w:p>
            <w:pPr>
              <w:spacing w:after="0"/>
              <w:rPr>
                <w:sz w:val="17"/>
                <w:szCs w:val="17"/>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notes</w:t>
            </w:r>
          </w:p>
        </w:tc>
        <w:tc>
          <w:tcPr>
            <w:tcW w:w="32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Share-based compensation plans</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5"/>
        </w:trPr>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2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10"/>
        </w:trPr>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Dividends</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5"/>
        </w:trPr>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Employee stock plan issuance</w:t>
            </w:r>
          </w:p>
        </w:tc>
        <w:tc>
          <w:tcPr>
            <w:tcW w:w="32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38"/>
        </w:trPr>
        <w:tc>
          <w:tcPr>
            <w:tcW w:w="640" w:type="dxa"/>
            <w:vAlign w:val="bottom"/>
            <w:tcBorders>
              <w:top w:val="single" w:sz="8" w:color="auto"/>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75.7</w:t>
            </w:r>
          </w:p>
        </w:tc>
        <w:tc>
          <w:tcPr>
            <w:tcW w:w="2560" w:type="dxa"/>
            <w:vAlign w:val="bottom"/>
            <w:tcBorders>
              <w:top w:val="single" w:sz="8" w:color="CCEEFF"/>
            </w:tcBorders>
            <w:shd w:val="clear" w:color="auto" w:fill="CCEEFF"/>
          </w:tcPr>
          <w:p>
            <w:pPr>
              <w:ind w:left="140"/>
              <w:spacing w:after="0" w:line="138" w:lineRule="exact"/>
              <w:rPr>
                <w:sz w:val="20"/>
                <w:szCs w:val="20"/>
                <w:color w:val="auto"/>
              </w:rPr>
            </w:pPr>
            <w:r>
              <w:rPr>
                <w:rFonts w:ascii="Times New Roman" w:cs="Times New Roman" w:eastAsia="Times New Roman" w:hAnsi="Times New Roman"/>
                <w:sz w:val="14"/>
                <w:szCs w:val="14"/>
                <w:b w:val="1"/>
                <w:bCs w:val="1"/>
                <w:color w:val="auto"/>
              </w:rPr>
              <w:t>BALANCE AT SEPTEMBER 30,</w:t>
            </w:r>
          </w:p>
        </w:tc>
        <w:tc>
          <w:tcPr>
            <w:tcW w:w="320" w:type="dxa"/>
            <w:vAlign w:val="bottom"/>
            <w:tcBorders>
              <w:top w:val="single" w:sz="8" w:color="auto"/>
            </w:tcBorders>
            <w:vMerge w:val="restart"/>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(1,882)</w:t>
            </w: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vMerge w:val="restart"/>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3,968</w:t>
            </w:r>
          </w:p>
        </w:tc>
        <w:tc>
          <w:tcPr>
            <w:tcW w:w="1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vMerge w:val="restart"/>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533</w:t>
            </w:r>
          </w:p>
        </w:tc>
        <w:tc>
          <w:tcPr>
            <w:tcW w:w="14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vMerge w:val="restart"/>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2,626</w:t>
            </w:r>
          </w:p>
        </w:tc>
        <w:tc>
          <w:tcPr>
            <w:tcW w:w="1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vMerge w:val="restart"/>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2,628</w:t>
            </w:r>
          </w:p>
        </w:tc>
        <w:tc>
          <w:tcPr>
            <w:tcW w:w="0" w:type="dxa"/>
            <w:vAlign w:val="bottom"/>
          </w:tcPr>
          <w:p>
            <w:pPr>
              <w:spacing w:after="0"/>
              <w:rPr>
                <w:sz w:val="1"/>
                <w:szCs w:val="1"/>
                <w:color w:val="auto"/>
              </w:rPr>
            </w:pPr>
          </w:p>
        </w:tc>
      </w:tr>
      <w:tr>
        <w:trPr>
          <w:trHeight w:val="202"/>
        </w:trPr>
        <w:tc>
          <w:tcPr>
            <w:tcW w:w="640" w:type="dxa"/>
            <w:vAlign w:val="bottom"/>
            <w:tcBorders>
              <w:bottom w:val="single" w:sz="8" w:color="auto"/>
            </w:tcBorders>
            <w:vMerge w:val="continue"/>
            <w:shd w:val="clear" w:color="auto" w:fill="CCEEFF"/>
          </w:tcPr>
          <w:p>
            <w:pPr>
              <w:spacing w:after="0"/>
              <w:rPr>
                <w:sz w:val="17"/>
                <w:szCs w:val="17"/>
                <w:color w:val="auto"/>
              </w:rPr>
            </w:pPr>
          </w:p>
        </w:tc>
        <w:tc>
          <w:tcPr>
            <w:tcW w:w="2560" w:type="dxa"/>
            <w:vAlign w:val="bottom"/>
            <w:tcBorders>
              <w:bottom w:val="single" w:sz="8" w:color="CCEEFF"/>
            </w:tcBorders>
            <w:shd w:val="clear" w:color="auto" w:fill="CCEEFF"/>
          </w:tcPr>
          <w:p>
            <w:pPr>
              <w:ind w:left="140"/>
              <w:spacing w:after="0" w:line="181" w:lineRule="exact"/>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4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vMerge w:val="continue"/>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vMerge w:val="continue"/>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See Notes to Interim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260" w:right="239" w:bottom="1440" w:gutter="0" w:footer="0" w:header="0"/>
          <w:type w:val="continuous"/>
        </w:sectPr>
      </w:pPr>
    </w:p>
    <w:bookmarkStart w:id="8" w:name="page9"/>
    <w:bookmarkEnd w:id="8"/>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INTERIM CONSOLIDATED STATEMENTS OF SHAREHOLDERS’ EQUITY</w:t>
      </w:r>
    </w:p>
    <w:p>
      <w:pPr>
        <w:spacing w:after="0" w:line="1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(In millions)</w:t>
      </w:r>
    </w:p>
    <w:p>
      <w:pPr>
        <w:spacing w:after="0" w:line="1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Total MVW</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640" w:type="dxa"/>
            <w:vAlign w:val="bottom"/>
            <w:vMerge w:val="continue"/>
          </w:tcPr>
          <w:p>
            <w:pPr>
              <w:spacing w:after="0"/>
              <w:rPr>
                <w:sz w:val="12"/>
                <w:szCs w:val="12"/>
                <w:color w:val="auto"/>
              </w:rPr>
            </w:pPr>
          </w:p>
        </w:tc>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20" w:type="dxa"/>
            <w:vAlign w:val="bottom"/>
          </w:tcPr>
          <w:p>
            <w:pPr>
              <w:spacing w:after="0"/>
              <w:rPr>
                <w:sz w:val="12"/>
                <w:szCs w:val="12"/>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Noncontrolling</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220" w:type="dxa"/>
            <w:vAlign w:val="bottom"/>
            <w:gridSpan w:val="3"/>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20" w:type="dxa"/>
            <w:vAlign w:val="bottom"/>
            <w:gridSpan w:val="3"/>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w w:val="98"/>
              </w:rPr>
              <w:t>Shareholders'</w:t>
            </w: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Total Equity</w:t>
            </w:r>
          </w:p>
        </w:tc>
        <w:tc>
          <w:tcPr>
            <w:tcW w:w="0" w:type="dxa"/>
            <w:vAlign w:val="bottom"/>
          </w:tcPr>
          <w:p>
            <w:pPr>
              <w:spacing w:after="0"/>
              <w:rPr>
                <w:sz w:val="1"/>
                <w:szCs w:val="1"/>
                <w:color w:val="auto"/>
              </w:rPr>
            </w:pPr>
          </w:p>
        </w:tc>
      </w:tr>
      <w:tr>
        <w:trPr>
          <w:trHeight w:val="190"/>
        </w:trPr>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Issued</w:t>
            </w:r>
          </w:p>
        </w:tc>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(Loss) Income</w:t>
            </w:r>
          </w:p>
        </w:tc>
        <w:tc>
          <w:tcPr>
            <w:tcW w:w="12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Equity</w:t>
            </w:r>
          </w:p>
        </w:tc>
        <w:tc>
          <w:tcPr>
            <w:tcW w:w="10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640" w:type="dxa"/>
            <w:vAlign w:val="bottom"/>
            <w:tcBorders>
              <w:top w:val="single" w:sz="8" w:color="auto"/>
            </w:tcBorders>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75.3</w:t>
            </w:r>
          </w:p>
        </w:tc>
        <w:tc>
          <w:tcPr>
            <w:tcW w:w="2560" w:type="dxa"/>
            <w:vAlign w:val="bottom"/>
            <w:tcBorders>
              <w:top w:val="single" w:sz="8" w:color="CCEEFF"/>
            </w:tcBorders>
            <w:shd w:val="clear" w:color="auto" w:fill="CCEEFF"/>
          </w:tcPr>
          <w:p>
            <w:pPr>
              <w:ind w:left="140"/>
              <w:spacing w:after="0" w:line="141" w:lineRule="exact"/>
              <w:rPr>
                <w:sz w:val="20"/>
                <w:szCs w:val="20"/>
                <w:color w:val="auto"/>
              </w:rPr>
            </w:pPr>
            <w:r>
              <w:rPr>
                <w:rFonts w:ascii="Times New Roman" w:cs="Times New Roman" w:eastAsia="Times New Roman" w:hAnsi="Times New Roman"/>
                <w:sz w:val="16"/>
                <w:szCs w:val="16"/>
                <w:b w:val="1"/>
                <w:bCs w:val="1"/>
                <w:color w:val="auto"/>
              </w:rPr>
              <w:t>BALANCE AT DECEMBER 31,</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3,760</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272</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2,651</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2,682</w:t>
            </w:r>
          </w:p>
        </w:tc>
        <w:tc>
          <w:tcPr>
            <w:tcW w:w="0" w:type="dxa"/>
            <w:vAlign w:val="bottom"/>
          </w:tcPr>
          <w:p>
            <w:pPr>
              <w:spacing w:after="0"/>
              <w:rPr>
                <w:sz w:val="1"/>
                <w:szCs w:val="1"/>
                <w:color w:val="auto"/>
              </w:rPr>
            </w:pPr>
          </w:p>
        </w:tc>
      </w:tr>
      <w:tr>
        <w:trPr>
          <w:trHeight w:val="207"/>
        </w:trPr>
        <w:tc>
          <w:tcPr>
            <w:tcW w:w="640" w:type="dxa"/>
            <w:vAlign w:val="bottom"/>
            <w:vMerge w:val="continue"/>
            <w:shd w:val="clear" w:color="auto" w:fill="CCEEFF"/>
          </w:tcPr>
          <w:p>
            <w:pPr>
              <w:spacing w:after="0"/>
              <w:rPr>
                <w:sz w:val="18"/>
                <w:szCs w:val="18"/>
                <w:color w:val="auto"/>
              </w:rPr>
            </w:pPr>
          </w:p>
        </w:tc>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(loss) income</w:t>
            </w:r>
          </w:p>
        </w:tc>
        <w:tc>
          <w:tcPr>
            <w:tcW w:w="1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58"/>
        </w:trPr>
        <w:tc>
          <w:tcPr>
            <w:tcW w:w="6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shd w:val="clear" w:color="auto" w:fill="CCEEFF"/>
          </w:tcPr>
          <w:p>
            <w:pPr>
              <w:ind w:left="320"/>
              <w:spacing w:after="0" w:line="158" w:lineRule="exact"/>
              <w:rPr>
                <w:sz w:val="20"/>
                <w:szCs w:val="20"/>
                <w:color w:val="auto"/>
              </w:rPr>
            </w:pPr>
            <w:r>
              <w:rPr>
                <w:rFonts w:ascii="Times New Roman" w:cs="Times New Roman" w:eastAsia="Times New Roman" w:hAnsi="Times New Roman"/>
                <w:sz w:val="16"/>
                <w:szCs w:val="16"/>
                <w:color w:val="auto"/>
              </w:rPr>
              <w:t>Foreign currency translation</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7"/>
        </w:trPr>
        <w:tc>
          <w:tcPr>
            <w:tcW w:w="640" w:type="dxa"/>
            <w:vAlign w:val="bottom"/>
            <w:vMerge w:val="continue"/>
            <w:shd w:val="clear" w:color="auto" w:fill="CCEEFF"/>
          </w:tcPr>
          <w:p>
            <w:pPr>
              <w:spacing w:after="0"/>
              <w:rPr>
                <w:sz w:val="18"/>
                <w:szCs w:val="18"/>
                <w:color w:val="auto"/>
              </w:rPr>
            </w:pPr>
          </w:p>
        </w:tc>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adjustments</w:t>
            </w: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tcPr>
          <w:p>
            <w:pPr>
              <w:ind w:left="320"/>
              <w:spacing w:after="0" w:line="155" w:lineRule="exact"/>
              <w:rPr>
                <w:sz w:val="20"/>
                <w:szCs w:val="20"/>
                <w:color w:val="auto"/>
              </w:rPr>
            </w:pPr>
            <w:r>
              <w:rPr>
                <w:rFonts w:ascii="Times New Roman" w:cs="Times New Roman" w:eastAsia="Times New Roman" w:hAnsi="Times New Roman"/>
                <w:sz w:val="16"/>
                <w:szCs w:val="16"/>
                <w:color w:val="auto"/>
              </w:rPr>
              <w:t>Derivative instrument</w:t>
            </w:r>
          </w:p>
        </w:tc>
        <w:tc>
          <w:tcPr>
            <w:tcW w:w="100" w:type="dxa"/>
            <w:vAlign w:val="bottom"/>
          </w:tcPr>
          <w:p>
            <w:pPr>
              <w:spacing w:after="0"/>
              <w:rPr>
                <w:sz w:val="13"/>
                <w:szCs w:val="13"/>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00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6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5"/>
        </w:trPr>
        <w:tc>
          <w:tcPr>
            <w:tcW w:w="640" w:type="dxa"/>
            <w:vAlign w:val="bottom"/>
            <w:vMerge w:val="continue"/>
          </w:tcPr>
          <w:p>
            <w:pPr>
              <w:spacing w:after="0"/>
              <w:rPr>
                <w:sz w:val="17"/>
                <w:szCs w:val="17"/>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adjustment</w:t>
            </w:r>
          </w:p>
        </w:tc>
        <w:tc>
          <w:tcPr>
            <w:tcW w:w="1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0.2</w:t>
            </w:r>
          </w:p>
        </w:tc>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Share-based compensation plans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56"/>
        </w:trPr>
        <w:tc>
          <w:tcPr>
            <w:tcW w:w="6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tcPr>
          <w:p>
            <w:pPr>
              <w:ind w:left="320"/>
              <w:spacing w:after="0" w:line="155" w:lineRule="exact"/>
              <w:rPr>
                <w:sz w:val="20"/>
                <w:szCs w:val="20"/>
                <w:color w:val="auto"/>
              </w:rPr>
            </w:pPr>
            <w:r>
              <w:rPr>
                <w:rFonts w:ascii="Times New Roman" w:cs="Times New Roman" w:eastAsia="Times New Roman" w:hAnsi="Times New Roman"/>
                <w:sz w:val="16"/>
                <w:szCs w:val="16"/>
                <w:color w:val="auto"/>
              </w:rPr>
              <w:t>Equity component of convertible</w:t>
            </w:r>
          </w:p>
        </w:tc>
        <w:tc>
          <w:tcPr>
            <w:tcW w:w="100" w:type="dxa"/>
            <w:vAlign w:val="bottom"/>
          </w:tcPr>
          <w:p>
            <w:pPr>
              <w:spacing w:after="0"/>
              <w:rPr>
                <w:sz w:val="13"/>
                <w:szCs w:val="13"/>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117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6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117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05"/>
        </w:trPr>
        <w:tc>
          <w:tcPr>
            <w:tcW w:w="640" w:type="dxa"/>
            <w:vAlign w:val="bottom"/>
            <w:vMerge w:val="continue"/>
          </w:tcPr>
          <w:p>
            <w:pPr>
              <w:spacing w:after="0"/>
              <w:rPr>
                <w:sz w:val="17"/>
                <w:szCs w:val="17"/>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notes, net of issuance costs</w:t>
            </w:r>
          </w:p>
        </w:tc>
        <w:tc>
          <w:tcPr>
            <w:tcW w:w="1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6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shd w:val="clear" w:color="auto" w:fill="CCEEFF"/>
          </w:tcPr>
          <w:p>
            <w:pPr>
              <w:ind w:left="320"/>
              <w:spacing w:after="0" w:line="158" w:lineRule="exact"/>
              <w:rPr>
                <w:sz w:val="20"/>
                <w:szCs w:val="20"/>
                <w:color w:val="auto"/>
              </w:rPr>
            </w:pPr>
            <w:r>
              <w:rPr>
                <w:rFonts w:ascii="Times New Roman" w:cs="Times New Roman" w:eastAsia="Times New Roman" w:hAnsi="Times New Roman"/>
                <w:sz w:val="16"/>
                <w:szCs w:val="16"/>
                <w:color w:val="auto"/>
              </w:rPr>
              <w:t>Purchase of convertible note</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7"/>
        </w:trPr>
        <w:tc>
          <w:tcPr>
            <w:tcW w:w="640" w:type="dxa"/>
            <w:vAlign w:val="bottom"/>
            <w:vMerge w:val="continue"/>
            <w:shd w:val="clear" w:color="auto" w:fill="CCEEFF"/>
          </w:tcPr>
          <w:p>
            <w:pPr>
              <w:spacing w:after="0"/>
              <w:rPr>
                <w:sz w:val="18"/>
                <w:szCs w:val="18"/>
                <w:color w:val="auto"/>
              </w:rPr>
            </w:pPr>
          </w:p>
        </w:tc>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hedges</w:t>
            </w: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Issuance of warrants</w:t>
            </w:r>
          </w:p>
        </w:tc>
        <w:tc>
          <w:tcPr>
            <w:tcW w:w="1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158"/>
        </w:trPr>
        <w:tc>
          <w:tcPr>
            <w:tcW w:w="640" w:type="dxa"/>
            <w:vAlign w:val="bottom"/>
            <w:shd w:val="clear" w:color="auto" w:fill="CCEEFF"/>
          </w:tcPr>
          <w:p>
            <w:pPr>
              <w:spacing w:after="0"/>
              <w:rPr>
                <w:sz w:val="13"/>
                <w:szCs w:val="13"/>
                <w:color w:val="auto"/>
              </w:rPr>
            </w:pPr>
          </w:p>
        </w:tc>
        <w:tc>
          <w:tcPr>
            <w:tcW w:w="2560" w:type="dxa"/>
            <w:vAlign w:val="bottom"/>
            <w:shd w:val="clear" w:color="auto" w:fill="CCEEFF"/>
          </w:tcPr>
          <w:p>
            <w:pPr>
              <w:ind w:left="320"/>
              <w:spacing w:after="0" w:line="158" w:lineRule="exact"/>
              <w:rPr>
                <w:sz w:val="20"/>
                <w:szCs w:val="20"/>
                <w:color w:val="auto"/>
              </w:rPr>
            </w:pPr>
            <w:r>
              <w:rPr>
                <w:rFonts w:ascii="Times New Roman" w:cs="Times New Roman" w:eastAsia="Times New Roman" w:hAnsi="Times New Roman"/>
                <w:sz w:val="16"/>
                <w:szCs w:val="16"/>
                <w:color w:val="auto"/>
              </w:rPr>
              <w:t>Deconsolidation of certain</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shd w:val="clear" w:color="auto" w:fill="CCEEFF"/>
          </w:tcPr>
          <w:p>
            <w:pPr>
              <w:ind w:left="320"/>
              <w:spacing w:after="0" w:line="155" w:lineRule="exact"/>
              <w:rPr>
                <w:sz w:val="20"/>
                <w:szCs w:val="20"/>
                <w:color w:val="auto"/>
              </w:rPr>
            </w:pPr>
            <w:r>
              <w:rPr>
                <w:rFonts w:ascii="Times New Roman" w:cs="Times New Roman" w:eastAsia="Times New Roman" w:hAnsi="Times New Roman"/>
                <w:sz w:val="16"/>
                <w:szCs w:val="16"/>
                <w:color w:val="auto"/>
              </w:rPr>
              <w:t>Consolidated Property Owners'</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7"/>
        </w:trPr>
        <w:tc>
          <w:tcPr>
            <w:tcW w:w="640" w:type="dxa"/>
            <w:vAlign w:val="bottom"/>
            <w:vMerge w:val="continue"/>
            <w:shd w:val="clear" w:color="auto" w:fill="CCEEFF"/>
          </w:tcPr>
          <w:p>
            <w:pPr>
              <w:spacing w:after="0"/>
              <w:rPr>
                <w:sz w:val="18"/>
                <w:szCs w:val="18"/>
                <w:color w:val="auto"/>
              </w:rPr>
            </w:pPr>
          </w:p>
        </w:tc>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Associations</w:t>
            </w: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75.5</w:t>
            </w:r>
          </w:p>
        </w:tc>
        <w:tc>
          <w:tcPr>
            <w:tcW w:w="2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BALANCE AT MARCH 31, 2021</w:t>
            </w:r>
          </w:p>
        </w:tc>
        <w:tc>
          <w:tcPr>
            <w:tcW w:w="1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3,843</w:t>
            </w:r>
          </w:p>
        </w:tc>
        <w:tc>
          <w:tcPr>
            <w:tcW w:w="1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244</w:t>
            </w:r>
          </w:p>
        </w:tc>
        <w:tc>
          <w:tcPr>
            <w:tcW w:w="1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2,709</w:t>
            </w:r>
          </w:p>
        </w:tc>
        <w:tc>
          <w:tcPr>
            <w:tcW w:w="1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2,738</w:t>
            </w:r>
          </w:p>
        </w:tc>
        <w:tc>
          <w:tcPr>
            <w:tcW w:w="0" w:type="dxa"/>
            <w:vAlign w:val="bottom"/>
          </w:tcPr>
          <w:p>
            <w:pPr>
              <w:spacing w:after="0"/>
              <w:rPr>
                <w:sz w:val="1"/>
                <w:szCs w:val="1"/>
                <w:color w:val="auto"/>
              </w:rPr>
            </w:pPr>
          </w:p>
        </w:tc>
      </w:tr>
      <w:tr>
        <w:trPr>
          <w:trHeight w:val="203"/>
        </w:trPr>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5"/>
        </w:trPr>
        <w:tc>
          <w:tcPr>
            <w:tcW w:w="6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Welk Acquisition</w:t>
            </w:r>
          </w:p>
        </w:tc>
        <w:tc>
          <w:tcPr>
            <w:tcW w:w="1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193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248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158"/>
        </w:trPr>
        <w:tc>
          <w:tcPr>
            <w:tcW w:w="6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shd w:val="clear" w:color="auto" w:fill="CCEEFF"/>
          </w:tcPr>
          <w:p>
            <w:pPr>
              <w:ind w:left="360"/>
              <w:spacing w:after="0" w:line="158" w:lineRule="exact"/>
              <w:rPr>
                <w:sz w:val="20"/>
                <w:szCs w:val="20"/>
                <w:color w:val="auto"/>
              </w:rPr>
            </w:pPr>
            <w:r>
              <w:rPr>
                <w:rFonts w:ascii="Times New Roman" w:cs="Times New Roman" w:eastAsia="Times New Roman" w:hAnsi="Times New Roman"/>
                <w:sz w:val="16"/>
                <w:szCs w:val="16"/>
                <w:color w:val="auto"/>
              </w:rPr>
              <w:t>Foreign currency translation</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7"/>
        </w:trPr>
        <w:tc>
          <w:tcPr>
            <w:tcW w:w="640" w:type="dxa"/>
            <w:vAlign w:val="bottom"/>
            <w:vMerge w:val="continue"/>
            <w:shd w:val="clear" w:color="auto" w:fill="CCEEFF"/>
          </w:tcPr>
          <w:p>
            <w:pPr>
              <w:spacing w:after="0"/>
              <w:rPr>
                <w:sz w:val="18"/>
                <w:szCs w:val="18"/>
                <w:color w:val="auto"/>
              </w:rPr>
            </w:pPr>
          </w:p>
        </w:tc>
        <w:tc>
          <w:tcPr>
            <w:tcW w:w="2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w:t>
            </w: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tcPr>
          <w:p>
            <w:pPr>
              <w:ind w:left="360"/>
              <w:spacing w:after="0" w:line="155" w:lineRule="exact"/>
              <w:rPr>
                <w:sz w:val="20"/>
                <w:szCs w:val="20"/>
                <w:color w:val="auto"/>
              </w:rPr>
            </w:pPr>
            <w:r>
              <w:rPr>
                <w:rFonts w:ascii="Times New Roman" w:cs="Times New Roman" w:eastAsia="Times New Roman" w:hAnsi="Times New Roman"/>
                <w:sz w:val="16"/>
                <w:szCs w:val="16"/>
                <w:color w:val="auto"/>
              </w:rPr>
              <w:t>Derivative instrument</w:t>
            </w:r>
          </w:p>
        </w:tc>
        <w:tc>
          <w:tcPr>
            <w:tcW w:w="100" w:type="dxa"/>
            <w:vAlign w:val="bottom"/>
          </w:tcPr>
          <w:p>
            <w:pPr>
              <w:spacing w:after="0"/>
              <w:rPr>
                <w:sz w:val="13"/>
                <w:szCs w:val="13"/>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00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6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5"/>
        </w:trPr>
        <w:tc>
          <w:tcPr>
            <w:tcW w:w="640" w:type="dxa"/>
            <w:vAlign w:val="bottom"/>
            <w:vMerge w:val="continue"/>
          </w:tcPr>
          <w:p>
            <w:pPr>
              <w:spacing w:after="0"/>
              <w:rPr>
                <w:sz w:val="17"/>
                <w:szCs w:val="17"/>
                <w:color w:val="auto"/>
              </w:rPr>
            </w:pPr>
          </w:p>
        </w:tc>
        <w:tc>
          <w:tcPr>
            <w:tcW w:w="2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adjustment</w:t>
            </w:r>
          </w:p>
        </w:tc>
        <w:tc>
          <w:tcPr>
            <w:tcW w:w="1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Share-based compensation plans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2560" w:type="dxa"/>
            <w:vAlign w:val="bottom"/>
          </w:tcPr>
          <w:p>
            <w:pPr>
              <w:ind w:left="360"/>
              <w:spacing w:after="0" w:line="155" w:lineRule="exact"/>
              <w:rPr>
                <w:sz w:val="20"/>
                <w:szCs w:val="20"/>
                <w:color w:val="auto"/>
              </w:rPr>
            </w:pPr>
            <w:r>
              <w:rPr>
                <w:rFonts w:ascii="Times New Roman" w:cs="Times New Roman" w:eastAsia="Times New Roman" w:hAnsi="Times New Roman"/>
                <w:sz w:val="16"/>
                <w:szCs w:val="16"/>
                <w:color w:val="auto"/>
              </w:rPr>
              <w:t>Deconsolidation of certain</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tcPr>
          <w:p>
            <w:pPr>
              <w:ind w:left="360"/>
              <w:spacing w:after="0" w:line="155" w:lineRule="exact"/>
              <w:rPr>
                <w:sz w:val="20"/>
                <w:szCs w:val="20"/>
                <w:color w:val="auto"/>
              </w:rPr>
            </w:pPr>
            <w:r>
              <w:rPr>
                <w:rFonts w:ascii="Times New Roman" w:cs="Times New Roman" w:eastAsia="Times New Roman" w:hAnsi="Times New Roman"/>
                <w:sz w:val="16"/>
                <w:szCs w:val="16"/>
                <w:color w:val="auto"/>
              </w:rPr>
              <w:t>Consolidated Property Owners'</w:t>
            </w:r>
          </w:p>
        </w:tc>
        <w:tc>
          <w:tcPr>
            <w:tcW w:w="100" w:type="dxa"/>
            <w:vAlign w:val="bottom"/>
          </w:tcPr>
          <w:p>
            <w:pPr>
              <w:spacing w:after="0"/>
              <w:rPr>
                <w:sz w:val="13"/>
                <w:szCs w:val="13"/>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5"/>
        </w:trPr>
        <w:tc>
          <w:tcPr>
            <w:tcW w:w="640" w:type="dxa"/>
            <w:vAlign w:val="bottom"/>
            <w:vMerge w:val="continue"/>
          </w:tcPr>
          <w:p>
            <w:pPr>
              <w:spacing w:after="0"/>
              <w:rPr>
                <w:sz w:val="17"/>
                <w:szCs w:val="17"/>
                <w:color w:val="auto"/>
              </w:rPr>
            </w:pPr>
          </w:p>
        </w:tc>
        <w:tc>
          <w:tcPr>
            <w:tcW w:w="2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Associations</w:t>
            </w:r>
          </w:p>
        </w:tc>
        <w:tc>
          <w:tcPr>
            <w:tcW w:w="1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Employee stock plan issuance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98"/>
        </w:trPr>
        <w:tc>
          <w:tcPr>
            <w:tcW w:w="6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75.5</w:t>
            </w:r>
          </w:p>
        </w:tc>
        <w:tc>
          <w:tcPr>
            <w:tcW w:w="2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BALANCE AT JUNE 30, 2021</w:t>
            </w:r>
          </w:p>
        </w:tc>
        <w:tc>
          <w:tcPr>
            <w:tcW w:w="1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4,047</w:t>
            </w:r>
          </w:p>
        </w:tc>
        <w:tc>
          <w:tcPr>
            <w:tcW w:w="1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250</w:t>
            </w:r>
          </w:p>
        </w:tc>
        <w:tc>
          <w:tcPr>
            <w:tcW w:w="1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2,982</w:t>
            </w:r>
          </w:p>
        </w:tc>
        <w:tc>
          <w:tcPr>
            <w:tcW w:w="1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3,012</w:t>
            </w:r>
          </w:p>
        </w:tc>
        <w:tc>
          <w:tcPr>
            <w:tcW w:w="0" w:type="dxa"/>
            <w:vAlign w:val="bottom"/>
          </w:tcPr>
          <w:p>
            <w:pPr>
              <w:spacing w:after="0"/>
              <w:rPr>
                <w:sz w:val="1"/>
                <w:szCs w:val="1"/>
                <w:color w:val="auto"/>
              </w:rPr>
            </w:pPr>
          </w:p>
        </w:tc>
      </w:tr>
      <w:tr>
        <w:trPr>
          <w:trHeight w:val="229"/>
        </w:trPr>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56"/>
        </w:trPr>
        <w:tc>
          <w:tcPr>
            <w:tcW w:w="6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tcPr>
          <w:p>
            <w:pPr>
              <w:ind w:left="360"/>
              <w:spacing w:after="0" w:line="155" w:lineRule="exact"/>
              <w:rPr>
                <w:sz w:val="20"/>
                <w:szCs w:val="20"/>
                <w:color w:val="auto"/>
              </w:rPr>
            </w:pPr>
            <w:r>
              <w:rPr>
                <w:rFonts w:ascii="Times New Roman" w:cs="Times New Roman" w:eastAsia="Times New Roman" w:hAnsi="Times New Roman"/>
                <w:sz w:val="16"/>
                <w:szCs w:val="16"/>
                <w:color w:val="auto"/>
              </w:rPr>
              <w:t>Foreign currency translation</w:t>
            </w:r>
          </w:p>
        </w:tc>
        <w:tc>
          <w:tcPr>
            <w:tcW w:w="100" w:type="dxa"/>
            <w:vAlign w:val="bottom"/>
          </w:tcPr>
          <w:p>
            <w:pPr>
              <w:spacing w:after="0"/>
              <w:rPr>
                <w:sz w:val="13"/>
                <w:szCs w:val="13"/>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5"/>
        </w:trPr>
        <w:tc>
          <w:tcPr>
            <w:tcW w:w="640" w:type="dxa"/>
            <w:vAlign w:val="bottom"/>
            <w:vMerge w:val="continue"/>
          </w:tcPr>
          <w:p>
            <w:pPr>
              <w:spacing w:after="0"/>
              <w:rPr>
                <w:sz w:val="17"/>
                <w:szCs w:val="17"/>
                <w:color w:val="auto"/>
              </w:rPr>
            </w:pPr>
          </w:p>
        </w:tc>
        <w:tc>
          <w:tcPr>
            <w:tcW w:w="2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adjustments</w:t>
            </w:r>
          </w:p>
        </w:tc>
        <w:tc>
          <w:tcPr>
            <w:tcW w:w="1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640" w:type="dxa"/>
            <w:vAlign w:val="bottom"/>
            <w:shd w:val="clear" w:color="auto" w:fill="CCEEFF"/>
          </w:tcPr>
          <w:p>
            <w:pPr>
              <w:spacing w:after="0"/>
              <w:rPr>
                <w:sz w:val="13"/>
                <w:szCs w:val="13"/>
                <w:color w:val="auto"/>
              </w:rPr>
            </w:pPr>
          </w:p>
        </w:tc>
        <w:tc>
          <w:tcPr>
            <w:tcW w:w="2560" w:type="dxa"/>
            <w:vAlign w:val="bottom"/>
            <w:shd w:val="clear" w:color="auto" w:fill="CCEEFF"/>
          </w:tcPr>
          <w:p>
            <w:pPr>
              <w:ind w:left="360"/>
              <w:spacing w:after="0" w:line="158" w:lineRule="exact"/>
              <w:rPr>
                <w:sz w:val="20"/>
                <w:szCs w:val="20"/>
                <w:color w:val="auto"/>
              </w:rPr>
            </w:pPr>
            <w:r>
              <w:rPr>
                <w:rFonts w:ascii="Times New Roman" w:cs="Times New Roman" w:eastAsia="Times New Roman" w:hAnsi="Times New Roman"/>
                <w:sz w:val="16"/>
                <w:szCs w:val="16"/>
                <w:color w:val="auto"/>
              </w:rPr>
              <w:t>Derivative instrument</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6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w:t>
            </w: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84"/>
        </w:trPr>
        <w:tc>
          <w:tcPr>
            <w:tcW w:w="640" w:type="dxa"/>
            <w:vAlign w:val="bottom"/>
            <w:vMerge w:val="continue"/>
            <w:shd w:val="clear" w:color="auto" w:fill="CCEEFF"/>
          </w:tcPr>
          <w:p>
            <w:pPr>
              <w:spacing w:after="0"/>
              <w:rPr>
                <w:sz w:val="7"/>
                <w:szCs w:val="7"/>
                <w:color w:val="auto"/>
              </w:rPr>
            </w:pPr>
          </w:p>
        </w:tc>
        <w:tc>
          <w:tcPr>
            <w:tcW w:w="25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2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8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6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gridSpan w:val="2"/>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6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Share-based compensation plans</w:t>
            </w:r>
          </w:p>
        </w:tc>
        <w:tc>
          <w:tcPr>
            <w:tcW w:w="10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49"/>
        </w:trPr>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43"/>
        </w:trPr>
        <w:tc>
          <w:tcPr>
            <w:tcW w:w="6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Dividends</w:t>
            </w:r>
          </w:p>
        </w:tc>
        <w:tc>
          <w:tcPr>
            <w:tcW w:w="10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49"/>
        </w:trPr>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Employee stock plan issuance</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36"/>
        </w:trPr>
        <w:tc>
          <w:tcPr>
            <w:tcW w:w="640" w:type="dxa"/>
            <w:vAlign w:val="bottom"/>
            <w:tcBorders>
              <w:top w:val="single" w:sz="8" w:color="auto"/>
            </w:tcBorders>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75.5</w:t>
            </w:r>
          </w:p>
        </w:tc>
        <w:tc>
          <w:tcPr>
            <w:tcW w:w="2560" w:type="dxa"/>
            <w:vAlign w:val="bottom"/>
          </w:tcPr>
          <w:p>
            <w:pPr>
              <w:ind w:left="140"/>
              <w:spacing w:after="0" w:line="136" w:lineRule="exact"/>
              <w:rPr>
                <w:sz w:val="20"/>
                <w:szCs w:val="20"/>
                <w:color w:val="auto"/>
              </w:rPr>
            </w:pPr>
            <w:r>
              <w:rPr>
                <w:rFonts w:ascii="Times New Roman" w:cs="Times New Roman" w:eastAsia="Times New Roman" w:hAnsi="Times New Roman"/>
                <w:sz w:val="14"/>
                <w:szCs w:val="14"/>
                <w:b w:val="1"/>
                <w:bCs w:val="1"/>
                <w:color w:val="auto"/>
              </w:rPr>
              <w:t>BALANCE AT SEPTEMBER 30,</w:t>
            </w: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(1,282)</w:t>
            </w:r>
          </w:p>
        </w:tc>
        <w:tc>
          <w:tcPr>
            <w:tcW w:w="12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4,056</w:t>
            </w:r>
          </w:p>
        </w:tc>
        <w:tc>
          <w:tcPr>
            <w:tcW w:w="14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237</w:t>
            </w:r>
          </w:p>
        </w:tc>
        <w:tc>
          <w:tcPr>
            <w:tcW w:w="14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2,973</w:t>
            </w:r>
          </w:p>
        </w:tc>
        <w:tc>
          <w:tcPr>
            <w:tcW w:w="14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1"/>
                <w:szCs w:val="11"/>
                <w:color w:val="auto"/>
              </w:rPr>
            </w:pPr>
          </w:p>
        </w:tc>
        <w:tc>
          <w:tcPr>
            <w:tcW w:w="2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3,004</w:t>
            </w:r>
          </w:p>
        </w:tc>
        <w:tc>
          <w:tcPr>
            <w:tcW w:w="0" w:type="dxa"/>
            <w:vAlign w:val="bottom"/>
          </w:tcPr>
          <w:p>
            <w:pPr>
              <w:spacing w:after="0"/>
              <w:rPr>
                <w:sz w:val="1"/>
                <w:szCs w:val="1"/>
                <w:color w:val="auto"/>
              </w:rPr>
            </w:pPr>
          </w:p>
        </w:tc>
      </w:tr>
      <w:tr>
        <w:trPr>
          <w:trHeight w:val="187"/>
        </w:trPr>
        <w:tc>
          <w:tcPr>
            <w:tcW w:w="640" w:type="dxa"/>
            <w:vAlign w:val="bottom"/>
            <w:tcBorders>
              <w:bottom w:val="single" w:sz="8" w:color="auto"/>
            </w:tcBorders>
            <w:vMerge w:val="continue"/>
          </w:tcPr>
          <w:p>
            <w:pPr>
              <w:spacing w:after="0"/>
              <w:rPr>
                <w:sz w:val="15"/>
                <w:szCs w:val="15"/>
                <w:color w:val="auto"/>
              </w:rPr>
            </w:pPr>
          </w:p>
        </w:tc>
        <w:tc>
          <w:tcPr>
            <w:tcW w:w="2560" w:type="dxa"/>
            <w:vAlign w:val="bottom"/>
          </w:tcPr>
          <w:p>
            <w:pPr>
              <w:ind w:left="140"/>
              <w:spacing w:after="0" w:line="181" w:lineRule="exact"/>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See Notes to Interim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156"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INTERIM CONDENSED NOTES TO CONSOLIDATED FINANCIAL STATEMENTS</w:t>
      </w:r>
    </w:p>
    <w:p>
      <w:pPr>
        <w:spacing w:after="0" w:line="277" w:lineRule="exact"/>
        <w:rPr>
          <w:sz w:val="20"/>
          <w:szCs w:val="20"/>
          <w:color w:val="auto"/>
        </w:rPr>
      </w:pPr>
    </w:p>
    <w:p>
      <w:pPr>
        <w:ind w:left="400" w:hanging="379"/>
        <w:spacing w:after="0"/>
        <w:tabs>
          <w:tab w:leader="none" w:pos="40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BASIS OF PRESENTATION</w:t>
      </w:r>
    </w:p>
    <w:p>
      <w:pPr>
        <w:spacing w:after="0" w:line="208"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The Interim Consolidated Financial Statements present the results of operations, financial position and cash flows of Marriott Vacations Worldwide Corporation (referred to in this report as (i) “we,” “us,” “Marriott Vacations Worldwide,” “MVW” or “the Company,” which includes our consolidated subsidiaries except where the context of the reference is to a single corporate entity, or (ii) “MVWC,” which shall refer only to Marriott Vacations Worldwide Corporation, without its consolidated subsidiaries). In order to make this report easier to read, we refer throughout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in these Notes to Interim Consolidated Financial Statements, unless otherwise noted. Capitalized terms used and not</w:t>
      </w:r>
    </w:p>
    <w:p>
      <w:pPr>
        <w:spacing w:after="0" w:line="5"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17"/>
          <w:szCs w:val="17"/>
          <w:color w:val="auto"/>
        </w:rPr>
        <w:t>specifically defined herein have the same meanings given those terms in our Annual Report on Form 10-K for the fiscal year ended December 31, 2021 (the “2021 Annual Report”). We use certain other terms that are defined within these Financial Statements.</w:t>
      </w:r>
    </w:p>
    <w:p>
      <w:pPr>
        <w:spacing w:after="0" w:line="6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The Financial Statements presented herein and discussed below include 100% of the assets, liabilities, revenues, expenses, and cash flows of Marriott Vacations Worldwide, all entities in which Marriott Vacations Worldwide has a controlling voting interest (“subsidiaries”), and those variable interest entities (“VIEs”) for which Marriott Vacations Worldwide is the primary beneficiary in accordance with consolidation accounting guidance. References in these Financial Statements to net income or loss attributable to common shareholders and MVW shareholders’ equity do not include noncontrolling interests, which represent the outside ownership of our consolidated non-wholly owned entities and are reported separately. Intercompany accounts and transactions between consolidated entities have been eliminated in consolidation.</w:t>
      </w:r>
    </w:p>
    <w:p>
      <w:pPr>
        <w:spacing w:after="0" w:line="68"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Pursuant to a change in control of certain consolidated owners’ associations during the second quarter of 2022, we recorded non-cash losses of $3 million in (Losses) gains and other (expense) income, net on our Income Statement for the nine months ended September 30, 2022 and deconsolidated $110 million of assets, inclusive of $48 million of restricted cash, and $99 million of liabilities, resulting in a decrease in Noncontrolling interests of $8 million during the first three quarters of 2022. We continue to act as manager for these owners’ associations pursuant to existing management contracts and retain membership interests via our ownership of vacation ownership interests.</w:t>
      </w:r>
    </w:p>
    <w:p>
      <w:pPr>
        <w:spacing w:after="0" w:line="6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These Financial Statements reflect our financial position, results of operations, and cash flows as prepared in conformity with United States Generally Accepted Accounting Principles (“GAAP”). The preparation of financial statements in conformity with GAAP requires management to make estimates and assumptions that affect amounts reported in the financial statements and accompanying notes. Such estimates include, but are not limited to, revenue recognition, allocations of the purchase price paid in business combinations, cost of vacation ownership products, inventory valuation, goodwill and intangibles valuation, accounting for acquired vacation ownership notes receivable, vacation ownership notes receivable reserves, income taxes, and loss contingencies. The uncertainties created by the COVID-19 pandemic, macroeconomic inflationary pressures, and the uncertainty of the success of ongoing efforts to mitigate the effects of the COVID-19 pandemic and inflationary pressures in the general macroeconomic environment, have made it more challenging to make these estimates. Actual results could differ from our estimates, and such differences may be material.</w:t>
      </w:r>
    </w:p>
    <w:p>
      <w:pPr>
        <w:spacing w:after="0" w:line="6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In our opinion, our Financial Statements reflect all normal and recurring adjustments necessary to present fairly our financial position, the results of our operations, and cash flows for the periods presented. Interim results may not be indicative of fiscal year performance because of, among other reasons, the impact of the COVID-19 pandemic, inflationary pressures, general macroeconomic conditions, rising interest rates, and seasonal and short-term variations. These Financial Statements have not been audited. We have condensed or omitted certain information and footnote disclosures normally included in financial statements presented in accordance with GAAP. Although we believe our footnote disclosures are adequate to make the information presented not misleading, the Financial Statements in this report should be read in conjunction with the consolidated financial statements and notes thereto in our 2021 Annual Report.</w:t>
      </w:r>
    </w:p>
    <w:p>
      <w:pPr>
        <w:spacing w:after="0" w:line="22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Acquisition of Welk</w:t>
      </w:r>
    </w:p>
    <w:p>
      <w:pPr>
        <w:spacing w:after="0" w:line="118" w:lineRule="exact"/>
        <w:rPr>
          <w:sz w:val="20"/>
          <w:szCs w:val="20"/>
          <w:color w:val="auto"/>
        </w:rPr>
      </w:pPr>
    </w:p>
    <w:p>
      <w:pPr>
        <w:jc w:val="both"/>
        <w:ind w:right="180"/>
        <w:spacing w:after="0" w:line="273" w:lineRule="auto"/>
        <w:rPr>
          <w:sz w:val="20"/>
          <w:szCs w:val="20"/>
          <w:color w:val="auto"/>
        </w:rPr>
      </w:pPr>
      <w:r>
        <w:rPr>
          <w:rFonts w:ascii="Times New Roman" w:cs="Times New Roman" w:eastAsia="Times New Roman" w:hAnsi="Times New Roman"/>
          <w:sz w:val="17"/>
          <w:szCs w:val="17"/>
          <w:color w:val="auto"/>
        </w:rPr>
        <w:t>On April 1, 2021, we completed the acquisition of Welk Hospitality Group, Inc. (“Welk”) through a series of transactions (the “Welk Acquisition”), after which Welk became our indirect wholly-owned subsidiary. We refer to the business and brands that we acquired as “Legacy-Welk.” See Footnote 3 “Acquisitions and Dispositions” for more information on the Welk Acquisition.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Disposition of VRI Americas</w:t>
      </w:r>
    </w:p>
    <w:p>
      <w:pPr>
        <w:spacing w:after="0" w:line="118" w:lineRule="exact"/>
        <w:rPr>
          <w:sz w:val="20"/>
          <w:szCs w:val="20"/>
          <w:color w:val="auto"/>
        </w:rPr>
      </w:pPr>
    </w:p>
    <w:p>
      <w:pPr>
        <w:ind w:right="140"/>
        <w:spacing w:after="0" w:line="292" w:lineRule="auto"/>
        <w:rPr>
          <w:sz w:val="20"/>
          <w:szCs w:val="20"/>
          <w:color w:val="auto"/>
        </w:rPr>
      </w:pPr>
      <w:r>
        <w:rPr>
          <w:rFonts w:ascii="Times New Roman" w:cs="Times New Roman" w:eastAsia="Times New Roman" w:hAnsi="Times New Roman"/>
          <w:sz w:val="17"/>
          <w:szCs w:val="17"/>
          <w:color w:val="auto"/>
        </w:rPr>
        <w:t>Our Financial Statements reflect the disposition of the Vacation Resorts International (“VRI”) and Trading Places International (“TPI”) businesses (together, the “VRI Americas” business) on April 29, 2022. See Footnote 3 “Acquisitions and Dispositions” for more information on the disposition of VRI Americas.</w:t>
      </w:r>
    </w:p>
    <w:p>
      <w:pPr>
        <w:spacing w:after="0" w:line="222" w:lineRule="exact"/>
        <w:rPr>
          <w:sz w:val="20"/>
          <w:szCs w:val="20"/>
          <w:color w:val="auto"/>
        </w:rPr>
      </w:pPr>
    </w:p>
    <w:p>
      <w:pPr>
        <w:ind w:left="400" w:hanging="379"/>
        <w:spacing w:after="0"/>
        <w:tabs>
          <w:tab w:leader="none" w:pos="40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ACCOUNTING POLICIES AND RECENT ACCOUNTING STANDARDS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Launch of Abound by Marriott Vacations</w:t>
      </w:r>
    </w:p>
    <w:p>
      <w:pPr>
        <w:spacing w:after="0" w:line="12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In the third quarter of 2022, in connection with the affiliation of the Marriott-, Sheraton-, and Westin-branded vacation ownership products through Abound by Marriott Vacations, we modified our business practices and the terms of our Marriott-branded vacation ownership interest (“VOI”) sales contracts to be consistent with the existing terms of our Sheraton- and Westin-branded VOI sales contracts. As a result of these modifications, control of Marriott-branded vacation ownership products is now transferred to the customer upon expiration of the statutory rescission period, consistent with the current method for Sheraton- and Westin-branded vacation ownership products, resulting in earlier revenue recognition than the historical timing for Marriott-branded VOIs. Marriott-branded VOI sales contracts executed prior to these modifications will continue to be accounted for with transfer of control of the VOI occurring at closing, as described in our 2021 Annual Report.</w:t>
      </w:r>
    </w:p>
    <w:p>
      <w:pPr>
        <w:spacing w:after="0" w:line="7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7"/>
          <w:szCs w:val="17"/>
          <w:color w:val="auto"/>
        </w:rPr>
        <w:t>In addition, in the third quarter of 2022, we combined and aligned our accounting methodology to calculate our estimates for the reserve on vacation ownership notes receivable for these brands, as we expect our future customers to represent a blend of the historical Marriott-, Sheraton- and Westin-brand customers. We now use the origination of vacation ownership notes receivable by the combined Marriott-, Sheraton-, and Westin-brands (“Combined Marriott”) and the FICO scores of the customer as the primary credit quality indicators, as historical performance indicates that there is a relationship between the default behavior of borrowers and the brand associated with the vacation ownership interest they have acquired. See Footnote 6 “Vacation Ownership Notes Receivable” for further information.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New Accounting Standards</w:t>
      </w:r>
    </w:p>
    <w:p>
      <w:pPr>
        <w:spacing w:after="0" w:line="118" w:lineRule="exact"/>
        <w:rPr>
          <w:sz w:val="20"/>
          <w:szCs w:val="20"/>
          <w:color w:val="auto"/>
        </w:rPr>
      </w:pPr>
    </w:p>
    <w:p>
      <w:pPr>
        <w:ind w:right="340"/>
        <w:spacing w:after="0" w:line="294" w:lineRule="auto"/>
        <w:rPr>
          <w:sz w:val="20"/>
          <w:szCs w:val="20"/>
          <w:color w:val="auto"/>
        </w:rPr>
      </w:pPr>
      <w:r>
        <w:rPr>
          <w:rFonts w:ascii="Times New Roman" w:cs="Times New Roman" w:eastAsia="Times New Roman" w:hAnsi="Times New Roman"/>
          <w:sz w:val="17"/>
          <w:szCs w:val="17"/>
          <w:color w:val="auto"/>
        </w:rPr>
        <w:t>Accounting Standards Update 2020-06 – “</w:t>
      </w:r>
      <w:r>
        <w:rPr>
          <w:rFonts w:ascii="Times New Roman" w:cs="Times New Roman" w:eastAsia="Times New Roman" w:hAnsi="Times New Roman"/>
          <w:sz w:val="17"/>
          <w:szCs w:val="17"/>
          <w:i w:val="1"/>
          <w:iCs w:val="1"/>
          <w:color w:val="auto"/>
        </w:rPr>
        <w:t>Debt — Debt With Conversion and Other Options (Subtopic 470-20) and Derivatives and Hedging — Contracts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Entity’s Own Equity (Subtopic 815-40): Accounting for Convertible Instruments and Contracts in an Entity’s Own Equity” </w:t>
      </w:r>
      <w:r>
        <w:rPr>
          <w:rFonts w:ascii="Times New Roman" w:cs="Times New Roman" w:eastAsia="Times New Roman" w:hAnsi="Times New Roman"/>
          <w:sz w:val="17"/>
          <w:szCs w:val="17"/>
          <w:color w:val="auto"/>
        </w:rPr>
        <w:t>(“ASU 2020-06”)</w:t>
      </w:r>
    </w:p>
    <w:p>
      <w:pPr>
        <w:spacing w:after="0" w:line="4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In the first quarter of 2022, we adopted accounting standards update (“ASU”) 2020-06, using the modified retrospective method. Upon adoption of ASU 2020-06, our convertible notes were no longer separated into liability and equity components, and we are required to calculate the impact of our convertible notes on diluted earnings per share using the “if-converted” method, regardless of intent to settle or partially settle the debt in cash. Under the “if-converted” method, diluted earnings per share is generally calculated assuming that all of our convertible notes are converted solely into shares of common stock at the beginning of the reporting period, unless the result would be anti-dilutive. The application of the “if-converted” method reduces our reported diluted earnings per share. The impacts of the adoption were recorded as a cumulative effect in the opening balance of retained earnings and the conversion feature related to our convertible notes was reclassified from equity to liabilities. In addition, we eliminated the related equity adjustment associated with the deferred tax liability. The adoption of ASU 2020-06 on January 1, 2022 resulted in an increase in debt of $107 million, a decrease in additional paid-in capital of $111 million, and a decrease in deferred taxes of $27 million, as well as a cumulative effect adjustment to the opening balance of retained earnings of $31 million. The remaining debt issuance costs will continue to be amortized over the respective terms of our convertible notes. The prior period consolidated financial statements have not been retrospectively restated and continue to be reported under the accounting standards in effect for those periods. See Footnote 13 “Debt” for further information on accounting for the 2022 Convertible Notes and the 2022 Convertible Note Hedges (as defined in Footnote 13 “Debt”), subsequent to the adoption of ASU 2020-06.</w:t>
      </w:r>
    </w:p>
    <w:p>
      <w:pPr>
        <w:spacing w:after="0" w:line="200" w:lineRule="exact"/>
        <w:rPr>
          <w:sz w:val="20"/>
          <w:szCs w:val="20"/>
          <w:color w:val="auto"/>
        </w:rPr>
      </w:pPr>
    </w:p>
    <w:p>
      <w:pPr>
        <w:spacing w:after="0" w:line="24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460"/>
        <w:spacing w:after="0" w:line="294" w:lineRule="auto"/>
        <w:rPr>
          <w:sz w:val="20"/>
          <w:szCs w:val="20"/>
          <w:color w:val="auto"/>
        </w:rPr>
      </w:pPr>
      <w:r>
        <w:rPr>
          <w:rFonts w:ascii="Times New Roman" w:cs="Times New Roman" w:eastAsia="Times New Roman" w:hAnsi="Times New Roman"/>
          <w:sz w:val="17"/>
          <w:szCs w:val="17"/>
          <w:color w:val="auto"/>
        </w:rPr>
        <w:t>Accounting Standards Update 2021-08 - “</w:t>
      </w:r>
      <w:r>
        <w:rPr>
          <w:rFonts w:ascii="Times New Roman" w:cs="Times New Roman" w:eastAsia="Times New Roman" w:hAnsi="Times New Roman"/>
          <w:sz w:val="17"/>
          <w:szCs w:val="17"/>
          <w:i w:val="1"/>
          <w:iCs w:val="1"/>
          <w:color w:val="auto"/>
        </w:rPr>
        <w:t>Business Combinations (Topic 805): Accounting for Contract Assets and Contract Liabilities from Contracts with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Customers” </w:t>
      </w:r>
      <w:r>
        <w:rPr>
          <w:rFonts w:ascii="Times New Roman" w:cs="Times New Roman" w:eastAsia="Times New Roman" w:hAnsi="Times New Roman"/>
          <w:sz w:val="17"/>
          <w:szCs w:val="17"/>
          <w:color w:val="auto"/>
        </w:rPr>
        <w:t>(“ASU 2021-08”)</w:t>
      </w:r>
    </w:p>
    <w:p>
      <w:pPr>
        <w:spacing w:after="0" w:line="4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 xml:space="preserve">In the first quarter of 2022, we adopted ASU 2021-08, which amended ASC 805 to require entities to apply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to recognize and measure contract assets and contract liabilities from contracts with customers in a business combination. The adoption of ASU 2021-08 on January 1, 2022 did not have a material impact on our financial statements or disclosures. In the event that we complete business combinations in the future, the application of ASU 2021-08 could result in higher acquired deferred revenue.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Future Adoption of Accounting Standards</w:t>
      </w:r>
    </w:p>
    <w:p>
      <w:pPr>
        <w:spacing w:after="0" w:line="118" w:lineRule="exact"/>
        <w:rPr>
          <w:sz w:val="20"/>
          <w:szCs w:val="20"/>
          <w:color w:val="auto"/>
        </w:rPr>
      </w:pPr>
    </w:p>
    <w:p>
      <w:pPr>
        <w:ind w:right="460"/>
        <w:spacing w:after="0" w:line="294" w:lineRule="auto"/>
        <w:rPr>
          <w:sz w:val="20"/>
          <w:szCs w:val="20"/>
          <w:color w:val="auto"/>
        </w:rPr>
      </w:pPr>
      <w:r>
        <w:rPr>
          <w:rFonts w:ascii="Times New Roman" w:cs="Times New Roman" w:eastAsia="Times New Roman" w:hAnsi="Times New Roman"/>
          <w:sz w:val="17"/>
          <w:szCs w:val="17"/>
          <w:color w:val="auto"/>
        </w:rPr>
        <w:t>Accounting Standards Update 2020-04 – “</w:t>
      </w:r>
      <w:r>
        <w:rPr>
          <w:rFonts w:ascii="Times New Roman" w:cs="Times New Roman" w:eastAsia="Times New Roman" w:hAnsi="Times New Roman"/>
          <w:sz w:val="17"/>
          <w:szCs w:val="17"/>
          <w:i w:val="1"/>
          <w:iCs w:val="1"/>
          <w:color w:val="auto"/>
        </w:rPr>
        <w:t>Reference Rate Reform (Topic 848), Facilitation of the Effects of Reference Rate Reform on Financial Reporting</w:t>
      </w:r>
      <w:r>
        <w:rPr>
          <w:rFonts w:ascii="Times New Roman" w:cs="Times New Roman" w:eastAsia="Times New Roman" w:hAnsi="Times New Roman"/>
          <w:sz w:val="17"/>
          <w:szCs w:val="17"/>
          <w:color w:val="auto"/>
        </w:rPr>
        <w:t>” (“ASU 2020-04”)</w:t>
      </w:r>
    </w:p>
    <w:p>
      <w:pPr>
        <w:spacing w:after="0" w:line="4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In March 2020, the FASB issued ASU 2020-04, as amended, which provides optional expedients and exceptions to existing guidance on contract modifications and hedge accounting in an effort to ease the financial reporting burdens related to the expected market transition from the LIBOR and other interbank offered rates to alternative reference rates. This update was effective upon issuance and issuers may generally elect to adopt the optional expedients and exceptions over time through December 31, 2022. As of September 30, 2022, the interest rate applicable to borrowings under our existing Term Loan (as defined in Footnote 13 “Debt”) generally continued to reference LIBOR, as did certain interest rate swaps and collars. During the third quarter of 2022, we amended the terms of our Warehouse Credit Facility to, among other things, reference SOFR (as defined in Footnote 12 “Securitized Debt”) rather than LIBOR. Our Term Loan and certain interest rate swaps and collars have not yet discontinued the use of LIBOR. To the extent these instruments are amended to reference a different benchmark interest rate, we may elect to utilize the relief available in ASU 2020-04. When we renew or amend our remaining existing debt instruments, we will determine a replacement rate for LIBOR. We have not adopted any of the optional expedients or exceptions as of September 30, 2022, but will continue to evaluate their adoption during the effective period as circumstances evolve.</w:t>
      </w:r>
    </w:p>
    <w:p>
      <w:pPr>
        <w:spacing w:after="0" w:line="178" w:lineRule="exact"/>
        <w:rPr>
          <w:sz w:val="20"/>
          <w:szCs w:val="20"/>
          <w:color w:val="auto"/>
        </w:rPr>
      </w:pPr>
    </w:p>
    <w:p>
      <w:pPr>
        <w:ind w:right="380"/>
        <w:spacing w:after="0" w:line="294" w:lineRule="auto"/>
        <w:rPr>
          <w:sz w:val="20"/>
          <w:szCs w:val="20"/>
          <w:color w:val="auto"/>
        </w:rPr>
      </w:pPr>
      <w:r>
        <w:rPr>
          <w:rFonts w:ascii="Times New Roman" w:cs="Times New Roman" w:eastAsia="Times New Roman" w:hAnsi="Times New Roman"/>
          <w:sz w:val="17"/>
          <w:szCs w:val="17"/>
          <w:color w:val="auto"/>
        </w:rPr>
        <w:t>Accounting Standards Update 2022-02 – “</w:t>
      </w:r>
      <w:r>
        <w:rPr>
          <w:rFonts w:ascii="Times New Roman" w:cs="Times New Roman" w:eastAsia="Times New Roman" w:hAnsi="Times New Roman"/>
          <w:sz w:val="17"/>
          <w:szCs w:val="17"/>
          <w:i w:val="1"/>
          <w:iCs w:val="1"/>
          <w:color w:val="auto"/>
        </w:rPr>
        <w:t>Financial Instruments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Credit Losses (Topic 326) - Troubled Debt Restructurings and Vintage Disclosures</w:t>
      </w:r>
      <w:r>
        <w:rPr>
          <w:rFonts w:ascii="Times New Roman" w:cs="Times New Roman" w:eastAsia="Times New Roman" w:hAnsi="Times New Roman"/>
          <w:sz w:val="17"/>
          <w:szCs w:val="17"/>
          <w:color w:val="auto"/>
        </w:rPr>
        <w:t>” (“ASU 2022-02”)</w:t>
      </w:r>
    </w:p>
    <w:p>
      <w:pPr>
        <w:spacing w:after="0" w:line="4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In March 2022, the FASB issued ASU 2022-02, which eliminates the recognition and measurement guidance applicable to troubled debt restructurings for creditors and enhances disclosure requirements with respect to loan modifications for borrowers experiencing financial difficulty. ASU 2022-02 also requires disclosure of current-period gross write-offs by year of origination to be presented in the vintage disclosures for financing receivables. This update is effective for fiscal years beginning after December 15, 2022, including interim periods within those fiscal years, with early adoption permitted. We are evaluating the impact that adoption of ASU 2022-02, including the timing of implementation, will have on our financial statements and disclosures; however, we do not expect adoption to have a material effect on our financial statements or disclosures other than disclosure changes related to vintage disclosures for financing receivables.</w:t>
      </w:r>
    </w:p>
    <w:p>
      <w:pPr>
        <w:spacing w:after="0" w:line="247" w:lineRule="exact"/>
        <w:rPr>
          <w:sz w:val="20"/>
          <w:szCs w:val="20"/>
          <w:color w:val="auto"/>
        </w:rPr>
      </w:pPr>
    </w:p>
    <w:p>
      <w:pPr>
        <w:ind w:left="400" w:hanging="379"/>
        <w:spacing w:after="0"/>
        <w:tabs>
          <w:tab w:leader="none" w:pos="40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ACQUISITIONS AND DISPOSITIONS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Welk Acquisition</w:t>
      </w:r>
    </w:p>
    <w:p>
      <w:pPr>
        <w:spacing w:after="0" w:line="120" w:lineRule="exact"/>
        <w:rPr>
          <w:sz w:val="20"/>
          <w:szCs w:val="20"/>
          <w:color w:val="auto"/>
        </w:rPr>
      </w:pPr>
    </w:p>
    <w:p>
      <w:pPr>
        <w:ind w:right="280"/>
        <w:spacing w:after="0" w:line="292" w:lineRule="auto"/>
        <w:rPr>
          <w:sz w:val="20"/>
          <w:szCs w:val="20"/>
          <w:color w:val="auto"/>
        </w:rPr>
      </w:pPr>
      <w:r>
        <w:rPr>
          <w:rFonts w:ascii="Times New Roman" w:cs="Times New Roman" w:eastAsia="Times New Roman" w:hAnsi="Times New Roman"/>
          <w:sz w:val="17"/>
          <w:szCs w:val="17"/>
          <w:color w:val="auto"/>
        </w:rPr>
        <w:t>On April 1, 2021 (the “Welk Acquisition Date”), we completed the Welk Acquisition. The following table presents the fair value of each type of consideration transferred at the Welk Acquisition Date, as finalized at March 31, 2022.</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23"/>
        </w:trPr>
        <w:tc>
          <w:tcPr>
            <w:tcW w:w="7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4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Equivalent shares of Marriott Vacations Worldwide common stock issued</w:t>
            </w: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840" w:type="dxa"/>
            <w:vAlign w:val="bottom"/>
          </w:tcPr>
          <w:p>
            <w:pPr>
              <w:spacing w:after="0"/>
              <w:rPr>
                <w:sz w:val="21"/>
                <w:szCs w:val="21"/>
                <w:color w:val="auto"/>
              </w:rPr>
            </w:pPr>
          </w:p>
        </w:tc>
      </w:tr>
      <w:tr>
        <w:trPr>
          <w:trHeight w:val="246"/>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Marriott Vacations Worldwide common stock price per share as of Welk Acquisition Date</w:t>
            </w: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174.18</w:t>
            </w:r>
          </w:p>
        </w:tc>
        <w:tc>
          <w:tcPr>
            <w:tcW w:w="2840" w:type="dxa"/>
            <w:vAlign w:val="bottom"/>
          </w:tcPr>
          <w:p>
            <w:pPr>
              <w:spacing w:after="0"/>
              <w:rPr>
                <w:sz w:val="21"/>
                <w:szCs w:val="21"/>
                <w:color w:val="auto"/>
              </w:rPr>
            </w:pPr>
          </w:p>
        </w:tc>
      </w:tr>
      <w:tr>
        <w:trPr>
          <w:trHeight w:val="226"/>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Fair value of Marriott Vacations Worldwide common stock issued</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2840" w:type="dxa"/>
            <w:vAlign w:val="bottom"/>
          </w:tcPr>
          <w:p>
            <w:pPr>
              <w:spacing w:after="0"/>
              <w:rPr>
                <w:sz w:val="19"/>
                <w:szCs w:val="19"/>
                <w:color w:val="auto"/>
              </w:rPr>
            </w:pPr>
          </w:p>
        </w:tc>
      </w:tr>
      <w:tr>
        <w:trPr>
          <w:trHeight w:val="246"/>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consideration to Welk, net of cash and restricted cash acquired of $48 million</w:t>
            </w: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2840" w:type="dxa"/>
            <w:vAlign w:val="bottom"/>
          </w:tcPr>
          <w:p>
            <w:pPr>
              <w:spacing w:after="0"/>
              <w:rPr>
                <w:sz w:val="21"/>
                <w:szCs w:val="21"/>
                <w:color w:val="auto"/>
              </w:rPr>
            </w:pPr>
          </w:p>
        </w:tc>
      </w:tr>
      <w:tr>
        <w:trPr>
          <w:trHeight w:val="226"/>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consideration transferred, net of cash and restricted cash acquired</w:t>
            </w: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2840" w:type="dxa"/>
            <w:vAlign w:val="bottom"/>
          </w:tcPr>
          <w:p>
            <w:pPr>
              <w:spacing w:after="0"/>
              <w:rPr>
                <w:sz w:val="19"/>
                <w:szCs w:val="19"/>
                <w:color w:val="auto"/>
              </w:rPr>
            </w:pPr>
          </w:p>
        </w:tc>
      </w:tr>
      <w:tr>
        <w:trPr>
          <w:trHeight w:val="558"/>
        </w:trPr>
        <w:tc>
          <w:tcPr>
            <w:tcW w:w="7080" w:type="dxa"/>
            <w:vAlign w:val="bottom"/>
          </w:tcPr>
          <w:p>
            <w:pPr>
              <w:ind w:left="5840"/>
              <w:spacing w:after="0"/>
              <w:rPr>
                <w:sz w:val="20"/>
                <w:szCs w:val="20"/>
                <w:color w:val="auto"/>
              </w:rPr>
            </w:pPr>
            <w:r>
              <w:rPr>
                <w:rFonts w:ascii="Times New Roman" w:cs="Times New Roman" w:eastAsia="Times New Roman" w:hAnsi="Times New Roman"/>
                <w:sz w:val="17"/>
                <w:szCs w:val="17"/>
                <w:color w:val="auto"/>
              </w:rPr>
              <w:t>10</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47"/>
        </w:trPr>
        <w:tc>
          <w:tcPr>
            <w:tcW w:w="70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Values of Assets Acquired and Liabilities Assumed</w:t>
      </w:r>
    </w:p>
    <w:p>
      <w:pPr>
        <w:spacing w:after="0" w:line="118"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7"/>
          <w:szCs w:val="17"/>
          <w:color w:val="auto"/>
        </w:rPr>
        <w:t>We accounted for the Welk Acquisition as a business combination, which required us to record the assets acquired and liabilities assumed at fair value as of the Welk Acquisition Date. The values attributed to Vacation ownership notes receivable, Inventory, Property and equipment, Intangible assets, and Securitized debt from VIEs were based on valuations prepared using Level 3 inputs and assumptions in accordance with ASC Topic 820, “</w:t>
      </w:r>
      <w:r>
        <w:rPr>
          <w:rFonts w:ascii="Times New Roman" w:cs="Times New Roman" w:eastAsia="Times New Roman" w:hAnsi="Times New Roman"/>
          <w:sz w:val="17"/>
          <w:szCs w:val="17"/>
          <w:i w:val="1"/>
          <w:iCs w:val="1"/>
          <w:color w:val="auto"/>
        </w:rPr>
        <w:t>Fair Value Measurements</w:t>
      </w:r>
      <w:r>
        <w:rPr>
          <w:rFonts w:ascii="Times New Roman" w:cs="Times New Roman" w:eastAsia="Times New Roman" w:hAnsi="Times New Roman"/>
          <w:sz w:val="17"/>
          <w:szCs w:val="17"/>
          <w:color w:val="auto"/>
        </w:rPr>
        <w:t>” (“ASC 820”). The value attributed to Debt was based on Level 2 inputs in accordance with ASC 820. During the first quarter of 2022, we finalized our allocation of the purchase price to the acquired assets and liabilities. The following table presents the fair values of the assets that we acquired and the liabilities that we assumed in connection with the business combination as previously reported at December 31, 2021, and as finalized at March 31, 2022. During the first quarter of 2022, we refined our valuation models related to certain acquired assets and liabilities as follows:</w:t>
      </w: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80"/>
              <w:spacing w:after="0" w:line="170" w:lineRule="exact"/>
              <w:rPr>
                <w:sz w:val="20"/>
                <w:szCs w:val="20"/>
                <w:color w:val="auto"/>
              </w:rPr>
            </w:pPr>
            <w:r>
              <w:rPr>
                <w:rFonts w:ascii="Times New Roman" w:cs="Times New Roman" w:eastAsia="Times New Roman" w:hAnsi="Times New Roman"/>
                <w:sz w:val="16"/>
                <w:szCs w:val="16"/>
                <w:b w:val="1"/>
                <w:bCs w:val="1"/>
                <w:color w:val="auto"/>
                <w:w w:val="97"/>
              </w:rPr>
              <w:t>April 1, 2021</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jc w:val="center"/>
              <w:ind w:right="135"/>
              <w:spacing w:after="0" w:line="170" w:lineRule="exact"/>
              <w:rPr>
                <w:sz w:val="20"/>
                <w:szCs w:val="20"/>
                <w:color w:val="auto"/>
              </w:rPr>
            </w:pPr>
            <w:r>
              <w:rPr>
                <w:rFonts w:ascii="Times New Roman" w:cs="Times New Roman" w:eastAsia="Times New Roman" w:hAnsi="Times New Roman"/>
                <w:sz w:val="16"/>
                <w:szCs w:val="16"/>
                <w:b w:val="1"/>
                <w:bCs w:val="1"/>
                <w:color w:val="auto"/>
                <w:w w:val="97"/>
              </w:rPr>
              <w:t>April 1, 2021</w:t>
            </w: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6"/>
                <w:szCs w:val="16"/>
                <w:b w:val="1"/>
                <w:bCs w:val="1"/>
                <w:color w:val="auto"/>
                <w:w w:val="95"/>
              </w:rPr>
              <w:t>(as reported at</w:t>
            </w:r>
          </w:p>
        </w:tc>
        <w:tc>
          <w:tcPr>
            <w:tcW w:w="200" w:type="dxa"/>
            <w:vAlign w:val="bottom"/>
          </w:tcPr>
          <w:p>
            <w:pPr>
              <w:spacing w:after="0"/>
              <w:rPr>
                <w:sz w:val="13"/>
                <w:szCs w:val="13"/>
                <w:color w:val="auto"/>
              </w:rPr>
            </w:pPr>
          </w:p>
        </w:tc>
        <w:tc>
          <w:tcPr>
            <w:tcW w:w="1280" w:type="dxa"/>
            <w:vAlign w:val="bottom"/>
            <w:vMerge w:val="restart"/>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jc w:val="center"/>
              <w:ind w:right="155"/>
              <w:spacing w:after="0" w:line="155" w:lineRule="exact"/>
              <w:rPr>
                <w:sz w:val="20"/>
                <w:szCs w:val="20"/>
                <w:color w:val="auto"/>
              </w:rPr>
            </w:pPr>
            <w:r>
              <w:rPr>
                <w:rFonts w:ascii="Times New Roman" w:cs="Times New Roman" w:eastAsia="Times New Roman" w:hAnsi="Times New Roman"/>
                <w:sz w:val="16"/>
                <w:szCs w:val="16"/>
                <w:b w:val="1"/>
                <w:bCs w:val="1"/>
                <w:color w:val="auto"/>
                <w:w w:val="96"/>
              </w:rPr>
              <w:t>(as finalized at</w:t>
            </w:r>
          </w:p>
        </w:tc>
        <w:tc>
          <w:tcPr>
            <w:tcW w:w="0" w:type="dxa"/>
            <w:vAlign w:val="bottom"/>
          </w:tcPr>
          <w:p>
            <w:pPr>
              <w:spacing w:after="0"/>
              <w:rPr>
                <w:sz w:val="1"/>
                <w:szCs w:val="1"/>
                <w:color w:val="auto"/>
              </w:rPr>
            </w:pPr>
          </w:p>
        </w:tc>
      </w:tr>
      <w:tr>
        <w:trPr>
          <w:trHeight w:val="206"/>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8"/>
              </w:rPr>
              <w:t>December 31, 2021)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6"/>
              </w:rPr>
              <w:t>March 31, 2022)</w:t>
            </w:r>
          </w:p>
        </w:tc>
        <w:tc>
          <w:tcPr>
            <w:tcW w:w="0" w:type="dxa"/>
            <w:vAlign w:val="bottom"/>
          </w:tcPr>
          <w:p>
            <w:pPr>
              <w:spacing w:after="0"/>
              <w:rPr>
                <w:sz w:val="1"/>
                <w:szCs w:val="1"/>
                <w:color w:val="auto"/>
              </w:rPr>
            </w:pPr>
          </w:p>
        </w:tc>
      </w:tr>
      <w:tr>
        <w:trPr>
          <w:trHeight w:val="228"/>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 notes receivable,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0" w:type="dxa"/>
            <w:vAlign w:val="bottom"/>
          </w:tcPr>
          <w:p>
            <w:pPr>
              <w:spacing w:after="0"/>
              <w:rPr>
                <w:sz w:val="1"/>
                <w:szCs w:val="1"/>
                <w:color w:val="auto"/>
              </w:rPr>
            </w:pPr>
          </w:p>
        </w:tc>
      </w:tr>
      <w:tr>
        <w:trPr>
          <w:trHeight w:val="246"/>
        </w:trPr>
        <w:tc>
          <w:tcPr>
            <w:tcW w:w="3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Inventory</w:t>
            </w:r>
          </w:p>
        </w:tc>
        <w:tc>
          <w:tcPr>
            <w:tcW w:w="16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0" w:type="dxa"/>
            <w:vAlign w:val="bottom"/>
          </w:tcPr>
          <w:p>
            <w:pPr>
              <w:spacing w:after="0"/>
              <w:rPr>
                <w:sz w:val="1"/>
                <w:szCs w:val="1"/>
                <w:color w:val="auto"/>
              </w:rPr>
            </w:pPr>
          </w:p>
        </w:tc>
      </w:tr>
      <w:tr>
        <w:trPr>
          <w:trHeight w:val="24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0" w:type="dxa"/>
            <w:vAlign w:val="bottom"/>
          </w:tcPr>
          <w:p>
            <w:pPr>
              <w:spacing w:after="0"/>
              <w:rPr>
                <w:sz w:val="1"/>
                <w:szCs w:val="1"/>
                <w:color w:val="auto"/>
              </w:rPr>
            </w:pPr>
          </w:p>
        </w:tc>
      </w:tr>
      <w:tr>
        <w:trPr>
          <w:trHeight w:val="246"/>
        </w:trPr>
        <w:tc>
          <w:tcPr>
            <w:tcW w:w="3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w:t>
            </w:r>
          </w:p>
        </w:tc>
        <w:tc>
          <w:tcPr>
            <w:tcW w:w="16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0" w:type="dxa"/>
            <w:vAlign w:val="bottom"/>
          </w:tcPr>
          <w:p>
            <w:pPr>
              <w:spacing w:after="0"/>
              <w:rPr>
                <w:sz w:val="1"/>
                <w:szCs w:val="1"/>
                <w:color w:val="auto"/>
              </w:rPr>
            </w:pPr>
          </w:p>
        </w:tc>
      </w:tr>
      <w:tr>
        <w:trPr>
          <w:trHeight w:val="24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46"/>
        </w:trPr>
        <w:tc>
          <w:tcPr>
            <w:tcW w:w="3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taxes</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4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0" w:type="dxa"/>
            <w:vAlign w:val="bottom"/>
          </w:tcPr>
          <w:p>
            <w:pPr>
              <w:spacing w:after="0"/>
              <w:rPr>
                <w:sz w:val="1"/>
                <w:szCs w:val="1"/>
                <w:color w:val="auto"/>
              </w:rPr>
            </w:pPr>
          </w:p>
        </w:tc>
      </w:tr>
      <w:tr>
        <w:trPr>
          <w:trHeight w:val="246"/>
        </w:trPr>
        <w:tc>
          <w:tcPr>
            <w:tcW w:w="3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Securitized debt</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0" w:type="dxa"/>
            <w:vAlign w:val="bottom"/>
          </w:tcPr>
          <w:p>
            <w:pPr>
              <w:spacing w:after="0"/>
              <w:rPr>
                <w:sz w:val="1"/>
                <w:szCs w:val="1"/>
                <w:color w:val="auto"/>
              </w:rPr>
            </w:pPr>
          </w:p>
        </w:tc>
      </w:tr>
      <w:tr>
        <w:trPr>
          <w:trHeight w:val="24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226"/>
        </w:trPr>
        <w:tc>
          <w:tcPr>
            <w:tcW w:w="3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assets acquired</w:t>
            </w:r>
          </w:p>
        </w:tc>
        <w:tc>
          <w:tcPr>
            <w:tcW w:w="1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72</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24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r>
              <w:rPr>
                <w:rFonts w:ascii="Times New Roman" w:cs="Times New Roman" w:eastAsia="Times New Roman" w:hAnsi="Times New Roman"/>
                <w:sz w:val="10"/>
                <w:szCs w:val="10"/>
                <w:color w:val="auto"/>
              </w:rPr>
              <w:t>(1)</w:t>
            </w:r>
          </w:p>
        </w:tc>
        <w:tc>
          <w:tcPr>
            <w:tcW w:w="16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333</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0" w:type="dxa"/>
            <w:vAlign w:val="bottom"/>
          </w:tcPr>
          <w:p>
            <w:pPr>
              <w:spacing w:after="0"/>
              <w:rPr>
                <w:sz w:val="1"/>
                <w:szCs w:val="1"/>
                <w:color w:val="auto"/>
              </w:rPr>
            </w:pPr>
          </w:p>
        </w:tc>
      </w:tr>
      <w:tr>
        <w:trPr>
          <w:trHeight w:val="213"/>
        </w:trPr>
        <w:tc>
          <w:tcPr>
            <w:tcW w:w="3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405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21" w:lineRule="exact"/>
        <w:rPr>
          <w:sz w:val="20"/>
          <w:szCs w:val="20"/>
          <w:color w:val="auto"/>
        </w:rPr>
      </w:pPr>
    </w:p>
    <w:p>
      <w:pPr>
        <w:ind w:left="320" w:right="400" w:hanging="316"/>
        <w:spacing w:after="0" w:line="227" w:lineRule="auto"/>
        <w:tabs>
          <w:tab w:leader="none" w:pos="308"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Goodwill is calculated as total consideration transferred, net of cash acquired, less identified net assets acquired. It represents the value that we expect to obtain from growth opportunities from our combined operations and is not deductible for tax purposes.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 Forma Results of Operations</w:t>
      </w:r>
    </w:p>
    <w:p>
      <w:pPr>
        <w:spacing w:after="0" w:line="11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7"/>
          <w:szCs w:val="17"/>
          <w:color w:val="auto"/>
        </w:rPr>
        <w:t>The following unaudited pro forma information presents the combined results of operations of Marriott Vacations Worldwide and Legacy-Welk as if we had completed the Welk Acquisition on December 31, 2019, the last day of our 2019 fiscal year, but using the fair values of assets and liabilities as of the Welk Acquisition Date set forth above. As required by GAAP, these unaudited pro forma results do not reflect any synergies from operating efficiencies. Accordingly, these unaudited pro forma results are presented for informational purposes only and are not necessarily indicative of what the actual results of operations of the combined company would have been if the Welk Acquisition had occurred at the beginning of the period presented, nor are they indicative of future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Welk Acquisition-related costs included in the unaudited pro forma results below for the nine months ended September 30, 2021.</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0"/>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data)</w:t>
            </w:r>
          </w:p>
        </w:tc>
        <w:tc>
          <w:tcPr>
            <w:tcW w:w="8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September 30, 2021</w:t>
            </w:r>
          </w:p>
        </w:tc>
        <w:tc>
          <w:tcPr>
            <w:tcW w:w="2900" w:type="dxa"/>
            <w:vAlign w:val="bottom"/>
          </w:tcPr>
          <w:p>
            <w:pPr>
              <w:spacing w:after="0"/>
              <w:rPr>
                <w:sz w:val="18"/>
                <w:szCs w:val="18"/>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2,837</w:t>
            </w:r>
          </w:p>
        </w:tc>
        <w:tc>
          <w:tcPr>
            <w:tcW w:w="2900" w:type="dxa"/>
            <w:vAlign w:val="bottom"/>
          </w:tcPr>
          <w:p>
            <w:pPr>
              <w:spacing w:after="0"/>
              <w:rPr>
                <w:sz w:val="19"/>
                <w:szCs w:val="19"/>
                <w:color w:val="auto"/>
              </w:rPr>
            </w:pPr>
          </w:p>
        </w:tc>
      </w:tr>
      <w:tr>
        <w:trPr>
          <w:trHeight w:val="246"/>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900" w:type="dxa"/>
            <w:vAlign w:val="bottom"/>
          </w:tcPr>
          <w:p>
            <w:pPr>
              <w:spacing w:after="0"/>
              <w:rPr>
                <w:sz w:val="21"/>
                <w:szCs w:val="21"/>
                <w:color w:val="auto"/>
              </w:rPr>
            </w:pPr>
          </w:p>
        </w:tc>
      </w:tr>
      <w:tr>
        <w:trPr>
          <w:trHeight w:val="24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common shareholders</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900" w:type="dxa"/>
            <w:vAlign w:val="bottom"/>
          </w:tcPr>
          <w:p>
            <w:pPr>
              <w:spacing w:after="0"/>
              <w:rPr>
                <w:sz w:val="21"/>
                <w:szCs w:val="21"/>
                <w:color w:val="auto"/>
              </w:rPr>
            </w:pPr>
          </w:p>
        </w:tc>
      </w:tr>
      <w:tr>
        <w:trPr>
          <w:trHeight w:val="240"/>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LOSS PER SHARE ATTRIBUTABLE TO COMMON SHAREHOLDERS</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253"/>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2900" w:type="dxa"/>
            <w:vAlign w:val="bottom"/>
          </w:tcPr>
          <w:p>
            <w:pPr>
              <w:spacing w:after="0"/>
              <w:rPr>
                <w:sz w:val="21"/>
                <w:szCs w:val="21"/>
                <w:color w:val="auto"/>
              </w:rPr>
            </w:pPr>
          </w:p>
        </w:tc>
      </w:tr>
      <w:tr>
        <w:trPr>
          <w:trHeight w:val="246"/>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2900" w:type="dxa"/>
            <w:vAlign w:val="bottom"/>
          </w:tcPr>
          <w:p>
            <w:pPr>
              <w:spacing w:after="0"/>
              <w:rPr>
                <w:sz w:val="21"/>
                <w:szCs w:val="21"/>
                <w:color w:val="auto"/>
              </w:rPr>
            </w:pPr>
          </w:p>
        </w:tc>
      </w:tr>
      <w:tr>
        <w:trPr>
          <w:trHeight w:val="557"/>
        </w:trPr>
        <w:tc>
          <w:tcPr>
            <w:tcW w:w="5700" w:type="dxa"/>
            <w:vAlign w:val="bottom"/>
          </w:tcPr>
          <w:p>
            <w:pPr>
              <w:spacing w:after="0"/>
              <w:rPr>
                <w:sz w:val="24"/>
                <w:szCs w:val="24"/>
                <w:color w:val="auto"/>
              </w:rPr>
            </w:pPr>
          </w:p>
        </w:tc>
        <w:tc>
          <w:tcPr>
            <w:tcW w:w="82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11</w:t>
            </w: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447"/>
        </w:trPr>
        <w:tc>
          <w:tcPr>
            <w:tcW w:w="57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Legacy-Welk Results of Operations</w:t>
      </w:r>
    </w:p>
    <w:p>
      <w:pPr>
        <w:spacing w:after="0" w:line="118"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7"/>
          <w:szCs w:val="17"/>
          <w:color w:val="auto"/>
        </w:rPr>
        <w:t>The following table presents the results of Legacy-Welk operations included in our Income Statement for the three months and nine months ended September 30, 2022 and September 30, 2021.</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8"/>
                <w:szCs w:val="18"/>
                <w:color w:val="auto"/>
              </w:rPr>
            </w:pPr>
          </w:p>
        </w:tc>
        <w:tc>
          <w:tcPr>
            <w:tcW w:w="2520" w:type="dxa"/>
            <w:vAlign w:val="bottom"/>
            <w:gridSpan w:val="4"/>
          </w:tcPr>
          <w:p>
            <w:pPr>
              <w:jc w:val="right"/>
              <w:ind w:right="578"/>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1"/>
        </w:trPr>
        <w:tc>
          <w:tcPr>
            <w:tcW w:w="29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78"/>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78"/>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r>
      <w:tr>
        <w:trPr>
          <w:trHeight w:val="206"/>
        </w:trPr>
        <w:tc>
          <w:tcPr>
            <w:tcW w:w="2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41"/>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59"/>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bl>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Acquisitions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Bali</w:t>
      </w:r>
    </w:p>
    <w:p>
      <w:pPr>
        <w:spacing w:after="0" w:line="120"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7"/>
          <w:szCs w:val="17"/>
          <w:color w:val="auto"/>
        </w:rPr>
        <w:t>During the first quarter of 2022, we acquired 88 completed vacation ownership units, as well as a sales center, located in Bali, Indonesia for $36 million. The transaction was accounted for as an asset acquisition with the purchase price allocated to Property and equipment. As consideration for the acquisition, we paid $12 million in cash and issued a non-interest bearing note payable for $11 million. Further, we reclassified $13 million of previous deposits associated with the project from Other assets to Property and equipment.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Dispositions</w:t>
      </w:r>
    </w:p>
    <w:p>
      <w:pPr>
        <w:spacing w:after="0" w:line="120"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On April 29, 2022, we disposed of VRI Americas for proceeds of $56 million, net of cash and restricted cash transferred to the buyer of $12 million, after determining that this business was not a core component of our future growth strategy and operating model. The results of VRI Americas are included in our Exchange and Third-Party Management segment through the date of the sale. The net carrying value of VRI Americas as of the date of the disposition was $51 million, including $25 million of goodwill and $20 million of intangible assets. As a result of the disposition, we recorded a gain of $1 million and $17 million in (Losses) gains and other (expense) income, net on our Income Statements for the three and nine months ended September 30, 2022, respectively.</w:t>
      </w:r>
    </w:p>
    <w:p>
      <w:pPr>
        <w:spacing w:after="0" w:line="1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Additionally, on June 28, 2022, we disposed of entities that owned and operated a Vacation Ownership segment hotel in Puerto Vallarta, Mexico, for proceeds of $38 million, net of cash and restricted cash transferred to the buyer of $3 million, consistent with our development strategy to dispose of non-strategic assets. The net carrying value of the business disposed of as of the date of the disposition, excluding the cumulative translation adjustment, was $18 million, substantially all of which was property and equipment. As a result of this disposition, we recorded a gain of $33 million in (Losses) gains and other (expense) income, net on our Income Statements for the nine months ended September 30, 2022, which included the realization of cumulative foreign currency translation gains of $10 million associated with the disposition of these entities.</w:t>
      </w:r>
    </w:p>
    <w:p>
      <w:pPr>
        <w:spacing w:after="0" w:line="22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4.</w:t>
        <w:tab/>
        <w:t>REVENUE AND RECEIVABLES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of Revenue by Segment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9"/>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w w:val="96"/>
              </w:rPr>
              <w:t>Three Months Ended September 30, 2022</w:t>
            </w:r>
          </w:p>
        </w:tc>
        <w:tc>
          <w:tcPr>
            <w:tcW w:w="840" w:type="dxa"/>
            <w:vAlign w:val="bottom"/>
            <w:tcBorders>
              <w:bottom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Vacation</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40"/>
              <w:spacing w:after="0" w:line="152" w:lineRule="exact"/>
              <w:rPr>
                <w:sz w:val="20"/>
                <w:szCs w:val="20"/>
                <w:color w:val="auto"/>
              </w:rPr>
            </w:pPr>
            <w:r>
              <w:rPr>
                <w:rFonts w:ascii="Times New Roman" w:cs="Times New Roman" w:eastAsia="Times New Roman" w:hAnsi="Times New Roman"/>
                <w:sz w:val="16"/>
                <w:szCs w:val="16"/>
                <w:b w:val="1"/>
                <w:bCs w:val="1"/>
                <w:color w:val="auto"/>
                <w:w w:val="97"/>
              </w:rPr>
              <w:t>Exchange &amp;</w:t>
            </w:r>
          </w:p>
        </w:tc>
        <w:tc>
          <w:tcPr>
            <w:tcW w:w="12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Corporate and</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6"/>
                <w:szCs w:val="16"/>
                <w:b w:val="1"/>
                <w:bCs w:val="1"/>
                <w:color w:val="auto"/>
                <w:w w:val="95"/>
              </w:rPr>
              <w:t>Third-Party</w:t>
            </w:r>
          </w:p>
        </w:tc>
        <w:tc>
          <w:tcPr>
            <w:tcW w:w="122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restart"/>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Ownership</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7"/>
              </w:rPr>
              <w:t>Management</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Ancillary revenues</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Management fee revenues</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Exchange and other services revenues</w:t>
            </w: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Management and exchange</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6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Rental</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6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reimbursements</w:t>
            </w: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Revenue from contracts with customers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1,178</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1,182</w:t>
            </w: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1,252</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3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9"/>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w w:val="96"/>
              </w:rPr>
              <w:t>Three Months Ended September 30, 2021</w:t>
            </w:r>
          </w:p>
        </w:tc>
        <w:tc>
          <w:tcPr>
            <w:tcW w:w="840" w:type="dxa"/>
            <w:vAlign w:val="bottom"/>
            <w:tcBorders>
              <w:bottom w:val="single" w:sz="8" w:color="auto"/>
            </w:tcBorders>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Vacation</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40"/>
              <w:spacing w:after="0" w:line="152" w:lineRule="exact"/>
              <w:rPr>
                <w:sz w:val="20"/>
                <w:szCs w:val="20"/>
                <w:color w:val="auto"/>
              </w:rPr>
            </w:pPr>
            <w:r>
              <w:rPr>
                <w:rFonts w:ascii="Times New Roman" w:cs="Times New Roman" w:eastAsia="Times New Roman" w:hAnsi="Times New Roman"/>
                <w:sz w:val="16"/>
                <w:szCs w:val="16"/>
                <w:b w:val="1"/>
                <w:bCs w:val="1"/>
                <w:color w:val="auto"/>
                <w:w w:val="97"/>
              </w:rPr>
              <w:t>Exchange &amp;</w:t>
            </w:r>
          </w:p>
        </w:tc>
        <w:tc>
          <w:tcPr>
            <w:tcW w:w="12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Corporate and</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6"/>
                <w:szCs w:val="16"/>
                <w:b w:val="1"/>
                <w:bCs w:val="1"/>
                <w:color w:val="auto"/>
                <w:w w:val="95"/>
              </w:rPr>
              <w:t>Third-Party</w:t>
            </w:r>
          </w:p>
        </w:tc>
        <w:tc>
          <w:tcPr>
            <w:tcW w:w="122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restart"/>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Ownership</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7"/>
              </w:rPr>
              <w:t>Management</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Ancillary revenues</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Management fee revenues</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Exchange and other services revenues</w:t>
            </w: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Management and exchange</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6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Rental</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6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reimbursements</w:t>
            </w: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Revenue from contracts with customers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974</w:t>
            </w: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1,052</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3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13</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3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6"/>
                <w:szCs w:val="16"/>
                <w:b w:val="1"/>
                <w:bCs w:val="1"/>
                <w:color w:val="auto"/>
                <w:w w:val="96"/>
              </w:rPr>
              <w:t>Nine Months Ended September 30, 2022</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Vacation</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40"/>
              <w:spacing w:after="0" w:line="178" w:lineRule="exact"/>
              <w:rPr>
                <w:sz w:val="20"/>
                <w:szCs w:val="20"/>
                <w:color w:val="auto"/>
              </w:rPr>
            </w:pPr>
            <w:r>
              <w:rPr>
                <w:rFonts w:ascii="Times New Roman" w:cs="Times New Roman" w:eastAsia="Times New Roman" w:hAnsi="Times New Roman"/>
                <w:sz w:val="16"/>
                <w:szCs w:val="16"/>
                <w:b w:val="1"/>
                <w:bCs w:val="1"/>
                <w:color w:val="auto"/>
                <w:w w:val="97"/>
              </w:rPr>
              <w:t>Exchange &amp;</w:t>
            </w:r>
          </w:p>
        </w:tc>
        <w:tc>
          <w:tcPr>
            <w:tcW w:w="124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Corporate and</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6"/>
                <w:szCs w:val="16"/>
                <w:b w:val="1"/>
                <w:bCs w:val="1"/>
                <w:color w:val="auto"/>
                <w:w w:val="95"/>
              </w:rPr>
              <w:t>Third-Party</w:t>
            </w:r>
          </w:p>
        </w:tc>
        <w:tc>
          <w:tcPr>
            <w:tcW w:w="1240" w:type="dxa"/>
            <w:vAlign w:val="bottom"/>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Ownership</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7"/>
              </w:rPr>
              <w:t>Management</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1,179</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1,179</w:t>
            </w: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Ancillary revenues</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Management fee revenues</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Exchange and other services revenues</w:t>
            </w: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60" w:type="dxa"/>
            <w:vAlign w:val="bottom"/>
            <w:tcBorders>
              <w:bottom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4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Management and exchange</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w:t>
            </w: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6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Rental</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6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reimbursements</w:t>
            </w: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1,026</w:t>
            </w: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Revenue from contracts with customers</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3,012</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3,251</w:t>
            </w: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3,229</w:t>
            </w:r>
          </w:p>
        </w:tc>
        <w:tc>
          <w:tcPr>
            <w:tcW w:w="6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3,468</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3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6"/>
                <w:szCs w:val="16"/>
                <w:b w:val="1"/>
                <w:bCs w:val="1"/>
                <w:color w:val="auto"/>
                <w:w w:val="96"/>
              </w:rPr>
              <w:t>Nine Months Ended September 30, 2021</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3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Vacation</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40"/>
              <w:spacing w:after="0" w:line="178" w:lineRule="exact"/>
              <w:rPr>
                <w:sz w:val="20"/>
                <w:szCs w:val="20"/>
                <w:color w:val="auto"/>
              </w:rPr>
            </w:pPr>
            <w:r>
              <w:rPr>
                <w:rFonts w:ascii="Times New Roman" w:cs="Times New Roman" w:eastAsia="Times New Roman" w:hAnsi="Times New Roman"/>
                <w:sz w:val="16"/>
                <w:szCs w:val="16"/>
                <w:b w:val="1"/>
                <w:bCs w:val="1"/>
                <w:color w:val="auto"/>
                <w:w w:val="97"/>
              </w:rPr>
              <w:t>Exchange &amp;</w:t>
            </w:r>
          </w:p>
        </w:tc>
        <w:tc>
          <w:tcPr>
            <w:tcW w:w="124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Corporate and</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6"/>
                <w:szCs w:val="16"/>
                <w:b w:val="1"/>
                <w:bCs w:val="1"/>
                <w:color w:val="auto"/>
                <w:w w:val="95"/>
              </w:rPr>
              <w:t>Third-Party</w:t>
            </w:r>
          </w:p>
        </w:tc>
        <w:tc>
          <w:tcPr>
            <w:tcW w:w="1240" w:type="dxa"/>
            <w:vAlign w:val="bottom"/>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Ownership</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7"/>
              </w:rPr>
              <w:t>Management</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w:t>
            </w: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3"/>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Ancillary revenues</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Management fee revenues</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Exchange and other services revenues</w:t>
            </w: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60" w:type="dxa"/>
            <w:vAlign w:val="bottom"/>
            <w:tcBorders>
              <w:bottom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4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2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Management and exchange</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w:t>
            </w: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6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Rental</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6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reimbursements</w:t>
            </w: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882</w:t>
            </w: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Revenue from contracts with customers</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2,322</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2,594</w:t>
            </w: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3"/>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2,518</w:t>
            </w:r>
          </w:p>
        </w:tc>
        <w:tc>
          <w:tcPr>
            <w:tcW w:w="6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2,790</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3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3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Timing of Revenue from Contracts with Customers by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detail the timing of revenue from contracts with customers by segment for the time periods presented.</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16"/>
          </w:tcPr>
          <w:p>
            <w:pPr>
              <w:jc w:val="center"/>
              <w:ind w:left="618"/>
              <w:spacing w:after="0"/>
              <w:rPr>
                <w:sz w:val="20"/>
                <w:szCs w:val="20"/>
                <w:color w:val="auto"/>
              </w:rPr>
            </w:pPr>
            <w:r>
              <w:rPr>
                <w:rFonts w:ascii="Times New Roman" w:cs="Times New Roman" w:eastAsia="Times New Roman" w:hAnsi="Times New Roman"/>
                <w:sz w:val="16"/>
                <w:szCs w:val="16"/>
                <w:b w:val="1"/>
                <w:bCs w:val="1"/>
                <w:color w:val="auto"/>
                <w:w w:val="97"/>
              </w:rPr>
              <w:t>Three Months Ended September 30, 2022</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4"/>
              </w:rPr>
              <w:t>Vacation</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260"/>
              <w:spacing w:after="0" w:line="152" w:lineRule="exact"/>
              <w:rPr>
                <w:sz w:val="20"/>
                <w:szCs w:val="20"/>
                <w:color w:val="auto"/>
              </w:rPr>
            </w:pPr>
            <w:r>
              <w:rPr>
                <w:rFonts w:ascii="Times New Roman" w:cs="Times New Roman" w:eastAsia="Times New Roman" w:hAnsi="Times New Roman"/>
                <w:sz w:val="16"/>
                <w:szCs w:val="16"/>
                <w:b w:val="1"/>
                <w:bCs w:val="1"/>
                <w:color w:val="auto"/>
                <w:w w:val="97"/>
              </w:rPr>
              <w:t>Exchange &amp;</w:t>
            </w:r>
          </w:p>
        </w:tc>
        <w:tc>
          <w:tcPr>
            <w:tcW w:w="40" w:type="dxa"/>
            <w:vAlign w:val="bottom"/>
          </w:tcPr>
          <w:p>
            <w:pPr>
              <w:spacing w:after="0"/>
              <w:rPr>
                <w:sz w:val="13"/>
                <w:szCs w:val="13"/>
                <w:color w:val="auto"/>
              </w:rPr>
            </w:pPr>
          </w:p>
        </w:tc>
        <w:tc>
          <w:tcPr>
            <w:tcW w:w="120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Corporate and</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260"/>
              <w:spacing w:after="0" w:line="155" w:lineRule="exact"/>
              <w:rPr>
                <w:sz w:val="20"/>
                <w:szCs w:val="20"/>
                <w:color w:val="auto"/>
              </w:rPr>
            </w:pPr>
            <w:r>
              <w:rPr>
                <w:rFonts w:ascii="Times New Roman" w:cs="Times New Roman" w:eastAsia="Times New Roman" w:hAnsi="Times New Roman"/>
                <w:sz w:val="16"/>
                <w:szCs w:val="16"/>
                <w:b w:val="1"/>
                <w:bCs w:val="1"/>
                <w:color w:val="auto"/>
                <w:w w:val="98"/>
              </w:rPr>
              <w:t>Third-Party</w:t>
            </w:r>
          </w:p>
        </w:tc>
        <w:tc>
          <w:tcPr>
            <w:tcW w:w="40" w:type="dxa"/>
            <w:vAlign w:val="bottom"/>
          </w:tcPr>
          <w:p>
            <w:pPr>
              <w:spacing w:after="0"/>
              <w:rPr>
                <w:sz w:val="13"/>
                <w:szCs w:val="13"/>
                <w:color w:val="auto"/>
              </w:rPr>
            </w:pPr>
          </w:p>
        </w:tc>
        <w:tc>
          <w:tcPr>
            <w:tcW w:w="120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6"/>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7"/>
              </w:rPr>
              <w:t>Ownership</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5"/>
              </w:rPr>
              <w:t>Management</w:t>
            </w:r>
          </w:p>
        </w:tc>
        <w:tc>
          <w:tcPr>
            <w:tcW w:w="12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4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Services transferred over time</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3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w:t>
            </w:r>
          </w:p>
        </w:tc>
        <w:tc>
          <w:tcPr>
            <w:tcW w:w="0" w:type="dxa"/>
            <w:vAlign w:val="bottom"/>
          </w:tcPr>
          <w:p>
            <w:pPr>
              <w:spacing w:after="0"/>
              <w:rPr>
                <w:sz w:val="1"/>
                <w:szCs w:val="1"/>
                <w:color w:val="auto"/>
              </w:rPr>
            </w:pPr>
          </w:p>
        </w:tc>
      </w:tr>
      <w:tr>
        <w:trPr>
          <w:trHeight w:val="246"/>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Goods or services transferred at a point in time</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w:t>
            </w:r>
          </w:p>
        </w:tc>
        <w:tc>
          <w:tcPr>
            <w:tcW w:w="0" w:type="dxa"/>
            <w:vAlign w:val="bottom"/>
          </w:tcPr>
          <w:p>
            <w:pPr>
              <w:spacing w:after="0"/>
              <w:rPr>
                <w:sz w:val="1"/>
                <w:szCs w:val="1"/>
                <w:color w:val="auto"/>
              </w:rPr>
            </w:pPr>
          </w:p>
        </w:tc>
      </w:tr>
      <w:tr>
        <w:trPr>
          <w:trHeight w:val="238"/>
        </w:trPr>
        <w:tc>
          <w:tcPr>
            <w:tcW w:w="36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Revenue from contracts with customers</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1,178</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16"/>
          </w:tcPr>
          <w:p>
            <w:pPr>
              <w:jc w:val="center"/>
              <w:ind w:left="618"/>
              <w:spacing w:after="0"/>
              <w:rPr>
                <w:sz w:val="20"/>
                <w:szCs w:val="20"/>
                <w:color w:val="auto"/>
              </w:rPr>
            </w:pPr>
            <w:r>
              <w:rPr>
                <w:rFonts w:ascii="Times New Roman" w:cs="Times New Roman" w:eastAsia="Times New Roman" w:hAnsi="Times New Roman"/>
                <w:sz w:val="16"/>
                <w:szCs w:val="16"/>
                <w:b w:val="1"/>
                <w:bCs w:val="1"/>
                <w:color w:val="auto"/>
                <w:w w:val="97"/>
              </w:rPr>
              <w:t>Three Months Ended September 30, 2021</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Vacation</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220"/>
              <w:spacing w:after="0" w:line="152" w:lineRule="exact"/>
              <w:rPr>
                <w:sz w:val="20"/>
                <w:szCs w:val="20"/>
                <w:color w:val="auto"/>
              </w:rPr>
            </w:pPr>
            <w:r>
              <w:rPr>
                <w:rFonts w:ascii="Times New Roman" w:cs="Times New Roman" w:eastAsia="Times New Roman" w:hAnsi="Times New Roman"/>
                <w:sz w:val="16"/>
                <w:szCs w:val="16"/>
                <w:b w:val="1"/>
                <w:bCs w:val="1"/>
                <w:color w:val="auto"/>
                <w:w w:val="97"/>
              </w:rPr>
              <w:t>Exchange &amp;</w:t>
            </w:r>
          </w:p>
        </w:tc>
        <w:tc>
          <w:tcPr>
            <w:tcW w:w="40" w:type="dxa"/>
            <w:vAlign w:val="bottom"/>
          </w:tcPr>
          <w:p>
            <w:pPr>
              <w:spacing w:after="0"/>
              <w:rPr>
                <w:sz w:val="13"/>
                <w:szCs w:val="13"/>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Corporate and</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200"/>
              <w:spacing w:after="0" w:line="155" w:lineRule="exact"/>
              <w:rPr>
                <w:sz w:val="20"/>
                <w:szCs w:val="20"/>
                <w:color w:val="auto"/>
              </w:rPr>
            </w:pPr>
            <w:r>
              <w:rPr>
                <w:rFonts w:ascii="Times New Roman" w:cs="Times New Roman" w:eastAsia="Times New Roman" w:hAnsi="Times New Roman"/>
                <w:sz w:val="16"/>
                <w:szCs w:val="16"/>
                <w:b w:val="1"/>
                <w:bCs w:val="1"/>
                <w:color w:val="auto"/>
                <w:w w:val="95"/>
              </w:rPr>
              <w:t>Third-Party</w:t>
            </w:r>
          </w:p>
        </w:tc>
        <w:tc>
          <w:tcPr>
            <w:tcW w:w="40" w:type="dxa"/>
            <w:vAlign w:val="bottom"/>
          </w:tcPr>
          <w:p>
            <w:pPr>
              <w:spacing w:after="0"/>
              <w:rPr>
                <w:sz w:val="13"/>
                <w:szCs w:val="13"/>
                <w:color w:val="auto"/>
              </w:rPr>
            </w:pPr>
          </w:p>
        </w:tc>
        <w:tc>
          <w:tcPr>
            <w:tcW w:w="120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6"/>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Ownership</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Management</w:t>
            </w: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Services transferred over time</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w:t>
            </w:r>
          </w:p>
        </w:tc>
        <w:tc>
          <w:tcPr>
            <w:tcW w:w="3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w:t>
            </w:r>
          </w:p>
        </w:tc>
        <w:tc>
          <w:tcPr>
            <w:tcW w:w="0" w:type="dxa"/>
            <w:vAlign w:val="bottom"/>
          </w:tcPr>
          <w:p>
            <w:pPr>
              <w:spacing w:after="0"/>
              <w:rPr>
                <w:sz w:val="1"/>
                <w:szCs w:val="1"/>
                <w:color w:val="auto"/>
              </w:rPr>
            </w:pPr>
          </w:p>
        </w:tc>
      </w:tr>
      <w:tr>
        <w:trPr>
          <w:trHeight w:val="246"/>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Goods or services transferred at a point in time</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0" w:type="dxa"/>
            <w:vAlign w:val="bottom"/>
          </w:tcPr>
          <w:p>
            <w:pPr>
              <w:spacing w:after="0"/>
              <w:rPr>
                <w:sz w:val="1"/>
                <w:szCs w:val="1"/>
                <w:color w:val="auto"/>
              </w:rPr>
            </w:pPr>
          </w:p>
        </w:tc>
      </w:tr>
      <w:tr>
        <w:trPr>
          <w:trHeight w:val="238"/>
        </w:trPr>
        <w:tc>
          <w:tcPr>
            <w:tcW w:w="36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Revenue from contracts with customers</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w:t>
            </w:r>
          </w:p>
        </w:tc>
        <w:tc>
          <w:tcPr>
            <w:tcW w:w="60" w:type="dxa"/>
            <w:vAlign w:val="bottom"/>
            <w:tcBorders>
              <w:top w:val="single" w:sz="8" w:color="auto"/>
              <w:bottom w:val="single" w:sz="8" w:color="auto"/>
            </w:tcBorders>
            <w:gridSpan w:val="2"/>
            <w:shd w:val="clear" w:color="auto" w:fill="CCEEFF"/>
          </w:tcPr>
          <w:p>
            <w:pPr>
              <w:spacing w:after="0"/>
              <w:rPr>
                <w:sz w:val="20"/>
                <w:szCs w:val="20"/>
                <w:color w:val="auto"/>
              </w:rPr>
            </w:pPr>
          </w:p>
        </w:tc>
        <w:tc>
          <w:tcPr>
            <w:tcW w:w="1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CCEEFF"/>
              <w:bottom w:val="single" w:sz="8" w:color="auto"/>
            </w:tcBorders>
            <w:gridSpan w:val="3"/>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36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15"/>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w w:val="97"/>
              </w:rPr>
              <w:t>Nine Months Ended September 30, 2022</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4"/>
              </w:rPr>
              <w:t>Vacation</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260"/>
              <w:spacing w:after="0" w:line="152" w:lineRule="exact"/>
              <w:rPr>
                <w:sz w:val="20"/>
                <w:szCs w:val="20"/>
                <w:color w:val="auto"/>
              </w:rPr>
            </w:pPr>
            <w:r>
              <w:rPr>
                <w:rFonts w:ascii="Times New Roman" w:cs="Times New Roman" w:eastAsia="Times New Roman" w:hAnsi="Times New Roman"/>
                <w:sz w:val="16"/>
                <w:szCs w:val="16"/>
                <w:b w:val="1"/>
                <w:bCs w:val="1"/>
                <w:color w:val="auto"/>
                <w:w w:val="97"/>
              </w:rPr>
              <w:t>Exchange &amp;</w:t>
            </w:r>
          </w:p>
        </w:tc>
        <w:tc>
          <w:tcPr>
            <w:tcW w:w="40" w:type="dxa"/>
            <w:vAlign w:val="bottom"/>
          </w:tcPr>
          <w:p>
            <w:pPr>
              <w:spacing w:after="0"/>
              <w:rPr>
                <w:sz w:val="13"/>
                <w:szCs w:val="13"/>
                <w:color w:val="auto"/>
              </w:rPr>
            </w:pPr>
          </w:p>
        </w:tc>
        <w:tc>
          <w:tcPr>
            <w:tcW w:w="120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Corporate and</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260"/>
              <w:spacing w:after="0" w:line="155" w:lineRule="exact"/>
              <w:rPr>
                <w:sz w:val="20"/>
                <w:szCs w:val="20"/>
                <w:color w:val="auto"/>
              </w:rPr>
            </w:pPr>
            <w:r>
              <w:rPr>
                <w:rFonts w:ascii="Times New Roman" w:cs="Times New Roman" w:eastAsia="Times New Roman" w:hAnsi="Times New Roman"/>
                <w:sz w:val="16"/>
                <w:szCs w:val="16"/>
                <w:b w:val="1"/>
                <w:bCs w:val="1"/>
                <w:color w:val="auto"/>
                <w:w w:val="98"/>
              </w:rPr>
              <w:t>Third-Party</w:t>
            </w:r>
          </w:p>
        </w:tc>
        <w:tc>
          <w:tcPr>
            <w:tcW w:w="40" w:type="dxa"/>
            <w:vAlign w:val="bottom"/>
          </w:tcPr>
          <w:p>
            <w:pPr>
              <w:spacing w:after="0"/>
              <w:rPr>
                <w:sz w:val="13"/>
                <w:szCs w:val="13"/>
                <w:color w:val="auto"/>
              </w:rPr>
            </w:pPr>
          </w:p>
        </w:tc>
        <w:tc>
          <w:tcPr>
            <w:tcW w:w="120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6"/>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7"/>
              </w:rPr>
              <w:t>Ownership</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5"/>
              </w:rPr>
              <w:t>Management</w:t>
            </w:r>
          </w:p>
        </w:tc>
        <w:tc>
          <w:tcPr>
            <w:tcW w:w="12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4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Services transferred over time</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w:t>
            </w:r>
          </w:p>
        </w:tc>
        <w:tc>
          <w:tcPr>
            <w:tcW w:w="3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10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1,751</w:t>
            </w:r>
          </w:p>
        </w:tc>
        <w:tc>
          <w:tcPr>
            <w:tcW w:w="0" w:type="dxa"/>
            <w:vAlign w:val="bottom"/>
          </w:tcPr>
          <w:p>
            <w:pPr>
              <w:spacing w:after="0"/>
              <w:rPr>
                <w:sz w:val="1"/>
                <w:szCs w:val="1"/>
                <w:color w:val="auto"/>
              </w:rPr>
            </w:pPr>
          </w:p>
        </w:tc>
      </w:tr>
      <w:tr>
        <w:trPr>
          <w:trHeight w:val="246"/>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Goods or services transferred at a point in time</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0" w:type="dxa"/>
            <w:vAlign w:val="bottom"/>
          </w:tcPr>
          <w:p>
            <w:pPr>
              <w:spacing w:after="0"/>
              <w:rPr>
                <w:sz w:val="1"/>
                <w:szCs w:val="1"/>
                <w:color w:val="auto"/>
              </w:rPr>
            </w:pPr>
          </w:p>
        </w:tc>
      </w:tr>
      <w:tr>
        <w:trPr>
          <w:trHeight w:val="238"/>
        </w:trPr>
        <w:tc>
          <w:tcPr>
            <w:tcW w:w="36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Revenue from contracts with customers</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3,012</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10</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3,251</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CCEEFF"/>
              <w:bottom w:val="single" w:sz="8" w:color="auto"/>
            </w:tcBorders>
            <w:gridSpan w:val="3"/>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gridSpan w:val="2"/>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36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15"/>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w w:val="97"/>
              </w:rPr>
              <w:t>Nine Months Ended September 30, 2021</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4"/>
              </w:rPr>
              <w:t>Vacation</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260"/>
              <w:spacing w:after="0" w:line="152" w:lineRule="exact"/>
              <w:rPr>
                <w:sz w:val="20"/>
                <w:szCs w:val="20"/>
                <w:color w:val="auto"/>
              </w:rPr>
            </w:pPr>
            <w:r>
              <w:rPr>
                <w:rFonts w:ascii="Times New Roman" w:cs="Times New Roman" w:eastAsia="Times New Roman" w:hAnsi="Times New Roman"/>
                <w:sz w:val="16"/>
                <w:szCs w:val="16"/>
                <w:b w:val="1"/>
                <w:bCs w:val="1"/>
                <w:color w:val="auto"/>
                <w:w w:val="97"/>
              </w:rPr>
              <w:t>Exchange &amp;</w:t>
            </w:r>
          </w:p>
        </w:tc>
        <w:tc>
          <w:tcPr>
            <w:tcW w:w="40" w:type="dxa"/>
            <w:vAlign w:val="bottom"/>
          </w:tcPr>
          <w:p>
            <w:pPr>
              <w:spacing w:after="0"/>
              <w:rPr>
                <w:sz w:val="13"/>
                <w:szCs w:val="13"/>
                <w:color w:val="auto"/>
              </w:rPr>
            </w:pPr>
          </w:p>
        </w:tc>
        <w:tc>
          <w:tcPr>
            <w:tcW w:w="120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Corporate and</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260"/>
              <w:spacing w:after="0" w:line="155" w:lineRule="exact"/>
              <w:rPr>
                <w:sz w:val="20"/>
                <w:szCs w:val="20"/>
                <w:color w:val="auto"/>
              </w:rPr>
            </w:pPr>
            <w:r>
              <w:rPr>
                <w:rFonts w:ascii="Times New Roman" w:cs="Times New Roman" w:eastAsia="Times New Roman" w:hAnsi="Times New Roman"/>
                <w:sz w:val="16"/>
                <w:szCs w:val="16"/>
                <w:b w:val="1"/>
                <w:bCs w:val="1"/>
                <w:color w:val="auto"/>
                <w:w w:val="98"/>
              </w:rPr>
              <w:t>Third-Party</w:t>
            </w:r>
          </w:p>
        </w:tc>
        <w:tc>
          <w:tcPr>
            <w:tcW w:w="40" w:type="dxa"/>
            <w:vAlign w:val="bottom"/>
          </w:tcPr>
          <w:p>
            <w:pPr>
              <w:spacing w:after="0"/>
              <w:rPr>
                <w:sz w:val="13"/>
                <w:szCs w:val="13"/>
                <w:color w:val="auto"/>
              </w:rPr>
            </w:pPr>
          </w:p>
        </w:tc>
        <w:tc>
          <w:tcPr>
            <w:tcW w:w="120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6"/>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7"/>
              </w:rPr>
              <w:t>Ownership</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5"/>
              </w:rPr>
              <w:t>Management</w:t>
            </w:r>
          </w:p>
        </w:tc>
        <w:tc>
          <w:tcPr>
            <w:tcW w:w="12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4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Services transferred over time</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1,388</w:t>
            </w:r>
          </w:p>
        </w:tc>
        <w:tc>
          <w:tcPr>
            <w:tcW w:w="3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23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1,529</w:t>
            </w:r>
          </w:p>
        </w:tc>
        <w:tc>
          <w:tcPr>
            <w:tcW w:w="0" w:type="dxa"/>
            <w:vAlign w:val="bottom"/>
          </w:tcPr>
          <w:p>
            <w:pPr>
              <w:spacing w:after="0"/>
              <w:rPr>
                <w:sz w:val="1"/>
                <w:szCs w:val="1"/>
                <w:color w:val="auto"/>
              </w:rPr>
            </w:pPr>
          </w:p>
        </w:tc>
      </w:tr>
      <w:tr>
        <w:trPr>
          <w:trHeight w:val="246"/>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Goods or services transferred at a point in time</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1,065</w:t>
            </w:r>
          </w:p>
        </w:tc>
        <w:tc>
          <w:tcPr>
            <w:tcW w:w="0" w:type="dxa"/>
            <w:vAlign w:val="bottom"/>
          </w:tcPr>
          <w:p>
            <w:pPr>
              <w:spacing w:after="0"/>
              <w:rPr>
                <w:sz w:val="1"/>
                <w:szCs w:val="1"/>
                <w:color w:val="auto"/>
              </w:rPr>
            </w:pPr>
          </w:p>
        </w:tc>
      </w:tr>
      <w:tr>
        <w:trPr>
          <w:trHeight w:val="238"/>
        </w:trPr>
        <w:tc>
          <w:tcPr>
            <w:tcW w:w="36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Revenue from contracts with customers</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2,322</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23</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2,594</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 of Vacation Ownership Products</w:t>
      </w:r>
    </w:p>
    <w:p>
      <w:pPr>
        <w:spacing w:after="0" w:line="120"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Revenue declined during the third quarter and first three quarters of 2022 by $22 million and $27 million, respectively, due to changes in our estimates of variable consideration for performance obligations that were satisfied in prior periods.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Receivables from Contracts with Customers, Contract Assets, &amp; Contract Liabilities</w:t>
      </w:r>
    </w:p>
    <w:p>
      <w:pPr>
        <w:spacing w:after="0" w:line="120" w:lineRule="exact"/>
        <w:rPr>
          <w:sz w:val="20"/>
          <w:szCs w:val="20"/>
          <w:color w:val="auto"/>
        </w:rPr>
      </w:pPr>
    </w:p>
    <w:p>
      <w:pPr>
        <w:ind w:right="760"/>
        <w:spacing w:after="0" w:line="292" w:lineRule="auto"/>
        <w:rPr>
          <w:sz w:val="20"/>
          <w:szCs w:val="20"/>
          <w:color w:val="auto"/>
        </w:rPr>
      </w:pPr>
      <w:r>
        <w:rPr>
          <w:rFonts w:ascii="Times New Roman" w:cs="Times New Roman" w:eastAsia="Times New Roman" w:hAnsi="Times New Roman"/>
          <w:sz w:val="17"/>
          <w:szCs w:val="17"/>
          <w:color w:val="auto"/>
        </w:rPr>
        <w:t>The following table shows the composition of our receivables from contracts with customers and contract liabilities. We had no contract assets at either September 30, 2022 or December 31, 2021.</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At September 30, 2022</w:t>
            </w:r>
          </w:p>
        </w:tc>
        <w:tc>
          <w:tcPr>
            <w:tcW w:w="120" w:type="dxa"/>
            <w:vAlign w:val="bottom"/>
          </w:tcPr>
          <w:p>
            <w:pPr>
              <w:spacing w:after="0"/>
              <w:rPr>
                <w:sz w:val="18"/>
                <w:szCs w:val="18"/>
                <w:color w:val="auto"/>
              </w:rPr>
            </w:pPr>
          </w:p>
        </w:tc>
        <w:tc>
          <w:tcPr>
            <w:tcW w:w="166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w w:val="98"/>
              </w:rPr>
              <w:t>At December 31, 2021</w:t>
            </w: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Receivables from Contracts with Customers</w:t>
            </w:r>
          </w:p>
        </w:tc>
        <w:tc>
          <w:tcPr>
            <w:tcW w:w="12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r>
      <w:tr>
        <w:trPr>
          <w:trHeight w:val="246"/>
        </w:trPr>
        <w:tc>
          <w:tcPr>
            <w:tcW w:w="4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and contracts receivable, net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w:t>
            </w:r>
          </w:p>
        </w:tc>
      </w:tr>
      <w:tr>
        <w:trPr>
          <w:trHeight w:val="246"/>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Vacation ownership notes receivable, net</w:t>
            </w:r>
          </w:p>
        </w:tc>
        <w:tc>
          <w:tcPr>
            <w:tcW w:w="12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2,142</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2,045</w:t>
            </w:r>
          </w:p>
        </w:tc>
      </w:tr>
      <w:tr>
        <w:trPr>
          <w:trHeight w:val="213"/>
        </w:trPr>
        <w:tc>
          <w:tcPr>
            <w:tcW w:w="47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2,296</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2,217</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12"/>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Contract Liabilities</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46"/>
        </w:trPr>
        <w:tc>
          <w:tcPr>
            <w:tcW w:w="4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Advance deposits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r>
      <w:tr>
        <w:trPr>
          <w:trHeight w:val="246"/>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revenue</w:t>
            </w:r>
          </w:p>
        </w:tc>
        <w:tc>
          <w:tcPr>
            <w:tcW w:w="12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w:t>
            </w:r>
          </w:p>
        </w:tc>
      </w:tr>
      <w:tr>
        <w:trPr>
          <w:trHeight w:val="213"/>
        </w:trPr>
        <w:tc>
          <w:tcPr>
            <w:tcW w:w="47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613</w:t>
            </w: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right="240"/>
        <w:spacing w:after="0" w:line="292" w:lineRule="auto"/>
        <w:rPr>
          <w:sz w:val="20"/>
          <w:szCs w:val="20"/>
          <w:color w:val="auto"/>
        </w:rPr>
      </w:pPr>
      <w:r>
        <w:rPr>
          <w:rFonts w:ascii="Times New Roman" w:cs="Times New Roman" w:eastAsia="Times New Roman" w:hAnsi="Times New Roman"/>
          <w:sz w:val="17"/>
          <w:szCs w:val="17"/>
          <w:color w:val="auto"/>
        </w:rPr>
        <w:t>Revenue recognized during the third quarter and first three quarters of 2022 that was included in our contract liabilities balance at December 31, 2021 was $93 million and $336 million, respectively.</w:t>
      </w:r>
    </w:p>
    <w:p>
      <w:pPr>
        <w:spacing w:after="0" w:line="19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Remaining Performance Obligations</w:t>
      </w:r>
    </w:p>
    <w:p>
      <w:pPr>
        <w:spacing w:after="0" w:line="12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Our remaining performance obligations represent the expected transaction price allocated to our contracts that we expect to recognize as revenue in future periods when we perform under the contracts. At September 30, 2022, approximately 87% of this amount is expected to be recognized as revenue over the next two years.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and Contracts Receivable</w:t>
      </w:r>
    </w:p>
    <w:p>
      <w:pPr>
        <w:spacing w:after="0" w:line="120"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7"/>
          <w:szCs w:val="17"/>
          <w:color w:val="auto"/>
        </w:rPr>
        <w:t>Accounts and contracts receivable is comprised of amounts due from customers, primarily owners’ associations, resort developers, owners and members, credit card receivables, interest receivables, amounts due from taxing authorities, indemnification assets, and other miscellaneous receivables. The following table shows the composition of our accounts receivable balances: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At September 30, 2022</w:t>
            </w:r>
          </w:p>
        </w:tc>
        <w:tc>
          <w:tcPr>
            <w:tcW w:w="120" w:type="dxa"/>
            <w:vAlign w:val="bottom"/>
          </w:tcPr>
          <w:p>
            <w:pPr>
              <w:spacing w:after="0"/>
              <w:rPr>
                <w:sz w:val="18"/>
                <w:szCs w:val="18"/>
                <w:color w:val="auto"/>
              </w:rPr>
            </w:pPr>
          </w:p>
        </w:tc>
        <w:tc>
          <w:tcPr>
            <w:tcW w:w="166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w w:val="98"/>
              </w:rPr>
              <w:t>At December 31, 2021</w:t>
            </w: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Receivables from contracts with customers,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r>
      <w:tr>
        <w:trPr>
          <w:trHeight w:val="246"/>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receivable</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4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receivable</w:t>
            </w: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46"/>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Indemnification assets</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4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Employee tax credit receivable</w:t>
            </w: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46"/>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38"/>
        </w:trPr>
        <w:tc>
          <w:tcPr>
            <w:tcW w:w="4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ind w:left="400" w:hanging="379"/>
        <w:spacing w:after="0"/>
        <w:tabs>
          <w:tab w:leader="none" w:pos="40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p>
    <w:p>
      <w:pPr>
        <w:spacing w:after="0" w:line="208" w:lineRule="exact"/>
        <w:rPr>
          <w:sz w:val="20"/>
          <w:szCs w:val="20"/>
          <w:color w:val="auto"/>
        </w:rPr>
      </w:pPr>
    </w:p>
    <w:p>
      <w:pPr>
        <w:jc w:val="both"/>
        <w:ind w:right="40"/>
        <w:spacing w:after="0" w:line="273" w:lineRule="auto"/>
        <w:rPr>
          <w:sz w:val="20"/>
          <w:szCs w:val="20"/>
          <w:color w:val="auto"/>
        </w:rPr>
      </w:pPr>
      <w:r>
        <w:rPr>
          <w:rFonts w:ascii="Times New Roman" w:cs="Times New Roman" w:eastAsia="Times New Roman" w:hAnsi="Times New Roman"/>
          <w:sz w:val="17"/>
          <w:szCs w:val="17"/>
          <w:color w:val="auto"/>
        </w:rPr>
        <w:t>Our provision for income taxes is calculated using an estimated annual effective tax rate, based upon expected annual income, less losses in certain jurisdictions, permanent items, statutory rates and planned tax strategies in the various jurisdictions in which we operate. However, discrete items related to prior year tax items are treated separately.</w:t>
      </w:r>
    </w:p>
    <w:p>
      <w:pPr>
        <w:spacing w:after="0" w:line="59"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Our interim effective tax rate was 34.7% and 81.5% for the three months ended September 30, 2022 and September 30, 2021, respectively. Our interim effective tax rate was 30.6% and 110.6% for the nine months ended September 30, 2022 and September 30, 2021, respectively. The change in the effective tax rate for both the three and nine months ended September 30, 2022 is predominately attributable to an increase in pre-tax income.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Unrecognized Tax Benefits</w:t>
      </w:r>
    </w:p>
    <w:p>
      <w:pPr>
        <w:spacing w:after="0" w:line="120" w:lineRule="exact"/>
        <w:rPr>
          <w:sz w:val="20"/>
          <w:szCs w:val="20"/>
          <w:color w:val="auto"/>
        </w:rPr>
      </w:pPr>
    </w:p>
    <w:p>
      <w:pPr>
        <w:ind w:right="180"/>
        <w:spacing w:after="0" w:line="292" w:lineRule="auto"/>
        <w:rPr>
          <w:sz w:val="20"/>
          <w:szCs w:val="20"/>
          <w:color w:val="auto"/>
        </w:rPr>
      </w:pPr>
      <w:r>
        <w:rPr>
          <w:rFonts w:ascii="Times New Roman" w:cs="Times New Roman" w:eastAsia="Times New Roman" w:hAnsi="Times New Roman"/>
          <w:sz w:val="17"/>
          <w:szCs w:val="17"/>
          <w:color w:val="auto"/>
        </w:rPr>
        <w:t>The following table summarizes the activity related to our unrecognized tax benefits (excluding interest and penalties) during the nine months ended September 30, 2022. These unrecognized tax benefits relate to uncertain income tax positions, which would affect the effective tax rate if recognized.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Unrecognized Tax Benefits</w:t>
            </w:r>
          </w:p>
        </w:tc>
      </w:tr>
      <w:tr>
        <w:trPr>
          <w:trHeight w:val="22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46"/>
        </w:trPr>
        <w:tc>
          <w:tcPr>
            <w:tcW w:w="6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Increases related to tax positions taken during a prior period</w:t>
            </w:r>
          </w:p>
        </w:tc>
        <w:tc>
          <w:tcPr>
            <w:tcW w:w="8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4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Decreases as a result of a lapse of the applicable statute of limitations</w:t>
            </w:r>
          </w:p>
        </w:tc>
        <w:tc>
          <w:tcPr>
            <w:tcW w:w="8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3"/>
        </w:trPr>
        <w:tc>
          <w:tcPr>
            <w:tcW w:w="6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September 30, 2022</w:t>
            </w: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0"/>
        </w:trPr>
        <w:tc>
          <w:tcPr>
            <w:tcW w:w="6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The total amount of gross interest and penalties accrued was $51 million at September 30, 2022 and $42 million at December 31, 2021. We anticipate $15 million of unrecognized tax benefits, including interest and penalties, to be indemnified pursuant to a Tax Matters Agreement dated May 11, 2016 by and among Starwood Hotels &amp; Resorts Worldwide, Inc., Vistana Signature Experiences, Inc., and Interval Leisure Group, Inc., and consequently have recorded a corresponding indemnification asset. The unrecognized tax benefits, including accrued interest and penalties, are included in Other liabilities on our Balance Sheet.</w:t>
      </w:r>
    </w:p>
    <w:p>
      <w:pPr>
        <w:spacing w:after="0" w:line="278" w:lineRule="exact"/>
        <w:rPr>
          <w:sz w:val="20"/>
          <w:szCs w:val="20"/>
          <w:color w:val="auto"/>
        </w:rPr>
      </w:pPr>
    </w:p>
    <w:p>
      <w:pPr>
        <w:ind w:right="200"/>
        <w:spacing w:after="0" w:line="292" w:lineRule="auto"/>
        <w:rPr>
          <w:sz w:val="20"/>
          <w:szCs w:val="20"/>
          <w:color w:val="auto"/>
        </w:rPr>
      </w:pPr>
      <w:r>
        <w:rPr>
          <w:rFonts w:ascii="Times New Roman" w:cs="Times New Roman" w:eastAsia="Times New Roman" w:hAnsi="Times New Roman"/>
          <w:sz w:val="17"/>
          <w:szCs w:val="17"/>
          <w:color w:val="auto"/>
        </w:rPr>
        <w:t>Our income tax returns are subject to examination by relevant tax authorities. Certain of our returns are being audited in various jurisdictions for tax years 2007 through 2020. The amount of the unrecognized tax benefits may increase or decrease within the next twelve months as a result of audits or audit settlements.</w:t>
      </w:r>
    </w:p>
    <w:p>
      <w:pPr>
        <w:spacing w:after="0" w:line="21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0" w:hanging="379"/>
        <w:spacing w:after="0"/>
        <w:tabs>
          <w:tab w:leader="none" w:pos="40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VACATION OWNERSHIP NOTES RECEIVABLE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composition of our vacation ownership notes receivable balances, net of reserves.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6"/>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w w:val="95"/>
              </w:rPr>
              <w:t>December 31, 2021</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r>
      <w:tr>
        <w:trPr>
          <w:trHeight w:val="202"/>
        </w:trPr>
        <w:tc>
          <w:tcPr>
            <w:tcW w:w="2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w w:val="96"/>
              </w:rPr>
              <w:t>Originated</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w w:val="96"/>
              </w:rPr>
              <w:t>Acquired</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Originated</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w w:val="96"/>
              </w:rPr>
              <w:t>Acquired</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8"/>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Securitized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1,308</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1,662</w:t>
            </w:r>
          </w:p>
        </w:tc>
      </w:tr>
      <w:tr>
        <w:trPr>
          <w:trHeight w:val="246"/>
        </w:trPr>
        <w:tc>
          <w:tcPr>
            <w:tcW w:w="20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Non-securitized</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46"/>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Eligible for securitization</w:t>
            </w:r>
            <w:r>
              <w:rPr>
                <w:rFonts w:ascii="Times New Roman" w:cs="Times New Roman" w:eastAsia="Times New Roman" w:hAnsi="Times New Roman"/>
                <w:sz w:val="10"/>
                <w:szCs w:val="10"/>
                <w:color w:val="auto"/>
              </w:rPr>
              <w:t>(1)</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169"/>
        </w:trPr>
        <w:tc>
          <w:tcPr>
            <w:tcW w:w="2080" w:type="dxa"/>
            <w:vAlign w:val="bottom"/>
          </w:tcPr>
          <w:p>
            <w:pPr>
              <w:ind w:left="120"/>
              <w:spacing w:after="0" w:line="168" w:lineRule="exact"/>
              <w:rPr>
                <w:sz w:val="20"/>
                <w:szCs w:val="20"/>
                <w:color w:val="auto"/>
              </w:rPr>
            </w:pPr>
            <w:r>
              <w:rPr>
                <w:rFonts w:ascii="Times New Roman" w:cs="Times New Roman" w:eastAsia="Times New Roman" w:hAnsi="Times New Roman"/>
                <w:sz w:val="17"/>
                <w:szCs w:val="17"/>
                <w:color w:val="auto"/>
              </w:rPr>
              <w:t>Not eligible for</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33"/>
        </w:trPr>
        <w:tc>
          <w:tcPr>
            <w:tcW w:w="2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securitization</w:t>
            </w:r>
            <w:r>
              <w:rPr>
                <w:rFonts w:ascii="Times New Roman" w:cs="Times New Roman" w:eastAsia="Times New Roman" w:hAnsi="Times New Roman"/>
                <w:sz w:val="10"/>
                <w:szCs w:val="10"/>
                <w:color w:val="auto"/>
              </w:rPr>
              <w:t>(1)</w:t>
            </w: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w:t>
            </w:r>
          </w:p>
        </w:tc>
      </w:tr>
      <w:tr>
        <w:trPr>
          <w:trHeight w:val="226"/>
        </w:trPr>
        <w:tc>
          <w:tcPr>
            <w:tcW w:w="2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Subtotal</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r>
      <w:tr>
        <w:trPr>
          <w:trHeight w:val="213"/>
        </w:trPr>
        <w:tc>
          <w:tcPr>
            <w:tcW w:w="20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1,671</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2,045</w:t>
            </w:r>
          </w:p>
        </w:tc>
      </w:tr>
      <w:tr>
        <w:trPr>
          <w:trHeight w:val="20"/>
        </w:trPr>
        <w:tc>
          <w:tcPr>
            <w:tcW w:w="2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37" w:lineRule="exact"/>
        <w:rPr>
          <w:sz w:val="20"/>
          <w:szCs w:val="20"/>
          <w:color w:val="auto"/>
        </w:rPr>
      </w:pPr>
    </w:p>
    <w:p>
      <w:pPr>
        <w:ind w:left="300" w:hanging="296"/>
        <w:spacing w:after="0"/>
        <w:tabs>
          <w:tab w:leader="none" w:pos="30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Refer to Footnote 7 “Financial Instruments” for a discussion of eligibility of our vacation ownership notes receivable for securitization.</w:t>
      </w:r>
    </w:p>
    <w:p>
      <w:pPr>
        <w:spacing w:after="0" w:line="189"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7"/>
          <w:szCs w:val="17"/>
          <w:color w:val="auto"/>
        </w:rPr>
        <w:t>We reflect interest income associated with vacation ownership notes receivable in our Income Statements in the Financing revenues caption. The following table summarizes interest income associated with vacation ownership notes receivable.</w:t>
      </w:r>
    </w:p>
    <w:tbl>
      <w:tblPr>
        <w:tblLayout w:type="fixed"/>
        <w:tblInd w:w="0" w:type="dxa"/>
        <w:tblCellMar>
          <w:top w:w="0" w:type="dxa"/>
          <w:left w:w="0" w:type="dxa"/>
          <w:bottom w:w="0" w:type="dxa"/>
          <w:right w:w="0" w:type="dxa"/>
        </w:tblCellMar>
      </w:tblPr>
      <w:tr>
        <w:trPr>
          <w:trHeight w:val="208"/>
        </w:trPr>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2340" w:type="dxa"/>
            <w:vAlign w:val="bottom"/>
            <w:gridSpan w:val="4"/>
          </w:tcPr>
          <w:p>
            <w:pPr>
              <w:jc w:val="right"/>
              <w:ind w:right="477"/>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51"/>
        </w:trPr>
        <w:tc>
          <w:tcPr>
            <w:tcW w:w="3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77"/>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7"/>
              <w:spacing w:after="0" w:line="152"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0" w:type="dxa"/>
            <w:vAlign w:val="bottom"/>
          </w:tcPr>
          <w:p>
            <w:pPr>
              <w:spacing w:after="0"/>
              <w:rPr>
                <w:sz w:val="1"/>
                <w:szCs w:val="1"/>
                <w:color w:val="auto"/>
              </w:rPr>
            </w:pPr>
          </w:p>
        </w:tc>
      </w:tr>
      <w:tr>
        <w:trPr>
          <w:trHeight w:val="206"/>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50"/>
        </w:trPr>
        <w:tc>
          <w:tcPr>
            <w:tcW w:w="316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7"/>
                <w:szCs w:val="17"/>
                <w:color w:val="auto"/>
              </w:rPr>
              <w:t>Interest income associated with vacation</w:t>
            </w: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ownership notes receivable — securitized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0" w:type="dxa"/>
            <w:vAlign w:val="bottom"/>
          </w:tcPr>
          <w:p>
            <w:pPr>
              <w:spacing w:after="0"/>
              <w:rPr>
                <w:sz w:val="1"/>
                <w:szCs w:val="1"/>
                <w:color w:val="auto"/>
              </w:rPr>
            </w:pPr>
          </w:p>
        </w:tc>
      </w:tr>
      <w:tr>
        <w:trPr>
          <w:trHeight w:val="169"/>
        </w:trPr>
        <w:tc>
          <w:tcPr>
            <w:tcW w:w="316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Interest income associated with vacation</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16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ownership notes receivable — non-</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securitized</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Total interest income associated with</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0" w:type="dxa"/>
            <w:vAlign w:val="bottom"/>
          </w:tcPr>
          <w:p>
            <w:pPr>
              <w:spacing w:after="0"/>
              <w:rPr>
                <w:sz w:val="1"/>
                <w:szCs w:val="1"/>
                <w:color w:val="auto"/>
              </w:rPr>
            </w:pPr>
          </w:p>
        </w:tc>
      </w:tr>
      <w:tr>
        <w:trPr>
          <w:trHeight w:val="227"/>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 notes receivable</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Quality Indicators - Vacation Ownership Notes Receivable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Third Quarter of 2022</w:t>
      </w:r>
    </w:p>
    <w:p>
      <w:pPr>
        <w:spacing w:after="0" w:line="12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The estimates of the variable consideration for originated vacation ownership notes receivable and the reserve for credit losses on the acquired vacation ownership notes receivable are based on default rates that are an output of our static pool analyses and estimates regarding future defaults. In 2020, we recorded an additional $69 million of reserve on vacation ownership notes receivable attributed to the elevated default rates expected as a result of the COVID-19 pandemic. At that time, we allocated $59 million of the reserve to our originated vacation ownership notes receivable reserve and $10 million to our acquired vacation ownership notes receivable reserve. Given the uncertainty as to which vacation ownership notes receivable (originated or acquired) would default, from 2020 through the second quarter of 2022 we assessed the sufficiency of our reserves for all vacation ownership notes receivable in total.</w:t>
      </w:r>
    </w:p>
    <w:p>
      <w:pPr>
        <w:spacing w:after="0" w:line="68"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7"/>
          <w:szCs w:val="17"/>
          <w:color w:val="auto"/>
        </w:rPr>
        <w:t>In the third quarter of 2022, in connection with the stabilization of default rates and the alignment and combination of the reserves for Marriott-, Sheraton-, and Westin-brands (see Footnote 2 “Significant Accounting Policies and Recent Accounting Standards”), we recorded a reversal of credit loss expense for the acquired vacation ownership notes receivable of $19 million in Financing expense and an increase in the reserve for our originated vacation ownership notes receivable of $21 million, which was recorded as a reduction of sales of vacation ownership products revenues.</w:t>
      </w:r>
    </w:p>
    <w:p>
      <w:pPr>
        <w:spacing w:after="0" w:line="64" w:lineRule="exact"/>
        <w:rPr>
          <w:sz w:val="20"/>
          <w:szCs w:val="20"/>
          <w:color w:val="auto"/>
        </w:rPr>
      </w:pPr>
    </w:p>
    <w:p>
      <w:pPr>
        <w:ind w:right="560"/>
        <w:spacing w:after="0" w:line="273" w:lineRule="auto"/>
        <w:rPr>
          <w:sz w:val="20"/>
          <w:szCs w:val="20"/>
          <w:color w:val="auto"/>
        </w:rPr>
      </w:pPr>
      <w:r>
        <w:rPr>
          <w:rFonts w:ascii="Times New Roman" w:cs="Times New Roman" w:eastAsia="Times New Roman" w:hAnsi="Times New Roman"/>
          <w:sz w:val="17"/>
          <w:szCs w:val="17"/>
          <w:color w:val="auto"/>
        </w:rPr>
        <w:t>In the third quarter of 2022, in connection with the use of FICO scores of the customer as a primary credit quality indicator for all brands (see Footnote 2 “Significant Accounting Policies and Recent Accounting Standards”), the weighted average FICO score within our consolidated vacation ownership notes receivable pool was 720 at September 30, 2022, based upon the FICO score of the borrower at the time of origination.</w:t>
      </w:r>
    </w:p>
    <w:p>
      <w:pPr>
        <w:spacing w:after="0" w:line="2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Prior to Third Quarter of 2022</w:t>
      </w:r>
    </w:p>
    <w:p>
      <w:pPr>
        <w:spacing w:after="0" w:line="12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Prior to the third quarter of 2022, we used the aging of the vacation ownership notes receivable as the primary credit quality indicator for Legacy-MVW vacation ownership notes receivable, and FICO score by brand as the primary credit quality indicator for the Sheraton, Westin, Hyatt and Welk vacation ownership notes receivable.</w:t>
      </w:r>
    </w:p>
    <w:p>
      <w:pPr>
        <w:spacing w:after="0" w:line="59"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17"/>
          <w:szCs w:val="17"/>
          <w:color w:val="auto"/>
        </w:rPr>
        <w:t>At December 31, 2021, the weighted average FICO score within our consolidated Legacy-ILG and Legacy-Welk vacation ownership notes receivable pools was 707, based upon the FICO score of the borrower at the time of origination.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Acquired Vacation Ownership Notes Receivable</w:t>
      </w:r>
    </w:p>
    <w:p>
      <w:pPr>
        <w:spacing w:after="0" w:line="120"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Acquired vacation ownership notes receivable represent vacation ownership notes receivable acquired as part of the ILG Acquisition and the Welk Acquisition. The following table shows future contractual principal payments, net of reserves, and interest rates for our acquired vacation ownership notes receivable at September 30, 2022.</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20" w:type="dxa"/>
            <w:vAlign w:val="bottom"/>
            <w:tcBorders>
              <w:bottom w:val="single" w:sz="8" w:color="auto"/>
            </w:tcBorders>
            <w:gridSpan w:val="7"/>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6"/>
              </w:rPr>
              <w:t>Acquired Vacation Ownership Notes Receivable</w:t>
            </w:r>
          </w:p>
        </w:tc>
        <w:tc>
          <w:tcPr>
            <w:tcW w:w="0" w:type="dxa"/>
            <w:vAlign w:val="bottom"/>
          </w:tcPr>
          <w:p>
            <w:pPr>
              <w:spacing w:after="0"/>
              <w:rPr>
                <w:sz w:val="1"/>
                <w:szCs w:val="1"/>
                <w:color w:val="auto"/>
              </w:rPr>
            </w:pPr>
          </w:p>
        </w:tc>
      </w:tr>
      <w:tr>
        <w:trPr>
          <w:trHeight w:val="202"/>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Pr>
          <w:p>
            <w:pPr>
              <w:spacing w:after="0"/>
              <w:rPr>
                <w:sz w:val="17"/>
                <w:szCs w:val="17"/>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Non-Securitized</w:t>
            </w:r>
          </w:p>
        </w:tc>
        <w:tc>
          <w:tcPr>
            <w:tcW w:w="180" w:type="dxa"/>
            <w:vAlign w:val="bottom"/>
          </w:tcPr>
          <w:p>
            <w:pPr>
              <w:spacing w:after="0"/>
              <w:rPr>
                <w:sz w:val="17"/>
                <w:szCs w:val="17"/>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Securitized</w:t>
            </w:r>
          </w:p>
        </w:tc>
        <w:tc>
          <w:tcPr>
            <w:tcW w:w="160" w:type="dxa"/>
            <w:vAlign w:val="bottom"/>
          </w:tcPr>
          <w:p>
            <w:pPr>
              <w:spacing w:after="0"/>
              <w:rPr>
                <w:sz w:val="17"/>
                <w:szCs w:val="17"/>
                <w:color w:val="auto"/>
              </w:rPr>
            </w:pP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228"/>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 remaining</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46"/>
        </w:trPr>
        <w:tc>
          <w:tcPr>
            <w:tcW w:w="3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4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46"/>
        </w:trPr>
        <w:tc>
          <w:tcPr>
            <w:tcW w:w="3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4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46"/>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238"/>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September 30,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Weighted average stated interest rate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center"/>
              <w:ind w:right="75"/>
              <w:spacing w:after="0" w:line="193" w:lineRule="exact"/>
              <w:rPr>
                <w:sz w:val="20"/>
                <w:szCs w:val="20"/>
                <w:color w:val="auto"/>
              </w:rPr>
            </w:pPr>
            <w:r>
              <w:rPr>
                <w:rFonts w:ascii="Times New Roman" w:cs="Times New Roman" w:eastAsia="Times New Roman" w:hAnsi="Times New Roman"/>
                <w:sz w:val="17"/>
                <w:szCs w:val="17"/>
                <w:color w:val="auto"/>
              </w:rPr>
              <w:t>13.9%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center"/>
              <w:ind w:right="94"/>
              <w:spacing w:after="0" w:line="193" w:lineRule="exact"/>
              <w:rPr>
                <w:sz w:val="20"/>
                <w:szCs w:val="20"/>
                <w:color w:val="auto"/>
              </w:rPr>
            </w:pPr>
            <w:r>
              <w:rPr>
                <w:rFonts w:ascii="Times New Roman" w:cs="Times New Roman" w:eastAsia="Times New Roman" w:hAnsi="Times New Roman"/>
                <w:sz w:val="17"/>
                <w:szCs w:val="17"/>
                <w:color w:val="auto"/>
              </w:rPr>
              <w:t>14.2%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74"/>
              <w:spacing w:after="0" w:line="193" w:lineRule="exact"/>
              <w:rPr>
                <w:sz w:val="20"/>
                <w:szCs w:val="20"/>
                <w:color w:val="auto"/>
              </w:rPr>
            </w:pPr>
            <w:r>
              <w:rPr>
                <w:rFonts w:ascii="Times New Roman" w:cs="Times New Roman" w:eastAsia="Times New Roman" w:hAnsi="Times New Roman"/>
                <w:sz w:val="17"/>
                <w:szCs w:val="17"/>
                <w:color w:val="auto"/>
              </w:rPr>
              <w:t>14.1%</w:t>
            </w:r>
          </w:p>
        </w:tc>
        <w:tc>
          <w:tcPr>
            <w:tcW w:w="0" w:type="dxa"/>
            <w:vAlign w:val="bottom"/>
          </w:tcPr>
          <w:p>
            <w:pPr>
              <w:spacing w:after="0"/>
              <w:rPr>
                <w:sz w:val="1"/>
                <w:szCs w:val="1"/>
                <w:color w:val="auto"/>
              </w:rPr>
            </w:pPr>
          </w:p>
        </w:tc>
      </w:tr>
      <w:tr>
        <w:trPr>
          <w:trHeight w:val="24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Range of stated interest rates</w:t>
            </w:r>
          </w:p>
        </w:tc>
        <w:tc>
          <w:tcPr>
            <w:tcW w:w="1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7"/>
                <w:szCs w:val="17"/>
                <w:color w:val="auto"/>
              </w:rPr>
              <w:t>0.0% to 21.9%</w:t>
            </w:r>
          </w:p>
        </w:tc>
        <w:tc>
          <w:tcPr>
            <w:tcW w:w="1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7"/>
                <w:szCs w:val="17"/>
                <w:color w:val="auto"/>
              </w:rPr>
              <w:t>0.0% to 21.9%</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center"/>
              <w:ind w:right="74"/>
              <w:spacing w:after="0"/>
              <w:rPr>
                <w:sz w:val="20"/>
                <w:szCs w:val="20"/>
                <w:color w:val="auto"/>
              </w:rPr>
            </w:pPr>
            <w:r>
              <w:rPr>
                <w:rFonts w:ascii="Times New Roman" w:cs="Times New Roman" w:eastAsia="Times New Roman" w:hAnsi="Times New Roman"/>
                <w:sz w:val="17"/>
                <w:szCs w:val="17"/>
                <w:color w:val="auto"/>
              </w:rPr>
              <w:t>0.0% to 21.9%</w:t>
            </w: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activity related to our acquired vacation ownership notes receivable reserve.</w:t>
      </w:r>
    </w:p>
    <w:p>
      <w:pPr>
        <w:spacing w:after="0" w:line="15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b w:val="1"/>
          <w:bCs w:val="1"/>
          <w:color w:val="auto"/>
        </w:rPr>
        <w:t>Acquired Vacation Ownership Notes Receivable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2307590</wp:posOffset>
            </wp:positionH>
            <wp:positionV relativeFrom="paragraph">
              <wp:posOffset>16510</wp:posOffset>
            </wp:positionV>
            <wp:extent cx="30295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29585" cy="8255"/>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3840" w:val="left"/>
          <w:tab w:leader="none" w:pos="5640" w:val="left"/>
          <w:tab w:leader="none" w:pos="7480" w:val="left"/>
        </w:tabs>
        <w:rPr>
          <w:sz w:val="20"/>
          <w:szCs w:val="20"/>
          <w:color w:val="auto"/>
        </w:rPr>
      </w:pPr>
      <w:r>
        <w:rPr>
          <w:rFonts w:ascii="Times New Roman" w:cs="Times New Roman" w:eastAsia="Times New Roman" w:hAnsi="Times New Roman"/>
          <w:sz w:val="14"/>
          <w:szCs w:val="14"/>
          <w:b w:val="1"/>
          <w:bCs w:val="1"/>
          <w:i w:val="1"/>
          <w:iCs w:val="1"/>
          <w:color w:val="auto"/>
        </w:rPr>
        <w:t>($ in millions)</w:t>
      </w:r>
      <w:r>
        <w:rPr>
          <w:sz w:val="20"/>
          <w:szCs w:val="20"/>
          <w:color w:val="auto"/>
        </w:rPr>
        <w:tab/>
      </w:r>
      <w:r>
        <w:rPr>
          <w:rFonts w:ascii="Times New Roman" w:cs="Times New Roman" w:eastAsia="Times New Roman" w:hAnsi="Times New Roman"/>
          <w:sz w:val="16"/>
          <w:szCs w:val="16"/>
          <w:b w:val="1"/>
          <w:bCs w:val="1"/>
          <w:color w:val="auto"/>
        </w:rPr>
        <w:t>Non-Securitized</w:t>
      </w:r>
      <w:r>
        <w:rPr>
          <w:sz w:val="20"/>
          <w:szCs w:val="20"/>
          <w:color w:val="auto"/>
        </w:rPr>
        <w:tab/>
      </w:r>
      <w:r>
        <w:rPr>
          <w:rFonts w:ascii="Times New Roman" w:cs="Times New Roman" w:eastAsia="Times New Roman" w:hAnsi="Times New Roman"/>
          <w:sz w:val="16"/>
          <w:szCs w:val="16"/>
          <w:b w:val="1"/>
          <w:bCs w:val="1"/>
          <w:color w:val="auto"/>
        </w:rPr>
        <w:t>Securitized</w:t>
      </w:r>
      <w:r>
        <w:rPr>
          <w:sz w:val="20"/>
          <w:szCs w:val="20"/>
          <w:color w:val="auto"/>
        </w:rPr>
        <w:tab/>
      </w: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5334635" cy="1562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34635" cy="156210"/>
                    </a:xfrm>
                    <a:prstGeom prst="rect">
                      <a:avLst/>
                    </a:prstGeom>
                    <a:noFill/>
                  </pic:spPr>
                </pic:pic>
              </a:graphicData>
            </a:graphic>
          </wp:anchor>
        </w:drawing>
      </w:r>
    </w:p>
    <w:p>
      <w:pPr>
        <w:sectPr>
          <w:pgSz w:w="11900" w:h="16838" w:orient="portrait"/>
          <w:cols w:equalWidth="0" w:num="1">
            <w:col w:w="11160"/>
          </w:cols>
          <w:pgMar w:left="320" w:top="225" w:right="419" w:bottom="1440" w:gutter="0" w:footer="0" w:header="0"/>
        </w:sectPr>
      </w:pP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35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Securitizations</w:t>
            </w:r>
          </w:p>
        </w:tc>
        <w:tc>
          <w:tcPr>
            <w:tcW w:w="140" w:type="dxa"/>
            <w:vAlign w:val="bottom"/>
          </w:tcPr>
          <w:p>
            <w:pPr>
              <w:spacing w:after="0"/>
              <w:rPr>
                <w:sz w:val="19"/>
                <w:szCs w:val="19"/>
                <w:color w:val="auto"/>
              </w:rPr>
            </w:pPr>
          </w:p>
        </w:tc>
      </w:tr>
      <w:tr>
        <w:trPr>
          <w:trHeight w:val="246"/>
        </w:trPr>
        <w:tc>
          <w:tcPr>
            <w:tcW w:w="35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Clean-up call</w:t>
            </w:r>
          </w:p>
        </w:tc>
        <w:tc>
          <w:tcPr>
            <w:tcW w:w="140" w:type="dxa"/>
            <w:vAlign w:val="bottom"/>
          </w:tcPr>
          <w:p>
            <w:pPr>
              <w:spacing w:after="0"/>
              <w:rPr>
                <w:sz w:val="21"/>
                <w:szCs w:val="21"/>
                <w:color w:val="auto"/>
              </w:rPr>
            </w:pPr>
          </w:p>
        </w:tc>
      </w:tr>
      <w:tr>
        <w:trPr>
          <w:trHeight w:val="246"/>
        </w:trPr>
        <w:tc>
          <w:tcPr>
            <w:tcW w:w="35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Write-offs</w:t>
            </w:r>
          </w:p>
        </w:tc>
        <w:tc>
          <w:tcPr>
            <w:tcW w:w="140" w:type="dxa"/>
            <w:vAlign w:val="bottom"/>
          </w:tcPr>
          <w:p>
            <w:pPr>
              <w:spacing w:after="0"/>
              <w:rPr>
                <w:sz w:val="21"/>
                <w:szCs w:val="21"/>
                <w:color w:val="auto"/>
              </w:rPr>
            </w:pPr>
          </w:p>
        </w:tc>
      </w:tr>
      <w:tr>
        <w:trPr>
          <w:trHeight w:val="246"/>
        </w:trPr>
        <w:tc>
          <w:tcPr>
            <w:tcW w:w="35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Recoveries</w:t>
            </w:r>
          </w:p>
        </w:tc>
        <w:tc>
          <w:tcPr>
            <w:tcW w:w="140" w:type="dxa"/>
            <w:vAlign w:val="bottom"/>
          </w:tcPr>
          <w:p>
            <w:pPr>
              <w:spacing w:after="0"/>
              <w:rPr>
                <w:sz w:val="21"/>
                <w:szCs w:val="21"/>
                <w:color w:val="auto"/>
              </w:rPr>
            </w:pPr>
          </w:p>
        </w:tc>
      </w:tr>
      <w:tr>
        <w:trPr>
          <w:trHeight w:val="194"/>
        </w:trPr>
        <w:tc>
          <w:tcPr>
            <w:tcW w:w="3580" w:type="dxa"/>
            <w:vAlign w:val="bottom"/>
          </w:tcPr>
          <w:p>
            <w:pPr>
              <w:ind w:left="200"/>
              <w:spacing w:after="0" w:line="194" w:lineRule="exact"/>
              <w:rPr>
                <w:sz w:val="20"/>
                <w:szCs w:val="20"/>
                <w:color w:val="auto"/>
              </w:rPr>
            </w:pPr>
            <w:r>
              <w:rPr>
                <w:rFonts w:ascii="Times New Roman" w:cs="Times New Roman" w:eastAsia="Times New Roman" w:hAnsi="Times New Roman"/>
                <w:sz w:val="17"/>
                <w:szCs w:val="17"/>
                <w:color w:val="auto"/>
              </w:rPr>
              <w:t>Defaulted vacation ownership notes receivable</w:t>
            </w:r>
          </w:p>
        </w:tc>
        <w:tc>
          <w:tcPr>
            <w:tcW w:w="140" w:type="dxa"/>
            <w:vAlign w:val="bottom"/>
          </w:tcPr>
          <w:p>
            <w:pPr>
              <w:spacing w:after="0"/>
              <w:rPr>
                <w:sz w:val="16"/>
                <w:szCs w:val="16"/>
                <w:color w:val="auto"/>
              </w:rPr>
            </w:pPr>
          </w:p>
        </w:tc>
      </w:tr>
      <w:tr>
        <w:trPr>
          <w:trHeight w:val="226"/>
        </w:trPr>
        <w:tc>
          <w:tcPr>
            <w:tcW w:w="35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repurchase activity</w:t>
            </w:r>
            <w:r>
              <w:rPr>
                <w:rFonts w:ascii="Times New Roman" w:cs="Times New Roman" w:eastAsia="Times New Roman" w:hAnsi="Times New Roman"/>
                <w:sz w:val="8"/>
                <w:szCs w:val="8"/>
                <w:color w:val="auto"/>
              </w:rPr>
              <w:t>(1)</w:t>
            </w:r>
          </w:p>
        </w:tc>
        <w:tc>
          <w:tcPr>
            <w:tcW w:w="140" w:type="dxa"/>
            <w:vAlign w:val="bottom"/>
          </w:tcPr>
          <w:p>
            <w:pPr>
              <w:spacing w:after="0"/>
              <w:rPr>
                <w:sz w:val="19"/>
                <w:szCs w:val="19"/>
                <w:color w:val="auto"/>
              </w:rPr>
            </w:pPr>
          </w:p>
        </w:tc>
      </w:tr>
      <w:tr>
        <w:trPr>
          <w:trHeight w:val="176"/>
        </w:trPr>
        <w:tc>
          <w:tcPr>
            <w:tcW w:w="3580" w:type="dxa"/>
            <w:vAlign w:val="bottom"/>
          </w:tcPr>
          <w:p>
            <w:pPr>
              <w:ind w:left="200"/>
              <w:spacing w:after="0" w:line="176" w:lineRule="exact"/>
              <w:rPr>
                <w:sz w:val="20"/>
                <w:szCs w:val="20"/>
                <w:color w:val="auto"/>
              </w:rPr>
            </w:pPr>
            <w:r>
              <w:rPr>
                <w:rFonts w:ascii="Times New Roman" w:cs="Times New Roman" w:eastAsia="Times New Roman" w:hAnsi="Times New Roman"/>
                <w:sz w:val="17"/>
                <w:szCs w:val="17"/>
                <w:color w:val="auto"/>
              </w:rPr>
              <w:t>(Decrease) increase in vacation ownership notes</w:t>
            </w:r>
          </w:p>
        </w:tc>
        <w:tc>
          <w:tcPr>
            <w:tcW w:w="140" w:type="dxa"/>
            <w:vAlign w:val="bottom"/>
          </w:tcPr>
          <w:p>
            <w:pPr>
              <w:spacing w:after="0"/>
              <w:rPr>
                <w:sz w:val="15"/>
                <w:szCs w:val="15"/>
                <w:color w:val="auto"/>
              </w:rPr>
            </w:pPr>
          </w:p>
        </w:tc>
      </w:tr>
      <w:tr>
        <w:trPr>
          <w:trHeight w:val="226"/>
        </w:trPr>
        <w:tc>
          <w:tcPr>
            <w:tcW w:w="35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receivable reserve</w:t>
            </w:r>
          </w:p>
        </w:tc>
        <w:tc>
          <w:tcPr>
            <w:tcW w:w="140" w:type="dxa"/>
            <w:vAlign w:val="bottom"/>
          </w:tcPr>
          <w:p>
            <w:pPr>
              <w:spacing w:after="0"/>
              <w:rPr>
                <w:sz w:val="19"/>
                <w:szCs w:val="19"/>
                <w:color w:val="auto"/>
              </w:rPr>
            </w:pPr>
          </w:p>
        </w:tc>
      </w:tr>
      <w:tr>
        <w:trPr>
          <w:trHeight w:val="267"/>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Balance at September 30,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-1143635</wp:posOffset>
            </wp:positionV>
            <wp:extent cx="5334635" cy="156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34635" cy="1562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-831215</wp:posOffset>
            </wp:positionV>
            <wp:extent cx="5334635" cy="1562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34635" cy="1562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-419100</wp:posOffset>
            </wp:positionV>
            <wp:extent cx="5334635" cy="255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34635" cy="255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4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47</w:t>
            </w:r>
          </w:p>
        </w:tc>
        <w:tc>
          <w:tcPr>
            <w:tcW w:w="64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spacing w:after="0"/>
              <w:rPr>
                <w:sz w:val="19"/>
                <w:szCs w:val="19"/>
                <w:color w:val="auto"/>
              </w:rPr>
            </w:pPr>
          </w:p>
        </w:tc>
        <w:tc>
          <w:tcPr>
            <w:tcW w:w="64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center"/>
              <w:ind w:left="434"/>
              <w:spacing w:after="0"/>
              <w:rPr>
                <w:sz w:val="20"/>
                <w:szCs w:val="20"/>
                <w:color w:val="auto"/>
              </w:rPr>
            </w:pPr>
            <w:r>
              <w:rPr>
                <w:rFonts w:ascii="Times New Roman" w:cs="Times New Roman" w:eastAsia="Times New Roman" w:hAnsi="Times New Roman"/>
                <w:sz w:val="17"/>
                <w:szCs w:val="17"/>
                <w:color w:val="auto"/>
                <w:w w:val="93"/>
              </w:rPr>
              <w:t>70</w:t>
            </w:r>
          </w:p>
        </w:tc>
      </w:tr>
      <w:tr>
        <w:trPr>
          <w:trHeight w:val="246"/>
        </w:trPr>
        <w:tc>
          <w:tcPr>
            <w:tcW w:w="4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w:t>
            </w:r>
          </w:p>
        </w:tc>
        <w:tc>
          <w:tcPr>
            <w:tcW w:w="6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jc w:val="center"/>
              <w:ind w:left="434"/>
              <w:spacing w:after="0"/>
              <w:rPr>
                <w:sz w:val="20"/>
                <w:szCs w:val="20"/>
                <w:color w:val="auto"/>
              </w:rPr>
            </w:pPr>
            <w:r>
              <w:rPr>
                <w:rFonts w:ascii="Times New Roman" w:cs="Times New Roman" w:eastAsia="Times New Roman" w:hAnsi="Times New Roman"/>
                <w:sz w:val="17"/>
                <w:szCs w:val="17"/>
                <w:color w:val="auto"/>
                <w:w w:val="93"/>
              </w:rPr>
              <w:t>—</w:t>
            </w:r>
          </w:p>
        </w:tc>
      </w:tr>
      <w:tr>
        <w:trPr>
          <w:trHeight w:val="246"/>
        </w:trPr>
        <w:tc>
          <w:tcPr>
            <w:tcW w:w="4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w:t>
            </w:r>
          </w:p>
        </w:tc>
        <w:tc>
          <w:tcPr>
            <w:tcW w:w="6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jc w:val="center"/>
              <w:ind w:left="434"/>
              <w:spacing w:after="0"/>
              <w:rPr>
                <w:sz w:val="20"/>
                <w:szCs w:val="20"/>
                <w:color w:val="auto"/>
              </w:rPr>
            </w:pPr>
            <w:r>
              <w:rPr>
                <w:rFonts w:ascii="Times New Roman" w:cs="Times New Roman" w:eastAsia="Times New Roman" w:hAnsi="Times New Roman"/>
                <w:sz w:val="17"/>
                <w:szCs w:val="17"/>
                <w:color w:val="auto"/>
                <w:w w:val="93"/>
              </w:rPr>
              <w:t>—</w:t>
            </w:r>
          </w:p>
        </w:tc>
      </w:tr>
      <w:tr>
        <w:trPr>
          <w:trHeight w:val="246"/>
        </w:trPr>
        <w:tc>
          <w:tcPr>
            <w:tcW w:w="4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8"/>
              </w:rPr>
              <w:t>(41)</w:t>
            </w:r>
          </w:p>
        </w:tc>
        <w:tc>
          <w:tcPr>
            <w:tcW w:w="6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spacing w:after="0"/>
              <w:rPr>
                <w:sz w:val="21"/>
                <w:szCs w:val="21"/>
                <w:color w:val="auto"/>
              </w:rPr>
            </w:pPr>
          </w:p>
        </w:tc>
        <w:tc>
          <w:tcPr>
            <w:tcW w:w="840" w:type="dxa"/>
            <w:vAlign w:val="bottom"/>
          </w:tcPr>
          <w:p>
            <w:pPr>
              <w:jc w:val="center"/>
              <w:ind w:left="394"/>
              <w:spacing w:after="0"/>
              <w:rPr>
                <w:sz w:val="20"/>
                <w:szCs w:val="20"/>
                <w:color w:val="auto"/>
              </w:rPr>
            </w:pPr>
            <w:r>
              <w:rPr>
                <w:rFonts w:ascii="Times New Roman" w:cs="Times New Roman" w:eastAsia="Times New Roman" w:hAnsi="Times New Roman"/>
                <w:sz w:val="17"/>
                <w:szCs w:val="17"/>
                <w:color w:val="auto"/>
                <w:w w:val="98"/>
              </w:rPr>
              <w:t>(41)</w:t>
            </w:r>
          </w:p>
        </w:tc>
      </w:tr>
      <w:tr>
        <w:trPr>
          <w:trHeight w:val="246"/>
        </w:trPr>
        <w:tc>
          <w:tcPr>
            <w:tcW w:w="4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25</w:t>
            </w:r>
          </w:p>
        </w:tc>
        <w:tc>
          <w:tcPr>
            <w:tcW w:w="6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spacing w:after="0"/>
              <w:rPr>
                <w:sz w:val="21"/>
                <w:szCs w:val="21"/>
                <w:color w:val="auto"/>
              </w:rPr>
            </w:pPr>
          </w:p>
        </w:tc>
        <w:tc>
          <w:tcPr>
            <w:tcW w:w="840" w:type="dxa"/>
            <w:vAlign w:val="bottom"/>
          </w:tcPr>
          <w:p>
            <w:pPr>
              <w:jc w:val="center"/>
              <w:ind w:left="434"/>
              <w:spacing w:after="0"/>
              <w:rPr>
                <w:sz w:val="20"/>
                <w:szCs w:val="20"/>
                <w:color w:val="auto"/>
              </w:rPr>
            </w:pPr>
            <w:r>
              <w:rPr>
                <w:rFonts w:ascii="Times New Roman" w:cs="Times New Roman" w:eastAsia="Times New Roman" w:hAnsi="Times New Roman"/>
                <w:sz w:val="17"/>
                <w:szCs w:val="17"/>
                <w:color w:val="auto"/>
                <w:w w:val="93"/>
              </w:rPr>
              <w:t>25</w:t>
            </w:r>
          </w:p>
        </w:tc>
      </w:tr>
      <w:tr>
        <w:trPr>
          <w:trHeight w:val="402"/>
        </w:trPr>
        <w:tc>
          <w:tcPr>
            <w:tcW w:w="4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20</w:t>
            </w:r>
          </w:p>
        </w:tc>
        <w:tc>
          <w:tcPr>
            <w:tcW w:w="6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jc w:val="center"/>
              <w:ind w:left="434"/>
              <w:spacing w:after="0"/>
              <w:rPr>
                <w:sz w:val="20"/>
                <w:szCs w:val="20"/>
                <w:color w:val="auto"/>
              </w:rPr>
            </w:pPr>
            <w:r>
              <w:rPr>
                <w:rFonts w:ascii="Times New Roman" w:cs="Times New Roman" w:eastAsia="Times New Roman" w:hAnsi="Times New Roman"/>
                <w:sz w:val="17"/>
                <w:szCs w:val="17"/>
                <w:color w:val="auto"/>
                <w:w w:val="93"/>
              </w:rPr>
              <w:t>—</w:t>
            </w:r>
          </w:p>
        </w:tc>
      </w:tr>
      <w:tr>
        <w:trPr>
          <w:trHeight w:val="402"/>
        </w:trPr>
        <w:tc>
          <w:tcPr>
            <w:tcW w:w="4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8"/>
              </w:rPr>
              <w:t>(37)</w:t>
            </w:r>
          </w:p>
        </w:tc>
        <w:tc>
          <w:tcPr>
            <w:tcW w:w="6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center"/>
              <w:ind w:left="394"/>
              <w:spacing w:after="0"/>
              <w:rPr>
                <w:sz w:val="20"/>
                <w:szCs w:val="20"/>
                <w:color w:val="auto"/>
              </w:rPr>
            </w:pPr>
            <w:r>
              <w:rPr>
                <w:rFonts w:ascii="Times New Roman" w:cs="Times New Roman" w:eastAsia="Times New Roman" w:hAnsi="Times New Roman"/>
                <w:sz w:val="17"/>
                <w:szCs w:val="17"/>
                <w:color w:val="auto"/>
                <w:w w:val="98"/>
              </w:rPr>
              <w:t>(19)</w:t>
            </w:r>
          </w:p>
        </w:tc>
      </w:tr>
      <w:tr>
        <w:trPr>
          <w:trHeight w:val="213"/>
        </w:trPr>
        <w:tc>
          <w:tcPr>
            <w:tcW w:w="4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14</w:t>
            </w:r>
          </w:p>
        </w:tc>
        <w:tc>
          <w:tcPr>
            <w:tcW w:w="6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18"/>
                <w:szCs w:val="18"/>
                <w:color w:val="auto"/>
              </w:rPr>
            </w:pPr>
          </w:p>
        </w:tc>
        <w:tc>
          <w:tcPr>
            <w:tcW w:w="6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center"/>
              <w:ind w:left="434"/>
              <w:spacing w:after="0"/>
              <w:rPr>
                <w:sz w:val="20"/>
                <w:szCs w:val="20"/>
                <w:color w:val="auto"/>
              </w:rPr>
            </w:pPr>
            <w:r>
              <w:rPr>
                <w:rFonts w:ascii="Times New Roman" w:cs="Times New Roman" w:eastAsia="Times New Roman" w:hAnsi="Times New Roman"/>
                <w:sz w:val="17"/>
                <w:szCs w:val="17"/>
                <w:color w:val="auto"/>
                <w:w w:val="93"/>
              </w:rPr>
              <w:t>35</w:t>
            </w:r>
          </w:p>
        </w:tc>
      </w:tr>
      <w:tr>
        <w:trPr>
          <w:trHeight w:val="20"/>
        </w:trPr>
        <w:tc>
          <w:tcPr>
            <w:tcW w:w="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-752475</wp:posOffset>
            </wp:positionH>
            <wp:positionV relativeFrom="paragraph">
              <wp:posOffset>-32385</wp:posOffset>
            </wp:positionV>
            <wp:extent cx="9632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63295" cy="8255"/>
                    </a:xfrm>
                    <a:prstGeom prst="rect">
                      <a:avLst/>
                    </a:prstGeom>
                    <a:noFill/>
                  </pic:spPr>
                </pic:pic>
              </a:graphicData>
            </a:graphic>
          </wp:anchor>
        </w:drawing>
        <w:drawing>
          <wp:anchor simplePos="0" relativeHeight="251657728" behindDoc="1" locked="0" layoutInCell="0" allowOverlap="1">
            <wp:simplePos x="0" y="0"/>
            <wp:positionH relativeFrom="column">
              <wp:posOffset>-752475</wp:posOffset>
            </wp:positionH>
            <wp:positionV relativeFrom="paragraph">
              <wp:posOffset>-7620</wp:posOffset>
            </wp:positionV>
            <wp:extent cx="9632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63295" cy="8255"/>
                    </a:xfrm>
                    <a:prstGeom prst="rect">
                      <a:avLst/>
                    </a:prstGeom>
                    <a:noFill/>
                  </pic:spPr>
                </pic:pic>
              </a:graphicData>
            </a:graphic>
          </wp:anchor>
        </w:drawing>
        <w:drawing>
          <wp:anchor simplePos="0" relativeHeight="251657728" behindDoc="1" locked="0" layoutInCell="0" allowOverlap="1">
            <wp:simplePos x="0" y="0"/>
            <wp:positionH relativeFrom="column">
              <wp:posOffset>-752475</wp:posOffset>
            </wp:positionH>
            <wp:positionV relativeFrom="paragraph">
              <wp:posOffset>-180340</wp:posOffset>
            </wp:positionV>
            <wp:extent cx="9632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63295" cy="8255"/>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4100" w:space="720"/>
            <w:col w:w="6340"/>
          </w:cols>
          <w:pgMar w:left="320" w:top="225" w:right="4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64" w:lineRule="exact"/>
        <w:rPr>
          <w:sz w:val="20"/>
          <w:szCs w:val="20"/>
          <w:color w:val="auto"/>
        </w:rPr>
      </w:pPr>
    </w:p>
    <w:p>
      <w:pPr>
        <w:ind w:left="320" w:hanging="316"/>
        <w:spacing w:after="0" w:line="231" w:lineRule="auto"/>
        <w:tabs>
          <w:tab w:leader="none" w:pos="308"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Reflects the change attributable to the transfer of the reserve from the securitized vacation ownership notes receivable reserve to the non-securitized vacation ownership notes receivable reserve when we voluntarily repurchase securitized vacation ownership notes receivable.</w:t>
      </w:r>
    </w:p>
    <w:p>
      <w:pPr>
        <w:spacing w:after="0" w:line="24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225" w:right="41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show the acquired vacation ownership notes receivable, before reserves, by brand and FICO score.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4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80" w:type="dxa"/>
            <w:vAlign w:val="bottom"/>
            <w:tcBorders>
              <w:bottom w:val="single" w:sz="8" w:color="auto"/>
            </w:tcBorders>
            <w:gridSpan w:val="20"/>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w w:val="96"/>
              </w:rPr>
              <w:t>Acquired Vacation Ownership Notes Receivable as of September 30, 2022</w:t>
            </w:r>
          </w:p>
        </w:tc>
      </w:tr>
      <w:tr>
        <w:trPr>
          <w:trHeight w:val="202"/>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700+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600 - 699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6"/>
              </w:rPr>
              <w:t>&lt; 600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No Score</w:t>
            </w:r>
          </w:p>
        </w:tc>
        <w:tc>
          <w:tcPr>
            <w:tcW w:w="240" w:type="dxa"/>
            <w:vAlign w:val="bottom"/>
          </w:tcPr>
          <w:p>
            <w:pPr>
              <w:spacing w:after="0"/>
              <w:rPr>
                <w:sz w:val="17"/>
                <w:szCs w:val="17"/>
                <w:color w:val="auto"/>
              </w:rPr>
            </w:pPr>
          </w:p>
        </w:tc>
        <w:tc>
          <w:tcPr>
            <w:tcW w:w="86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8"/>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Combined Marriott</w:t>
            </w:r>
          </w:p>
        </w:tc>
        <w:tc>
          <w:tcPr>
            <w:tcW w:w="260" w:type="dxa"/>
            <w:vAlign w:val="bottom"/>
            <w:tcBorders>
              <w:top w:val="single" w:sz="8" w:color="auto"/>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r>
      <w:tr>
        <w:trPr>
          <w:trHeight w:val="246"/>
        </w:trPr>
        <w:tc>
          <w:tcPr>
            <w:tcW w:w="2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Hyatt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46"/>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Welk</w:t>
            </w:r>
          </w:p>
        </w:tc>
        <w:tc>
          <w:tcPr>
            <w:tcW w:w="4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r>
      <w:tr>
        <w:trPr>
          <w:trHeight w:val="213"/>
        </w:trPr>
        <w:tc>
          <w:tcPr>
            <w:tcW w:w="246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w:t>
            </w:r>
          </w:p>
        </w:tc>
      </w:tr>
      <w:tr>
        <w:trPr>
          <w:trHeight w:val="20"/>
        </w:trPr>
        <w:tc>
          <w:tcPr>
            <w:tcW w:w="24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r>
      <w:tr>
        <w:trPr>
          <w:trHeight w:val="520"/>
        </w:trPr>
        <w:tc>
          <w:tcPr>
            <w:tcW w:w="2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gridSpan w:val="20"/>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6"/>
              </w:rPr>
              <w:t>Acquired Vacation Ownership Notes Receivable as of December 31, 2021</w:t>
            </w:r>
          </w:p>
        </w:tc>
      </w:tr>
      <w:tr>
        <w:trPr>
          <w:trHeight w:val="202"/>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700+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600 - 699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6"/>
              </w:rPr>
              <w:t>&lt; 600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No Score</w:t>
            </w:r>
          </w:p>
        </w:tc>
        <w:tc>
          <w:tcPr>
            <w:tcW w:w="240" w:type="dxa"/>
            <w:vAlign w:val="bottom"/>
          </w:tcPr>
          <w:p>
            <w:pPr>
              <w:spacing w:after="0"/>
              <w:rPr>
                <w:sz w:val="17"/>
                <w:szCs w:val="17"/>
                <w:color w:val="auto"/>
              </w:rPr>
            </w:pPr>
          </w:p>
        </w:tc>
        <w:tc>
          <w:tcPr>
            <w:tcW w:w="86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8"/>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Westin</w:t>
            </w: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46"/>
        </w:trPr>
        <w:tc>
          <w:tcPr>
            <w:tcW w:w="2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Sheraton</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r>
      <w:tr>
        <w:trPr>
          <w:trHeight w:val="246"/>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Hyatt</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46"/>
        </w:trPr>
        <w:tc>
          <w:tcPr>
            <w:tcW w:w="2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Welk</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r>
      <w:tr>
        <w:trPr>
          <w:trHeight w:val="246"/>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3"/>
        </w:trPr>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w:t>
            </w:r>
          </w:p>
        </w:tc>
      </w:tr>
      <w:tr>
        <w:trPr>
          <w:trHeight w:val="20"/>
        </w:trPr>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detail the origination year of our acquired vacation ownership notes receivable by brand and FICO score as of September 30, 2022.</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540" w:type="dxa"/>
            <w:vAlign w:val="bottom"/>
            <w:gridSpan w:val="23"/>
          </w:tcPr>
          <w:p>
            <w:pPr>
              <w:jc w:val="center"/>
              <w:ind w:right="3080"/>
              <w:spacing w:after="0"/>
              <w:rPr>
                <w:sz w:val="20"/>
                <w:szCs w:val="20"/>
                <w:color w:val="auto"/>
              </w:rPr>
            </w:pPr>
            <w:r>
              <w:rPr>
                <w:rFonts w:ascii="Times New Roman" w:cs="Times New Roman" w:eastAsia="Times New Roman" w:hAnsi="Times New Roman"/>
                <w:sz w:val="16"/>
                <w:szCs w:val="16"/>
                <w:b w:val="1"/>
                <w:bCs w:val="1"/>
                <w:color w:val="auto"/>
                <w:w w:val="96"/>
              </w:rPr>
              <w:t>Acquired Vacation Ownership Notes Receivable - Combined Marriott</w:t>
            </w:r>
          </w:p>
        </w:tc>
      </w:tr>
      <w:tr>
        <w:trPr>
          <w:trHeight w:val="202"/>
        </w:trPr>
        <w:tc>
          <w:tcPr>
            <w:tcW w:w="2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2018 &amp; Prior</w:t>
            </w:r>
          </w:p>
        </w:tc>
        <w:tc>
          <w:tcPr>
            <w:tcW w:w="12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40" w:type="dxa"/>
            <w:vAlign w:val="bottom"/>
          </w:tcPr>
          <w:p>
            <w:pPr>
              <w:spacing w:after="0"/>
              <w:rPr>
                <w:sz w:val="17"/>
                <w:szCs w:val="17"/>
                <w:color w:val="auto"/>
              </w:rPr>
            </w:pPr>
          </w:p>
        </w:tc>
      </w:tr>
      <w:tr>
        <w:trPr>
          <w:trHeight w:val="228"/>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700</w:t>
            </w: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4"/>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4"/>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840" w:type="dxa"/>
            <w:vAlign w:val="bottom"/>
          </w:tcPr>
          <w:p>
            <w:pPr>
              <w:spacing w:after="0"/>
              <w:rPr>
                <w:sz w:val="19"/>
                <w:szCs w:val="19"/>
                <w:color w:val="auto"/>
              </w:rPr>
            </w:pPr>
          </w:p>
        </w:tc>
      </w:tr>
      <w:tr>
        <w:trPr>
          <w:trHeight w:val="246"/>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600</w:t>
            </w:r>
          </w:p>
        </w:tc>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- 699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3"/>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2840" w:type="dxa"/>
            <w:vAlign w:val="bottom"/>
          </w:tcPr>
          <w:p>
            <w:pPr>
              <w:spacing w:after="0"/>
              <w:rPr>
                <w:sz w:val="21"/>
                <w:szCs w:val="21"/>
                <w:color w:val="auto"/>
              </w:rPr>
            </w:pPr>
          </w:p>
        </w:tc>
      </w:tr>
      <w:tr>
        <w:trPr>
          <w:trHeight w:val="246"/>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&lt; 600</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gridSpan w:val="4"/>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840" w:type="dxa"/>
            <w:vAlign w:val="bottom"/>
          </w:tcPr>
          <w:p>
            <w:pPr>
              <w:spacing w:after="0"/>
              <w:rPr>
                <w:sz w:val="21"/>
                <w:szCs w:val="21"/>
                <w:color w:val="auto"/>
              </w:rPr>
            </w:pPr>
          </w:p>
        </w:tc>
      </w:tr>
      <w:tr>
        <w:trPr>
          <w:trHeight w:val="246"/>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 Score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3"/>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840" w:type="dxa"/>
            <w:vAlign w:val="bottom"/>
          </w:tcPr>
          <w:p>
            <w:pPr>
              <w:spacing w:after="0"/>
              <w:rPr>
                <w:sz w:val="21"/>
                <w:szCs w:val="21"/>
                <w:color w:val="auto"/>
              </w:rPr>
            </w:pPr>
          </w:p>
        </w:tc>
      </w:tr>
      <w:tr>
        <w:trPr>
          <w:trHeight w:val="238"/>
        </w:trPr>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1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2840" w:type="dxa"/>
            <w:vAlign w:val="bottom"/>
          </w:tcPr>
          <w:p>
            <w:pPr>
              <w:spacing w:after="0"/>
              <w:rPr>
                <w:sz w:val="20"/>
                <w:szCs w:val="20"/>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488"/>
        </w:trPr>
        <w:tc>
          <w:tcPr>
            <w:tcW w:w="2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17"/>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Acquired Vacation Ownership Notes Receivable - Hyatt</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40" w:type="dxa"/>
            <w:vAlign w:val="bottom"/>
          </w:tcPr>
          <w:p>
            <w:pPr>
              <w:spacing w:after="0"/>
              <w:rPr>
                <w:sz w:val="24"/>
                <w:szCs w:val="24"/>
                <w:color w:val="auto"/>
              </w:rPr>
            </w:pPr>
          </w:p>
        </w:tc>
      </w:tr>
      <w:tr>
        <w:trPr>
          <w:trHeight w:val="202"/>
        </w:trPr>
        <w:tc>
          <w:tcPr>
            <w:tcW w:w="2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2018 &amp; Prior</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40" w:type="dxa"/>
            <w:vAlign w:val="bottom"/>
          </w:tcPr>
          <w:p>
            <w:pPr>
              <w:spacing w:after="0"/>
              <w:rPr>
                <w:sz w:val="17"/>
                <w:szCs w:val="17"/>
                <w:color w:val="auto"/>
              </w:rPr>
            </w:pPr>
          </w:p>
        </w:tc>
      </w:tr>
      <w:tr>
        <w:trPr>
          <w:trHeight w:val="228"/>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700</w:t>
            </w: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4"/>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4"/>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840" w:type="dxa"/>
            <w:vAlign w:val="bottom"/>
          </w:tcPr>
          <w:p>
            <w:pPr>
              <w:spacing w:after="0"/>
              <w:rPr>
                <w:sz w:val="19"/>
                <w:szCs w:val="19"/>
                <w:color w:val="auto"/>
              </w:rPr>
            </w:pPr>
          </w:p>
        </w:tc>
      </w:tr>
      <w:tr>
        <w:trPr>
          <w:trHeight w:val="246"/>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600</w:t>
            </w:r>
          </w:p>
        </w:tc>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- 699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4"/>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840" w:type="dxa"/>
            <w:vAlign w:val="bottom"/>
          </w:tcPr>
          <w:p>
            <w:pPr>
              <w:spacing w:after="0"/>
              <w:rPr>
                <w:sz w:val="21"/>
                <w:szCs w:val="21"/>
                <w:color w:val="auto"/>
              </w:rPr>
            </w:pPr>
          </w:p>
        </w:tc>
      </w:tr>
      <w:tr>
        <w:trPr>
          <w:trHeight w:val="246"/>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&lt; 600</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gridSpan w:val="4"/>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840" w:type="dxa"/>
            <w:vAlign w:val="bottom"/>
          </w:tcPr>
          <w:p>
            <w:pPr>
              <w:spacing w:after="0"/>
              <w:rPr>
                <w:sz w:val="21"/>
                <w:szCs w:val="21"/>
                <w:color w:val="auto"/>
              </w:rPr>
            </w:pPr>
          </w:p>
        </w:tc>
      </w:tr>
      <w:tr>
        <w:trPr>
          <w:trHeight w:val="246"/>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 Score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4"/>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80" w:type="dxa"/>
            <w:vAlign w:val="bottom"/>
            <w:gridSpan w:val="2"/>
          </w:tcPr>
          <w:p>
            <w:pPr>
              <w:jc w:val="right"/>
              <w:ind w:right="2920"/>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1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gridSpan w:val="3"/>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840" w:type="dxa"/>
            <w:vAlign w:val="bottom"/>
          </w:tcPr>
          <w:p>
            <w:pPr>
              <w:spacing w:after="0"/>
              <w:rPr>
                <w:sz w:val="20"/>
                <w:szCs w:val="20"/>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bottom w:val="single" w:sz="8" w:color="auto"/>
            </w:tcBorders>
            <w:gridSpan w:val="3"/>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500"/>
        </w:trPr>
        <w:tc>
          <w:tcPr>
            <w:tcW w:w="2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17"/>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Acquired Vacation Ownership Notes Receivable - Welk</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40" w:type="dxa"/>
            <w:vAlign w:val="bottom"/>
          </w:tcPr>
          <w:p>
            <w:pPr>
              <w:spacing w:after="0"/>
              <w:rPr>
                <w:sz w:val="24"/>
                <w:szCs w:val="24"/>
                <w:color w:val="auto"/>
              </w:rPr>
            </w:pPr>
          </w:p>
        </w:tc>
      </w:tr>
      <w:tr>
        <w:trPr>
          <w:trHeight w:val="202"/>
        </w:trPr>
        <w:tc>
          <w:tcPr>
            <w:tcW w:w="2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2018 &amp; Prior</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40" w:type="dxa"/>
            <w:vAlign w:val="bottom"/>
          </w:tcPr>
          <w:p>
            <w:pPr>
              <w:spacing w:after="0"/>
              <w:rPr>
                <w:sz w:val="17"/>
                <w:szCs w:val="17"/>
                <w:color w:val="auto"/>
              </w:rPr>
            </w:pPr>
          </w:p>
        </w:tc>
      </w:tr>
      <w:tr>
        <w:trPr>
          <w:trHeight w:val="228"/>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700</w:t>
            </w: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w:t>
            </w:r>
          </w:p>
        </w:tc>
        <w:tc>
          <w:tcPr>
            <w:tcW w:w="360" w:type="dxa"/>
            <w:vAlign w:val="bottom"/>
            <w:gridSpan w:val="4"/>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2840" w:type="dxa"/>
            <w:vAlign w:val="bottom"/>
          </w:tcPr>
          <w:p>
            <w:pPr>
              <w:spacing w:after="0"/>
              <w:rPr>
                <w:sz w:val="19"/>
                <w:szCs w:val="19"/>
                <w:color w:val="auto"/>
              </w:rPr>
            </w:pPr>
          </w:p>
        </w:tc>
      </w:tr>
      <w:tr>
        <w:trPr>
          <w:trHeight w:val="246"/>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600</w:t>
            </w:r>
          </w:p>
        </w:tc>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- 699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2840" w:type="dxa"/>
            <w:vAlign w:val="bottom"/>
          </w:tcPr>
          <w:p>
            <w:pPr>
              <w:spacing w:after="0"/>
              <w:rPr>
                <w:sz w:val="21"/>
                <w:szCs w:val="21"/>
                <w:color w:val="auto"/>
              </w:rPr>
            </w:pPr>
          </w:p>
        </w:tc>
      </w:tr>
      <w:tr>
        <w:trPr>
          <w:trHeight w:val="246"/>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&lt; 600</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gridSpan w:val="4"/>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840" w:type="dxa"/>
            <w:vAlign w:val="bottom"/>
          </w:tcPr>
          <w:p>
            <w:pPr>
              <w:spacing w:after="0"/>
              <w:rPr>
                <w:sz w:val="21"/>
                <w:szCs w:val="21"/>
                <w:color w:val="auto"/>
              </w:rPr>
            </w:pPr>
          </w:p>
        </w:tc>
      </w:tr>
      <w:tr>
        <w:trPr>
          <w:trHeight w:val="246"/>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 Score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3"/>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4"/>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840" w:type="dxa"/>
            <w:vAlign w:val="bottom"/>
          </w:tcPr>
          <w:p>
            <w:pPr>
              <w:spacing w:after="0"/>
              <w:rPr>
                <w:sz w:val="21"/>
                <w:szCs w:val="21"/>
                <w:color w:val="auto"/>
              </w:rPr>
            </w:pPr>
          </w:p>
        </w:tc>
      </w:tr>
      <w:tr>
        <w:trPr>
          <w:trHeight w:val="238"/>
        </w:trPr>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1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40" w:type="dxa"/>
            <w:vAlign w:val="bottom"/>
            <w:tcBorders>
              <w:top w:val="single" w:sz="8" w:color="auto"/>
              <w:bottom w:val="single" w:sz="8" w:color="auto"/>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28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37</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2840" w:type="dxa"/>
            <w:vAlign w:val="bottom"/>
          </w:tcPr>
          <w:p>
            <w:pPr>
              <w:spacing w:after="0"/>
              <w:rPr>
                <w:sz w:val="20"/>
                <w:szCs w:val="20"/>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529"/>
        </w:trPr>
        <w:tc>
          <w:tcPr>
            <w:tcW w:w="2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4"/>
          </w:tcPr>
          <w:p>
            <w:pPr>
              <w:ind w:left="720"/>
              <w:spacing w:after="0"/>
              <w:rPr>
                <w:sz w:val="20"/>
                <w:szCs w:val="20"/>
                <w:color w:val="auto"/>
              </w:rPr>
            </w:pPr>
            <w:r>
              <w:rPr>
                <w:rFonts w:ascii="Times New Roman" w:cs="Times New Roman" w:eastAsia="Times New Roman" w:hAnsi="Times New Roman"/>
                <w:sz w:val="17"/>
                <w:szCs w:val="17"/>
                <w:color w:val="auto"/>
              </w:rPr>
              <w:t>19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47"/>
        </w:trPr>
        <w:tc>
          <w:tcPr>
            <w:tcW w:w="28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Originated Vacation Ownership Notes Receivable</w:t>
      </w:r>
    </w:p>
    <w:p>
      <w:pPr>
        <w:spacing w:after="0" w:line="120"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Originated vacation ownership notes receivable represent vacation ownership notes receivable originated by Legacy-ILG and Legacy-Welk subsequent to each respective acquisition date and all Legacy-MVW vacation ownership notes receivable. The following table shows future principal payments, net of reserves, and interest rates for our originated vacation ownership notes receivable at September 30, 2022.</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620" w:type="dxa"/>
            <w:vAlign w:val="bottom"/>
            <w:tcBorders>
              <w:bottom w:val="single" w:sz="8" w:color="auto"/>
            </w:tcBorders>
            <w:gridSpan w:val="7"/>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7"/>
              </w:rPr>
              <w:t>Originated Vacation Ownership Notes Receivable</w:t>
            </w:r>
          </w:p>
        </w:tc>
        <w:tc>
          <w:tcPr>
            <w:tcW w:w="0" w:type="dxa"/>
            <w:vAlign w:val="bottom"/>
          </w:tcPr>
          <w:p>
            <w:pPr>
              <w:spacing w:after="0"/>
              <w:rPr>
                <w:sz w:val="1"/>
                <w:szCs w:val="1"/>
                <w:color w:val="auto"/>
              </w:rPr>
            </w:pPr>
          </w:p>
        </w:tc>
      </w:tr>
      <w:tr>
        <w:trPr>
          <w:trHeight w:val="202"/>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Pr>
          <w:p>
            <w:pPr>
              <w:spacing w:after="0"/>
              <w:rPr>
                <w:sz w:val="17"/>
                <w:szCs w:val="17"/>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Non-Securitized</w:t>
            </w:r>
          </w:p>
        </w:tc>
        <w:tc>
          <w:tcPr>
            <w:tcW w:w="160" w:type="dxa"/>
            <w:vAlign w:val="bottom"/>
          </w:tcPr>
          <w:p>
            <w:pPr>
              <w:spacing w:after="0"/>
              <w:rPr>
                <w:sz w:val="17"/>
                <w:szCs w:val="17"/>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Securitized</w:t>
            </w:r>
          </w:p>
        </w:tc>
        <w:tc>
          <w:tcPr>
            <w:tcW w:w="180" w:type="dxa"/>
            <w:vAlign w:val="bottom"/>
          </w:tcPr>
          <w:p>
            <w:pPr>
              <w:spacing w:after="0"/>
              <w:rPr>
                <w:sz w:val="17"/>
                <w:szCs w:val="17"/>
                <w:color w:val="auto"/>
              </w:rPr>
            </w:pP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228"/>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 remaining</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46"/>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0" w:type="dxa"/>
            <w:vAlign w:val="bottom"/>
          </w:tcPr>
          <w:p>
            <w:pPr>
              <w:spacing w:after="0"/>
              <w:rPr>
                <w:sz w:val="1"/>
                <w:szCs w:val="1"/>
                <w:color w:val="auto"/>
              </w:rPr>
            </w:pPr>
          </w:p>
        </w:tc>
      </w:tr>
      <w:tr>
        <w:trPr>
          <w:trHeight w:val="24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131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0" w:type="dxa"/>
            <w:vAlign w:val="bottom"/>
          </w:tcPr>
          <w:p>
            <w:pPr>
              <w:spacing w:after="0"/>
              <w:rPr>
                <w:sz w:val="1"/>
                <w:szCs w:val="1"/>
                <w:color w:val="auto"/>
              </w:rPr>
            </w:pPr>
          </w:p>
        </w:tc>
      </w:tr>
      <w:tr>
        <w:trPr>
          <w:trHeight w:val="246"/>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0" w:type="dxa"/>
            <w:vAlign w:val="bottom"/>
          </w:tcPr>
          <w:p>
            <w:pPr>
              <w:spacing w:after="0"/>
              <w:rPr>
                <w:sz w:val="1"/>
                <w:szCs w:val="1"/>
                <w:color w:val="auto"/>
              </w:rPr>
            </w:pPr>
          </w:p>
        </w:tc>
      </w:tr>
      <w:tr>
        <w:trPr>
          <w:trHeight w:val="24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140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0" w:type="dxa"/>
            <w:vAlign w:val="bottom"/>
          </w:tcPr>
          <w:p>
            <w:pPr>
              <w:spacing w:after="0"/>
              <w:rPr>
                <w:sz w:val="1"/>
                <w:szCs w:val="1"/>
                <w:color w:val="auto"/>
              </w:rPr>
            </w:pPr>
          </w:p>
        </w:tc>
      </w:tr>
      <w:tr>
        <w:trPr>
          <w:trHeight w:val="246"/>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856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1,139</w:t>
            </w:r>
          </w:p>
        </w:tc>
        <w:tc>
          <w:tcPr>
            <w:tcW w:w="0" w:type="dxa"/>
            <w:vAlign w:val="bottom"/>
          </w:tcPr>
          <w:p>
            <w:pPr>
              <w:spacing w:after="0"/>
              <w:rPr>
                <w:sz w:val="1"/>
                <w:szCs w:val="1"/>
                <w:color w:val="auto"/>
              </w:rPr>
            </w:pPr>
          </w:p>
        </w:tc>
      </w:tr>
      <w:tr>
        <w:trPr>
          <w:trHeight w:val="238"/>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September 30,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1,421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1,867</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Weighted average stated interest rate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center"/>
              <w:ind w:right="95"/>
              <w:spacing w:after="0" w:line="193" w:lineRule="exact"/>
              <w:rPr>
                <w:sz w:val="20"/>
                <w:szCs w:val="20"/>
                <w:color w:val="auto"/>
              </w:rPr>
            </w:pPr>
            <w:r>
              <w:rPr>
                <w:rFonts w:ascii="Times New Roman" w:cs="Times New Roman" w:eastAsia="Times New Roman" w:hAnsi="Times New Roman"/>
                <w:sz w:val="17"/>
                <w:szCs w:val="17"/>
                <w:color w:val="auto"/>
              </w:rPr>
              <w:t>12.8%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center"/>
              <w:ind w:right="94"/>
              <w:spacing w:after="0" w:line="193" w:lineRule="exact"/>
              <w:rPr>
                <w:sz w:val="20"/>
                <w:szCs w:val="20"/>
                <w:color w:val="auto"/>
              </w:rPr>
            </w:pPr>
            <w:r>
              <w:rPr>
                <w:rFonts w:ascii="Times New Roman" w:cs="Times New Roman" w:eastAsia="Times New Roman" w:hAnsi="Times New Roman"/>
                <w:sz w:val="17"/>
                <w:szCs w:val="17"/>
                <w:color w:val="auto"/>
              </w:rPr>
              <w:t>13.0%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ind w:right="94"/>
              <w:spacing w:after="0" w:line="193" w:lineRule="exact"/>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4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Range of stated interest rates</w:t>
            </w:r>
          </w:p>
        </w:tc>
        <w:tc>
          <w:tcPr>
            <w:tcW w:w="1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7"/>
                <w:szCs w:val="17"/>
                <w:color w:val="auto"/>
              </w:rPr>
              <w:t>0.0% to 20.9%</w:t>
            </w:r>
          </w:p>
        </w:tc>
        <w:tc>
          <w:tcPr>
            <w:tcW w:w="1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7"/>
                <w:szCs w:val="17"/>
                <w:color w:val="auto"/>
              </w:rPr>
              <w:t>0.0% to 19.9%</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center"/>
              <w:ind w:right="94"/>
              <w:spacing w:after="0"/>
              <w:rPr>
                <w:sz w:val="20"/>
                <w:szCs w:val="20"/>
                <w:color w:val="auto"/>
              </w:rPr>
            </w:pPr>
            <w:r>
              <w:rPr>
                <w:rFonts w:ascii="Times New Roman" w:cs="Times New Roman" w:eastAsia="Times New Roman" w:hAnsi="Times New Roman"/>
                <w:sz w:val="17"/>
                <w:szCs w:val="17"/>
                <w:color w:val="auto"/>
              </w:rPr>
              <w:t>0.0% to 20.9%</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7"/>
          <w:szCs w:val="17"/>
          <w:color w:val="auto"/>
        </w:rPr>
        <w:t>For originated vacation ownership notes receivable, we record the difference between the vacation ownership note receivable and the variable consideration included in the transaction price for the sale of the related vacation ownership product as a reserve on our vacation ownership notes receivable. The following table summarizes the activity related to our originated vacation ownership notes receivable reserve.</w:t>
      </w:r>
    </w:p>
    <w:p>
      <w:pPr>
        <w:spacing w:after="0" w:line="19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6"/>
          <w:szCs w:val="16"/>
          <w:b w:val="1"/>
          <w:bCs w:val="1"/>
          <w:color w:val="auto"/>
        </w:rPr>
        <w:t>Originated Vacation Ownership Notes Receivable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2307590</wp:posOffset>
            </wp:positionH>
            <wp:positionV relativeFrom="paragraph">
              <wp:posOffset>16510</wp:posOffset>
            </wp:positionV>
            <wp:extent cx="30295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29585" cy="8255"/>
                    </a:xfrm>
                    <a:prstGeom prst="rect">
                      <a:avLst/>
                    </a:prstGeom>
                    <a:noFill/>
                  </pic:spPr>
                </pic:pic>
              </a:graphicData>
            </a:graphic>
          </wp:anchor>
        </w:drawing>
      </w:r>
    </w:p>
    <w:p>
      <w:pPr>
        <w:spacing w:after="0" w:line="42" w:lineRule="exact"/>
        <w:rPr>
          <w:sz w:val="20"/>
          <w:szCs w:val="20"/>
          <w:color w:val="auto"/>
        </w:rPr>
      </w:pPr>
    </w:p>
    <w:p>
      <w:pPr>
        <w:ind w:left="20"/>
        <w:spacing w:after="0"/>
        <w:tabs>
          <w:tab w:leader="none" w:pos="3840" w:val="left"/>
          <w:tab w:leader="none" w:pos="5640" w:val="left"/>
          <w:tab w:leader="none" w:pos="7480" w:val="left"/>
        </w:tabs>
        <w:rPr>
          <w:sz w:val="20"/>
          <w:szCs w:val="20"/>
          <w:color w:val="auto"/>
        </w:rPr>
      </w:pPr>
      <w:r>
        <w:rPr>
          <w:rFonts w:ascii="Times New Roman" w:cs="Times New Roman" w:eastAsia="Times New Roman" w:hAnsi="Times New Roman"/>
          <w:sz w:val="14"/>
          <w:szCs w:val="14"/>
          <w:b w:val="1"/>
          <w:bCs w:val="1"/>
          <w:i w:val="1"/>
          <w:iCs w:val="1"/>
          <w:color w:val="auto"/>
        </w:rPr>
        <w:t>($ in millions)</w:t>
      </w:r>
      <w:r>
        <w:rPr>
          <w:sz w:val="20"/>
          <w:szCs w:val="20"/>
          <w:color w:val="auto"/>
        </w:rPr>
        <w:tab/>
      </w:r>
      <w:r>
        <w:rPr>
          <w:rFonts w:ascii="Times New Roman" w:cs="Times New Roman" w:eastAsia="Times New Roman" w:hAnsi="Times New Roman"/>
          <w:sz w:val="16"/>
          <w:szCs w:val="16"/>
          <w:b w:val="1"/>
          <w:bCs w:val="1"/>
          <w:color w:val="auto"/>
        </w:rPr>
        <w:t>Non-Securitized</w:t>
      </w:r>
      <w:r>
        <w:rPr>
          <w:sz w:val="20"/>
          <w:szCs w:val="20"/>
          <w:color w:val="auto"/>
        </w:rPr>
        <w:tab/>
      </w:r>
      <w:r>
        <w:rPr>
          <w:rFonts w:ascii="Times New Roman" w:cs="Times New Roman" w:eastAsia="Times New Roman" w:hAnsi="Times New Roman"/>
          <w:sz w:val="16"/>
          <w:szCs w:val="16"/>
          <w:b w:val="1"/>
          <w:bCs w:val="1"/>
          <w:color w:val="auto"/>
        </w:rPr>
        <w:t>Securitized</w:t>
      </w:r>
      <w:r>
        <w:rPr>
          <w:sz w:val="20"/>
          <w:szCs w:val="20"/>
          <w:color w:val="auto"/>
        </w:rPr>
        <w:tab/>
      </w:r>
      <w:r>
        <w:rPr>
          <w:rFonts w:ascii="Times New Roman" w:cs="Times New Roman" w:eastAsia="Times New Roman" w:hAnsi="Times New Roman"/>
          <w:sz w:val="14"/>
          <w:szCs w:val="14"/>
          <w:b w:val="1"/>
          <w:bCs w:val="1"/>
          <w:color w:val="auto"/>
        </w:rPr>
        <w:t>Total</w:t>
      </w:r>
    </w:p>
    <w:p>
      <w:pPr>
        <w:sectPr>
          <w:pgSz w:w="11900" w:h="16838" w:orient="portrait"/>
          <w:cols w:equalWidth="0" w:num="1">
            <w:col w:w="11160"/>
          </w:cols>
          <w:pgMar w:left="320" w:top="225" w:right="419" w:bottom="1440" w:gutter="0" w:footer="0" w:header="0"/>
        </w:sectPr>
      </w:pP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74"/>
        </w:trPr>
        <w:tc>
          <w:tcPr>
            <w:tcW w:w="3560" w:type="dxa"/>
            <w:vAlign w:val="bottom"/>
          </w:tcPr>
          <w:p>
            <w:pPr>
              <w:ind w:left="200"/>
              <w:spacing w:after="0" w:line="174" w:lineRule="exact"/>
              <w:rPr>
                <w:sz w:val="20"/>
                <w:szCs w:val="20"/>
                <w:color w:val="auto"/>
              </w:rPr>
            </w:pPr>
            <w:r>
              <w:rPr>
                <w:rFonts w:ascii="Times New Roman" w:cs="Times New Roman" w:eastAsia="Times New Roman" w:hAnsi="Times New Roman"/>
                <w:sz w:val="17"/>
                <w:szCs w:val="17"/>
                <w:color w:val="auto"/>
              </w:rPr>
              <w:t>Increase in vacation ownership notes receivable</w:t>
            </w:r>
          </w:p>
        </w:tc>
        <w:tc>
          <w:tcPr>
            <w:tcW w:w="160" w:type="dxa"/>
            <w:vAlign w:val="bottom"/>
          </w:tcPr>
          <w:p>
            <w:pPr>
              <w:spacing w:after="0"/>
              <w:rPr>
                <w:sz w:val="15"/>
                <w:szCs w:val="15"/>
                <w:color w:val="auto"/>
              </w:rPr>
            </w:pPr>
          </w:p>
        </w:tc>
      </w:tr>
      <w:tr>
        <w:trPr>
          <w:trHeight w:val="226"/>
        </w:trPr>
        <w:tc>
          <w:tcPr>
            <w:tcW w:w="3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reserve</w:t>
            </w:r>
          </w:p>
        </w:tc>
        <w:tc>
          <w:tcPr>
            <w:tcW w:w="160" w:type="dxa"/>
            <w:vAlign w:val="bottom"/>
          </w:tcPr>
          <w:p>
            <w:pPr>
              <w:spacing w:after="0"/>
              <w:rPr>
                <w:sz w:val="19"/>
                <w:szCs w:val="19"/>
                <w:color w:val="auto"/>
              </w:rPr>
            </w:pPr>
          </w:p>
        </w:tc>
      </w:tr>
      <w:tr>
        <w:trPr>
          <w:trHeight w:val="228"/>
        </w:trPr>
        <w:tc>
          <w:tcPr>
            <w:tcW w:w="3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Securitizations</w:t>
            </w:r>
          </w:p>
        </w:tc>
        <w:tc>
          <w:tcPr>
            <w:tcW w:w="160" w:type="dxa"/>
            <w:vAlign w:val="bottom"/>
          </w:tcPr>
          <w:p>
            <w:pPr>
              <w:spacing w:after="0"/>
              <w:rPr>
                <w:sz w:val="19"/>
                <w:szCs w:val="19"/>
                <w:color w:val="auto"/>
              </w:rPr>
            </w:pPr>
          </w:p>
        </w:tc>
      </w:tr>
      <w:tr>
        <w:trPr>
          <w:trHeight w:val="267"/>
        </w:trPr>
        <w:tc>
          <w:tcPr>
            <w:tcW w:w="3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Clean-up call</w:t>
            </w:r>
          </w:p>
        </w:tc>
        <w:tc>
          <w:tcPr>
            <w:tcW w:w="160" w:type="dxa"/>
            <w:vAlign w:val="bottom"/>
          </w:tcPr>
          <w:p>
            <w:pPr>
              <w:spacing w:after="0"/>
              <w:rPr>
                <w:sz w:val="23"/>
                <w:szCs w:val="23"/>
                <w:color w:val="auto"/>
              </w:rPr>
            </w:pPr>
          </w:p>
        </w:tc>
      </w:tr>
      <w:tr>
        <w:trPr>
          <w:trHeight w:val="226"/>
        </w:trPr>
        <w:tc>
          <w:tcPr>
            <w:tcW w:w="3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Write-offs</w:t>
            </w:r>
          </w:p>
        </w:tc>
        <w:tc>
          <w:tcPr>
            <w:tcW w:w="160" w:type="dxa"/>
            <w:vAlign w:val="bottom"/>
          </w:tcPr>
          <w:p>
            <w:pPr>
              <w:spacing w:after="0"/>
              <w:rPr>
                <w:sz w:val="19"/>
                <w:szCs w:val="19"/>
                <w:color w:val="auto"/>
              </w:rPr>
            </w:pPr>
          </w:p>
        </w:tc>
      </w:tr>
      <w:tr>
        <w:trPr>
          <w:trHeight w:val="194"/>
        </w:trPr>
        <w:tc>
          <w:tcPr>
            <w:tcW w:w="3560" w:type="dxa"/>
            <w:vAlign w:val="bottom"/>
          </w:tcPr>
          <w:p>
            <w:pPr>
              <w:ind w:left="200"/>
              <w:spacing w:after="0" w:line="194" w:lineRule="exact"/>
              <w:rPr>
                <w:sz w:val="20"/>
                <w:szCs w:val="20"/>
                <w:color w:val="auto"/>
              </w:rPr>
            </w:pPr>
            <w:r>
              <w:rPr>
                <w:rFonts w:ascii="Times New Roman" w:cs="Times New Roman" w:eastAsia="Times New Roman" w:hAnsi="Times New Roman"/>
                <w:sz w:val="17"/>
                <w:szCs w:val="17"/>
                <w:color w:val="auto"/>
              </w:rPr>
              <w:t>Defaulted vacation ownership notes receivable</w:t>
            </w:r>
          </w:p>
        </w:tc>
        <w:tc>
          <w:tcPr>
            <w:tcW w:w="160" w:type="dxa"/>
            <w:vAlign w:val="bottom"/>
          </w:tcPr>
          <w:p>
            <w:pPr>
              <w:spacing w:after="0"/>
              <w:rPr>
                <w:sz w:val="16"/>
                <w:szCs w:val="16"/>
                <w:color w:val="auto"/>
              </w:rPr>
            </w:pPr>
          </w:p>
        </w:tc>
      </w:tr>
      <w:tr>
        <w:trPr>
          <w:trHeight w:val="226"/>
        </w:trPr>
        <w:tc>
          <w:tcPr>
            <w:tcW w:w="3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repurchase activity</w:t>
            </w:r>
            <w:r>
              <w:rPr>
                <w:rFonts w:ascii="Times New Roman" w:cs="Times New Roman" w:eastAsia="Times New Roman" w:hAnsi="Times New Roman"/>
                <w:sz w:val="10"/>
                <w:szCs w:val="10"/>
                <w:color w:val="auto"/>
              </w:rPr>
              <w:t>(1)</w:t>
            </w:r>
          </w:p>
        </w:tc>
        <w:tc>
          <w:tcPr>
            <w:tcW w:w="160" w:type="dxa"/>
            <w:vAlign w:val="bottom"/>
          </w:tcPr>
          <w:p>
            <w:pPr>
              <w:spacing w:after="0"/>
              <w:rPr>
                <w:sz w:val="19"/>
                <w:szCs w:val="19"/>
                <w:color w:val="auto"/>
              </w:rPr>
            </w:pPr>
          </w:p>
        </w:tc>
      </w:tr>
      <w:tr>
        <w:trPr>
          <w:trHeight w:val="241"/>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Balance at September 30, 2022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-871855</wp:posOffset>
            </wp:positionV>
            <wp:extent cx="5334635" cy="1562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34635" cy="1562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-559435</wp:posOffset>
            </wp:positionV>
            <wp:extent cx="5334635" cy="1562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34635" cy="1562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-147955</wp:posOffset>
            </wp:positionV>
            <wp:extent cx="5334635" cy="164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34635" cy="1644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-1283970</wp:posOffset>
            </wp:positionV>
            <wp:extent cx="5334635" cy="1562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34635" cy="156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4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193</w:t>
            </w:r>
          </w:p>
        </w:tc>
        <w:tc>
          <w:tcPr>
            <w:tcW w:w="64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20" w:type="dxa"/>
            <w:vAlign w:val="bottom"/>
          </w:tcPr>
          <w:p>
            <w:pPr>
              <w:spacing w:after="0"/>
              <w:rPr>
                <w:sz w:val="19"/>
                <w:szCs w:val="19"/>
                <w:color w:val="auto"/>
              </w:rPr>
            </w:pPr>
          </w:p>
        </w:tc>
        <w:tc>
          <w:tcPr>
            <w:tcW w:w="62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w:t>
            </w:r>
          </w:p>
        </w:tc>
      </w:tr>
      <w:tr>
        <w:trPr>
          <w:trHeight w:val="402"/>
        </w:trPr>
        <w:tc>
          <w:tcPr>
            <w:tcW w:w="4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86</w:t>
            </w:r>
          </w:p>
        </w:tc>
        <w:tc>
          <w:tcPr>
            <w:tcW w:w="6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r>
      <w:tr>
        <w:trPr>
          <w:trHeight w:val="246"/>
        </w:trPr>
        <w:tc>
          <w:tcPr>
            <w:tcW w:w="4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(73)</w:t>
            </w:r>
          </w:p>
        </w:tc>
        <w:tc>
          <w:tcPr>
            <w:tcW w:w="6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6"/>
        </w:trPr>
        <w:tc>
          <w:tcPr>
            <w:tcW w:w="4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15</w:t>
            </w:r>
          </w:p>
        </w:tc>
        <w:tc>
          <w:tcPr>
            <w:tcW w:w="6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6"/>
        </w:trPr>
        <w:tc>
          <w:tcPr>
            <w:tcW w:w="4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(90)</w:t>
            </w:r>
          </w:p>
        </w:tc>
        <w:tc>
          <w:tcPr>
            <w:tcW w:w="6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r>
      <w:tr>
        <w:trPr>
          <w:trHeight w:val="402"/>
        </w:trPr>
        <w:tc>
          <w:tcPr>
            <w:tcW w:w="4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48</w:t>
            </w:r>
          </w:p>
        </w:tc>
        <w:tc>
          <w:tcPr>
            <w:tcW w:w="6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4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179</w:t>
            </w:r>
          </w:p>
        </w:tc>
        <w:tc>
          <w:tcPr>
            <w:tcW w:w="6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20" w:type="dxa"/>
            <w:vAlign w:val="bottom"/>
          </w:tcPr>
          <w:p>
            <w:pPr>
              <w:spacing w:after="0"/>
              <w:rPr>
                <w:sz w:val="18"/>
                <w:szCs w:val="18"/>
                <w:color w:val="auto"/>
              </w:rPr>
            </w:pPr>
          </w:p>
        </w:tc>
        <w:tc>
          <w:tcPr>
            <w:tcW w:w="6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371</w:t>
            </w:r>
          </w:p>
        </w:tc>
      </w:tr>
      <w:tr>
        <w:trPr>
          <w:trHeight w:val="20"/>
        </w:trPr>
        <w:tc>
          <w:tcPr>
            <w:tcW w:w="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-739775</wp:posOffset>
            </wp:positionH>
            <wp:positionV relativeFrom="paragraph">
              <wp:posOffset>-7620</wp:posOffset>
            </wp:positionV>
            <wp:extent cx="9632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63295" cy="8255"/>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4080" w:space="720"/>
            <w:col w:w="6360"/>
          </w:cols>
          <w:pgMar w:left="320" w:top="225" w:right="4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64" w:lineRule="exact"/>
        <w:rPr>
          <w:sz w:val="20"/>
          <w:szCs w:val="20"/>
          <w:color w:val="auto"/>
        </w:rPr>
      </w:pPr>
    </w:p>
    <w:p>
      <w:pPr>
        <w:ind w:left="320" w:hanging="316"/>
        <w:spacing w:after="0" w:line="231" w:lineRule="auto"/>
        <w:tabs>
          <w:tab w:leader="none" w:pos="308"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Reflects the change attributable to the transfer of the reserve from the securitized vacation ownership notes receivable reserve to the non-securitized vacation ownership notes receivable reserve when we voluntarily repurchase securitized vacation ownership notes receivable.</w:t>
      </w:r>
    </w:p>
    <w:p>
      <w:pPr>
        <w:spacing w:after="0" w:line="24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225" w:right="41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show originated vacation ownership notes receivable, before reserves, by brand and FICO score.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4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720" w:type="dxa"/>
            <w:vAlign w:val="bottom"/>
            <w:tcBorders>
              <w:bottom w:val="single" w:sz="8" w:color="auto"/>
            </w:tcBorders>
            <w:gridSpan w:val="18"/>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6"/>
              </w:rPr>
              <w:t>Originated Vacation Ownership Notes Receivable as of September 30, 2022</w:t>
            </w:r>
          </w:p>
        </w:tc>
      </w:tr>
      <w:tr>
        <w:trPr>
          <w:trHeight w:val="202"/>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700 +</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600 - 699</w:t>
            </w:r>
          </w:p>
        </w:tc>
        <w:tc>
          <w:tcPr>
            <w:tcW w:w="140" w:type="dxa"/>
            <w:vAlign w:val="bottom"/>
          </w:tcPr>
          <w:p>
            <w:pPr>
              <w:spacing w:after="0"/>
              <w:rPr>
                <w:sz w:val="17"/>
                <w:szCs w:val="17"/>
                <w:color w:val="auto"/>
              </w:rPr>
            </w:pPr>
          </w:p>
        </w:tc>
        <w:tc>
          <w:tcPr>
            <w:tcW w:w="760" w:type="dxa"/>
            <w:vAlign w:val="bottom"/>
          </w:tcPr>
          <w:p>
            <w:pPr>
              <w:jc w:val="center"/>
              <w:ind w:left="216"/>
              <w:spacing w:after="0"/>
              <w:rPr>
                <w:sz w:val="20"/>
                <w:szCs w:val="20"/>
                <w:color w:val="auto"/>
              </w:rPr>
            </w:pPr>
            <w:r>
              <w:rPr>
                <w:rFonts w:ascii="Times New Roman" w:cs="Times New Roman" w:eastAsia="Times New Roman" w:hAnsi="Times New Roman"/>
                <w:sz w:val="16"/>
                <w:szCs w:val="16"/>
                <w:b w:val="1"/>
                <w:bCs w:val="1"/>
                <w:color w:val="auto"/>
              </w:rPr>
              <w:t>&lt; 600</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No Score</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8"/>
        </w:trPr>
        <w:tc>
          <w:tcPr>
            <w:tcW w:w="2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Combined Marriott</w:t>
            </w:r>
          </w:p>
        </w:tc>
        <w:tc>
          <w:tcPr>
            <w:tcW w:w="240" w:type="dxa"/>
            <w:vAlign w:val="bottom"/>
            <w:tcBorders>
              <w:top w:val="single" w:sz="8" w:color="auto"/>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1,153</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14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2,027</w:t>
            </w:r>
          </w:p>
        </w:tc>
      </w:tr>
      <w:tr>
        <w:trPr>
          <w:trHeight w:val="246"/>
        </w:trPr>
        <w:tc>
          <w:tcPr>
            <w:tcW w:w="2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Hyatt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46"/>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Welk</w:t>
            </w: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4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r>
      <w:tr>
        <w:trPr>
          <w:trHeight w:val="213"/>
        </w:trPr>
        <w:tc>
          <w:tcPr>
            <w:tcW w:w="244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599</w:t>
            </w:r>
          </w:p>
        </w:tc>
        <w:tc>
          <w:tcPr>
            <w:tcW w:w="140" w:type="dxa"/>
            <w:vAlign w:val="bottom"/>
          </w:tcPr>
          <w:p>
            <w:pPr>
              <w:spacing w:after="0"/>
              <w:rPr>
                <w:sz w:val="18"/>
                <w:szCs w:val="18"/>
                <w:color w:val="auto"/>
              </w:rPr>
            </w:pPr>
          </w:p>
        </w:tc>
        <w:tc>
          <w:tcPr>
            <w:tcW w:w="7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2,238</w:t>
            </w:r>
          </w:p>
        </w:tc>
      </w:tr>
      <w:tr>
        <w:trPr>
          <w:trHeight w:val="20"/>
        </w:trPr>
        <w:tc>
          <w:tcPr>
            <w:tcW w:w="2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r>
      <w:tr>
        <w:trPr>
          <w:trHeight w:val="523"/>
        </w:trPr>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gridSpan w:val="18"/>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6"/>
              </w:rPr>
              <w:t>Originated Vacation Ownership Notes Receivable as of December 31, 2021</w:t>
            </w:r>
            <w:r>
              <w:rPr>
                <w:rFonts w:ascii="Times New Roman" w:cs="Times New Roman" w:eastAsia="Times New Roman" w:hAnsi="Times New Roman"/>
                <w:sz w:val="20"/>
                <w:szCs w:val="20"/>
                <w:b w:val="1"/>
                <w:bCs w:val="1"/>
                <w:color w:val="auto"/>
                <w:w w:val="96"/>
                <w:vertAlign w:val="superscript"/>
              </w:rPr>
              <w:t>(1)</w:t>
            </w:r>
          </w:p>
        </w:tc>
      </w:tr>
      <w:tr>
        <w:trPr>
          <w:trHeight w:val="199"/>
        </w:trPr>
        <w:tc>
          <w:tcPr>
            <w:tcW w:w="2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700 +</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600 - 699</w:t>
            </w:r>
          </w:p>
        </w:tc>
        <w:tc>
          <w:tcPr>
            <w:tcW w:w="14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6"/>
                <w:szCs w:val="16"/>
                <w:b w:val="1"/>
                <w:bCs w:val="1"/>
                <w:color w:val="auto"/>
                <w:w w:val="96"/>
              </w:rPr>
              <w:t>&lt; 600</w:t>
            </w: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No Score</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8"/>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Westin</w:t>
            </w:r>
          </w:p>
        </w:tc>
        <w:tc>
          <w:tcPr>
            <w:tcW w:w="24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143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w:t>
            </w:r>
          </w:p>
        </w:tc>
      </w:tr>
      <w:tr>
        <w:trPr>
          <w:trHeight w:val="246"/>
        </w:trPr>
        <w:tc>
          <w:tcPr>
            <w:tcW w:w="2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Sheraton</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136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w:t>
            </w:r>
          </w:p>
        </w:tc>
      </w:tr>
      <w:tr>
        <w:trPr>
          <w:trHeight w:val="246"/>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Hyatt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46"/>
        </w:trPr>
        <w:tc>
          <w:tcPr>
            <w:tcW w:w="2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Welk</w:t>
            </w: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65</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4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38"/>
        </w:trPr>
        <w:tc>
          <w:tcPr>
            <w:tcW w:w="24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366</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w:t>
            </w: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64" w:lineRule="exact"/>
        <w:rPr>
          <w:sz w:val="20"/>
          <w:szCs w:val="20"/>
          <w:color w:val="auto"/>
        </w:rPr>
      </w:pPr>
    </w:p>
    <w:p>
      <w:pPr>
        <w:ind w:left="320" w:right="160" w:hanging="316"/>
        <w:spacing w:after="0" w:line="231" w:lineRule="auto"/>
        <w:tabs>
          <w:tab w:leader="none" w:pos="308"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Balances as of December 31, 2021 exclude $1,329 million of Marriott branded vacation ownership notes receivable as the change in credit quality indicator occurred during the third quarter of 2022.</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detail the origination year of our originated vacation ownership notes receivable by brand and FICO score as of September 30, 2022.</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100" w:type="dxa"/>
            <w:vAlign w:val="bottom"/>
            <w:tcBorders>
              <w:bottom w:val="single" w:sz="8" w:color="auto"/>
            </w:tcBorders>
            <w:gridSpan w:val="27"/>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Originated Vacation Ownership Notes Receivable - Combined Marriott</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40" w:type="dxa"/>
            <w:vAlign w:val="bottom"/>
          </w:tcPr>
          <w:p>
            <w:pPr>
              <w:spacing w:after="0"/>
              <w:rPr>
                <w:sz w:val="18"/>
                <w:szCs w:val="18"/>
                <w:color w:val="auto"/>
              </w:rPr>
            </w:pPr>
          </w:p>
        </w:tc>
      </w:tr>
      <w:tr>
        <w:trPr>
          <w:trHeight w:val="202"/>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2019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2018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2017 &amp; Prior</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40" w:type="dxa"/>
            <w:vAlign w:val="bottom"/>
          </w:tcPr>
          <w:p>
            <w:pPr>
              <w:spacing w:after="0"/>
              <w:rPr>
                <w:sz w:val="17"/>
                <w:szCs w:val="17"/>
                <w:color w:val="auto"/>
              </w:rPr>
            </w:pPr>
          </w:p>
        </w:tc>
      </w:tr>
      <w:tr>
        <w:trPr>
          <w:trHeight w:val="228"/>
        </w:trPr>
        <w:tc>
          <w:tcPr>
            <w:tcW w:w="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700</w:t>
            </w:r>
          </w:p>
        </w:tc>
        <w:tc>
          <w:tcPr>
            <w:tcW w:w="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tcBorders>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327</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3"/>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3"/>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1,153</w:t>
            </w:r>
          </w:p>
        </w:tc>
        <w:tc>
          <w:tcPr>
            <w:tcW w:w="2840" w:type="dxa"/>
            <w:vAlign w:val="bottom"/>
          </w:tcPr>
          <w:p>
            <w:pPr>
              <w:spacing w:after="0"/>
              <w:rPr>
                <w:sz w:val="19"/>
                <w:szCs w:val="19"/>
                <w:color w:val="auto"/>
              </w:rPr>
            </w:pPr>
          </w:p>
        </w:tc>
      </w:tr>
      <w:tr>
        <w:trPr>
          <w:trHeight w:val="246"/>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600</w:t>
            </w:r>
          </w:p>
        </w:tc>
        <w:tc>
          <w:tcPr>
            <w:tcW w:w="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- 699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148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2840" w:type="dxa"/>
            <w:vAlign w:val="bottom"/>
          </w:tcPr>
          <w:p>
            <w:pPr>
              <w:spacing w:after="0"/>
              <w:rPr>
                <w:sz w:val="21"/>
                <w:szCs w:val="21"/>
                <w:color w:val="auto"/>
              </w:rPr>
            </w:pPr>
          </w:p>
        </w:tc>
      </w:tr>
      <w:tr>
        <w:trPr>
          <w:trHeight w:val="246"/>
        </w:trPr>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&lt; 600</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16</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2840" w:type="dxa"/>
            <w:vAlign w:val="bottom"/>
          </w:tcPr>
          <w:p>
            <w:pPr>
              <w:spacing w:after="0"/>
              <w:rPr>
                <w:sz w:val="21"/>
                <w:szCs w:val="21"/>
                <w:color w:val="auto"/>
              </w:rPr>
            </w:pPr>
          </w:p>
        </w:tc>
      </w:tr>
      <w:tr>
        <w:trPr>
          <w:trHeight w:val="246"/>
        </w:trPr>
        <w:tc>
          <w:tcPr>
            <w:tcW w:w="1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No Score</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45</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2840" w:type="dxa"/>
            <w:vAlign w:val="bottom"/>
          </w:tcPr>
          <w:p>
            <w:pPr>
              <w:spacing w:after="0"/>
              <w:rPr>
                <w:sz w:val="21"/>
                <w:szCs w:val="21"/>
                <w:color w:val="auto"/>
              </w:rPr>
            </w:pPr>
          </w:p>
        </w:tc>
      </w:tr>
      <w:tr>
        <w:trPr>
          <w:trHeight w:val="238"/>
        </w:trPr>
        <w:tc>
          <w:tcPr>
            <w:tcW w:w="2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536</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3"/>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3"/>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2,027</w:t>
            </w:r>
          </w:p>
        </w:tc>
        <w:tc>
          <w:tcPr>
            <w:tcW w:w="2840" w:type="dxa"/>
            <w:vAlign w:val="bottom"/>
          </w:tcPr>
          <w:p>
            <w:pPr>
              <w:spacing w:after="0"/>
              <w:rPr>
                <w:sz w:val="20"/>
                <w:szCs w:val="20"/>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488"/>
        </w:trPr>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23"/>
          </w:tcPr>
          <w:p>
            <w:pPr>
              <w:ind w:left="560"/>
              <w:spacing w:after="0"/>
              <w:rPr>
                <w:sz w:val="20"/>
                <w:szCs w:val="20"/>
                <w:color w:val="auto"/>
              </w:rPr>
            </w:pPr>
            <w:r>
              <w:rPr>
                <w:rFonts w:ascii="Times New Roman" w:cs="Times New Roman" w:eastAsia="Times New Roman" w:hAnsi="Times New Roman"/>
                <w:sz w:val="16"/>
                <w:szCs w:val="16"/>
                <w:b w:val="1"/>
                <w:bCs w:val="1"/>
                <w:color w:val="auto"/>
                <w:w w:val="99"/>
              </w:rPr>
              <w:t>Originated Vacation Ownership Notes Receivable - Hyatt</w:t>
            </w: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40" w:type="dxa"/>
            <w:vAlign w:val="bottom"/>
          </w:tcPr>
          <w:p>
            <w:pPr>
              <w:spacing w:after="0"/>
              <w:rPr>
                <w:sz w:val="24"/>
                <w:szCs w:val="24"/>
                <w:color w:val="auto"/>
              </w:rPr>
            </w:pPr>
          </w:p>
        </w:tc>
      </w:tr>
      <w:tr>
        <w:trPr>
          <w:trHeight w:val="202"/>
        </w:trPr>
        <w:tc>
          <w:tcPr>
            <w:tcW w:w="1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2018</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2017 &amp; Prior</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40" w:type="dxa"/>
            <w:vAlign w:val="bottom"/>
          </w:tcPr>
          <w:p>
            <w:pPr>
              <w:spacing w:after="0"/>
              <w:rPr>
                <w:sz w:val="17"/>
                <w:szCs w:val="17"/>
                <w:color w:val="auto"/>
              </w:rPr>
            </w:pPr>
          </w:p>
        </w:tc>
      </w:tr>
      <w:tr>
        <w:trPr>
          <w:trHeight w:val="228"/>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700</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840" w:type="dxa"/>
            <w:vAlign w:val="bottom"/>
            <w:tcBorders>
              <w:left w:val="single" w:sz="8" w:color="CCEEFF"/>
            </w:tcBorders>
          </w:tcPr>
          <w:p>
            <w:pPr>
              <w:spacing w:after="0"/>
              <w:rPr>
                <w:sz w:val="19"/>
                <w:szCs w:val="19"/>
                <w:color w:val="auto"/>
              </w:rPr>
            </w:pPr>
          </w:p>
        </w:tc>
      </w:tr>
      <w:tr>
        <w:trPr>
          <w:trHeight w:val="246"/>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600</w:t>
            </w:r>
          </w:p>
        </w:tc>
        <w:tc>
          <w:tcPr>
            <w:tcW w:w="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- 699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gridSpan w:val="4"/>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840" w:type="dxa"/>
            <w:vAlign w:val="bottom"/>
          </w:tcPr>
          <w:p>
            <w:pPr>
              <w:spacing w:after="0"/>
              <w:rPr>
                <w:sz w:val="21"/>
                <w:szCs w:val="21"/>
                <w:color w:val="auto"/>
              </w:rPr>
            </w:pPr>
          </w:p>
        </w:tc>
      </w:tr>
      <w:tr>
        <w:trPr>
          <w:trHeight w:val="246"/>
        </w:trPr>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&lt; 600</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0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840" w:type="dxa"/>
            <w:vAlign w:val="bottom"/>
            <w:tcBorders>
              <w:left w:val="single" w:sz="8" w:color="CCEEFF"/>
            </w:tcBorders>
          </w:tcPr>
          <w:p>
            <w:pPr>
              <w:spacing w:after="0"/>
              <w:rPr>
                <w:sz w:val="21"/>
                <w:szCs w:val="21"/>
                <w:color w:val="auto"/>
              </w:rPr>
            </w:pPr>
          </w:p>
        </w:tc>
      </w:tr>
      <w:tr>
        <w:trPr>
          <w:trHeight w:val="246"/>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 Score</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gridSpan w:val="4"/>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840" w:type="dxa"/>
            <w:vAlign w:val="bottom"/>
          </w:tcPr>
          <w:p>
            <w:pPr>
              <w:spacing w:after="0"/>
              <w:rPr>
                <w:sz w:val="21"/>
                <w:szCs w:val="21"/>
                <w:color w:val="auto"/>
              </w:rPr>
            </w:pPr>
          </w:p>
        </w:tc>
      </w:tr>
      <w:tr>
        <w:trPr>
          <w:trHeight w:val="238"/>
        </w:trPr>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top w:val="single" w:sz="8" w:color="auto"/>
              <w:bottom w:val="single" w:sz="8" w:color="auto"/>
            </w:tcBorders>
            <w:gridSpan w:val="3"/>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2840" w:type="dxa"/>
            <w:vAlign w:val="bottom"/>
            <w:tcBorders>
              <w:left w:val="single" w:sz="8" w:color="CCEEFF"/>
            </w:tcBorders>
          </w:tcPr>
          <w:p>
            <w:pPr>
              <w:spacing w:after="0"/>
              <w:rPr>
                <w:sz w:val="20"/>
                <w:szCs w:val="20"/>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500"/>
        </w:trPr>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23"/>
          </w:tcPr>
          <w:p>
            <w:pPr>
              <w:jc w:val="center"/>
              <w:ind w:left="296"/>
              <w:spacing w:after="0"/>
              <w:rPr>
                <w:sz w:val="20"/>
                <w:szCs w:val="20"/>
                <w:color w:val="auto"/>
              </w:rPr>
            </w:pPr>
            <w:r>
              <w:rPr>
                <w:rFonts w:ascii="Times New Roman" w:cs="Times New Roman" w:eastAsia="Times New Roman" w:hAnsi="Times New Roman"/>
                <w:sz w:val="16"/>
                <w:szCs w:val="16"/>
                <w:b w:val="1"/>
                <w:bCs w:val="1"/>
                <w:color w:val="auto"/>
                <w:w w:val="96"/>
              </w:rPr>
              <w:t>Originated Vacation Ownership Notes Receivable - Welk</w:t>
            </w: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40" w:type="dxa"/>
            <w:vAlign w:val="bottom"/>
          </w:tcPr>
          <w:p>
            <w:pPr>
              <w:spacing w:after="0"/>
              <w:rPr>
                <w:sz w:val="24"/>
                <w:szCs w:val="24"/>
                <w:color w:val="auto"/>
              </w:rPr>
            </w:pPr>
          </w:p>
        </w:tc>
      </w:tr>
      <w:tr>
        <w:trPr>
          <w:trHeight w:val="202"/>
        </w:trPr>
        <w:tc>
          <w:tcPr>
            <w:tcW w:w="1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2018</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w w:val="97"/>
              </w:rPr>
              <w:t>2017 &amp; Prior</w:t>
            </w:r>
          </w:p>
        </w:tc>
        <w:tc>
          <w:tcPr>
            <w:tcW w:w="8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40" w:type="dxa"/>
            <w:vAlign w:val="bottom"/>
          </w:tcPr>
          <w:p>
            <w:pPr>
              <w:spacing w:after="0"/>
              <w:rPr>
                <w:sz w:val="17"/>
                <w:szCs w:val="17"/>
                <w:color w:val="auto"/>
              </w:rPr>
            </w:pPr>
          </w:p>
        </w:tc>
      </w:tr>
      <w:tr>
        <w:trPr>
          <w:trHeight w:val="228"/>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700</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2840" w:type="dxa"/>
            <w:vAlign w:val="bottom"/>
            <w:tcBorders>
              <w:left w:val="single" w:sz="8" w:color="CCEEFF"/>
            </w:tcBorders>
          </w:tcPr>
          <w:p>
            <w:pPr>
              <w:spacing w:after="0"/>
              <w:rPr>
                <w:sz w:val="19"/>
                <w:szCs w:val="19"/>
                <w:color w:val="auto"/>
              </w:rPr>
            </w:pPr>
          </w:p>
        </w:tc>
      </w:tr>
      <w:tr>
        <w:trPr>
          <w:trHeight w:val="246"/>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600</w:t>
            </w:r>
          </w:p>
        </w:tc>
        <w:tc>
          <w:tcPr>
            <w:tcW w:w="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- 699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gridSpan w:val="4"/>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2840" w:type="dxa"/>
            <w:vAlign w:val="bottom"/>
          </w:tcPr>
          <w:p>
            <w:pPr>
              <w:spacing w:after="0"/>
              <w:rPr>
                <w:sz w:val="21"/>
                <w:szCs w:val="21"/>
                <w:color w:val="auto"/>
              </w:rPr>
            </w:pPr>
          </w:p>
        </w:tc>
      </w:tr>
      <w:tr>
        <w:trPr>
          <w:trHeight w:val="246"/>
        </w:trPr>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&lt; 600</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0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840" w:type="dxa"/>
            <w:vAlign w:val="bottom"/>
            <w:tcBorders>
              <w:left w:val="single" w:sz="8" w:color="CCEEFF"/>
            </w:tcBorders>
          </w:tcPr>
          <w:p>
            <w:pPr>
              <w:spacing w:after="0"/>
              <w:rPr>
                <w:sz w:val="21"/>
                <w:szCs w:val="21"/>
                <w:color w:val="auto"/>
              </w:rPr>
            </w:pPr>
          </w:p>
        </w:tc>
      </w:tr>
      <w:tr>
        <w:trPr>
          <w:trHeight w:val="246"/>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 Score</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gridSpan w:val="4"/>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840" w:type="dxa"/>
            <w:vAlign w:val="bottom"/>
          </w:tcPr>
          <w:p>
            <w:pPr>
              <w:spacing w:after="0"/>
              <w:rPr>
                <w:sz w:val="21"/>
                <w:szCs w:val="21"/>
                <w:color w:val="auto"/>
              </w:rPr>
            </w:pPr>
          </w:p>
        </w:tc>
      </w:tr>
      <w:tr>
        <w:trPr>
          <w:trHeight w:val="238"/>
        </w:trPr>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top w:val="single" w:sz="8" w:color="auto"/>
              <w:bottom w:val="single" w:sz="8" w:color="auto"/>
            </w:tcBorders>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2840" w:type="dxa"/>
            <w:vAlign w:val="bottom"/>
            <w:tcBorders>
              <w:left w:val="single" w:sz="8" w:color="CCEEFF"/>
            </w:tcBorders>
          </w:tcPr>
          <w:p>
            <w:pPr>
              <w:spacing w:after="0"/>
              <w:rPr>
                <w:sz w:val="20"/>
                <w:szCs w:val="20"/>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529"/>
        </w:trPr>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47"/>
        </w:trPr>
        <w:tc>
          <w:tcPr>
            <w:tcW w:w="2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Vacation Ownership Notes Receivable on Non-Accrual Status</w:t>
      </w:r>
    </w:p>
    <w:p>
      <w:pPr>
        <w:spacing w:after="0" w:line="120"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For both non-securitized and securitized vacation ownership notes receivable, we estimated average remaining default rates of 11.66% as of September 30, 2022 and 11.75% as of December 31, 2021. A 0.5 percentage point increase in the estimated default rate would have resulted in an increase in the related vacation ownership notes receivable reserve of $12 million as of September 30, 2022 and $10 million as of December 31, 2021.</w:t>
      </w:r>
    </w:p>
    <w:p>
      <w:pPr>
        <w:spacing w:after="0" w:line="59"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The following table shows our recorded investment in non-accrual vacation ownership notes receivable, which are vacation ownership notes receivable that are 90 days or more past due.</w:t>
      </w:r>
    </w:p>
    <w:p>
      <w:pPr>
        <w:sectPr>
          <w:pgSz w:w="11900" w:h="16838" w:orient="portrait"/>
          <w:cols w:equalWidth="0" w:num="1">
            <w:col w:w="11240"/>
          </w:cols>
          <w:pgMar w:left="320" w:top="225" w:right="339" w:bottom="1440" w:gutter="0" w:footer="0" w:header="0"/>
        </w:sectPr>
      </w:pP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p>
      <w:pPr>
        <w:spacing w:after="0" w:line="40" w:lineRule="exact"/>
        <w:rPr>
          <w:sz w:val="20"/>
          <w:szCs w:val="20"/>
          <w:color w:val="auto"/>
        </w:rPr>
      </w:pPr>
    </w:p>
    <w:p>
      <w:pPr>
        <w:ind w:left="20"/>
        <w:spacing w:after="0" w:line="250" w:lineRule="auto"/>
        <w:rPr>
          <w:sz w:val="20"/>
          <w:szCs w:val="20"/>
          <w:color w:val="auto"/>
        </w:rPr>
      </w:pPr>
      <w:r>
        <w:rPr>
          <w:rFonts w:ascii="Times New Roman" w:cs="Times New Roman" w:eastAsia="Times New Roman" w:hAnsi="Times New Roman"/>
          <w:sz w:val="17"/>
          <w:szCs w:val="17"/>
          <w:color w:val="auto"/>
        </w:rPr>
        <w:t>Investment in vacation ownership notes receivable on non-accrual status at September 30, 2022</w:t>
      </w:r>
    </w:p>
    <w:p>
      <w:pPr>
        <w:ind w:left="20"/>
        <w:spacing w:after="0" w:line="253" w:lineRule="auto"/>
        <w:rPr>
          <w:sz w:val="20"/>
          <w:szCs w:val="20"/>
          <w:color w:val="auto"/>
        </w:rPr>
      </w:pPr>
      <w:r>
        <w:rPr>
          <w:rFonts w:ascii="Times New Roman" w:cs="Times New Roman" w:eastAsia="Times New Roman" w:hAnsi="Times New Roman"/>
          <w:sz w:val="17"/>
          <w:szCs w:val="17"/>
          <w:color w:val="auto"/>
        </w:rPr>
        <w:t>Investment in vacation ownership notes receivable on non-accrual status at December 31, 2021</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Vacation Ownership Notes Receivable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Non-Securitized</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Securitized</w:t>
            </w:r>
          </w:p>
        </w:tc>
        <w:tc>
          <w:tcPr>
            <w:tcW w:w="3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92"/>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20" w:type="dxa"/>
            <w:vAlign w:val="bottom"/>
          </w:tcPr>
          <w:p>
            <w:pPr>
              <w:spacing w:after="0"/>
              <w:rPr>
                <w:sz w:val="24"/>
                <w:szCs w:val="24"/>
                <w:color w:val="auto"/>
              </w:rPr>
            </w:pPr>
          </w:p>
        </w:tc>
        <w:tc>
          <w:tcPr>
            <w:tcW w:w="1200" w:type="dxa"/>
            <w:vAlign w:val="bottom"/>
            <w:tcBorders>
              <w:top w:val="single" w:sz="8" w:color="auto"/>
            </w:tcBorders>
          </w:tcPr>
          <w:p>
            <w:pPr>
              <w:jc w:val="right"/>
              <w:ind w:right="996"/>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40" w:type="dxa"/>
            <w:vAlign w:val="bottom"/>
          </w:tcPr>
          <w:p>
            <w:pPr>
              <w:spacing w:after="0"/>
              <w:rPr>
                <w:sz w:val="24"/>
                <w:szCs w:val="24"/>
                <w:color w:val="auto"/>
              </w:rPr>
            </w:pPr>
          </w:p>
        </w:tc>
        <w:tc>
          <w:tcPr>
            <w:tcW w:w="3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w:t>
            </w:r>
          </w:p>
        </w:tc>
      </w:tr>
      <w:tr>
        <w:trPr>
          <w:trHeight w:val="402"/>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20" w:type="dxa"/>
            <w:vAlign w:val="bottom"/>
          </w:tcPr>
          <w:p>
            <w:pPr>
              <w:spacing w:after="0"/>
              <w:rPr>
                <w:sz w:val="24"/>
                <w:szCs w:val="24"/>
                <w:color w:val="auto"/>
              </w:rPr>
            </w:pPr>
          </w:p>
        </w:tc>
        <w:tc>
          <w:tcPr>
            <w:tcW w:w="1200" w:type="dxa"/>
            <w:vAlign w:val="bottom"/>
          </w:tcPr>
          <w:p>
            <w:pPr>
              <w:jc w:val="right"/>
              <w:ind w:right="996"/>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40" w:type="dxa"/>
            <w:vAlign w:val="bottom"/>
          </w:tcPr>
          <w:p>
            <w:pPr>
              <w:spacing w:after="0"/>
              <w:rPr>
                <w:sz w:val="24"/>
                <w:szCs w:val="24"/>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-452120</wp:posOffset>
            </wp:positionV>
            <wp:extent cx="5334635" cy="2552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34635" cy="255270"/>
                    </a:xfrm>
                    <a:prstGeom prst="rect">
                      <a:avLst/>
                    </a:prstGeom>
                    <a:noFill/>
                  </pic:spPr>
                </pic:pic>
              </a:graphicData>
            </a:graphic>
          </wp:anchor>
        </w:drawing>
      </w:r>
    </w:p>
    <w:p>
      <w:pPr>
        <w:spacing w:after="0" w:line="300" w:lineRule="exact"/>
        <w:rPr>
          <w:sz w:val="20"/>
          <w:szCs w:val="20"/>
          <w:color w:val="auto"/>
        </w:rPr>
      </w:pPr>
    </w:p>
    <w:p>
      <w:pPr>
        <w:sectPr>
          <w:pgSz w:w="11900" w:h="16838" w:orient="portrait"/>
          <w:cols w:equalWidth="0" w:num="2">
            <w:col w:w="3520" w:space="100"/>
            <w:col w:w="7620"/>
          </w:cols>
          <w:pgMar w:left="320" w:top="225" w:right="339" w:bottom="1440" w:gutter="0" w:footer="0" w:header="0"/>
          <w:type w:val="continuous"/>
        </w:sectPr>
      </w:pPr>
    </w:p>
    <w:p>
      <w:pPr>
        <w:spacing w:after="0" w:line="18" w:lineRule="exact"/>
        <w:rPr>
          <w:sz w:val="20"/>
          <w:szCs w:val="20"/>
          <w:color w:val="auto"/>
        </w:rPr>
      </w:pPr>
    </w:p>
    <w:p>
      <w:pPr>
        <w:ind w:right="280"/>
        <w:spacing w:after="0" w:line="292" w:lineRule="auto"/>
        <w:rPr>
          <w:sz w:val="20"/>
          <w:szCs w:val="20"/>
          <w:color w:val="auto"/>
        </w:rPr>
      </w:pPr>
      <w:r>
        <w:rPr>
          <w:rFonts w:ascii="Times New Roman" w:cs="Times New Roman" w:eastAsia="Times New Roman" w:hAnsi="Times New Roman"/>
          <w:sz w:val="17"/>
          <w:szCs w:val="17"/>
          <w:color w:val="auto"/>
        </w:rPr>
        <w:t>The following table shows the aging of the recorded investment in principal, before reserves, in vacation ownership notes receivable as of September 30, 2022 and December 31,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As of September 30, 2022</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680" w:type="dxa"/>
            <w:vAlign w:val="bottom"/>
            <w:tcBorders>
              <w:bottom w:val="single" w:sz="8" w:color="auto"/>
            </w:tcBorders>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20"/>
              <w:spacing w:after="0" w:line="152" w:lineRule="exact"/>
              <w:rPr>
                <w:sz w:val="20"/>
                <w:szCs w:val="20"/>
                <w:color w:val="auto"/>
              </w:rPr>
            </w:pPr>
            <w:r>
              <w:rPr>
                <w:rFonts w:ascii="Times New Roman" w:cs="Times New Roman" w:eastAsia="Times New Roman" w:hAnsi="Times New Roman"/>
                <w:sz w:val="16"/>
                <w:szCs w:val="16"/>
                <w:b w:val="1"/>
                <w:bCs w:val="1"/>
                <w:color w:val="auto"/>
                <w:w w:val="94"/>
              </w:rPr>
              <w:t>Non-</w:t>
            </w:r>
          </w:p>
        </w:tc>
        <w:tc>
          <w:tcPr>
            <w:tcW w:w="120" w:type="dxa"/>
            <w:vAlign w:val="bottom"/>
          </w:tcPr>
          <w:p>
            <w:pPr>
              <w:spacing w:after="0"/>
              <w:rPr>
                <w:sz w:val="13"/>
                <w:szCs w:val="13"/>
                <w:color w:val="auto"/>
              </w:rPr>
            </w:pP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Securitized</w:t>
            </w:r>
          </w:p>
        </w:tc>
        <w:tc>
          <w:tcPr>
            <w:tcW w:w="240" w:type="dxa"/>
            <w:vAlign w:val="bottom"/>
          </w:tcPr>
          <w:p>
            <w:pPr>
              <w:spacing w:after="0"/>
              <w:rPr>
                <w:sz w:val="13"/>
                <w:szCs w:val="13"/>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3"/>
                <w:szCs w:val="13"/>
                <w:color w:val="auto"/>
              </w:rPr>
            </w:pPr>
          </w:p>
        </w:tc>
        <w:tc>
          <w:tcPr>
            <w:tcW w:w="980" w:type="dxa"/>
            <w:vAlign w:val="bottom"/>
            <w:gridSpan w:val="2"/>
          </w:tcPr>
          <w:p>
            <w:pPr>
              <w:jc w:val="center"/>
              <w:ind w:right="200"/>
              <w:spacing w:after="0" w:line="152" w:lineRule="exact"/>
              <w:rPr>
                <w:sz w:val="20"/>
                <w:szCs w:val="20"/>
                <w:color w:val="auto"/>
              </w:rPr>
            </w:pPr>
            <w:r>
              <w:rPr>
                <w:rFonts w:ascii="Times New Roman" w:cs="Times New Roman" w:eastAsia="Times New Roman" w:hAnsi="Times New Roman"/>
                <w:sz w:val="16"/>
                <w:szCs w:val="16"/>
                <w:b w:val="1"/>
                <w:bCs w:val="1"/>
                <w:color w:val="auto"/>
              </w:rPr>
              <w:t>Non-</w:t>
            </w:r>
          </w:p>
        </w:tc>
        <w:tc>
          <w:tcPr>
            <w:tcW w:w="120" w:type="dxa"/>
            <w:vAlign w:val="bottom"/>
          </w:tcPr>
          <w:p>
            <w:pPr>
              <w:spacing w:after="0"/>
              <w:rPr>
                <w:sz w:val="13"/>
                <w:szCs w:val="13"/>
                <w:color w:val="auto"/>
              </w:rPr>
            </w:pP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Securitized</w:t>
            </w:r>
          </w:p>
        </w:tc>
        <w:tc>
          <w:tcPr>
            <w:tcW w:w="240" w:type="dxa"/>
            <w:vAlign w:val="bottom"/>
          </w:tcPr>
          <w:p>
            <w:pPr>
              <w:spacing w:after="0"/>
              <w:rPr>
                <w:sz w:val="13"/>
                <w:szCs w:val="13"/>
                <w:color w:val="auto"/>
              </w:rPr>
            </w:pPr>
          </w:p>
        </w:tc>
        <w:tc>
          <w:tcPr>
            <w:tcW w:w="3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6"/>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Securitized</w:t>
            </w: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Securitized</w:t>
            </w: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31 – 90 days past due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91 – 120 days past due</w:t>
            </w:r>
          </w:p>
        </w:tc>
        <w:tc>
          <w:tcPr>
            <w:tcW w:w="10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8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Greater than 120 days past</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w:t>
            </w: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149</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past due</w:t>
            </w:r>
          </w:p>
        </w:tc>
        <w:tc>
          <w:tcPr>
            <w:tcW w:w="100" w:type="dxa"/>
            <w:vAlign w:val="bottom"/>
          </w:tcPr>
          <w:p>
            <w:pPr>
              <w:spacing w:after="0"/>
              <w:rPr>
                <w:sz w:val="19"/>
                <w:szCs w:val="19"/>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1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505</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1,812</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2,317</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1,762</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2,161</w:t>
            </w:r>
          </w:p>
        </w:tc>
        <w:tc>
          <w:tcPr>
            <w:tcW w:w="2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120"/>
              <w:spacing w:after="0" w:line="149" w:lineRule="exact"/>
              <w:rPr>
                <w:sz w:val="20"/>
                <w:szCs w:val="20"/>
                <w:color w:val="auto"/>
              </w:rPr>
            </w:pPr>
            <w:r>
              <w:rPr>
                <w:rFonts w:ascii="Times New Roman" w:cs="Times New Roman" w:eastAsia="Times New Roman" w:hAnsi="Times New Roman"/>
                <w:sz w:val="17"/>
                <w:szCs w:val="17"/>
                <w:color w:val="auto"/>
              </w:rPr>
              <w:t>Total vacation ownership</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auto"/>
              </w:rPr>
              <w:t>673</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1,875</w:t>
            </w:r>
          </w:p>
        </w:tc>
        <w:tc>
          <w:tcPr>
            <w:tcW w:w="120" w:type="dxa"/>
            <w:vAlign w:val="bottom"/>
          </w:tcPr>
          <w:p>
            <w:pPr>
              <w:spacing w:after="0"/>
              <w:rPr>
                <w:sz w:val="12"/>
                <w:szCs w:val="12"/>
                <w:color w:val="auto"/>
              </w:rPr>
            </w:pPr>
          </w:p>
        </w:tc>
        <w:tc>
          <w:tcPr>
            <w:tcW w:w="24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2,548</w:t>
            </w:r>
          </w:p>
        </w:tc>
        <w:tc>
          <w:tcPr>
            <w:tcW w:w="1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623</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1,824</w:t>
            </w:r>
          </w:p>
        </w:tc>
        <w:tc>
          <w:tcPr>
            <w:tcW w:w="120" w:type="dxa"/>
            <w:vAlign w:val="bottom"/>
          </w:tcPr>
          <w:p>
            <w:pPr>
              <w:spacing w:after="0"/>
              <w:rPr>
                <w:sz w:val="12"/>
                <w:szCs w:val="12"/>
                <w:color w:val="auto"/>
              </w:rPr>
            </w:pPr>
          </w:p>
        </w:tc>
        <w:tc>
          <w:tcPr>
            <w:tcW w:w="24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2,447</w:t>
            </w: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notes receivable</w:t>
            </w:r>
          </w:p>
        </w:tc>
        <w:tc>
          <w:tcPr>
            <w:tcW w:w="10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2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0" w:hanging="379"/>
        <w:spacing w:after="0"/>
        <w:tabs>
          <w:tab w:leader="none" w:pos="40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FINANCIAL INSTRUMENTS</w:t>
      </w:r>
    </w:p>
    <w:p>
      <w:pPr>
        <w:spacing w:after="0" w:line="20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deposits included in Other assets, Accounts payable, Advance deposits, Accrued liabilities, and derivative instruments, all of which had fair values approximating their carrying amounts due to the short maturities and liquidity of these instruments.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At September 30, 2022</w:t>
            </w:r>
          </w:p>
        </w:tc>
        <w:tc>
          <w:tcPr>
            <w:tcW w:w="180" w:type="dxa"/>
            <w:vAlign w:val="bottom"/>
          </w:tcPr>
          <w:p>
            <w:pPr>
              <w:spacing w:after="0"/>
              <w:rPr>
                <w:sz w:val="18"/>
                <w:szCs w:val="18"/>
                <w:color w:val="auto"/>
              </w:rPr>
            </w:pPr>
          </w:p>
        </w:tc>
        <w:tc>
          <w:tcPr>
            <w:tcW w:w="2300" w:type="dxa"/>
            <w:vAlign w:val="bottom"/>
            <w:gridSpan w:val="4"/>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At December 31, 2021</w:t>
            </w:r>
          </w:p>
        </w:tc>
      </w:tr>
      <w:tr>
        <w:trPr>
          <w:trHeight w:val="151"/>
        </w:trPr>
        <w:tc>
          <w:tcPr>
            <w:tcW w:w="38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center"/>
              <w:ind w:right="320"/>
              <w:spacing w:after="0" w:line="152"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155"/>
              <w:spacing w:after="0" w:line="152"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center"/>
              <w:ind w:right="300"/>
              <w:spacing w:after="0" w:line="152"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55"/>
              <w:spacing w:after="0" w:line="152" w:lineRule="exact"/>
              <w:rPr>
                <w:sz w:val="20"/>
                <w:szCs w:val="20"/>
                <w:color w:val="auto"/>
              </w:rPr>
            </w:pPr>
            <w:r>
              <w:rPr>
                <w:rFonts w:ascii="Times New Roman" w:cs="Times New Roman" w:eastAsia="Times New Roman" w:hAnsi="Times New Roman"/>
                <w:sz w:val="16"/>
                <w:szCs w:val="16"/>
                <w:b w:val="1"/>
                <w:bCs w:val="1"/>
                <w:color w:val="auto"/>
              </w:rPr>
              <w:t>Fair</w:t>
            </w:r>
          </w:p>
        </w:tc>
      </w:tr>
      <w:tr>
        <w:trPr>
          <w:trHeight w:val="206"/>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24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8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260" w:type="dxa"/>
            <w:vAlign w:val="bottom"/>
          </w:tcPr>
          <w:p>
            <w:pPr>
              <w:spacing w:after="0"/>
              <w:rPr>
                <w:sz w:val="17"/>
                <w:szCs w:val="17"/>
                <w:color w:val="auto"/>
              </w:rPr>
            </w:pPr>
          </w:p>
        </w:tc>
        <w:tc>
          <w:tcPr>
            <w:tcW w:w="92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28"/>
        </w:trPr>
        <w:tc>
          <w:tcPr>
            <w:tcW w:w="33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 notes receivable, net</w:t>
            </w: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2,142</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2,189</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2,102</w:t>
            </w:r>
          </w:p>
        </w:tc>
      </w:tr>
      <w:tr>
        <w:trPr>
          <w:trHeight w:val="246"/>
        </w:trPr>
        <w:tc>
          <w:tcPr>
            <w:tcW w:w="3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38"/>
        </w:trPr>
        <w:tc>
          <w:tcPr>
            <w:tcW w:w="33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financial assets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2,210</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2,257</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2,178</w:t>
            </w:r>
          </w:p>
        </w:tc>
      </w:tr>
      <w:tr>
        <w:trPr>
          <w:trHeight w:val="20"/>
        </w:trPr>
        <w:tc>
          <w:tcPr>
            <w:tcW w:w="332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5"/>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9"/>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Securitized debt, net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(1,809)</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(1,708)</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(1,900)</w:t>
            </w:r>
          </w:p>
        </w:tc>
      </w:tr>
      <w:tr>
        <w:trPr>
          <w:trHeight w:val="246"/>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2025</w:t>
            </w:r>
          </w:p>
        </w:tc>
        <w:tc>
          <w:tcPr>
            <w:tcW w:w="2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Notes, net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w:t>
            </w:r>
          </w:p>
        </w:tc>
      </w:tr>
      <w:tr>
        <w:trPr>
          <w:trHeight w:val="246"/>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2028</w:t>
            </w: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 net</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w:t>
            </w:r>
          </w:p>
        </w:tc>
      </w:tr>
      <w:tr>
        <w:trPr>
          <w:trHeight w:val="246"/>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2029</w:t>
            </w:r>
          </w:p>
        </w:tc>
        <w:tc>
          <w:tcPr>
            <w:tcW w:w="2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Notes, net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w:t>
            </w:r>
          </w:p>
        </w:tc>
      </w:tr>
      <w:tr>
        <w:trPr>
          <w:trHeight w:val="246"/>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net</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w:t>
            </w:r>
          </w:p>
        </w:tc>
      </w:tr>
      <w:tr>
        <w:trPr>
          <w:trHeight w:val="246"/>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Revolving Corporate Credit Facility, net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6"/>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2022</w:t>
            </w: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Convertible Notes, net</w:t>
            </w:r>
            <w:r>
              <w:rPr>
                <w:rFonts w:ascii="Times New Roman" w:cs="Times New Roman" w:eastAsia="Times New Roman" w:hAnsi="Times New Roman"/>
                <w:sz w:val="10"/>
                <w:szCs w:val="10"/>
                <w:color w:val="auto"/>
              </w:rPr>
              <w:t>(1)</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r>
      <w:tr>
        <w:trPr>
          <w:trHeight w:val="246"/>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2026</w:t>
            </w:r>
          </w:p>
        </w:tc>
        <w:tc>
          <w:tcPr>
            <w:tcW w:w="2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Convertible Notes, net</w:t>
            </w:r>
            <w:r>
              <w:rPr>
                <w:rFonts w:ascii="Times New Roman" w:cs="Times New Roman" w:eastAsia="Times New Roman" w:hAnsi="Times New Roman"/>
                <w:sz w:val="10"/>
                <w:szCs w:val="10"/>
                <w:color w:val="auto"/>
              </w:rPr>
              <w:t>(1)</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(682)</w:t>
            </w:r>
          </w:p>
        </w:tc>
      </w:tr>
      <w:tr>
        <w:trPr>
          <w:trHeight w:val="246"/>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Non-interest bearing note payable, net</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33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Total financial liabilities</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(4,475)</w:t>
            </w: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(4,151)</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(4,404)</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(4,774)</w:t>
            </w:r>
          </w:p>
        </w:tc>
      </w:tr>
      <w:tr>
        <w:trPr>
          <w:trHeight w:val="20"/>
        </w:trPr>
        <w:tc>
          <w:tcPr>
            <w:tcW w:w="3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64" w:lineRule="exact"/>
        <w:rPr>
          <w:sz w:val="20"/>
          <w:szCs w:val="20"/>
          <w:color w:val="auto"/>
        </w:rPr>
      </w:pPr>
    </w:p>
    <w:p>
      <w:pPr>
        <w:ind w:left="320" w:right="200" w:hanging="316"/>
        <w:spacing w:after="0" w:line="231" w:lineRule="auto"/>
        <w:tabs>
          <w:tab w:leader="none" w:pos="308"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Prior period amounts have not been adjusted to reflect our adoption of ASU 2020-06 under the modified retrospective method. See Footnote 2 “Significant Accounting Policies and Recent Accounting Standards” for information on our adoption of ASU 2020-06.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Vacation Ownership Notes Receivable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At September 30, 2022</w:t>
            </w:r>
          </w:p>
        </w:tc>
        <w:tc>
          <w:tcPr>
            <w:tcW w:w="200" w:type="dxa"/>
            <w:vAlign w:val="bottom"/>
          </w:tcPr>
          <w:p>
            <w:pPr>
              <w:spacing w:after="0"/>
              <w:rPr>
                <w:sz w:val="18"/>
                <w:szCs w:val="18"/>
                <w:color w:val="auto"/>
              </w:rPr>
            </w:pPr>
          </w:p>
        </w:tc>
        <w:tc>
          <w:tcPr>
            <w:tcW w:w="2260" w:type="dxa"/>
            <w:vAlign w:val="bottom"/>
            <w:gridSpan w:val="4"/>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At December 31, 2021</w:t>
            </w:r>
          </w:p>
        </w:tc>
      </w:tr>
      <w:tr>
        <w:trPr>
          <w:trHeight w:val="151"/>
        </w:trPr>
        <w:tc>
          <w:tcPr>
            <w:tcW w:w="33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center"/>
              <w:ind w:right="320"/>
              <w:spacing w:after="0" w:line="152"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156"/>
              <w:spacing w:after="0" w:line="152"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center"/>
              <w:ind w:right="320"/>
              <w:spacing w:after="0" w:line="152"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56"/>
              <w:spacing w:after="0" w:line="152" w:lineRule="exact"/>
              <w:rPr>
                <w:sz w:val="20"/>
                <w:szCs w:val="20"/>
                <w:color w:val="auto"/>
              </w:rPr>
            </w:pPr>
            <w:r>
              <w:rPr>
                <w:rFonts w:ascii="Times New Roman" w:cs="Times New Roman" w:eastAsia="Times New Roman" w:hAnsi="Times New Roman"/>
                <w:sz w:val="16"/>
                <w:szCs w:val="16"/>
                <w:b w:val="1"/>
                <w:bCs w:val="1"/>
                <w:color w:val="auto"/>
              </w:rPr>
              <w:t>Fair</w:t>
            </w:r>
          </w:p>
        </w:tc>
      </w:tr>
      <w:tr>
        <w:trPr>
          <w:trHeight w:val="206"/>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240" w:type="dxa"/>
            <w:vAlign w:val="bottom"/>
          </w:tcPr>
          <w:p>
            <w:pPr>
              <w:spacing w:after="0"/>
              <w:rPr>
                <w:sz w:val="17"/>
                <w:szCs w:val="17"/>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20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240" w:type="dxa"/>
            <w:vAlign w:val="bottom"/>
          </w:tcPr>
          <w:p>
            <w:pPr>
              <w:spacing w:after="0"/>
              <w:rPr>
                <w:sz w:val="17"/>
                <w:szCs w:val="17"/>
                <w:color w:val="auto"/>
              </w:rPr>
            </w:pPr>
          </w:p>
        </w:tc>
        <w:tc>
          <w:tcPr>
            <w:tcW w:w="92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28"/>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 notes receivable, net</w:t>
            </w: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r>
      <w:tr>
        <w:trPr>
          <w:trHeight w:val="246"/>
        </w:trPr>
        <w:tc>
          <w:tcPr>
            <w:tcW w:w="3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Securitized</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1,662</w:t>
            </w:r>
          </w:p>
        </w:tc>
        <w:tc>
          <w:tcPr>
            <w:tcW w:w="140" w:type="dxa"/>
            <w:vAlign w:val="bottom"/>
          </w:tcPr>
          <w:p>
            <w:pPr>
              <w:spacing w:after="0"/>
              <w:rPr>
                <w:sz w:val="21"/>
                <w:szCs w:val="21"/>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1,704</w:t>
            </w:r>
          </w:p>
        </w:tc>
        <w:tc>
          <w:tcPr>
            <w:tcW w:w="120" w:type="dxa"/>
            <w:vAlign w:val="bottom"/>
          </w:tcPr>
          <w:p>
            <w:pPr>
              <w:spacing w:after="0"/>
              <w:rPr>
                <w:sz w:val="21"/>
                <w:szCs w:val="21"/>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1,662</w:t>
            </w:r>
          </w:p>
        </w:tc>
        <w:tc>
          <w:tcPr>
            <w:tcW w:w="140" w:type="dxa"/>
            <w:vAlign w:val="bottom"/>
          </w:tcPr>
          <w:p>
            <w:pPr>
              <w:spacing w:after="0"/>
              <w:rPr>
                <w:sz w:val="21"/>
                <w:szCs w:val="21"/>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1,712</w:t>
            </w:r>
          </w:p>
        </w:tc>
      </w:tr>
      <w:tr>
        <w:trPr>
          <w:trHeight w:val="259"/>
        </w:trPr>
        <w:tc>
          <w:tcPr>
            <w:tcW w:w="33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46"/>
        </w:trPr>
        <w:tc>
          <w:tcPr>
            <w:tcW w:w="33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Eligible for securitization</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46"/>
        </w:trPr>
        <w:tc>
          <w:tcPr>
            <w:tcW w:w="3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Not eligible for securitization</w:t>
            </w: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1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r>
      <w:tr>
        <w:trPr>
          <w:trHeight w:val="226"/>
        </w:trPr>
        <w:tc>
          <w:tcPr>
            <w:tcW w:w="3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Non-securitized</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390</w:t>
            </w:r>
          </w:p>
        </w:tc>
      </w:tr>
      <w:tr>
        <w:trPr>
          <w:trHeight w:val="238"/>
        </w:trPr>
        <w:tc>
          <w:tcPr>
            <w:tcW w:w="33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2,142</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2,045</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2,102</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We estimate the fair value of our vacation ownership notes receivable that have been securitized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to determine the fair value of the underlying vacation ownership notes receivable. We concluded that this fair value measurement should be categorized within Level 3.</w:t>
      </w:r>
    </w:p>
    <w:p>
      <w:pPr>
        <w:spacing w:after="0" w:line="64"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7"/>
          <w:szCs w:val="17"/>
          <w:color w:val="auto"/>
        </w:rPr>
        <w:t>Due to factors that impact the general marketability of our vacation ownership notes receivable that have not been securitized, as well as current market conditions, we bifurcate our non-securitized vacation ownership notes receivable at each balance sheet date into those eligible and not eligible for securitization using criteria applicable to current</w:t>
      </w:r>
    </w:p>
    <w:p>
      <w:pPr>
        <w:spacing w:after="0" w:line="2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securitization transactions in the ABS market. Generally, vacation ownership notes receivable are considered not eligible for securitization if any of the following attributes are present: (1) payments are greater than 30 days past due; (2) the first payment has not been received; or (3) the collateral is located in Asia or Europe.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w:t>
      </w:r>
    </w:p>
    <w:p>
      <w:pPr>
        <w:spacing w:after="0" w:line="6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The table above shows the bifurcation of our vacation ownership notes receivable that have not been securitized into those eligible and not eligible for securitization based upon the aforementioned eligibility criteria. We estimate the fair value of the portion of our vacation ownership notes receivable that have not been securitized that we believe will ultimately be securitized in the same manner as vacation ownership notes receivable that have been securitized. We value the remaining vacation ownership notes receivable that have not been securitized at their carrying value, rather than using our pricing model. We believe that the carrying value of these particular vacation ownership notes receivable approximates fair value because the stated, or otherwise imputed, interest rates of these loans are consistent with current market rates and the reserve for these vacation ownership notes receivable appropriately accounts for risks in default rates, prepayment rates, discount rates, and loan terms. We concluded that this fair value measurement should be categorized within Level 3.</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Assets</w:t>
      </w:r>
    </w:p>
    <w:p>
      <w:pPr>
        <w:spacing w:after="0" w:line="120"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7"/>
          <w:szCs w:val="17"/>
          <w:color w:val="auto"/>
        </w:rPr>
        <w:t>Other assets include $68 million of company owned insurance policies (the “COLI policies”), acquired on the lives of certain participants in the Marriott Vacations Worldwide Deferred Compensation Plan, that are held in a rabbi trust. The carrying value of the COLI policies is equal to their cash surrender value (Level 2 inputs).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Securitized Debt</w:t>
      </w:r>
    </w:p>
    <w:p>
      <w:pPr>
        <w:spacing w:after="0" w:line="12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 We concluded that this fair value measurement should be categorized within Level 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Senior Notes</w:t>
      </w:r>
    </w:p>
    <w:p>
      <w:pPr>
        <w:spacing w:after="0" w:line="12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We estimate the fair value of our 2025 Notes, 2028 Notes, and 2029 Notes (each as defined in Footnote 13 “Debt”) using quoted market prices as of the last trading day for the quarter; however these notes have only a limited trading history and volume, and as such this fair value estimate is not necessarily indicative of the value at which these notes could be retired or transferred. We concluded that this fair value measurement should be categorized within Level 2.</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 Loan</w:t>
      </w:r>
    </w:p>
    <w:p>
      <w:pPr>
        <w:spacing w:after="0" w:line="120"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7"/>
          <w:szCs w:val="17"/>
          <w:color w:val="auto"/>
        </w:rPr>
        <w:t>We estimate the fair value of our Term Loan (as defined in Footnote 13 “Debt”) using quotes from securities dealers as of the last trading day for the quarter; however this loan has only a limited trading history and volume, and as such this fair value estimate is not necessarily indicative of the value at which the Term Loan could be retired or transferred. We concluded that this fair value measurement should be categorized within Level 3.</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Revolving Corporate Credit Facility</w:t>
      </w:r>
    </w:p>
    <w:p>
      <w:pPr>
        <w:spacing w:after="0" w:line="120"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7"/>
          <w:szCs w:val="17"/>
          <w:color w:val="auto"/>
        </w:rPr>
        <w:t>We estimate that the gross carrying value of our Revolving Corporate Credit Facility (as defined in Footnote 13 “Debt”) approximates fair value as the contractual interest rate is variable plus an applicable margin. We concluded that this fair value measurement should be categorized within Level 3.</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Notes</w:t>
      </w:r>
    </w:p>
    <w:p>
      <w:pPr>
        <w:spacing w:after="0" w:line="120"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We estimate the fair value of the 2026 Convertible Notes (as defined in Footnote 13 “Debt”) using quoted market prices as of the last trading day for the quarter; however these notes have only a limited trading history and volume, and as such this fair value estimate is not necessarily indicative of the value at which the 2026 Convertible Notes could be retired or transferred. We concluded that this fair value measurement should be categorized within Level 2. The difference between the carrying value and the fair value is primarily attributed to the underlying conversion feature and the spread between the conversion price and the market value of the shares underlying the 2026 Convertible notes.</w:t>
      </w:r>
    </w:p>
    <w:p>
      <w:pPr>
        <w:spacing w:after="0" w:line="23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360"/>
        <w:spacing w:after="0" w:line="292" w:lineRule="auto"/>
        <w:rPr>
          <w:sz w:val="20"/>
          <w:szCs w:val="20"/>
          <w:color w:val="auto"/>
        </w:rPr>
      </w:pPr>
      <w:r>
        <w:rPr>
          <w:rFonts w:ascii="Times New Roman" w:cs="Times New Roman" w:eastAsia="Times New Roman" w:hAnsi="Times New Roman"/>
          <w:sz w:val="17"/>
          <w:szCs w:val="17"/>
          <w:color w:val="auto"/>
        </w:rPr>
        <w:t>The 2022 Convertible Notes (as defined in Footnote 13 “Debt”) matured on September 15, 2022, and were repaid in full during the third quarter of 2022. See Footnote 13 “Debt” for further information on the 2022 Convertible Notes.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Non-Interest Bearing Note Payable</w:t>
      </w:r>
    </w:p>
    <w:p>
      <w:pPr>
        <w:spacing w:after="0" w:line="120" w:lineRule="exact"/>
        <w:rPr>
          <w:sz w:val="20"/>
          <w:szCs w:val="20"/>
          <w:color w:val="auto"/>
        </w:rPr>
      </w:pPr>
    </w:p>
    <w:p>
      <w:pPr>
        <w:ind w:right="500"/>
        <w:spacing w:after="0" w:line="292" w:lineRule="auto"/>
        <w:rPr>
          <w:sz w:val="20"/>
          <w:szCs w:val="20"/>
          <w:color w:val="auto"/>
        </w:rPr>
      </w:pPr>
      <w:r>
        <w:rPr>
          <w:rFonts w:ascii="Times New Roman" w:cs="Times New Roman" w:eastAsia="Times New Roman" w:hAnsi="Times New Roman"/>
          <w:sz w:val="17"/>
          <w:szCs w:val="17"/>
          <w:color w:val="auto"/>
        </w:rPr>
        <w:t>The carrying value of our non-interest bearing note payable issued in connection with the acquisition of vacation ownership units located in Bali, Indonesia approximates fair value. We concluded that this fair value measurement should be categorized within Level 3.</w:t>
      </w:r>
    </w:p>
    <w:p>
      <w:pPr>
        <w:spacing w:after="0" w:line="222" w:lineRule="exact"/>
        <w:rPr>
          <w:sz w:val="20"/>
          <w:szCs w:val="20"/>
          <w:color w:val="auto"/>
        </w:rPr>
      </w:pPr>
    </w:p>
    <w:p>
      <w:pPr>
        <w:ind w:left="400" w:hanging="379"/>
        <w:spacing w:after="0"/>
        <w:tabs>
          <w:tab w:leader="none" w:pos="40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EARNINGS PER SHARE</w:t>
      </w:r>
    </w:p>
    <w:p>
      <w:pPr>
        <w:spacing w:after="0" w:line="20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Basic earnings or loss per common share attributable to common shareholders is calculated by dividing net income or loss attributable to common shareholders by the weighted average number of shares of common stock outstanding during the reporting period. Treasury stock is excluded from the weighted average number of shares of common stock outstanding. Diluted earnings or loss per common share attributable to common shareholders is calculated to give effect to all potentially dilutive common shares that were outstanding during the reporting period, except in periods when there is a loss because the inclusion of the potential common shares would have an anti-dilutive effect. The dilutive effect of outstanding equity-based compensation awards is reflected in diluted earnings or loss per common share applicable to common shareholders by application of the treasury stock method using average market prices during the period.</w:t>
      </w:r>
    </w:p>
    <w:p>
      <w:pPr>
        <w:spacing w:after="0" w:line="12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We adopted ASU 2020-06 on January 1, 2022 using the modified retrospective method. ASU 2020-06 is applicable to our convertible notes outstanding as of adoption and requires us to calculate the impact of our convertible notes on diluted earnings per share using the “if-converted” method, regardless of our intent to settle or partially settle the debt in cash. Under the “if-converted” method, shares issuable upon conversion of our convertible notes are assumed to be converted into common stock at the beginning of the period, to the extent dilutive. We issued notice of our intent to settle the 2022 Convertible Notes in cash, which became irrevocable on June 15, 2022, and as a result, we suspended the use of the “if-converted” method for the 2022 Convertible Notes at that time, as there was no longer a share settlement option. Earnings per share for the three and nine months ended September 30, 2021 have not been retrospectively restated and continue to be reported under the accounting standards in effect for that period.</w:t>
      </w:r>
    </w:p>
    <w:p>
      <w:pPr>
        <w:spacing w:after="0" w:line="12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shares issuable on exercise of the warrants sold in connection with the issuance of our convertible notes will not impact the total dilutive weighted average shares outstanding unless and until the price of our common stock exceeds the respective strike price. If and when the price of our common stock exceeds the respective strike price of any of the warrants, we will include the dilutive effect of the additional shares that may be issued upon exercise of the warrants in total dilutive weighted average shares outstanding, which we calculate using the treasury stock method. The convertible note hedges purchased in connection with each issuance of convertible notes are considered to be anti-dilutive and do not impact our calculation of diluted earnings per share attributable to common shareholders for any periods presented herein. The 2022 Convertible Notes and the 2022 Convertible Note Hedges (as defined in Footnote 13 “Debt”) matured on September 15, 2022, however the 2022 Warrants (as defined in Footnote 13 “Debt”) remained outstanding as of September 30, 2022. See Footnote 13 “Debt” for further information on our convertible notes.</w:t>
      </w:r>
    </w:p>
    <w:p>
      <w:pPr>
        <w:spacing w:after="0" w:line="121"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17"/>
          <w:szCs w:val="17"/>
          <w:color w:val="auto"/>
        </w:rPr>
        <w:t>The table below illustrates the reconciliation of the earnings or loss and number of shares used in our calculation of basic earnings or loss per share attributable to common shareholders.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Pr>
          <w:p>
            <w:pPr>
              <w:spacing w:after="0"/>
              <w:rPr>
                <w:sz w:val="18"/>
                <w:szCs w:val="18"/>
                <w:color w:val="auto"/>
              </w:rPr>
            </w:pPr>
          </w:p>
        </w:tc>
        <w:tc>
          <w:tcPr>
            <w:tcW w:w="510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1"/>
        </w:trPr>
        <w:tc>
          <w:tcPr>
            <w:tcW w:w="29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ind w:left="40"/>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97"/>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40" w:type="dxa"/>
            <w:vAlign w:val="bottom"/>
          </w:tcPr>
          <w:p>
            <w:pPr>
              <w:spacing w:after="0"/>
              <w:rPr>
                <w:sz w:val="13"/>
                <w:szCs w:val="13"/>
                <w:color w:val="auto"/>
              </w:rPr>
            </w:pPr>
          </w:p>
        </w:tc>
        <w:tc>
          <w:tcPr>
            <w:tcW w:w="1360" w:type="dxa"/>
            <w:vAlign w:val="bottom"/>
            <w:tcBorders>
              <w:top w:val="single" w:sz="8" w:color="auto"/>
            </w:tcBorders>
            <w:gridSpan w:val="3"/>
          </w:tcPr>
          <w:p>
            <w:pPr>
              <w:ind w:left="140"/>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7"/>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2840" w:type="dxa"/>
            <w:vAlign w:val="bottom"/>
          </w:tcPr>
          <w:p>
            <w:pPr>
              <w:spacing w:after="0"/>
              <w:rPr>
                <w:sz w:val="13"/>
                <w:szCs w:val="13"/>
                <w:color w:val="auto"/>
              </w:rPr>
            </w:pPr>
          </w:p>
        </w:tc>
      </w:tr>
      <w:tr>
        <w:trPr>
          <w:trHeight w:val="206"/>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40" w:type="dxa"/>
            <w:vAlign w:val="bottom"/>
          </w:tcPr>
          <w:p>
            <w:pPr>
              <w:spacing w:after="0"/>
              <w:rPr>
                <w:sz w:val="17"/>
                <w:szCs w:val="17"/>
                <w:color w:val="auto"/>
              </w:rPr>
            </w:pPr>
          </w:p>
        </w:tc>
      </w:tr>
      <w:tr>
        <w:trPr>
          <w:trHeight w:val="150"/>
        </w:trPr>
        <w:tc>
          <w:tcPr>
            <w:tcW w:w="290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7"/>
                <w:szCs w:val="17"/>
                <w:color w:val="auto"/>
              </w:rPr>
              <w:t>Net income (loss) attributable to</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840" w:type="dxa"/>
            <w:vAlign w:val="bottom"/>
          </w:tcPr>
          <w:p>
            <w:pPr>
              <w:spacing w:after="0"/>
              <w:rPr>
                <w:sz w:val="13"/>
                <w:szCs w:val="13"/>
                <w:color w:val="auto"/>
              </w:rPr>
            </w:pPr>
          </w:p>
        </w:tc>
      </w:tr>
      <w:tr>
        <w:trPr>
          <w:trHeight w:val="23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shareholders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840" w:type="dxa"/>
            <w:vAlign w:val="bottom"/>
          </w:tcPr>
          <w:p>
            <w:pPr>
              <w:spacing w:after="0"/>
              <w:rPr>
                <w:sz w:val="20"/>
                <w:szCs w:val="20"/>
                <w:color w:val="auto"/>
              </w:rPr>
            </w:pPr>
          </w:p>
        </w:tc>
      </w:tr>
      <w:tr>
        <w:trPr>
          <w:trHeight w:val="246"/>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Shares for basic earnings (loss) per share</w:t>
            </w: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1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2840" w:type="dxa"/>
            <w:vAlign w:val="bottom"/>
          </w:tcPr>
          <w:p>
            <w:pPr>
              <w:spacing w:after="0"/>
              <w:rPr>
                <w:sz w:val="21"/>
                <w:szCs w:val="21"/>
                <w:color w:val="auto"/>
              </w:rPr>
            </w:pPr>
          </w:p>
        </w:tc>
      </w:tr>
      <w:tr>
        <w:trPr>
          <w:trHeight w:val="238"/>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earnings (loss)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0.24</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2840" w:type="dxa"/>
            <w:vAlign w:val="bottom"/>
          </w:tcPr>
          <w:p>
            <w:pPr>
              <w:spacing w:after="0"/>
              <w:rPr>
                <w:sz w:val="20"/>
                <w:szCs w:val="20"/>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529"/>
        </w:trPr>
        <w:tc>
          <w:tcPr>
            <w:tcW w:w="2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25</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47"/>
        </w:trPr>
        <w:tc>
          <w:tcPr>
            <w:tcW w:w="2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7"/>
          <w:szCs w:val="17"/>
          <w:color w:val="auto"/>
        </w:rPr>
        <w:t>The table below illustrates the reconciliation of the earnings or loss and number of shares used in our calculation of diluted earnings or loss per share attributable to common shareholders.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8"/>
                <w:szCs w:val="18"/>
                <w:color w:val="auto"/>
              </w:rPr>
            </w:pPr>
          </w:p>
        </w:tc>
        <w:tc>
          <w:tcPr>
            <w:tcW w:w="2480" w:type="dxa"/>
            <w:vAlign w:val="bottom"/>
            <w:gridSpan w:val="4"/>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51"/>
        </w:trPr>
        <w:tc>
          <w:tcPr>
            <w:tcW w:w="29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ind w:left="40"/>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95"/>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5"/>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0" w:type="dxa"/>
            <w:vAlign w:val="bottom"/>
          </w:tcPr>
          <w:p>
            <w:pPr>
              <w:spacing w:after="0"/>
              <w:rPr>
                <w:sz w:val="1"/>
                <w:szCs w:val="1"/>
                <w:color w:val="auto"/>
              </w:rPr>
            </w:pPr>
          </w:p>
        </w:tc>
      </w:tr>
      <w:tr>
        <w:trPr>
          <w:trHeight w:val="207"/>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6"/>
              <w:spacing w:after="0" w:line="207" w:lineRule="exact"/>
              <w:rPr>
                <w:sz w:val="20"/>
                <w:szCs w:val="20"/>
                <w:color w:val="auto"/>
              </w:rPr>
            </w:pPr>
            <w:r>
              <w:rPr>
                <w:rFonts w:ascii="Times New Roman" w:cs="Times New Roman" w:eastAsia="Times New Roman" w:hAnsi="Times New Roman"/>
                <w:sz w:val="16"/>
                <w:szCs w:val="16"/>
                <w:b w:val="1"/>
                <w:bCs w:val="1"/>
                <w:color w:val="auto"/>
              </w:rPr>
              <w:t>2022</w:t>
            </w:r>
            <w:r>
              <w:rPr>
                <w:rFonts w:ascii="Times New Roman" w:cs="Times New Roman" w:eastAsia="Times New Roman" w:hAnsi="Times New Roman"/>
                <w:sz w:val="20"/>
                <w:szCs w:val="20"/>
                <w:b w:val="1"/>
                <w:bCs w:val="1"/>
                <w:color w:val="auto"/>
                <w:vertAlign w:val="superscript"/>
              </w:rPr>
              <w:t>(1)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5"/>
              <w:spacing w:after="0" w:line="207" w:lineRule="exact"/>
              <w:rPr>
                <w:sz w:val="20"/>
                <w:szCs w:val="20"/>
                <w:color w:val="auto"/>
              </w:rPr>
            </w:pPr>
            <w:r>
              <w:rPr>
                <w:rFonts w:ascii="Times New Roman" w:cs="Times New Roman" w:eastAsia="Times New Roman" w:hAnsi="Times New Roman"/>
                <w:sz w:val="16"/>
                <w:szCs w:val="16"/>
                <w:b w:val="1"/>
                <w:bCs w:val="1"/>
                <w:color w:val="auto"/>
              </w:rPr>
              <w:t>2021</w:t>
            </w:r>
            <w:r>
              <w:rPr>
                <w:rFonts w:ascii="Times New Roman" w:cs="Times New Roman" w:eastAsia="Times New Roman" w:hAnsi="Times New Roman"/>
                <w:sz w:val="20"/>
                <w:szCs w:val="20"/>
                <w:b w:val="1"/>
                <w:bCs w:val="1"/>
                <w:color w:val="auto"/>
                <w:vertAlign w:val="superscript"/>
              </w:rPr>
              <w:t>(1)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6"/>
              <w:spacing w:after="0" w:line="207" w:lineRule="exact"/>
              <w:rPr>
                <w:sz w:val="20"/>
                <w:szCs w:val="20"/>
                <w:color w:val="auto"/>
              </w:rPr>
            </w:pPr>
            <w:r>
              <w:rPr>
                <w:rFonts w:ascii="Times New Roman" w:cs="Times New Roman" w:eastAsia="Times New Roman" w:hAnsi="Times New Roman"/>
                <w:sz w:val="16"/>
                <w:szCs w:val="16"/>
                <w:b w:val="1"/>
                <w:bCs w:val="1"/>
                <w:color w:val="auto"/>
              </w:rPr>
              <w:t>2022</w:t>
            </w:r>
            <w:r>
              <w:rPr>
                <w:rFonts w:ascii="Times New Roman" w:cs="Times New Roman" w:eastAsia="Times New Roman" w:hAnsi="Times New Roman"/>
                <w:sz w:val="20"/>
                <w:szCs w:val="20"/>
                <w:b w:val="1"/>
                <w:bCs w:val="1"/>
                <w:color w:val="auto"/>
                <w:vertAlign w:val="superscript"/>
              </w:rPr>
              <w:t>(1)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5"/>
              <w:spacing w:after="0" w:line="207" w:lineRule="exact"/>
              <w:rPr>
                <w:sz w:val="20"/>
                <w:szCs w:val="20"/>
                <w:color w:val="auto"/>
              </w:rPr>
            </w:pPr>
            <w:r>
              <w:rPr>
                <w:rFonts w:ascii="Times New Roman" w:cs="Times New Roman" w:eastAsia="Times New Roman" w:hAnsi="Times New Roman"/>
                <w:sz w:val="16"/>
                <w:szCs w:val="16"/>
                <w:b w:val="1"/>
                <w:bCs w:val="1"/>
                <w:color w:val="auto"/>
              </w:rPr>
              <w:t>2021</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156"/>
        </w:trPr>
        <w:tc>
          <w:tcPr>
            <w:tcW w:w="2900" w:type="dxa"/>
            <w:vAlign w:val="bottom"/>
            <w:shd w:val="clear" w:color="auto" w:fill="CCEEFF"/>
          </w:tcPr>
          <w:p>
            <w:pPr>
              <w:ind w:left="120"/>
              <w:spacing w:after="0" w:line="156" w:lineRule="exact"/>
              <w:rPr>
                <w:sz w:val="20"/>
                <w:szCs w:val="20"/>
                <w:color w:val="auto"/>
              </w:rPr>
            </w:pPr>
            <w:r>
              <w:rPr>
                <w:rFonts w:ascii="Times New Roman" w:cs="Times New Roman" w:eastAsia="Times New Roman" w:hAnsi="Times New Roman"/>
                <w:sz w:val="17"/>
                <w:szCs w:val="17"/>
                <w:color w:val="auto"/>
              </w:rPr>
              <w:t>Net income (loss) attributable to</w:t>
            </w: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common shareholders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176"/>
        </w:trPr>
        <w:tc>
          <w:tcPr>
            <w:tcW w:w="2900" w:type="dxa"/>
            <w:vAlign w:val="bottom"/>
          </w:tcPr>
          <w:p>
            <w:pPr>
              <w:ind w:left="120"/>
              <w:spacing w:after="0" w:line="176" w:lineRule="exact"/>
              <w:rPr>
                <w:sz w:val="20"/>
                <w:szCs w:val="20"/>
                <w:color w:val="auto"/>
              </w:rPr>
            </w:pPr>
            <w:r>
              <w:rPr>
                <w:rFonts w:ascii="Times New Roman" w:cs="Times New Roman" w:eastAsia="Times New Roman" w:hAnsi="Times New Roman"/>
                <w:sz w:val="17"/>
                <w:szCs w:val="17"/>
                <w:color w:val="auto"/>
              </w:rPr>
              <w:t>Add back of interest expense related to</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00" w:type="dxa"/>
            <w:vAlign w:val="bottom"/>
          </w:tcPr>
          <w:p>
            <w:pPr>
              <w:ind w:left="120"/>
              <w:spacing w:after="0" w:line="174" w:lineRule="exact"/>
              <w:rPr>
                <w:sz w:val="20"/>
                <w:szCs w:val="20"/>
                <w:color w:val="auto"/>
              </w:rPr>
            </w:pPr>
            <w:r>
              <w:rPr>
                <w:rFonts w:ascii="Times New Roman" w:cs="Times New Roman" w:eastAsia="Times New Roman" w:hAnsi="Times New Roman"/>
                <w:sz w:val="17"/>
                <w:szCs w:val="17"/>
                <w:color w:val="auto"/>
              </w:rPr>
              <w:t>convertible notes subsequent to the</w:t>
            </w: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5"/>
                <w:szCs w:val="15"/>
                <w:color w:val="auto"/>
              </w:rPr>
            </w:pPr>
          </w:p>
        </w:tc>
        <w:tc>
          <w:tcPr>
            <w:tcW w:w="112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adoption of ASU 2020-06, net of tax</w:t>
            </w:r>
          </w:p>
        </w:tc>
        <w:tc>
          <w:tcPr>
            <w:tcW w:w="1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900" w:type="dxa"/>
            <w:vAlign w:val="bottom"/>
            <w:tcBorders>
              <w:top w:val="single" w:sz="8" w:color="CCEEFF"/>
            </w:tcBorders>
            <w:shd w:val="clear" w:color="auto" w:fill="CCEEFF"/>
          </w:tcPr>
          <w:p>
            <w:pPr>
              <w:ind w:left="120"/>
              <w:spacing w:after="0" w:line="156" w:lineRule="exact"/>
              <w:rPr>
                <w:sz w:val="20"/>
                <w:szCs w:val="20"/>
                <w:color w:val="auto"/>
              </w:rPr>
            </w:pPr>
            <w:r>
              <w:rPr>
                <w:rFonts w:ascii="Times New Roman" w:cs="Times New Roman" w:eastAsia="Times New Roman" w:hAnsi="Times New Roman"/>
                <w:sz w:val="17"/>
                <w:szCs w:val="17"/>
                <w:color w:val="auto"/>
              </w:rPr>
              <w:t>Numerator used to calculate diluted</w:t>
            </w:r>
          </w:p>
        </w:tc>
        <w:tc>
          <w:tcPr>
            <w:tcW w:w="1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earnings (loss)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46"/>
        </w:trPr>
        <w:tc>
          <w:tcPr>
            <w:tcW w:w="2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9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7"/>
                <w:szCs w:val="17"/>
                <w:color w:val="auto"/>
              </w:rPr>
              <w:t>Shares for basic earnings (loss) per</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0" w:type="dxa"/>
            <w:vAlign w:val="bottom"/>
          </w:tcPr>
          <w:p>
            <w:pPr>
              <w:spacing w:after="0"/>
              <w:rPr>
                <w:sz w:val="1"/>
                <w:szCs w:val="1"/>
                <w:color w:val="auto"/>
              </w:rPr>
            </w:pPr>
          </w:p>
        </w:tc>
      </w:tr>
      <w:tr>
        <w:trPr>
          <w:trHeight w:val="246"/>
        </w:trPr>
        <w:tc>
          <w:tcPr>
            <w:tcW w:w="2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Effect of dilutive shares outstanding</w:t>
            </w:r>
            <w:r>
              <w:rPr>
                <w:rFonts w:ascii="Times New Roman" w:cs="Times New Roman" w:eastAsia="Times New Roman" w:hAnsi="Times New Roman"/>
                <w:sz w:val="10"/>
                <w:szCs w:val="10"/>
                <w:color w:val="auto"/>
              </w:rPr>
              <w:t>(2)</w:t>
            </w: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Employee SARs</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6"/>
        </w:trPr>
        <w:tc>
          <w:tcPr>
            <w:tcW w:w="29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Restricted stock units</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3"/>
        </w:trPr>
        <w:tc>
          <w:tcPr>
            <w:tcW w:w="2900" w:type="dxa"/>
            <w:vAlign w:val="bottom"/>
            <w:shd w:val="clear" w:color="auto" w:fill="CCEEFF"/>
          </w:tcPr>
          <w:p>
            <w:pPr>
              <w:ind w:left="240"/>
              <w:spacing w:after="0" w:line="173" w:lineRule="exact"/>
              <w:rPr>
                <w:sz w:val="20"/>
                <w:szCs w:val="20"/>
                <w:color w:val="auto"/>
              </w:rPr>
            </w:pPr>
            <w:r>
              <w:rPr>
                <w:rFonts w:ascii="Times New Roman" w:cs="Times New Roman" w:eastAsia="Times New Roman" w:hAnsi="Times New Roman"/>
                <w:sz w:val="17"/>
                <w:szCs w:val="17"/>
                <w:color w:val="auto"/>
              </w:rPr>
              <w:t>2022 Convertible Notes ($230 million</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40"/>
              <w:spacing w:after="0" w:line="228" w:lineRule="exact"/>
              <w:rPr>
                <w:sz w:val="20"/>
                <w:szCs w:val="20"/>
                <w:color w:val="auto"/>
              </w:rPr>
            </w:pPr>
            <w:r>
              <w:rPr>
                <w:rFonts w:ascii="Times New Roman" w:cs="Times New Roman" w:eastAsia="Times New Roman" w:hAnsi="Times New Roman"/>
                <w:sz w:val="17"/>
                <w:szCs w:val="17"/>
                <w:color w:val="auto"/>
              </w:rPr>
              <w:t>of principal)</w:t>
            </w:r>
            <w:r>
              <w:rPr>
                <w:rFonts w:ascii="Times New Roman" w:cs="Times New Roman" w:eastAsia="Times New Roman" w:hAnsi="Times New Roman"/>
                <w:sz w:val="22"/>
                <w:szCs w:val="22"/>
                <w:color w:val="auto"/>
                <w:vertAlign w:val="superscript"/>
              </w:rPr>
              <w:t>(3)</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6"/>
        </w:trPr>
        <w:tc>
          <w:tcPr>
            <w:tcW w:w="2900" w:type="dxa"/>
            <w:vAlign w:val="bottom"/>
          </w:tcPr>
          <w:p>
            <w:pPr>
              <w:ind w:left="240"/>
              <w:spacing w:after="0" w:line="176" w:lineRule="exact"/>
              <w:rPr>
                <w:sz w:val="20"/>
                <w:szCs w:val="20"/>
                <w:color w:val="auto"/>
              </w:rPr>
            </w:pPr>
            <w:r>
              <w:rPr>
                <w:rFonts w:ascii="Times New Roman" w:cs="Times New Roman" w:eastAsia="Times New Roman" w:hAnsi="Times New Roman"/>
                <w:sz w:val="17"/>
                <w:szCs w:val="17"/>
                <w:color w:val="auto"/>
              </w:rPr>
              <w:t>2026 Convertible Notes ($575 million</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9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of principal)</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56"/>
        </w:trPr>
        <w:tc>
          <w:tcPr>
            <w:tcW w:w="2900" w:type="dxa"/>
            <w:vAlign w:val="bottom"/>
            <w:tcBorders>
              <w:top w:val="single" w:sz="8" w:color="CCEEFF"/>
            </w:tcBorders>
            <w:shd w:val="clear" w:color="auto" w:fill="CCEEFF"/>
          </w:tcPr>
          <w:p>
            <w:pPr>
              <w:ind w:left="120"/>
              <w:spacing w:after="0" w:line="156" w:lineRule="exact"/>
              <w:rPr>
                <w:sz w:val="20"/>
                <w:szCs w:val="20"/>
                <w:color w:val="auto"/>
              </w:rPr>
            </w:pPr>
            <w:r>
              <w:rPr>
                <w:rFonts w:ascii="Times New Roman" w:cs="Times New Roman" w:eastAsia="Times New Roman" w:hAnsi="Times New Roman"/>
                <w:sz w:val="17"/>
                <w:szCs w:val="17"/>
                <w:color w:val="auto"/>
              </w:rPr>
              <w:t>Shares for diluted earnings (loss) per</w:t>
            </w:r>
          </w:p>
        </w:tc>
        <w:tc>
          <w:tcPr>
            <w:tcW w:w="1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45.9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0" w:type="dxa"/>
            <w:vAlign w:val="bottom"/>
          </w:tcPr>
          <w:p>
            <w:pPr>
              <w:spacing w:after="0"/>
              <w:rPr>
                <w:sz w:val="1"/>
                <w:szCs w:val="1"/>
                <w:color w:val="auto"/>
              </w:rPr>
            </w:pPr>
          </w:p>
        </w:tc>
      </w:tr>
      <w:tr>
        <w:trPr>
          <w:trHeight w:val="213"/>
        </w:trPr>
        <w:tc>
          <w:tcPr>
            <w:tcW w:w="2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Diluted earnings (loss) per share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6.68</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63" w:lineRule="exact"/>
        <w:rPr>
          <w:sz w:val="20"/>
          <w:szCs w:val="20"/>
          <w:color w:val="auto"/>
        </w:rPr>
      </w:pPr>
    </w:p>
    <w:p>
      <w:pPr>
        <w:ind w:left="320" w:right="140" w:hanging="316"/>
        <w:spacing w:after="0" w:line="243" w:lineRule="auto"/>
        <w:tabs>
          <w:tab w:leader="none" w:pos="308"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computations of diluted earnings per share attributable to common shareholders exclude approximately 293,000 and 298,000 shares of common stock, the maximum number of shares issuable as of September 30, 2022 and September 30, 2021, respectively, upon the vesting of certain performance-based awards, because the performance conditions required to be met for the shares subject to such awards to vest were not achieved by the end of the reporting period.</w:t>
      </w:r>
    </w:p>
    <w:p>
      <w:pPr>
        <w:spacing w:after="0" w:line="31" w:lineRule="exact"/>
        <w:rPr>
          <w:rFonts w:ascii="Times New Roman" w:cs="Times New Roman" w:eastAsia="Times New Roman" w:hAnsi="Times New Roman"/>
          <w:sz w:val="22"/>
          <w:szCs w:val="22"/>
          <w:color w:val="auto"/>
          <w:vertAlign w:val="superscript"/>
        </w:rPr>
      </w:pPr>
    </w:p>
    <w:p>
      <w:pPr>
        <w:ind w:left="320" w:right="540" w:hanging="316"/>
        <w:spacing w:after="0" w:line="231" w:lineRule="auto"/>
        <w:tabs>
          <w:tab w:leader="none" w:pos="308"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the first three quarters of 2021, the following potentially dilutive securities were excluded from the above calculation of diluted net loss per share attributable to common shareholders during the period presented, as the effects of including these securities would have been anti-dilutive.</w:t>
      </w:r>
    </w:p>
    <w:p>
      <w:pPr>
        <w:spacing w:after="0" w:line="25"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6300" w:type="dxa"/>
            <w:vAlign w:val="bottom"/>
          </w:tcPr>
          <w:p>
            <w:pPr>
              <w:spacing w:after="0"/>
              <w:rPr>
                <w:sz w:val="18"/>
                <w:szCs w:val="18"/>
                <w:color w:val="auto"/>
              </w:rPr>
            </w:pPr>
          </w:p>
        </w:tc>
        <w:tc>
          <w:tcPr>
            <w:tcW w:w="17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2"/>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7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September 30, 2021</w:t>
            </w:r>
          </w:p>
        </w:tc>
      </w:tr>
      <w:tr>
        <w:trPr>
          <w:trHeight w:val="228"/>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Employee SARs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46"/>
        </w:trPr>
        <w:tc>
          <w:tcPr>
            <w:tcW w:w="6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stock units</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46"/>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 Convertible Notes ($230 million of principal)</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13"/>
        </w:trPr>
        <w:tc>
          <w:tcPr>
            <w:tcW w:w="6300" w:type="dxa"/>
            <w:vAlign w:val="bottom"/>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20"/>
        </w:trPr>
        <w:tc>
          <w:tcPr>
            <w:tcW w:w="63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320" w:right="80" w:hanging="316"/>
        <w:spacing w:after="0" w:line="243" w:lineRule="auto"/>
        <w:tabs>
          <w:tab w:leader="none" w:pos="308"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had the option to settle the 2022 Convertible Notes in cash, stock, or a combination of the two. Therefore, from the beginning of 2022, through the date on which our notice of our intent to settle the 2022 Convertible Notes in cash became irrevocable, we included shares in the denominator of the diluted earnings per share calculation, applying the “if-converted” method. For the period from June 15, 2022 through the maturity date of September 15, 2022, we excluded the related shares from the denominator of the diluted earnings per share calculation.</w:t>
      </w:r>
    </w:p>
    <w:p>
      <w:pPr>
        <w:spacing w:after="0" w:line="8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In accordance with the applicable accounting guidance for calculating earnings per share, for the third quarter of 2022, we excluded from our calculation of diluted earnings per share 252,314 shares underlying stock appreciation rights (“SARs”) that may settle in shares of common stock because the exercise prices of such SARs, which ranged from $143.38 to $173.88, were greater than the average market price of our common stock for the applicable period.</w:t>
      </w:r>
    </w:p>
    <w:p>
      <w:pPr>
        <w:spacing w:after="0" w:line="59"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color w:val="auto"/>
        </w:rPr>
        <w:t>For the first three quarters of 2022, we excluded from our calculation of diluted earnings per share 199,813 shares underlying SARs that may settle in shares of common stock because the exercise prices of such SARs, which ranged from $159.27 to $173.88, were greater than the average market price of our common stock for the applicable period.</w:t>
      </w:r>
    </w:p>
    <w:p>
      <w:pPr>
        <w:spacing w:after="0" w:line="59" w:lineRule="exact"/>
        <w:rPr>
          <w:sz w:val="20"/>
          <w:szCs w:val="20"/>
          <w:color w:val="auto"/>
        </w:rPr>
      </w:pPr>
    </w:p>
    <w:p>
      <w:pPr>
        <w:ind w:right="300"/>
        <w:spacing w:after="0" w:line="292" w:lineRule="auto"/>
        <w:rPr>
          <w:sz w:val="20"/>
          <w:szCs w:val="20"/>
          <w:color w:val="auto"/>
        </w:rPr>
      </w:pPr>
      <w:r>
        <w:rPr>
          <w:rFonts w:ascii="Times New Roman" w:cs="Times New Roman" w:eastAsia="Times New Roman" w:hAnsi="Times New Roman"/>
          <w:sz w:val="17"/>
          <w:szCs w:val="17"/>
          <w:color w:val="auto"/>
        </w:rPr>
        <w:t>For the third quarter of 2021, we excluded from our calculation of diluted earnings per share 127,008 shares underlying SARs that may settle in shares of common stock because the exercise price of $173.88 of such SARs was greater than the average market price of our common stock for the applicable period.</w:t>
      </w:r>
    </w:p>
    <w:p>
      <w:pPr>
        <w:spacing w:after="0" w:line="19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225" w:right="4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0" w:hanging="379"/>
        <w:spacing w:after="0"/>
        <w:tabs>
          <w:tab w:leader="none" w:pos="40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INVENTORY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composition of our inventory balances: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At September 30, 2022</w:t>
            </w:r>
          </w:p>
        </w:tc>
        <w:tc>
          <w:tcPr>
            <w:tcW w:w="120" w:type="dxa"/>
            <w:vAlign w:val="bottom"/>
          </w:tcPr>
          <w:p>
            <w:pPr>
              <w:spacing w:after="0"/>
              <w:rPr>
                <w:sz w:val="18"/>
                <w:szCs w:val="18"/>
                <w:color w:val="auto"/>
              </w:rPr>
            </w:pPr>
          </w:p>
        </w:tc>
        <w:tc>
          <w:tcPr>
            <w:tcW w:w="1660" w:type="dxa"/>
            <w:vAlign w:val="bottom"/>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w w:val="98"/>
              </w:rPr>
              <w:t>At December 31, 2021</w:t>
            </w: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inventory</w:t>
            </w:r>
            <w:r>
              <w:rPr>
                <w:rFonts w:ascii="Times New Roman" w:cs="Times New Roman" w:eastAsia="Times New Roman" w:hAnsi="Times New Roman"/>
                <w:sz w:val="10"/>
                <w:szCs w:val="10"/>
                <w:color w:val="auto"/>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w:t>
            </w:r>
          </w:p>
        </w:tc>
      </w:tr>
      <w:tr>
        <w:trPr>
          <w:trHeight w:val="246"/>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38"/>
        </w:trPr>
        <w:tc>
          <w:tcPr>
            <w:tcW w:w="4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64" w:lineRule="exact"/>
        <w:rPr>
          <w:sz w:val="20"/>
          <w:szCs w:val="20"/>
          <w:color w:val="auto"/>
        </w:rPr>
      </w:pPr>
    </w:p>
    <w:p>
      <w:pPr>
        <w:ind w:left="320" w:right="560" w:hanging="316"/>
        <w:spacing w:after="0" w:line="231" w:lineRule="auto"/>
        <w:tabs>
          <w:tab w:leader="none" w:pos="308"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completed inventory that is registered for sale as vacation ownership interests and vacation ownership inventory expected to be reacquired pursuant to estimated future defaults on originated vacation ownership notes receivable.</w:t>
      </w:r>
    </w:p>
    <w:p>
      <w:pPr>
        <w:spacing w:after="0" w:line="87"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7"/>
          <w:szCs w:val="17"/>
          <w:color w:val="auto"/>
        </w:rPr>
        <w:t>We value vacation ownership products at the lower of cost or fair market value less costs to sell, in accordance with applicable accounting guidance, and we record operating supplies at the lower of cost (using the first-in, first-out method) or net realizable value. Product cost true-up activity relating to vacation ownership products increased carrying values of inventory by $15 million during the first three quarters of 2022 and by $6 million during the first three quarters of 2021.</w:t>
      </w:r>
    </w:p>
    <w:p>
      <w:pPr>
        <w:spacing w:after="0" w:line="64"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7"/>
          <w:szCs w:val="17"/>
          <w:color w:val="auto"/>
        </w:rPr>
        <w:t>In addition to the above, at September 30, 2022 and December 31, 2021, we had $441 million and $460 million, respectively, of completed vacation ownership units which are classified as a component of Property and equipment, net until the time at which they are available and legally registered for sale as vacation ownership products.</w:t>
      </w:r>
    </w:p>
    <w:p>
      <w:pPr>
        <w:spacing w:after="0" w:line="238" w:lineRule="exact"/>
        <w:rPr>
          <w:sz w:val="20"/>
          <w:szCs w:val="20"/>
          <w:color w:val="auto"/>
        </w:rPr>
      </w:pPr>
    </w:p>
    <w:p>
      <w:pPr>
        <w:ind w:left="480" w:hanging="459"/>
        <w:spacing w:after="0"/>
        <w:tabs>
          <w:tab w:leader="none" w:pos="480"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GOODWILL AND INTANGIBLES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120" w:lineRule="exact"/>
        <w:rPr>
          <w:sz w:val="20"/>
          <w:szCs w:val="20"/>
          <w:color w:val="auto"/>
        </w:rPr>
      </w:pPr>
    </w:p>
    <w:p>
      <w:pPr>
        <w:ind w:right="520"/>
        <w:spacing w:after="0" w:line="280" w:lineRule="auto"/>
        <w:rPr>
          <w:sz w:val="20"/>
          <w:szCs w:val="20"/>
          <w:color w:val="auto"/>
        </w:rPr>
      </w:pPr>
      <w:r>
        <w:rPr>
          <w:rFonts w:ascii="Times New Roman" w:cs="Times New Roman" w:eastAsia="Times New Roman" w:hAnsi="Times New Roman"/>
          <w:sz w:val="17"/>
          <w:szCs w:val="17"/>
          <w:color w:val="auto"/>
        </w:rPr>
        <w:t>The following table details the carrying amount of our goodwill at September 30, 2022 and December 31, 2021, and reflects goodwill attributed to the ILG Acquisition and the Welk Acquisition.</w:t>
      </w:r>
    </w:p>
    <w:tbl>
      <w:tblPr>
        <w:tblLayout w:type="fixed"/>
        <w:tblInd w:w="0" w:type="dxa"/>
        <w:tblCellMar>
          <w:top w:w="0" w:type="dxa"/>
          <w:left w:w="0" w:type="dxa"/>
          <w:bottom w:w="0" w:type="dxa"/>
          <w:right w:w="0" w:type="dxa"/>
        </w:tblCellMar>
      </w:tblPr>
      <w:tr>
        <w:trPr>
          <w:trHeight w:val="159"/>
        </w:trPr>
        <w:tc>
          <w:tcPr>
            <w:tcW w:w="2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Vacation Ownership</w:t>
            </w:r>
          </w:p>
        </w:tc>
        <w:tc>
          <w:tcPr>
            <w:tcW w:w="1880" w:type="dxa"/>
            <w:vAlign w:val="bottom"/>
            <w:gridSpan w:val="3"/>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w w:val="96"/>
              </w:rPr>
              <w:t>Exchange &amp; Third-Party</w:t>
            </w: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2"/>
            <w:vMerge w:val="continue"/>
          </w:tcPr>
          <w:p>
            <w:pPr>
              <w:spacing w:after="0"/>
              <w:rPr>
                <w:sz w:val="13"/>
                <w:szCs w:val="13"/>
                <w:color w:val="auto"/>
              </w:rPr>
            </w:pPr>
          </w:p>
        </w:tc>
        <w:tc>
          <w:tcPr>
            <w:tcW w:w="1880" w:type="dxa"/>
            <w:vAlign w:val="bottom"/>
            <w:gridSpan w:val="3"/>
          </w:tcPr>
          <w:p>
            <w:pPr>
              <w:jc w:val="center"/>
              <w:ind w:right="140"/>
              <w:spacing w:after="0" w:line="155" w:lineRule="exact"/>
              <w:rPr>
                <w:sz w:val="20"/>
                <w:szCs w:val="20"/>
                <w:color w:val="auto"/>
              </w:rPr>
            </w:pPr>
            <w:r>
              <w:rPr>
                <w:rFonts w:ascii="Times New Roman" w:cs="Times New Roman" w:eastAsia="Times New Roman" w:hAnsi="Times New Roman"/>
                <w:sz w:val="16"/>
                <w:szCs w:val="16"/>
                <w:b w:val="1"/>
                <w:bCs w:val="1"/>
                <w:color w:val="auto"/>
                <w:w w:val="96"/>
              </w:rPr>
              <w:t>Management Reporting</w:t>
            </w:r>
          </w:p>
        </w:tc>
        <w:tc>
          <w:tcPr>
            <w:tcW w:w="180" w:type="dxa"/>
            <w:vAlign w:val="bottom"/>
          </w:tcPr>
          <w:p>
            <w:pPr>
              <w:spacing w:after="0"/>
              <w:rPr>
                <w:sz w:val="13"/>
                <w:szCs w:val="13"/>
                <w:color w:val="auto"/>
              </w:rPr>
            </w:pPr>
          </w:p>
        </w:tc>
        <w:tc>
          <w:tcPr>
            <w:tcW w:w="1560" w:type="dxa"/>
            <w:vAlign w:val="bottom"/>
            <w:vMerge w:val="restart"/>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w w:val="99"/>
              </w:rPr>
              <w:t>Total Consolidated</w:t>
            </w:r>
          </w:p>
        </w:tc>
        <w:tc>
          <w:tcPr>
            <w:tcW w:w="0" w:type="dxa"/>
            <w:vAlign w:val="bottom"/>
          </w:tcPr>
          <w:p>
            <w:pPr>
              <w:spacing w:after="0"/>
              <w:rPr>
                <w:sz w:val="1"/>
                <w:szCs w:val="1"/>
                <w:color w:val="auto"/>
              </w:rPr>
            </w:pPr>
          </w:p>
        </w:tc>
      </w:tr>
      <w:tr>
        <w:trPr>
          <w:trHeight w:val="206"/>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17"/>
                <w:szCs w:val="17"/>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Reporting Unit</w:t>
            </w:r>
          </w:p>
        </w:tc>
        <w:tc>
          <w:tcPr>
            <w:tcW w:w="420" w:type="dxa"/>
            <w:vAlign w:val="bottom"/>
          </w:tcPr>
          <w:p>
            <w:pPr>
              <w:spacing w:after="0"/>
              <w:rPr>
                <w:sz w:val="17"/>
                <w:szCs w:val="17"/>
                <w:color w:val="auto"/>
              </w:rPr>
            </w:pPr>
          </w:p>
        </w:tc>
        <w:tc>
          <w:tcPr>
            <w:tcW w:w="146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9"/>
              </w:rPr>
              <w:t>Unit</w:t>
            </w:r>
          </w:p>
        </w:tc>
        <w:tc>
          <w:tcPr>
            <w:tcW w:w="18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2,778</w:t>
            </w:r>
          </w:p>
        </w:tc>
        <w:tc>
          <w:tcPr>
            <w:tcW w:w="14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jc w:val="right"/>
              <w:ind w:right="238"/>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3,150</w:t>
            </w:r>
          </w:p>
        </w:tc>
        <w:tc>
          <w:tcPr>
            <w:tcW w:w="0" w:type="dxa"/>
            <w:vAlign w:val="bottom"/>
          </w:tcPr>
          <w:p>
            <w:pPr>
              <w:spacing w:after="0"/>
              <w:rPr>
                <w:sz w:val="1"/>
                <w:szCs w:val="1"/>
                <w:color w:val="auto"/>
              </w:rPr>
            </w:pPr>
          </w:p>
        </w:tc>
      </w:tr>
      <w:tr>
        <w:trPr>
          <w:trHeight w:val="259"/>
        </w:trPr>
        <w:tc>
          <w:tcPr>
            <w:tcW w:w="2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Measurement period adjustments</w:t>
            </w:r>
          </w:p>
        </w:tc>
        <w:tc>
          <w:tcPr>
            <w:tcW w:w="1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59"/>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Disposition of VRI Americas</w:t>
            </w:r>
          </w:p>
        </w:tc>
        <w:tc>
          <w:tcPr>
            <w:tcW w:w="14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September 30, 2022</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2,770</w:t>
            </w:r>
          </w:p>
        </w:tc>
        <w:tc>
          <w:tcPr>
            <w:tcW w:w="14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3,117</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details the composition of our intangible asset balances: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18"/>
                <w:szCs w:val="18"/>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At September 30, 2022</w:t>
            </w:r>
          </w:p>
        </w:tc>
        <w:tc>
          <w:tcPr>
            <w:tcW w:w="120" w:type="dxa"/>
            <w:vAlign w:val="bottom"/>
          </w:tcPr>
          <w:p>
            <w:pPr>
              <w:spacing w:after="0"/>
              <w:rPr>
                <w:sz w:val="18"/>
                <w:szCs w:val="18"/>
                <w:color w:val="auto"/>
              </w:rPr>
            </w:pPr>
          </w:p>
        </w:tc>
        <w:tc>
          <w:tcPr>
            <w:tcW w:w="45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At December 31, 2021</w:t>
            </w: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Definite-lived intangible assets</w:t>
            </w:r>
          </w:p>
        </w:tc>
        <w:tc>
          <w:tcPr>
            <w:tcW w:w="14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2840" w:type="dxa"/>
            <w:vAlign w:val="bottom"/>
          </w:tcPr>
          <w:p>
            <w:pPr>
              <w:spacing w:after="0"/>
              <w:rPr>
                <w:sz w:val="19"/>
                <w:szCs w:val="19"/>
                <w:color w:val="auto"/>
              </w:rPr>
            </w:pPr>
          </w:p>
        </w:tc>
      </w:tr>
      <w:tr>
        <w:trPr>
          <w:trHeight w:val="246"/>
        </w:trPr>
        <w:tc>
          <w:tcPr>
            <w:tcW w:w="4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Member relationships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671</w:t>
            </w:r>
          </w:p>
        </w:tc>
        <w:tc>
          <w:tcPr>
            <w:tcW w:w="2840" w:type="dxa"/>
            <w:vAlign w:val="bottom"/>
          </w:tcPr>
          <w:p>
            <w:pPr>
              <w:spacing w:after="0"/>
              <w:rPr>
                <w:sz w:val="21"/>
                <w:szCs w:val="21"/>
                <w:color w:val="auto"/>
              </w:rPr>
            </w:pPr>
          </w:p>
        </w:tc>
      </w:tr>
      <w:tr>
        <w:trPr>
          <w:trHeight w:val="246"/>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Management contracts</w:t>
            </w:r>
          </w:p>
        </w:tc>
        <w:tc>
          <w:tcPr>
            <w:tcW w:w="14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w:t>
            </w:r>
          </w:p>
        </w:tc>
        <w:tc>
          <w:tcPr>
            <w:tcW w:w="2840" w:type="dxa"/>
            <w:vAlign w:val="bottom"/>
          </w:tcPr>
          <w:p>
            <w:pPr>
              <w:spacing w:after="0"/>
              <w:rPr>
                <w:sz w:val="21"/>
                <w:szCs w:val="21"/>
                <w:color w:val="auto"/>
              </w:rPr>
            </w:pPr>
          </w:p>
        </w:tc>
      </w:tr>
      <w:tr>
        <w:trPr>
          <w:trHeight w:val="226"/>
        </w:trPr>
        <w:tc>
          <w:tcPr>
            <w:tcW w:w="4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1,123</w:t>
            </w:r>
          </w:p>
        </w:tc>
        <w:tc>
          <w:tcPr>
            <w:tcW w:w="2840" w:type="dxa"/>
            <w:vAlign w:val="bottom"/>
          </w:tcPr>
          <w:p>
            <w:pPr>
              <w:spacing w:after="0"/>
              <w:rPr>
                <w:sz w:val="19"/>
                <w:szCs w:val="19"/>
                <w:color w:val="auto"/>
              </w:rPr>
            </w:pPr>
          </w:p>
        </w:tc>
      </w:tr>
      <w:tr>
        <w:trPr>
          <w:trHeight w:val="24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amortization</w:t>
            </w:r>
          </w:p>
        </w:tc>
        <w:tc>
          <w:tcPr>
            <w:tcW w:w="14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2840" w:type="dxa"/>
            <w:vAlign w:val="bottom"/>
          </w:tcPr>
          <w:p>
            <w:pPr>
              <w:spacing w:after="0"/>
              <w:rPr>
                <w:sz w:val="21"/>
                <w:szCs w:val="21"/>
                <w:color w:val="auto"/>
              </w:rPr>
            </w:pPr>
          </w:p>
        </w:tc>
      </w:tr>
      <w:tr>
        <w:trPr>
          <w:trHeight w:val="226"/>
        </w:trPr>
        <w:tc>
          <w:tcPr>
            <w:tcW w:w="4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929</w:t>
            </w:r>
          </w:p>
        </w:tc>
        <w:tc>
          <w:tcPr>
            <w:tcW w:w="2840" w:type="dxa"/>
            <w:vAlign w:val="bottom"/>
          </w:tcPr>
          <w:p>
            <w:pPr>
              <w:spacing w:after="0"/>
              <w:rPr>
                <w:sz w:val="19"/>
                <w:szCs w:val="19"/>
                <w:color w:val="auto"/>
              </w:rPr>
            </w:pPr>
          </w:p>
        </w:tc>
      </w:tr>
      <w:tr>
        <w:trPr>
          <w:trHeight w:val="24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Indefinite-lived intangible assets</w:t>
            </w:r>
          </w:p>
        </w:tc>
        <w:tc>
          <w:tcPr>
            <w:tcW w:w="1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2840" w:type="dxa"/>
            <w:vAlign w:val="bottom"/>
          </w:tcPr>
          <w:p>
            <w:pPr>
              <w:spacing w:after="0"/>
              <w:rPr>
                <w:sz w:val="21"/>
                <w:szCs w:val="21"/>
                <w:color w:val="auto"/>
              </w:rPr>
            </w:pPr>
          </w:p>
        </w:tc>
      </w:tr>
      <w:tr>
        <w:trPr>
          <w:trHeight w:val="246"/>
        </w:trPr>
        <w:tc>
          <w:tcPr>
            <w:tcW w:w="4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Trade names</w:t>
            </w:r>
          </w:p>
        </w:tc>
        <w:tc>
          <w:tcPr>
            <w:tcW w:w="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2840" w:type="dxa"/>
            <w:vAlign w:val="bottom"/>
          </w:tcPr>
          <w:p>
            <w:pPr>
              <w:spacing w:after="0"/>
              <w:rPr>
                <w:sz w:val="21"/>
                <w:szCs w:val="21"/>
                <w:color w:val="auto"/>
              </w:rPr>
            </w:pPr>
          </w:p>
        </w:tc>
      </w:tr>
      <w:tr>
        <w:trPr>
          <w:trHeight w:val="238"/>
        </w:trPr>
        <w:tc>
          <w:tcPr>
            <w:tcW w:w="47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w:t>
            </w:r>
          </w:p>
        </w:tc>
        <w:tc>
          <w:tcPr>
            <w:tcW w:w="2840" w:type="dxa"/>
            <w:vAlign w:val="bottom"/>
          </w:tcPr>
          <w:p>
            <w:pPr>
              <w:spacing w:after="0"/>
              <w:rPr>
                <w:sz w:val="20"/>
                <w:szCs w:val="20"/>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529"/>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47"/>
        </w:trPr>
        <w:tc>
          <w:tcPr>
            <w:tcW w:w="4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80" w:hanging="459"/>
        <w:spacing w:after="0"/>
        <w:tabs>
          <w:tab w:leader="none" w:pos="480"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CONTINGENCIES AND COMMITMENTS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Commitments and Letters of Credit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September 30, 2022, we had the following commitments outstanding:</w:t>
      </w:r>
    </w:p>
    <w:p>
      <w:pPr>
        <w:spacing w:after="0" w:line="116" w:lineRule="exact"/>
        <w:rPr>
          <w:sz w:val="20"/>
          <w:szCs w:val="20"/>
          <w:color w:val="auto"/>
        </w:rPr>
      </w:pPr>
    </w:p>
    <w:p>
      <w:pPr>
        <w:ind w:left="620" w:right="80" w:hanging="305"/>
        <w:spacing w:after="0" w:line="273"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various contracts for the use of information technology hardware and software that we use in the normal course of business. Our aggregate commitment under these contracts was $77 million, of which we expect $24 million, $29 million, $13 million, $7 million, and $4 million will be paid in the remainder of 2022, 2023, 2024, 2025, and 2026 and thereafter, respectively.</w:t>
      </w:r>
    </w:p>
    <w:p>
      <w:pPr>
        <w:spacing w:after="0" w:line="58" w:lineRule="exact"/>
        <w:rPr>
          <w:rFonts w:ascii="Times New Roman" w:cs="Times New Roman" w:eastAsia="Times New Roman" w:hAnsi="Times New Roman"/>
          <w:sz w:val="17"/>
          <w:szCs w:val="17"/>
          <w:color w:val="auto"/>
        </w:rPr>
      </w:pPr>
    </w:p>
    <w:p>
      <w:pPr>
        <w:ind w:left="620" w:hanging="305"/>
        <w:spacing w:after="0" w:line="292"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commitment to acquire real estate for use in our Vacation Ownership segment via our involvement with a VIE. Refer to Footnote 16 “Variable Interest Entities” for additional information and our activities relating to the VIE involved in this transaction.</w:t>
      </w:r>
    </w:p>
    <w:p>
      <w:pPr>
        <w:spacing w:after="0" w:line="42"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commitments to acquire inventory from our managed owners’ associations in the remainder of 2022 for $22 million.</w:t>
      </w:r>
    </w:p>
    <w:p>
      <w:pPr>
        <w:spacing w:after="0" w:line="116" w:lineRule="exact"/>
        <w:rPr>
          <w:sz w:val="20"/>
          <w:szCs w:val="20"/>
          <w:color w:val="auto"/>
        </w:rPr>
      </w:pPr>
    </w:p>
    <w:p>
      <w:pPr>
        <w:ind w:right="260"/>
        <w:spacing w:after="0" w:line="292" w:lineRule="auto"/>
        <w:rPr>
          <w:sz w:val="20"/>
          <w:szCs w:val="20"/>
          <w:color w:val="auto"/>
        </w:rPr>
      </w:pPr>
      <w:r>
        <w:rPr>
          <w:rFonts w:ascii="Times New Roman" w:cs="Times New Roman" w:eastAsia="Times New Roman" w:hAnsi="Times New Roman"/>
          <w:sz w:val="17"/>
          <w:szCs w:val="17"/>
          <w:color w:val="auto"/>
        </w:rPr>
        <w:t>Surety bonds issued as of September 30, 2022 totaled $129 million, the majority of which were requested by federal, state, or local governments in connection with our operations.</w:t>
      </w:r>
    </w:p>
    <w:p>
      <w:pPr>
        <w:spacing w:after="0" w:line="43"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As of September 30, 2022, we had $1 million of letters of credit outstanding under our Revolving Corporate Credit Facility (as defined in Footnote 13 “Debt”). In addition, as of September 30, 2022, we had $2 million in letters of credit outstanding related to and in lieu of reserves required for several vacation ownership notes receivable securitization transactions outstanding. These letters of credit are not issued pursuant to, nor do they impact our borrowing capacity under, the Revolving Corporate Credit Facility.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Guarantees</w:t>
      </w:r>
    </w:p>
    <w:p>
      <w:pPr>
        <w:spacing w:after="0" w:line="120"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Certain of our rental management agreements in our Exchange &amp; Third-Party Management segment provide for owners of properties we manage to receive specified percentages of rental revenue or guaranteed amounts generated under our management. In these cases, the operating expenses for the rental operations are paid from the revenue generated by the rentals, the owners are then paid their contractual percentages or guaranteed amounts, and we either retain the balance (if any) as our fee or we make up the deficit. At September 30, 2022, our maximum exposure under fixed dollar guarantees was $7 million, of which $2 million, $2 million, $1 million, $1 million, and $1 million relate to 2023, 2024, 2025, 2026, and thereafter, respectively.</w:t>
      </w:r>
    </w:p>
    <w:p>
      <w:pPr>
        <w:spacing w:after="0" w:line="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have a commitment to an owners’ association that we manage to pay for any shortfall between the actual expenses incurred by the owners’ association and the income received by the owners’ association, in lieu of maintenance fees for unsold inventory. The agreement will terminate on the earlier of: 1) sale of 95% of the total ownership interests in the owners’ association; or 2) written notification of termination by either party. At September 30, 2022, our expected commitment for the remainder of 2022 is $2 million, which will ultimately be recorded as a component of rental expense on our income statement.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Contingencies</w:t>
      </w:r>
    </w:p>
    <w:p>
      <w:pPr>
        <w:spacing w:after="0" w:line="12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In February 2019, the owners’ association for the St. Regis Residence Club, New York filed a lawsuit in the Supreme Court for the State of New York, New York County, Commercial Division against ILG and several of its subsidiaries and certain third parties. The operative complaint alleges that the defendants breached their fiduciary duties related to sale and rental practices, aided and abetted certain breaches of fiduciary duty, engaged in self-dealing as the sponsor and manager of the club, tortiously interfered with the management agreement, were unjustly enriched, and engaged in anticompetitive conduct. The plaintiff is seeking unspecified damages, punitive damages and disgorgement of payments under the management and purchase agreements. In February 2022, the Court granted our motion to dismiss the complaint and dismissed with prejudice all claims except one, with respect to which the plaintiff was granted leave to amend its complaint. The plaintiff has filed an amended complaint and has appealed the dismissal of the other claims.</w:t>
      </w:r>
    </w:p>
    <w:p>
      <w:pPr>
        <w:spacing w:after="0" w:line="7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In April 2019, a purported class-action lawsuit was filed by Alan and Marjorie Helman and others against us in the Superior Court of the Virgin Islands, Division of St. Thomas alleging that their fractional interests were devalued by the affiliation of The Ritz-Carlton Club, St. Thomas and other Ritz-Carlton Clubs with our MVCD program. The lawsuit was subsequently removed to the U.S. District Court for the District of the Virgin Islands. The plaintiffs are seeking unspecified damages, disgorgement of profits, fees and costs. In August 2022, the District Court denied plaintiffs’ motion for class certification. In September 2022, the U.S. Court of Appeals for the Third Circuit denied plaintiffs’ petition for leave to appeal the District Court’s order denying class certification.</w:t>
      </w:r>
    </w:p>
    <w:p>
      <w:pPr>
        <w:spacing w:after="0" w:line="22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believe we have meritorious defenses to the claims in each of the above matters and intend to vigorously defend each matter.</w:t>
      </w:r>
    </w:p>
    <w:p>
      <w:pPr>
        <w:spacing w:after="0" w:line="11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In the ordinary course of our business, various claims and lawsuits have been filed or are pending against us. A number of these lawsuits and claims may exist at any given time. Additionally, the COVID-19 pandemic may give rise to various claims and lawsuits from owners, members and other parties. We record and accrue for legal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loss. We review these accruals each reporting period and make revisions based on changes in facts and circumstances.</w:t>
      </w:r>
    </w:p>
    <w:p>
      <w:pPr>
        <w:spacing w:after="0" w:line="6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We have not accrued for any of the pending matters described above and we cannot estimate a range of the potential liability associated with these pending matters, if any, at this time. We have accrued for other claims and lawsuits, but the amount accrued is not material individually or in the aggregate. For matters not requiring accrual, we do not believe that the ultimate outcome of such matters, individually or in the aggregate, will materially harm our financial position, cash flows, or overall trends in results of operations based on information currently available. However, legal proceedings are inherently uncertain, and while we believe that our accruals are adequate and/or we have valid defenses to the claims asserted, unfavorable rulings could occur that could, individually or in the aggregate, have a material adverse effect on our business, financial condition, or operating results.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 That Have Not Yet Commenced</w:t>
      </w:r>
    </w:p>
    <w:p>
      <w:pPr>
        <w:spacing w:after="0" w:line="120"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7"/>
          <w:szCs w:val="17"/>
          <w:color w:val="auto"/>
        </w:rPr>
        <w:t>During 2020, we entered into a finance lease arrangement, which was amended in 2021, for our new global headquarters office building, which is being constructed in Orlando, Florida. The initial lease term is approximately 16 years with total lease payments of $137 million for the aforementioned period. We expect the new office building to be completed in 2023. Upon commencement of the lease term, a right-of-use asset and corresponding liability will be recorded on our balance sheet.</w:t>
      </w:r>
    </w:p>
    <w:p>
      <w:pPr>
        <w:spacing w:after="0" w:line="243" w:lineRule="exact"/>
        <w:rPr>
          <w:sz w:val="20"/>
          <w:szCs w:val="20"/>
          <w:color w:val="auto"/>
        </w:rPr>
      </w:pPr>
    </w:p>
    <w:p>
      <w:pPr>
        <w:ind w:left="480" w:hanging="459"/>
        <w:spacing w:after="0"/>
        <w:tabs>
          <w:tab w:leader="none" w:pos="480"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SECURITIZED DEBT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detail on our securitized debt, net of unamortized debt discount and issuance costs.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Pr>
          <w:p>
            <w:pPr>
              <w:spacing w:after="0"/>
              <w:rPr>
                <w:sz w:val="18"/>
                <w:szCs w:val="18"/>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At September 30, 2022</w:t>
            </w:r>
          </w:p>
        </w:tc>
        <w:tc>
          <w:tcPr>
            <w:tcW w:w="140" w:type="dxa"/>
            <w:vAlign w:val="bottom"/>
          </w:tcPr>
          <w:p>
            <w:pPr>
              <w:spacing w:after="0"/>
              <w:rPr>
                <w:sz w:val="18"/>
                <w:szCs w:val="18"/>
                <w:color w:val="auto"/>
              </w:rPr>
            </w:pPr>
          </w:p>
        </w:tc>
        <w:tc>
          <w:tcPr>
            <w:tcW w:w="164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w w:val="97"/>
              </w:rPr>
              <w:t>At December 31, 2021</w:t>
            </w:r>
          </w:p>
        </w:tc>
        <w:tc>
          <w:tcPr>
            <w:tcW w:w="0" w:type="dxa"/>
            <w:vAlign w:val="bottom"/>
          </w:tcPr>
          <w:p>
            <w:pPr>
              <w:spacing w:after="0"/>
              <w:rPr>
                <w:sz w:val="1"/>
                <w:szCs w:val="1"/>
                <w:color w:val="auto"/>
              </w:rPr>
            </w:pPr>
          </w:p>
        </w:tc>
      </w:tr>
      <w:tr>
        <w:trPr>
          <w:trHeight w:val="229"/>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 notes receivable securitizations, gross</w:t>
            </w:r>
            <w:r>
              <w:rPr>
                <w:rFonts w:ascii="Times New Roman" w:cs="Times New Roman" w:eastAsia="Times New Roman" w:hAnsi="Times New Roman"/>
                <w:sz w:val="10"/>
                <w:szCs w:val="10"/>
                <w:color w:val="auto"/>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1,877</w:t>
            </w:r>
          </w:p>
        </w:tc>
        <w:tc>
          <w:tcPr>
            <w:tcW w:w="0" w:type="dxa"/>
            <w:vAlign w:val="bottom"/>
          </w:tcPr>
          <w:p>
            <w:pPr>
              <w:spacing w:after="0"/>
              <w:rPr>
                <w:sz w:val="1"/>
                <w:szCs w:val="1"/>
                <w:color w:val="auto"/>
              </w:rPr>
            </w:pPr>
          </w:p>
        </w:tc>
      </w:tr>
      <w:tr>
        <w:trPr>
          <w:trHeight w:val="246"/>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Unamortized debt discount and issuance costs</w:t>
            </w:r>
          </w:p>
        </w:tc>
        <w:tc>
          <w:tcPr>
            <w:tcW w:w="1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26"/>
        </w:trPr>
        <w:tc>
          <w:tcPr>
            <w:tcW w:w="4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1,856</w:t>
            </w:r>
          </w:p>
        </w:tc>
        <w:tc>
          <w:tcPr>
            <w:tcW w:w="0" w:type="dxa"/>
            <w:vAlign w:val="bottom"/>
          </w:tcPr>
          <w:p>
            <w:pPr>
              <w:spacing w:after="0"/>
              <w:rPr>
                <w:sz w:val="1"/>
                <w:szCs w:val="1"/>
                <w:color w:val="auto"/>
              </w:rPr>
            </w:pPr>
          </w:p>
        </w:tc>
      </w:tr>
      <w:tr>
        <w:trPr>
          <w:trHeight w:val="246"/>
        </w:trPr>
        <w:tc>
          <w:tcPr>
            <w:tcW w:w="4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Warehouse Credit Facility, gross</w:t>
            </w:r>
            <w:r>
              <w:rPr>
                <w:rFonts w:ascii="Times New Roman" w:cs="Times New Roman" w:eastAsia="Times New Roman" w:hAnsi="Times New Roman"/>
                <w:sz w:val="10"/>
                <w:szCs w:val="10"/>
                <w:color w:val="auto"/>
              </w:rPr>
              <w:t>(2)</w:t>
            </w: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6"/>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Unamortized debt issuance costs</w:t>
            </w:r>
            <w:r>
              <w:rPr>
                <w:rFonts w:ascii="Times New Roman" w:cs="Times New Roman" w:eastAsia="Times New Roman" w:hAnsi="Times New Roman"/>
                <w:sz w:val="10"/>
                <w:szCs w:val="10"/>
                <w:color w:val="auto"/>
              </w:rPr>
              <w:t>(3)</w:t>
            </w:r>
          </w:p>
        </w:tc>
        <w:tc>
          <w:tcPr>
            <w:tcW w:w="1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4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6"/>
        </w:trPr>
        <w:tc>
          <w:tcPr>
            <w:tcW w:w="47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1,856</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_________________________</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ind w:left="300" w:hanging="296"/>
        <w:spacing w:after="0"/>
        <w:tabs>
          <w:tab w:leader="none" w:pos="30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Interest rates as of September 30, 2022 range from 1.5% to 4.6%, with a weighted average interest rate of 2.7%.</w:t>
      </w:r>
    </w:p>
    <w:p>
      <w:pPr>
        <w:spacing w:after="0" w:line="53" w:lineRule="exact"/>
        <w:rPr>
          <w:rFonts w:ascii="Times New Roman" w:cs="Times New Roman" w:eastAsia="Times New Roman" w:hAnsi="Times New Roman"/>
          <w:sz w:val="22"/>
          <w:szCs w:val="22"/>
          <w:color w:val="auto"/>
          <w:vertAlign w:val="superscript"/>
        </w:rPr>
      </w:pPr>
    </w:p>
    <w:p>
      <w:pPr>
        <w:ind w:left="300" w:hanging="296"/>
        <w:spacing w:after="0" w:line="195" w:lineRule="auto"/>
        <w:tabs>
          <w:tab w:leader="none" w:pos="30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Effective interest rate as of September 30, 2022 was 3.9%.</w:t>
      </w:r>
    </w:p>
    <w:p>
      <w:pPr>
        <w:spacing w:after="0" w:line="53" w:lineRule="exact"/>
        <w:rPr>
          <w:rFonts w:ascii="Times New Roman" w:cs="Times New Roman" w:eastAsia="Times New Roman" w:hAnsi="Times New Roman"/>
          <w:sz w:val="22"/>
          <w:szCs w:val="22"/>
          <w:color w:val="auto"/>
          <w:vertAlign w:val="superscript"/>
        </w:rPr>
      </w:pPr>
    </w:p>
    <w:p>
      <w:pPr>
        <w:ind w:left="300" w:hanging="296"/>
        <w:spacing w:after="0" w:line="195" w:lineRule="auto"/>
        <w:tabs>
          <w:tab w:leader="none" w:pos="30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Excludes $2 million of unamortized debt issuance costs as of December 31, 2021, as no cash borrowings were outstanding at that time.</w:t>
      </w:r>
    </w:p>
    <w:p>
      <w:pPr>
        <w:spacing w:after="0" w:line="86" w:lineRule="exact"/>
        <w:rPr>
          <w:sz w:val="20"/>
          <w:szCs w:val="20"/>
          <w:color w:val="auto"/>
        </w:rPr>
      </w:pPr>
    </w:p>
    <w:p>
      <w:pPr>
        <w:ind w:right="380"/>
        <w:spacing w:after="0" w:line="292" w:lineRule="auto"/>
        <w:rPr>
          <w:sz w:val="20"/>
          <w:szCs w:val="20"/>
          <w:color w:val="auto"/>
        </w:rPr>
      </w:pPr>
      <w:r>
        <w:rPr>
          <w:rFonts w:ascii="Times New Roman" w:cs="Times New Roman" w:eastAsia="Times New Roman" w:hAnsi="Times New Roman"/>
          <w:sz w:val="17"/>
          <w:szCs w:val="17"/>
          <w:color w:val="auto"/>
        </w:rPr>
        <w:t>All of our securitized debt is non-recourse to MVWC. See Footnote 16 “Variable Interest Entities” for a discussion of the collateral for the non-recourse debt associated with our securitized debt.</w:t>
      </w:r>
    </w:p>
    <w:p>
      <w:pPr>
        <w:spacing w:after="0" w:line="19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anticipated future principal payments for our securitized debt as of September 30, 2022.</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5"/>
              </w:rPr>
              <w:t>Vacation Ownership</w:t>
            </w:r>
          </w:p>
        </w:tc>
        <w:tc>
          <w:tcPr>
            <w:tcW w:w="180" w:type="dxa"/>
            <w:vAlign w:val="bottom"/>
          </w:tcPr>
          <w:p>
            <w:pPr>
              <w:spacing w:after="0"/>
              <w:rPr>
                <w:sz w:val="16"/>
                <w:szCs w:val="16"/>
                <w:color w:val="auto"/>
              </w:rPr>
            </w:pPr>
          </w:p>
        </w:tc>
        <w:tc>
          <w:tcPr>
            <w:tcW w:w="17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5"/>
              </w:rPr>
              <w:t>Warehouse Credit</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6"/>
                <w:szCs w:val="16"/>
                <w:b w:val="1"/>
                <w:bCs w:val="1"/>
                <w:color w:val="auto"/>
                <w:w w:val="98"/>
              </w:rPr>
              <w:t>Notes Receivable</w:t>
            </w:r>
          </w:p>
        </w:tc>
        <w:tc>
          <w:tcPr>
            <w:tcW w:w="180" w:type="dxa"/>
            <w:vAlign w:val="bottom"/>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vMerge w:val="restart"/>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6"/>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Pr>
          <w:p>
            <w:pPr>
              <w:spacing w:after="0"/>
              <w:rPr>
                <w:sz w:val="17"/>
                <w:szCs w:val="17"/>
                <w:color w:val="auto"/>
              </w:rPr>
            </w:pP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Securitizations</w:t>
            </w:r>
          </w:p>
        </w:tc>
        <w:tc>
          <w:tcPr>
            <w:tcW w:w="180" w:type="dxa"/>
            <w:vAlign w:val="bottom"/>
          </w:tcPr>
          <w:p>
            <w:pPr>
              <w:spacing w:after="0"/>
              <w:rPr>
                <w:sz w:val="17"/>
                <w:szCs w:val="17"/>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Facility</w:t>
            </w:r>
          </w:p>
        </w:tc>
        <w:tc>
          <w:tcPr>
            <w:tcW w:w="4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Payments Year</w:t>
            </w:r>
          </w:p>
        </w:tc>
        <w:tc>
          <w:tcPr>
            <w:tcW w:w="16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2022, remaining</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1"/>
                <w:szCs w:val="21"/>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46"/>
        </w:trPr>
        <w:tc>
          <w:tcPr>
            <w:tcW w:w="2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2023</w:t>
            </w: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174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0" w:type="dxa"/>
            <w:vAlign w:val="bottom"/>
          </w:tcPr>
          <w:p>
            <w:pPr>
              <w:spacing w:after="0"/>
              <w:rPr>
                <w:sz w:val="1"/>
                <w:szCs w:val="1"/>
                <w:color w:val="auto"/>
              </w:rPr>
            </w:pPr>
          </w:p>
        </w:tc>
      </w:tr>
      <w:tr>
        <w:trPr>
          <w:trHeight w:val="246"/>
        </w:trPr>
        <w:tc>
          <w:tcPr>
            <w:tcW w:w="2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2024</w:t>
            </w:r>
          </w:p>
        </w:tc>
        <w:tc>
          <w:tcPr>
            <w:tcW w:w="16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0" w:type="dxa"/>
            <w:vAlign w:val="bottom"/>
          </w:tcPr>
          <w:p>
            <w:pPr>
              <w:spacing w:after="0"/>
              <w:rPr>
                <w:sz w:val="1"/>
                <w:szCs w:val="1"/>
                <w:color w:val="auto"/>
              </w:rPr>
            </w:pPr>
          </w:p>
        </w:tc>
      </w:tr>
      <w:tr>
        <w:trPr>
          <w:trHeight w:val="246"/>
        </w:trPr>
        <w:tc>
          <w:tcPr>
            <w:tcW w:w="2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2025</w:t>
            </w: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179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118</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0" w:type="dxa"/>
            <w:vAlign w:val="bottom"/>
          </w:tcPr>
          <w:p>
            <w:pPr>
              <w:spacing w:after="0"/>
              <w:rPr>
                <w:sz w:val="1"/>
                <w:szCs w:val="1"/>
                <w:color w:val="auto"/>
              </w:rPr>
            </w:pPr>
          </w:p>
        </w:tc>
      </w:tr>
      <w:tr>
        <w:trPr>
          <w:trHeight w:val="246"/>
        </w:trPr>
        <w:tc>
          <w:tcPr>
            <w:tcW w:w="2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2026</w:t>
            </w:r>
          </w:p>
        </w:tc>
        <w:tc>
          <w:tcPr>
            <w:tcW w:w="16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0" w:type="dxa"/>
            <w:vAlign w:val="bottom"/>
          </w:tcPr>
          <w:p>
            <w:pPr>
              <w:spacing w:after="0"/>
              <w:rPr>
                <w:sz w:val="1"/>
                <w:szCs w:val="1"/>
                <w:color w:val="auto"/>
              </w:rPr>
            </w:pPr>
          </w:p>
        </w:tc>
      </w:tr>
      <w:tr>
        <w:trPr>
          <w:trHeight w:val="246"/>
        </w:trPr>
        <w:tc>
          <w:tcPr>
            <w:tcW w:w="2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Thereafter</w:t>
            </w: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943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w:t>
            </w:r>
          </w:p>
        </w:tc>
        <w:tc>
          <w:tcPr>
            <w:tcW w:w="0" w:type="dxa"/>
            <w:vAlign w:val="bottom"/>
          </w:tcPr>
          <w:p>
            <w:pPr>
              <w:spacing w:after="0"/>
              <w:rPr>
                <w:sz w:val="1"/>
                <w:szCs w:val="1"/>
                <w:color w:val="auto"/>
              </w:rPr>
            </w:pPr>
          </w:p>
        </w:tc>
      </w:tr>
      <w:tr>
        <w:trPr>
          <w:trHeight w:val="213"/>
        </w:trPr>
        <w:tc>
          <w:tcPr>
            <w:tcW w:w="29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1,698</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132</w:t>
            </w:r>
          </w:p>
        </w:tc>
        <w:tc>
          <w:tcPr>
            <w:tcW w:w="12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1,830</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Vacation Ownership Notes Receivable Securitizations</w:t>
      </w:r>
    </w:p>
    <w:p>
      <w:pPr>
        <w:spacing w:after="0" w:line="120"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7"/>
          <w:szCs w:val="17"/>
          <w:color w:val="auto"/>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third quarter of 2022, and as of September 30, 2022, we had 14 securitized vacation ownership notes receivable pools outstanding, none of which were out of compliance with their respective established parameters.</w:t>
      </w:r>
    </w:p>
    <w:p>
      <w:pPr>
        <w:spacing w:after="0" w:line="68" w:lineRule="exact"/>
        <w:rPr>
          <w:sz w:val="20"/>
          <w:szCs w:val="20"/>
          <w:color w:val="auto"/>
        </w:rPr>
      </w:pPr>
    </w:p>
    <w:p>
      <w:pPr>
        <w:ind w:right="400"/>
        <w:spacing w:after="0" w:line="292" w:lineRule="auto"/>
        <w:rPr>
          <w:sz w:val="20"/>
          <w:szCs w:val="20"/>
          <w:color w:val="auto"/>
        </w:rPr>
      </w:pPr>
      <w:r>
        <w:rPr>
          <w:rFonts w:ascii="Times New Roman" w:cs="Times New Roman" w:eastAsia="Times New Roman" w:hAnsi="Times New Roman"/>
          <w:sz w:val="17"/>
          <w:szCs w:val="17"/>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4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During the second quarter of 2022, we completed the securitization of a pool of $383 million of vacation ownership notes receivable. In connection with the securitization, investors purchased $375 million in vacation ownership loan backed notes issued by MVW 2022-1 LLC (the “2022-1 LLC”) in a private placement. The 2022-1 LLC issued four classes of vacation ownership loan backed notes: $220 million of Class A Notes, $77 million of Class B Notes, $48 million of Class C Notes, and $30 million of Class D Notes. The Class A Notes have an interest rate of 4.15%, the Class B Notes have an interest rate of 4.40%, the Class C Notes have an interest rate of 5.23%, and the Class D Notes have an interest rate of 7.35%, for an overall weighted average interest rate of 4.59%. Of the $375 million in proceeds from the transaction, approximately $98 million was used to repay all outstanding amounts previously drawn under our Warehouse Credit Facility (as defined below), approximately $7 million was used to pay transaction expenses and fund required reserves, and the remaining $176 million will be used for general corporate purposes. In connection with this securitization, we redeemed the remaining vacation ownership loan backed notes issued in a prior securitization transaction for approximately $38 million. The majority of the loans acquired through the redemption were purchased by the 2022-1 LLC.</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On November 3, 2022, subsequent to the end of the third quarter of 2022, we completed the securitization of a pool of $286 million of vacation ownership notes receivable. In connection with the securitization, $280 million in vacation ownership loan backed notes were issued by MVW 2022-2 LLC (the “2022-2 LLC”) in a private placement. Four classes of vacation ownership loan backed notes were issued by the 2022-2 LLC: $181 million of Class A Notes, $45 million of Class B Notes, $32 million of Class C Notes, and $22 million of Class D Notes. The Class A Notes have an interest rate of 6.11%, the Class B Notes have an interest rate of 6.55%, the Class C Notes have an interest rate of 7.62%, and the Class D Notes have an interest rate of 9.00%, for an overall weighted average interest rate of 6.58%. The weighted average interest rate of the first three classes of notes sold to third parties was 6.37%. Investors purchased $258 million of the vacation ownership loan backed notes issued by the 2022-2 LLC on November 3, 2022, comprised of the Class A Notes, the Class B Notes, and the Class C Notes, and we retained the $22 million of Class D Notes. Of the $259 million in proceeds from the transaction, approximately $129 million was used to repay all outstanding amounts previously drawn under our Warehouse Credit Facility (as defined below), approximately $6 million was used to pay transaction expenses and fund required reserves, and the remaining $124 million will be used for general corporate purposes. In connection with this securitization, we redeemed the remaining vacation ownership loan backed notes issued in a prior securitization transaction for approximately $22 million. The majority of the loans acquired through the redemption were purchased by the 2022-2 LLC.</w:t>
      </w:r>
    </w:p>
    <w:p>
      <w:pPr>
        <w:spacing w:after="0" w:line="2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Warehouse Credit Facility</w:t>
      </w:r>
    </w:p>
    <w:p>
      <w:pPr>
        <w:spacing w:after="0" w:line="120"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Our warehouse credit facility (the “Warehouse Credit Facility”) allows for the securitization of vacation ownership notes receivable on a revolving non-recourse basis. During the first quarter of 2022, we securitized vacation ownership notes receivable under our Warehouse Credit Facility. The carrying amount of the vacation ownership notes receivable securitized was $125 million. The average advance rate was 81%, which resulted in gross proceeds of $102 million. Net proceeds were $101 million due to the funding of reserve accounts of $1 million.</w:t>
      </w:r>
    </w:p>
    <w:p>
      <w:pPr>
        <w:spacing w:after="0" w:line="6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During the third quarter of 2022, we amended certain agreements associated with our Warehouse Credit Facility (the “Warehouse Amendment”). The Warehouse Amendment increased the borrowing capacity of the existing facility from $350 million to $425 million and extended the revolving period from April 21, 2023 to July 28, 2024. The Warehouse Amendment also modified the interest rate applicable to most borrowings under the Warehouse Credit Facility. The Warehouse Credit Facility now uses a U.S. Treasury overnight financing rate (Secured Overnight Financing Rate or “SOFR”) plus a 0.10% adjustment (“Adjusted SOFR”) replacing 1-month LIBOR as its benchmark interest rate. As part of the Warehouse Amendment, the credit spread remained at 135 basis points over Adjusted SOFR. The Warehouse Amendment made no other material changes to the Warehouse Credit Facility.</w:t>
      </w:r>
    </w:p>
    <w:p>
      <w:pPr>
        <w:spacing w:after="0" w:line="68"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color w:val="auto"/>
        </w:rPr>
        <w:t>During the third quarter of 2022, we securitized vacation ownership notes receivable under our Warehouse Credit Facility. The carrying amount of the vacation ownership notes receivable securitized was $159 million. The average advance rate was 83%, which resulted in gross proceeds of $132 million. Net proceeds were $132 million due to the funding of reserve accounts of less than $1 million.</w:t>
      </w:r>
    </w:p>
    <w:p>
      <w:pPr>
        <w:spacing w:after="0" w:line="2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80" w:hanging="459"/>
        <w:spacing w:after="0"/>
        <w:tabs>
          <w:tab w:leader="none" w:pos="480"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DEBT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detail on our debt balances, net of unamortized debt discount and issuance costs.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At September 30, 2022</w:t>
            </w:r>
          </w:p>
        </w:tc>
        <w:tc>
          <w:tcPr>
            <w:tcW w:w="100" w:type="dxa"/>
            <w:vAlign w:val="bottom"/>
          </w:tcPr>
          <w:p>
            <w:pPr>
              <w:spacing w:after="0"/>
              <w:rPr>
                <w:sz w:val="18"/>
                <w:szCs w:val="18"/>
                <w:color w:val="auto"/>
              </w:rPr>
            </w:pPr>
          </w:p>
        </w:tc>
        <w:tc>
          <w:tcPr>
            <w:tcW w:w="1560" w:type="dxa"/>
            <w:vAlign w:val="bottom"/>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w w:val="95"/>
              </w:rPr>
              <w:t>At December 31, 2021</w:t>
            </w:r>
          </w:p>
        </w:tc>
      </w:tr>
      <w:tr>
        <w:trPr>
          <w:trHeight w:val="229"/>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Senior Secured Notes</w:t>
            </w:r>
          </w:p>
        </w:tc>
        <w:tc>
          <w:tcPr>
            <w:tcW w:w="6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r>
      <w:tr>
        <w:trPr>
          <w:trHeight w:val="246"/>
        </w:trPr>
        <w:tc>
          <w:tcPr>
            <w:tcW w:w="4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2025 Notes</w:t>
            </w:r>
          </w:p>
        </w:tc>
        <w:tc>
          <w:tcPr>
            <w:tcW w:w="64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r>
      <w:tr>
        <w:trPr>
          <w:trHeight w:val="246"/>
        </w:trPr>
        <w:tc>
          <w:tcPr>
            <w:tcW w:w="4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Unamortized debt discount and issuance costs</w:t>
            </w:r>
          </w:p>
        </w:tc>
        <w:tc>
          <w:tcPr>
            <w:tcW w:w="6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6"/>
        </w:trPr>
        <w:tc>
          <w:tcPr>
            <w:tcW w:w="4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w:t>
            </w:r>
          </w:p>
        </w:tc>
      </w:tr>
      <w:tr>
        <w:trPr>
          <w:trHeight w:val="24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Senior Unsecured Notes</w:t>
            </w:r>
          </w:p>
        </w:tc>
        <w:tc>
          <w:tcPr>
            <w:tcW w:w="6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6"/>
        </w:trPr>
        <w:tc>
          <w:tcPr>
            <w:tcW w:w="4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2028 Notes</w:t>
            </w:r>
          </w:p>
        </w:tc>
        <w:tc>
          <w:tcPr>
            <w:tcW w:w="6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r>
      <w:tr>
        <w:trPr>
          <w:trHeight w:val="246"/>
        </w:trPr>
        <w:tc>
          <w:tcPr>
            <w:tcW w:w="4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Unamortized debt discount and issuance costs</w:t>
            </w:r>
          </w:p>
        </w:tc>
        <w:tc>
          <w:tcPr>
            <w:tcW w:w="6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6"/>
        </w:trPr>
        <w:tc>
          <w:tcPr>
            <w:tcW w:w="4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w:t>
            </w:r>
          </w:p>
        </w:tc>
      </w:tr>
      <w:tr>
        <w:trPr>
          <w:trHeight w:val="246"/>
        </w:trPr>
        <w:tc>
          <w:tcPr>
            <w:tcW w:w="49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6"/>
        </w:trPr>
        <w:tc>
          <w:tcPr>
            <w:tcW w:w="4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2029 Notes</w:t>
            </w:r>
          </w:p>
        </w:tc>
        <w:tc>
          <w:tcPr>
            <w:tcW w:w="6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46"/>
        </w:trPr>
        <w:tc>
          <w:tcPr>
            <w:tcW w:w="4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Unamortized debt discount and issuance costs</w:t>
            </w:r>
          </w:p>
        </w:tc>
        <w:tc>
          <w:tcPr>
            <w:tcW w:w="6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26"/>
        </w:trPr>
        <w:tc>
          <w:tcPr>
            <w:tcW w:w="4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w:t>
            </w:r>
          </w:p>
        </w:tc>
      </w:tr>
      <w:tr>
        <w:trPr>
          <w:trHeight w:val="24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Corporate Credit Facility</w:t>
            </w:r>
          </w:p>
        </w:tc>
        <w:tc>
          <w:tcPr>
            <w:tcW w:w="6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6"/>
        </w:trPr>
        <w:tc>
          <w:tcPr>
            <w:tcW w:w="4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Term Loan</w:t>
            </w:r>
          </w:p>
        </w:tc>
        <w:tc>
          <w:tcPr>
            <w:tcW w:w="6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w:t>
            </w:r>
          </w:p>
        </w:tc>
      </w:tr>
      <w:tr>
        <w:trPr>
          <w:trHeight w:val="246"/>
        </w:trPr>
        <w:tc>
          <w:tcPr>
            <w:tcW w:w="4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Unamortized debt discount and issuance costs</w:t>
            </w:r>
          </w:p>
        </w:tc>
        <w:tc>
          <w:tcPr>
            <w:tcW w:w="6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26"/>
        </w:trPr>
        <w:tc>
          <w:tcPr>
            <w:tcW w:w="4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w:t>
            </w:r>
          </w:p>
        </w:tc>
      </w:tr>
      <w:tr>
        <w:trPr>
          <w:trHeight w:val="246"/>
        </w:trPr>
        <w:tc>
          <w:tcPr>
            <w:tcW w:w="49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6"/>
        </w:trPr>
        <w:tc>
          <w:tcPr>
            <w:tcW w:w="4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Revolving Corporate Credit Facility</w:t>
            </w:r>
            <w:r>
              <w:rPr>
                <w:rFonts w:ascii="Times New Roman" w:cs="Times New Roman" w:eastAsia="Times New Roman" w:hAnsi="Times New Roman"/>
                <w:sz w:val="8"/>
                <w:szCs w:val="8"/>
                <w:color w:val="auto"/>
              </w:rPr>
              <w:t>(1)</w:t>
            </w:r>
          </w:p>
        </w:tc>
        <w:tc>
          <w:tcPr>
            <w:tcW w:w="6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6"/>
        </w:trPr>
        <w:tc>
          <w:tcPr>
            <w:tcW w:w="4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Unamortized debt issuance costs</w:t>
            </w:r>
            <w:r>
              <w:rPr>
                <w:rFonts w:ascii="Times New Roman" w:cs="Times New Roman" w:eastAsia="Times New Roman" w:hAnsi="Times New Roman"/>
                <w:sz w:val="8"/>
                <w:szCs w:val="8"/>
                <w:color w:val="auto"/>
              </w:rPr>
              <w:t>(2)</w:t>
            </w:r>
          </w:p>
        </w:tc>
        <w:tc>
          <w:tcPr>
            <w:tcW w:w="6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4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Convertible Notes</w:t>
            </w:r>
          </w:p>
        </w:tc>
        <w:tc>
          <w:tcPr>
            <w:tcW w:w="6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6"/>
        </w:trPr>
        <w:tc>
          <w:tcPr>
            <w:tcW w:w="4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2022 Convertible Notes</w:t>
            </w:r>
          </w:p>
        </w:tc>
        <w:tc>
          <w:tcPr>
            <w:tcW w:w="6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r>
      <w:tr>
        <w:trPr>
          <w:trHeight w:val="246"/>
        </w:trPr>
        <w:tc>
          <w:tcPr>
            <w:tcW w:w="4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Unamortized debt discount and issuance costs</w:t>
            </w:r>
          </w:p>
        </w:tc>
        <w:tc>
          <w:tcPr>
            <w:tcW w:w="6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26"/>
        </w:trPr>
        <w:tc>
          <w:tcPr>
            <w:tcW w:w="4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r>
      <w:tr>
        <w:trPr>
          <w:trHeight w:val="246"/>
        </w:trPr>
        <w:tc>
          <w:tcPr>
            <w:tcW w:w="49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6"/>
        </w:trPr>
        <w:tc>
          <w:tcPr>
            <w:tcW w:w="4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2026 Convertible Notes</w:t>
            </w:r>
          </w:p>
        </w:tc>
        <w:tc>
          <w:tcPr>
            <w:tcW w:w="6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r>
      <w:tr>
        <w:trPr>
          <w:trHeight w:val="246"/>
        </w:trPr>
        <w:tc>
          <w:tcPr>
            <w:tcW w:w="4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Unamortized debt discount and issuance costs</w:t>
            </w:r>
          </w:p>
        </w:tc>
        <w:tc>
          <w:tcPr>
            <w:tcW w:w="6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26"/>
        </w:trPr>
        <w:tc>
          <w:tcPr>
            <w:tcW w:w="4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w:t>
            </w:r>
          </w:p>
        </w:tc>
      </w:tr>
      <w:tr>
        <w:trPr>
          <w:trHeight w:val="246"/>
        </w:trPr>
        <w:tc>
          <w:tcPr>
            <w:tcW w:w="49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6"/>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Non-interest bearing note payable</w:t>
            </w:r>
          </w:p>
        </w:tc>
        <w:tc>
          <w:tcPr>
            <w:tcW w:w="6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6"/>
        </w:trPr>
        <w:tc>
          <w:tcPr>
            <w:tcW w:w="49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6"/>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Finance Leases</w:t>
            </w:r>
          </w:p>
        </w:tc>
        <w:tc>
          <w:tcPr>
            <w:tcW w:w="6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38"/>
        </w:trPr>
        <w:tc>
          <w:tcPr>
            <w:tcW w:w="49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2,749</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2,631</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37" w:lineRule="exact"/>
        <w:rPr>
          <w:sz w:val="20"/>
          <w:szCs w:val="20"/>
          <w:color w:val="auto"/>
        </w:rPr>
      </w:pPr>
    </w:p>
    <w:p>
      <w:pPr>
        <w:ind w:left="300" w:hanging="296"/>
        <w:spacing w:after="0"/>
        <w:tabs>
          <w:tab w:leader="none" w:pos="300" w:val="left"/>
        </w:tabs>
        <w:numPr>
          <w:ilvl w:val="0"/>
          <w:numId w:val="2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Effective interest rate as of September 30, 2022 was 7.0%.</w:t>
      </w:r>
    </w:p>
    <w:p>
      <w:pPr>
        <w:spacing w:after="0" w:line="53" w:lineRule="exact"/>
        <w:rPr>
          <w:rFonts w:ascii="Times New Roman" w:cs="Times New Roman" w:eastAsia="Times New Roman" w:hAnsi="Times New Roman"/>
          <w:sz w:val="22"/>
          <w:szCs w:val="22"/>
          <w:color w:val="auto"/>
          <w:vertAlign w:val="superscript"/>
        </w:rPr>
      </w:pPr>
    </w:p>
    <w:p>
      <w:pPr>
        <w:ind w:left="320" w:hanging="316"/>
        <w:spacing w:after="0" w:line="221" w:lineRule="auto"/>
        <w:tabs>
          <w:tab w:leader="none" w:pos="308" w:val="left"/>
        </w:tabs>
        <w:numPr>
          <w:ilvl w:val="0"/>
          <w:numId w:val="2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Excludes $2 million of unamortized debt issuance costs as of December 31, 2021, as no cash borrowings were outstanding under the Revolving Corporate Credit Facility at that time.</w:t>
      </w:r>
    </w:p>
    <w:p>
      <w:pPr>
        <w:spacing w:after="0" w:line="24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960"/>
          </w:cols>
          <w:pgMar w:left="320" w:top="225" w:right="6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scheduled principal payments for our debt, excluding finance leases, as of September 30, 2022.</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Revolving</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4"/>
              </w:rPr>
              <w:t>Non-</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w w:val="93"/>
              </w:rPr>
              <w:t>2026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6"/>
                <w:szCs w:val="16"/>
                <w:b w:val="1"/>
                <w:bCs w:val="1"/>
                <w:color w:val="auto"/>
                <w:w w:val="97"/>
              </w:rPr>
              <w:t>Interest</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restart"/>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restart"/>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2028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vMerge w:val="restart"/>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2029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Term</w:t>
            </w:r>
          </w:p>
        </w:tc>
        <w:tc>
          <w:tcPr>
            <w:tcW w:w="100" w:type="dxa"/>
            <w:vAlign w:val="bottom"/>
          </w:tcPr>
          <w:p>
            <w:pPr>
              <w:spacing w:after="0"/>
              <w:rPr>
                <w:sz w:val="13"/>
                <w:szCs w:val="13"/>
                <w:color w:val="auto"/>
              </w:rPr>
            </w:pPr>
          </w:p>
        </w:tc>
        <w:tc>
          <w:tcPr>
            <w:tcW w:w="92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6"/>
                <w:szCs w:val="16"/>
                <w:b w:val="1"/>
                <w:bCs w:val="1"/>
                <w:color w:val="auto"/>
                <w:w w:val="95"/>
              </w:rPr>
              <w:t>Corporate</w:t>
            </w: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6"/>
                <w:szCs w:val="16"/>
                <w:b w:val="1"/>
                <w:bCs w:val="1"/>
                <w:color w:val="auto"/>
                <w:w w:val="95"/>
              </w:rPr>
              <w:t>Bearing</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6"/>
                <w:szCs w:val="16"/>
                <w:b w:val="1"/>
                <w:bCs w:val="1"/>
                <w:color w:val="auto"/>
                <w:w w:val="98"/>
              </w:rPr>
              <w:t>Credit</w:t>
            </w:r>
          </w:p>
        </w:tc>
        <w:tc>
          <w:tcPr>
            <w:tcW w:w="1060" w:type="dxa"/>
            <w:vAlign w:val="bottom"/>
            <w:gridSpan w:val="3"/>
          </w:tcPr>
          <w:p>
            <w:pPr>
              <w:jc w:val="center"/>
              <w:ind w:right="120"/>
              <w:spacing w:after="0" w:line="155" w:lineRule="exact"/>
              <w:rPr>
                <w:sz w:val="20"/>
                <w:szCs w:val="20"/>
                <w:color w:val="auto"/>
              </w:rPr>
            </w:pPr>
            <w:r>
              <w:rPr>
                <w:rFonts w:ascii="Times New Roman" w:cs="Times New Roman" w:eastAsia="Times New Roman" w:hAnsi="Times New Roman"/>
                <w:sz w:val="16"/>
                <w:szCs w:val="16"/>
                <w:b w:val="1"/>
                <w:bCs w:val="1"/>
                <w:color w:val="auto"/>
                <w:w w:val="96"/>
              </w:rPr>
              <w:t>Convertible</w:t>
            </w:r>
          </w:p>
        </w:tc>
        <w:tc>
          <w:tcPr>
            <w:tcW w:w="140" w:type="dxa"/>
            <w:vAlign w:val="bottom"/>
          </w:tcPr>
          <w:p>
            <w:pPr>
              <w:spacing w:after="0"/>
              <w:rPr>
                <w:sz w:val="13"/>
                <w:szCs w:val="13"/>
                <w:color w:val="auto"/>
              </w:rPr>
            </w:pPr>
          </w:p>
        </w:tc>
        <w:tc>
          <w:tcPr>
            <w:tcW w:w="84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6"/>
                <w:szCs w:val="16"/>
                <w:b w:val="1"/>
                <w:bCs w:val="1"/>
                <w:color w:val="auto"/>
                <w:w w:val="99"/>
              </w:rPr>
              <w:t>Note</w:t>
            </w:r>
          </w:p>
        </w:tc>
        <w:tc>
          <w:tcPr>
            <w:tcW w:w="180" w:type="dxa"/>
            <w:vAlign w:val="bottom"/>
          </w:tcPr>
          <w:p>
            <w:pPr>
              <w:spacing w:after="0"/>
              <w:rPr>
                <w:sz w:val="13"/>
                <w:szCs w:val="13"/>
                <w:color w:val="auto"/>
              </w:rPr>
            </w:pPr>
          </w:p>
        </w:tc>
        <w:tc>
          <w:tcPr>
            <w:tcW w:w="680" w:type="dxa"/>
            <w:vAlign w:val="bottom"/>
            <w:vMerge w:val="restart"/>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6"/>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20" w:type="dxa"/>
            <w:vAlign w:val="bottom"/>
          </w:tcPr>
          <w:p>
            <w:pPr>
              <w:spacing w:after="0"/>
              <w:rPr>
                <w:sz w:val="17"/>
                <w:szCs w:val="17"/>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40" w:type="dxa"/>
            <w:vAlign w:val="bottom"/>
          </w:tcPr>
          <w:p>
            <w:pPr>
              <w:spacing w:after="0"/>
              <w:rPr>
                <w:sz w:val="17"/>
                <w:szCs w:val="17"/>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60" w:type="dxa"/>
            <w:vAlign w:val="bottom"/>
          </w:tcPr>
          <w:p>
            <w:pPr>
              <w:spacing w:after="0"/>
              <w:rPr>
                <w:sz w:val="17"/>
                <w:szCs w:val="17"/>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Loan</w:t>
            </w:r>
          </w:p>
        </w:tc>
        <w:tc>
          <w:tcPr>
            <w:tcW w:w="10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Facility</w:t>
            </w:r>
          </w:p>
        </w:tc>
        <w:tc>
          <w:tcPr>
            <w:tcW w:w="200" w:type="dxa"/>
            <w:vAlign w:val="bottom"/>
          </w:tcPr>
          <w:p>
            <w:pPr>
              <w:spacing w:after="0"/>
              <w:rPr>
                <w:sz w:val="17"/>
                <w:szCs w:val="17"/>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Notes</w:t>
            </w:r>
          </w:p>
        </w:tc>
        <w:tc>
          <w:tcPr>
            <w:tcW w:w="140" w:type="dxa"/>
            <w:vAlign w:val="bottom"/>
          </w:tcPr>
          <w:p>
            <w:pPr>
              <w:spacing w:after="0"/>
              <w:rPr>
                <w:sz w:val="17"/>
                <w:szCs w:val="17"/>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5"/>
              </w:rPr>
              <w:t>Payable</w:t>
            </w: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Year Payments</w:t>
            </w: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2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2022,</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w w:val="93"/>
              </w:rPr>
              <w:t>remaining$</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9"/>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59"/>
        </w:trPr>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59"/>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w:t>
            </w:r>
          </w:p>
        </w:tc>
        <w:tc>
          <w:tcPr>
            <w:tcW w:w="0" w:type="dxa"/>
            <w:vAlign w:val="bottom"/>
          </w:tcPr>
          <w:p>
            <w:pPr>
              <w:spacing w:after="0"/>
              <w:rPr>
                <w:sz w:val="1"/>
                <w:szCs w:val="1"/>
                <w:color w:val="auto"/>
              </w:rPr>
            </w:pPr>
          </w:p>
        </w:tc>
      </w:tr>
      <w:tr>
        <w:trPr>
          <w:trHeight w:val="259"/>
        </w:trPr>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0" w:type="dxa"/>
            <w:vAlign w:val="bottom"/>
          </w:tcPr>
          <w:p>
            <w:pPr>
              <w:spacing w:after="0"/>
              <w:rPr>
                <w:sz w:val="1"/>
                <w:szCs w:val="1"/>
                <w:color w:val="auto"/>
              </w:rPr>
            </w:pPr>
          </w:p>
        </w:tc>
      </w:tr>
      <w:tr>
        <w:trPr>
          <w:trHeight w:val="259"/>
        </w:trPr>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230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1,080</w:t>
            </w:r>
          </w:p>
        </w:tc>
        <w:tc>
          <w:tcPr>
            <w:tcW w:w="0" w:type="dxa"/>
            <w:vAlign w:val="bottom"/>
          </w:tcPr>
          <w:p>
            <w:pPr>
              <w:spacing w:after="0"/>
              <w:rPr>
                <w:sz w:val="1"/>
                <w:szCs w:val="1"/>
                <w:color w:val="auto"/>
              </w:rPr>
            </w:pPr>
          </w:p>
        </w:tc>
      </w:tr>
      <w:tr>
        <w:trPr>
          <w:trHeight w:val="213"/>
        </w:trPr>
        <w:tc>
          <w:tcPr>
            <w:tcW w:w="1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230</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2,699</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Senior Notes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senior notes include:</w:t>
      </w:r>
    </w:p>
    <w:p>
      <w:pPr>
        <w:spacing w:after="0" w:line="116" w:lineRule="exact"/>
        <w:rPr>
          <w:sz w:val="20"/>
          <w:szCs w:val="20"/>
          <w:color w:val="auto"/>
        </w:rPr>
      </w:pPr>
    </w:p>
    <w:p>
      <w:pPr>
        <w:ind w:left="320" w:right="180" w:hanging="316"/>
        <w:spacing w:after="0" w:line="286" w:lineRule="auto"/>
        <w:tabs>
          <w:tab w:leader="none" w:pos="3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$500 million aggregate principal amount of 6.125% Senior Secured Notes due 2025 issued in the second quarter of 2020 with a maturity date of September 15, 2025 (the “2025 Notes”), of which $250 million of principal was outstanding as of September 30, 2022.</w:t>
      </w:r>
    </w:p>
    <w:p>
      <w:pPr>
        <w:ind w:left="320" w:hanging="316"/>
        <w:spacing w:after="0" w:line="286" w:lineRule="auto"/>
        <w:tabs>
          <w:tab w:leader="none" w:pos="3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$350 million aggregate principal amount of 4.750% Senior Unsecured Notes due 2028 issued in the fourth quarter of 2019 with a maturity date of January 15, 2028 (the “2028 Notes”).</w:t>
      </w:r>
    </w:p>
    <w:p>
      <w:pPr>
        <w:ind w:left="320" w:right="160" w:hanging="316"/>
        <w:spacing w:after="0" w:line="292" w:lineRule="auto"/>
        <w:tabs>
          <w:tab w:leader="none" w:pos="3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$500 million aggregate principal amount of 4.500% Senior Unsecured Notes due 2029 issued in the second quarter of 2021 with a maturity date of June 15, 2029 (the “2029 Notes”).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Corporate Credit Facility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corporate credit facility (“Corporate Credit Facility”), which provides support for our business, including ongoing liquidity and letters of credit, includes a</w:t>
      </w:r>
    </w:p>
    <w:p>
      <w:pPr>
        <w:spacing w:after="0" w:line="3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$900 million term loan facility (the “Term Loan”), which matures on August 31, 2025, and bears interest at LIBOR plus 1.75%, and a revolving credit facility (the “Revolving Corporate Credit Facility”) which includes a letter of credit sub-facility of $75 million.</w:t>
      </w:r>
    </w:p>
    <w:p>
      <w:pPr>
        <w:spacing w:after="0" w:line="6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During the first quarter of 2022, we entered into an amendment to the Revolving Corporate Credit Facility (the “Revolver Amendment”), which increased the borrowing capacity of the existing revolving credit facility from $600 million to $750 million and extended the maturity date from August 31, 2023 to March 31, 2027. The Revolver Amendment modified the interest rate applicable to borrowings under the Revolving Corporate Credit Facility to reference SOFR and to be based on “Adjusted Term SOFR,” which is calculated as Term SOFR (as defined in the Revolver Amendment), plus a 0.10% adjustment, subject to a 0.00% floor. Interest rates for other select non-U.S. dollar borrowings were also amended to be based on updated variable rate indices. The applicable margins with respect to the Revolving Corporate Credit Facility were amended to be based on leverage-based measures instead of credit ratings-based measures. The Revolver Amendment made no other material changes to the Corporate Credit Facility.</w:t>
      </w:r>
    </w:p>
    <w:p>
      <w:pPr>
        <w:spacing w:after="0" w:line="73"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During the third quarter of 2022, we borrowed $380 million under our Revolving Corporate Credit Facility, $230 million of which was used to repay the 2022 Convertible Notes (as defined and discussed further below). As of September 30, 2022, $230 million of principal was outstanding and all other amounts borrowed under the Revolving Corporate Credit Facility had been repaid.</w:t>
      </w:r>
    </w:p>
    <w:p>
      <w:pPr>
        <w:spacing w:after="0" w:line="5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7"/>
          <w:szCs w:val="17"/>
          <w:color w:val="auto"/>
        </w:rPr>
        <w:t>Prior to 2020, we entered into $250 million of interest rate swaps under which we pay a fixed rate of 2.9625% and receive a floating interest rate through September 2023 and $200 million of interest rate swaps under which we pay a fixed rate of 2.2480% and receive a floating interest rate through April 2024, in each case to hedge a portion of our interest rate risk on the Term Loan. We also entered into a $100 million interest rate collar with a cap strike rate of 2.5000% and a floor strike rate of 1.8810% through April 2024 to further hedge our interest rate risk on the Term Loan. Both the interest rate swaps and the interest rate collar have been designated and qualify as cash flow hedges of interest rate risk and are recorded in Other assets on our Balance Sheet as of September 30, 2022 and in Other liabilities on our Balance Sheet as of December 31, 2021. We characterize payments we make or receive in connection with these</w:t>
      </w:r>
    </w:p>
    <w:p>
      <w:pPr>
        <w:spacing w:after="0" w:line="22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derivative instruments as interest expense and a reclassification of accumulated other comprehensive income or loss for presentation purposes.</w:t>
      </w:r>
    </w:p>
    <w:p>
      <w:pPr>
        <w:spacing w:after="0" w:line="116"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17"/>
          <w:szCs w:val="17"/>
          <w:color w:val="auto"/>
        </w:rPr>
        <w:t>The following table reflects the activity in accumulated other comprehensive income or loss related to our derivative instruments during the first three quarters of 2022 and 2021. There were no reclassifications to the Income Statement for either of the periods presented below.</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instrument adjustment balance, January 1</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46"/>
        </w:trPr>
        <w:tc>
          <w:tcPr>
            <w:tcW w:w="4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comprehensive gain before reclassifications</w:t>
            </w: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2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instrument adjustment balance, March 31</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59"/>
        </w:trPr>
        <w:tc>
          <w:tcPr>
            <w:tcW w:w="4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comprehensive gain before reclassifications</w:t>
            </w: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3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instrument adjustment balance, June 30</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5"/>
        </w:trPr>
        <w:tc>
          <w:tcPr>
            <w:tcW w:w="4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comprehensive gain before reclassifications</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3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instrument adjustment balance, September 30</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Notes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2022 Convertible Notes</w:t>
      </w:r>
    </w:p>
    <w:p>
      <w:pPr>
        <w:spacing w:after="0" w:line="120"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During 2017, we issued $230 million aggregate principal amount of 1.50% convertible senior notes for which interest was payable semi-annually (the “2022 Convertible Notes”). The 2022 Convertible Notes matured at par on September 15, 2022, at which time they were settled in cash and the remaining discount and deferred financing costs were fully amortized. The following table reflects the activity related to our 2022 Convertible Notes during the first three quarters of 2022.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Unamortized</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Carrying Amount</w:t>
            </w:r>
          </w:p>
        </w:tc>
        <w:tc>
          <w:tcPr>
            <w:tcW w:w="0" w:type="dxa"/>
            <w:vAlign w:val="bottom"/>
          </w:tcPr>
          <w:p>
            <w:pPr>
              <w:spacing w:after="0"/>
              <w:rPr>
                <w:sz w:val="1"/>
                <w:szCs w:val="1"/>
                <w:color w:val="auto"/>
              </w:rPr>
            </w:pPr>
          </w:p>
        </w:tc>
      </w:tr>
      <w:tr>
        <w:trPr>
          <w:trHeight w:val="156"/>
        </w:trPr>
        <w:tc>
          <w:tcPr>
            <w:tcW w:w="2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Principal</w:t>
            </w:r>
          </w:p>
        </w:tc>
        <w:tc>
          <w:tcPr>
            <w:tcW w:w="100" w:type="dxa"/>
            <w:vAlign w:val="bottom"/>
          </w:tcPr>
          <w:p>
            <w:pPr>
              <w:spacing w:after="0"/>
              <w:rPr>
                <w:sz w:val="13"/>
                <w:szCs w:val="13"/>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Unamortized</w:t>
            </w:r>
          </w:p>
        </w:tc>
        <w:tc>
          <w:tcPr>
            <w:tcW w:w="1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ind w:right="75"/>
              <w:spacing w:after="0" w:line="155" w:lineRule="exact"/>
              <w:rPr>
                <w:sz w:val="20"/>
                <w:szCs w:val="20"/>
                <w:color w:val="auto"/>
              </w:rPr>
            </w:pPr>
            <w:r>
              <w:rPr>
                <w:rFonts w:ascii="Times New Roman" w:cs="Times New Roman" w:eastAsia="Times New Roman" w:hAnsi="Times New Roman"/>
                <w:sz w:val="16"/>
                <w:szCs w:val="16"/>
                <w:b w:val="1"/>
                <w:bCs w:val="1"/>
                <w:color w:val="auto"/>
                <w:w w:val="97"/>
              </w:rPr>
              <w:t>of Equity</w:t>
            </w:r>
          </w:p>
        </w:tc>
        <w:tc>
          <w:tcPr>
            <w:tcW w:w="0" w:type="dxa"/>
            <w:vAlign w:val="bottom"/>
          </w:tcPr>
          <w:p>
            <w:pPr>
              <w:spacing w:after="0"/>
              <w:rPr>
                <w:sz w:val="1"/>
                <w:szCs w:val="1"/>
                <w:color w:val="auto"/>
              </w:rPr>
            </w:pPr>
          </w:p>
        </w:tc>
      </w:tr>
      <w:tr>
        <w:trPr>
          <w:trHeight w:val="156"/>
        </w:trPr>
        <w:tc>
          <w:tcPr>
            <w:tcW w:w="2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Debt Issuance</w:t>
            </w:r>
          </w:p>
        </w:tc>
        <w:tc>
          <w:tcPr>
            <w:tcW w:w="160" w:type="dxa"/>
            <w:vAlign w:val="bottom"/>
          </w:tcPr>
          <w:p>
            <w:pPr>
              <w:spacing w:after="0"/>
              <w:rPr>
                <w:sz w:val="13"/>
                <w:szCs w:val="13"/>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Debt, net</w:t>
            </w:r>
          </w:p>
        </w:tc>
        <w:tc>
          <w:tcPr>
            <w:tcW w:w="134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Component, net of</w:t>
            </w:r>
          </w:p>
        </w:tc>
        <w:tc>
          <w:tcPr>
            <w:tcW w:w="0" w:type="dxa"/>
            <w:vAlign w:val="bottom"/>
          </w:tcPr>
          <w:p>
            <w:pPr>
              <w:spacing w:after="0"/>
              <w:rPr>
                <w:sz w:val="1"/>
                <w:szCs w:val="1"/>
                <w:color w:val="auto"/>
              </w:rPr>
            </w:pPr>
          </w:p>
        </w:tc>
      </w:tr>
      <w:tr>
        <w:trPr>
          <w:trHeight w:val="206"/>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Debt Discount</w:t>
            </w: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Costs</w:t>
            </w:r>
          </w:p>
        </w:tc>
        <w:tc>
          <w:tcPr>
            <w:tcW w:w="16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5"/>
              </w:rPr>
              <w:t>Issuance Costs</w:t>
            </w:r>
          </w:p>
        </w:tc>
        <w:tc>
          <w:tcPr>
            <w:tcW w:w="0" w:type="dxa"/>
            <w:vAlign w:val="bottom"/>
          </w:tcPr>
          <w:p>
            <w:pPr>
              <w:spacing w:after="0"/>
              <w:rPr>
                <w:sz w:val="1"/>
                <w:szCs w:val="1"/>
                <w:color w:val="auto"/>
              </w:rPr>
            </w:pPr>
          </w:p>
        </w:tc>
      </w:tr>
      <w:tr>
        <w:trPr>
          <w:trHeight w:val="228"/>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At December 31, 2021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center"/>
              <w:ind w:left="775"/>
              <w:spacing w:after="0"/>
              <w:rPr>
                <w:sz w:val="20"/>
                <w:szCs w:val="20"/>
                <w:color w:val="auto"/>
              </w:rPr>
            </w:pPr>
            <w:r>
              <w:rPr>
                <w:rFonts w:ascii="Times New Roman" w:cs="Times New Roman" w:eastAsia="Times New Roman" w:hAnsi="Times New Roman"/>
                <w:sz w:val="17"/>
                <w:szCs w:val="17"/>
                <w:color w:val="auto"/>
                <w:w w:val="93"/>
              </w:rPr>
              <w:t>33</w:t>
            </w:r>
          </w:p>
        </w:tc>
        <w:tc>
          <w:tcPr>
            <w:tcW w:w="0" w:type="dxa"/>
            <w:vAlign w:val="bottom"/>
          </w:tcPr>
          <w:p>
            <w:pPr>
              <w:spacing w:after="0"/>
              <w:rPr>
                <w:sz w:val="1"/>
                <w:szCs w:val="1"/>
                <w:color w:val="auto"/>
              </w:rPr>
            </w:pPr>
          </w:p>
        </w:tc>
      </w:tr>
      <w:tr>
        <w:trPr>
          <w:trHeight w:val="246"/>
        </w:trPr>
        <w:tc>
          <w:tcPr>
            <w:tcW w:w="2200" w:type="dxa"/>
            <w:vAlign w:val="bottom"/>
            <w:tcBorders>
              <w:bottom w:val="single" w:sz="8" w:color="CCEEFF"/>
            </w:tcBorders>
          </w:tcPr>
          <w:p>
            <w:pPr>
              <w:ind w:left="20"/>
              <w:spacing w:after="0" w:line="246" w:lineRule="exact"/>
              <w:rPr>
                <w:sz w:val="20"/>
                <w:szCs w:val="20"/>
                <w:color w:val="auto"/>
              </w:rPr>
            </w:pPr>
            <w:r>
              <w:rPr>
                <w:rFonts w:ascii="Times New Roman" w:cs="Times New Roman" w:eastAsia="Times New Roman" w:hAnsi="Times New Roman"/>
                <w:sz w:val="17"/>
                <w:szCs w:val="17"/>
                <w:color w:val="auto"/>
              </w:rPr>
              <w:t>Adoption of ASU 2020-06</w:t>
            </w:r>
            <w:r>
              <w:rPr>
                <w:rFonts w:ascii="Times New Roman" w:cs="Times New Roman" w:eastAsia="Times New Roman" w:hAnsi="Times New Roman"/>
                <w:sz w:val="22"/>
                <w:szCs w:val="22"/>
                <w:color w:val="auto"/>
                <w:vertAlign w:val="superscript"/>
              </w:rPr>
              <w:t>(1)</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left="735"/>
              <w:spacing w:after="0"/>
              <w:rPr>
                <w:sz w:val="20"/>
                <w:szCs w:val="20"/>
                <w:color w:val="auto"/>
              </w:rPr>
            </w:pPr>
            <w:r>
              <w:rPr>
                <w:rFonts w:ascii="Times New Roman" w:cs="Times New Roman" w:eastAsia="Times New Roman" w:hAnsi="Times New Roman"/>
                <w:sz w:val="17"/>
                <w:szCs w:val="17"/>
                <w:color w:val="auto"/>
                <w:w w:val="98"/>
              </w:rPr>
              <w:t>(33)</w:t>
            </w:r>
          </w:p>
        </w:tc>
        <w:tc>
          <w:tcPr>
            <w:tcW w:w="0" w:type="dxa"/>
            <w:vAlign w:val="bottom"/>
          </w:tcPr>
          <w:p>
            <w:pPr>
              <w:spacing w:after="0"/>
              <w:rPr>
                <w:sz w:val="1"/>
                <w:szCs w:val="1"/>
                <w:color w:val="auto"/>
              </w:rPr>
            </w:pPr>
          </w:p>
        </w:tc>
      </w:tr>
      <w:tr>
        <w:trPr>
          <w:trHeight w:val="226"/>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At January 1, 2022</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775"/>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46"/>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w:t>
            </w:r>
          </w:p>
        </w:tc>
        <w:tc>
          <w:tcPr>
            <w:tcW w:w="18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center"/>
              <w:ind w:left="775"/>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169"/>
        </w:trPr>
        <w:tc>
          <w:tcPr>
            <w:tcW w:w="220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Fair value of conversion option</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200" w:type="dxa"/>
            <w:vAlign w:val="bottom"/>
            <w:shd w:val="clear" w:color="auto" w:fill="CCEEFF"/>
          </w:tcPr>
          <w:p>
            <w:pPr>
              <w:ind w:left="20"/>
              <w:spacing w:after="0" w:line="233" w:lineRule="exact"/>
              <w:rPr>
                <w:sz w:val="20"/>
                <w:szCs w:val="20"/>
                <w:color w:val="auto"/>
              </w:rPr>
            </w:pPr>
            <w:r>
              <w:rPr>
                <w:rFonts w:ascii="Times New Roman" w:cs="Times New Roman" w:eastAsia="Times New Roman" w:hAnsi="Times New Roman"/>
                <w:sz w:val="17"/>
                <w:szCs w:val="17"/>
                <w:color w:val="auto"/>
              </w:rPr>
              <w:t>transferred to other liabilities</w:t>
            </w:r>
            <w:r>
              <w:rPr>
                <w:rFonts w:ascii="Times New Roman" w:cs="Times New Roman" w:eastAsia="Times New Roman" w:hAnsi="Times New Roman"/>
                <w:sz w:val="22"/>
                <w:szCs w:val="22"/>
                <w:color w:val="auto"/>
                <w:vertAlign w:val="superscript"/>
              </w:rPr>
              <w:t>(2)</w:t>
            </w: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center"/>
              <w:ind w:left="775"/>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26"/>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At June 30, 2022</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center"/>
              <w:ind w:left="775"/>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46"/>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left="775"/>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46"/>
        </w:trPr>
        <w:tc>
          <w:tcPr>
            <w:tcW w:w="2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Repayment upon maturity</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left="775"/>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26"/>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At September 30, 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center"/>
              <w:ind w:left="775"/>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98"/>
        </w:trPr>
        <w:tc>
          <w:tcPr>
            <w:tcW w:w="2200" w:type="dxa"/>
            <w:vAlign w:val="bottom"/>
          </w:tcPr>
          <w:p>
            <w:pPr>
              <w:spacing w:after="0"/>
              <w:rPr>
                <w:sz w:val="20"/>
                <w:szCs w:val="20"/>
                <w:color w:val="auto"/>
              </w:rPr>
            </w:pPr>
            <w:r>
              <w:rPr>
                <w:rFonts w:ascii="Times New Roman" w:cs="Times New Roman" w:eastAsia="Times New Roman" w:hAnsi="Times New Roman"/>
                <w:sz w:val="17"/>
                <w:szCs w:val="17"/>
                <w:color w:val="auto"/>
              </w:rPr>
              <w:t>________________________</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320" w:hanging="316"/>
        <w:spacing w:after="0" w:line="243" w:lineRule="auto"/>
        <w:tabs>
          <w:tab w:leader="none" w:pos="308" w:val="left"/>
        </w:tabs>
        <w:numPr>
          <w:ilvl w:val="0"/>
          <w:numId w:val="2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a result of the adoption of ASU 2020-06 during the first quarter of 2022, we no longer accounted for the liability and equity components of the convertible notes separately, and we reclassified the conversion feature related to the 2022 Convertible Notes from equity to liabilities. Prior period amounts have not been adjusted to reflect our adoption of ASU 2020-06 under the modified retrospective method. See Footnote 2 “Significant Accounting Policies and Recent Accounting Standards” for information on our adoption of ASU 2020-06.</w:t>
      </w:r>
    </w:p>
    <w:p>
      <w:pPr>
        <w:spacing w:after="0" w:line="31" w:lineRule="exact"/>
        <w:rPr>
          <w:rFonts w:ascii="Times New Roman" w:cs="Times New Roman" w:eastAsia="Times New Roman" w:hAnsi="Times New Roman"/>
          <w:sz w:val="22"/>
          <w:szCs w:val="22"/>
          <w:color w:val="auto"/>
          <w:vertAlign w:val="superscript"/>
        </w:rPr>
      </w:pPr>
    </w:p>
    <w:p>
      <w:pPr>
        <w:ind w:left="320" w:right="140" w:hanging="316"/>
        <w:spacing w:after="0" w:line="243" w:lineRule="auto"/>
        <w:tabs>
          <w:tab w:leader="none" w:pos="308" w:val="left"/>
        </w:tabs>
        <w:numPr>
          <w:ilvl w:val="0"/>
          <w:numId w:val="2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issued notice of our intent to settle the 2022 Convertible Notes in cash, which became irrevocable on June 15, 2022, and as a result, our previous exception to derivative accounting no longer applied and we were required to fair value the conversion feature on the 2022 Convertible Notes at that time. The fair value of the conversion feature of $5 million was recorded as a debt discount and a corresponding increase to Other liabilities on our balance sheet. Subsequent changes to the fair value of the conversion feature were recorded on our income statement.</w:t>
      </w:r>
    </w:p>
    <w:p>
      <w:pPr>
        <w:spacing w:after="0" w:line="23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interest expense information related to the 2022 Convertible Notes.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3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480" w:type="dxa"/>
            <w:vAlign w:val="bottom"/>
            <w:tcBorders>
              <w:bottom w:val="single" w:sz="8" w:color="auto"/>
            </w:tcBorders>
          </w:tcPr>
          <w:p>
            <w:pPr>
              <w:spacing w:after="0"/>
              <w:rPr>
                <w:sz w:val="18"/>
                <w:szCs w:val="18"/>
                <w:color w:val="auto"/>
              </w:rPr>
            </w:pPr>
          </w:p>
        </w:tc>
      </w:tr>
      <w:tr>
        <w:trPr>
          <w:trHeight w:val="202"/>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2021</w:t>
            </w:r>
          </w:p>
        </w:tc>
        <w:tc>
          <w:tcPr>
            <w:tcW w:w="120" w:type="dxa"/>
            <w:vAlign w:val="bottom"/>
          </w:tcPr>
          <w:p>
            <w:pPr>
              <w:spacing w:after="0"/>
              <w:rPr>
                <w:sz w:val="17"/>
                <w:szCs w:val="17"/>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September 30, 2021</w:t>
            </w:r>
          </w:p>
        </w:tc>
      </w:tr>
      <w:tr>
        <w:trPr>
          <w:trHeight w:val="228"/>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Contractual interest expense</w:t>
            </w:r>
          </w:p>
        </w:tc>
        <w:tc>
          <w:tcPr>
            <w:tcW w:w="44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46"/>
        </w:trPr>
        <w:tc>
          <w:tcPr>
            <w:tcW w:w="2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debt discount</w:t>
            </w: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176"/>
        </w:trPr>
        <w:tc>
          <w:tcPr>
            <w:tcW w:w="2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Amortization of debt issuance</w:t>
            </w: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226"/>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w:t>
            </w:r>
          </w:p>
        </w:tc>
        <w:tc>
          <w:tcPr>
            <w:tcW w:w="4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3"/>
        </w:trPr>
        <w:tc>
          <w:tcPr>
            <w:tcW w:w="238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0"/>
        </w:trPr>
        <w:tc>
          <w:tcPr>
            <w:tcW w:w="2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2022 Convertible Note Hedges and Warrants</w:t>
      </w:r>
    </w:p>
    <w:p>
      <w:pPr>
        <w:spacing w:after="0" w:line="120"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In connection with the offering of the 2022 Convertible Notes, we concurrently entered into the following privately-negotiated separate transactions: convertible note hedge transactions with respect to our common stock (“2022 Convertible Note Hedges”), covering shares of our common stock, and warrant transactions (“2022 Warrants”), whereby we sold to the counterparties to the 2022 Convertible Note Hedges warrants to acquire approximately 1.6 million shares of our common stock.</w:t>
      </w:r>
    </w:p>
    <w:p>
      <w:pPr>
        <w:spacing w:after="0" w:line="6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The 2022 Note Hedges were required to follow the same settlement provisions as the 2022 Convertible Notes. As such, upon issuance of the irrevocable notice of our intent to settle the 2022 Convertible Notes in cash, our previous exception to the derivative accounting for the 2022 Convertible Note Hedges no longer applied and we were required to fair value the 2022 Convertible Note Hedges at that time. The 2022 Convertible Note Hedges expired upon the maturity of the 2022 Convertible Notes, and none were exercised. The 2022 Warrants expire in ratable portions on a series of expiration dates over the 60 scheduled trading day period commencing on December 15, 2022. As of September 30, 2022, the strike price of the 2022 Warrants was subject to adjustment to approximately $176.11, as a result of the dividends we declared since the issuance of the 2022 Warrants that were greater than the quarterly dividend we paid when the 2022 Warrants were issued. As of September 30, 2022, no 2022 Warrants have been exercised.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2026 Convertible Notes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2021, we issued $575 million aggregate principal amount of convertible senior notes (the “2026 Convertible Notes”) that bear interest at a rate of 0.00%.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2026 Convertible Notes mature on January 15, 2026, unless repurchased or converted in accordance with their terms prior to that date.</w:t>
      </w:r>
    </w:p>
    <w:p>
      <w:pPr>
        <w:spacing w:after="0" w:line="97"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The conversion rate is subject to adjustment for certain events as described in the indenture governing the notes, and was subject to adjustment as of September 30, 2022 to 5.9657 shares of common stock per $1,000 principal amount of 2026 Convertible Notes (equivalent to a conversion price of $167.62 per share of our common stock), as a result of the dividends we declared since issuance of the 2026 Convertible Notes that were greater than the quarterly dividend we paid when the 2026 Convertible Notes were issued. Upon conversion, we will pay or deliver, as the case may be, cash, shares of our common stock, or a combination of cash and shares of our common stock, at our election. As of September 30, 2022, the effective interest rate was 0.55%.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net carrying value of the 2026 Convertible Notes.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At September 30, 2022</w:t>
            </w:r>
          </w:p>
        </w:tc>
        <w:tc>
          <w:tcPr>
            <w:tcW w:w="100" w:type="dxa"/>
            <w:vAlign w:val="bottom"/>
          </w:tcPr>
          <w:p>
            <w:pPr>
              <w:spacing w:after="0"/>
              <w:rPr>
                <w:sz w:val="18"/>
                <w:szCs w:val="18"/>
                <w:color w:val="auto"/>
              </w:rPr>
            </w:pPr>
          </w:p>
        </w:tc>
        <w:tc>
          <w:tcPr>
            <w:tcW w:w="1580" w:type="dxa"/>
            <w:vAlign w:val="bottom"/>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w w:val="97"/>
              </w:rPr>
              <w:t>At December 31, 2021</w:t>
            </w:r>
          </w:p>
        </w:tc>
      </w:tr>
      <w:tr>
        <w:trPr>
          <w:trHeight w:val="229"/>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Liability component</w:t>
            </w:r>
          </w:p>
        </w:tc>
        <w:tc>
          <w:tcPr>
            <w:tcW w:w="7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r>
      <w:tr>
        <w:trPr>
          <w:trHeight w:val="246"/>
        </w:trPr>
        <w:tc>
          <w:tcPr>
            <w:tcW w:w="4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Principal amount</w:t>
            </w:r>
          </w:p>
        </w:tc>
        <w:tc>
          <w:tcPr>
            <w:tcW w:w="740" w:type="dxa"/>
            <w:vAlign w:val="bottom"/>
          </w:tcPr>
          <w:p>
            <w:pPr>
              <w:jc w:val="right"/>
              <w:ind w:right="556"/>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r>
      <w:tr>
        <w:trPr>
          <w:trHeight w:val="246"/>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Unamortized debt discount</w:t>
            </w:r>
            <w:r>
              <w:rPr>
                <w:rFonts w:ascii="Times New Roman" w:cs="Times New Roman" w:eastAsia="Times New Roman" w:hAnsi="Times New Roman"/>
                <w:sz w:val="10"/>
                <w:szCs w:val="10"/>
                <w:color w:val="auto"/>
              </w:rPr>
              <w:t>(1)</w:t>
            </w:r>
          </w:p>
        </w:tc>
        <w:tc>
          <w:tcPr>
            <w:tcW w:w="7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46"/>
        </w:trPr>
        <w:tc>
          <w:tcPr>
            <w:tcW w:w="4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Unamortized debt issuance costs</w:t>
            </w:r>
          </w:p>
        </w:tc>
        <w:tc>
          <w:tcPr>
            <w:tcW w:w="7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3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carrying amount of the liability component</w:t>
            </w: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140"/>
        </w:trPr>
        <w:tc>
          <w:tcPr>
            <w:tcW w:w="4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4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Carrying amount of equity component, net of issuance costs</w:t>
            </w:r>
            <w:r>
              <w:rPr>
                <w:rFonts w:ascii="Times New Roman" w:cs="Times New Roman" w:eastAsia="Times New Roman" w:hAnsi="Times New Roman"/>
                <w:sz w:val="10"/>
                <w:szCs w:val="10"/>
                <w:color w:val="auto"/>
              </w:rPr>
              <w:t>(1)</w:t>
            </w:r>
          </w:p>
        </w:tc>
        <w:tc>
          <w:tcPr>
            <w:tcW w:w="74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89"/>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________________________</w:t>
            </w: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ind w:left="320" w:hanging="316"/>
        <w:spacing w:after="0" w:line="239" w:lineRule="auto"/>
        <w:tabs>
          <w:tab w:leader="none" w:pos="308" w:val="left"/>
        </w:tabs>
        <w:numPr>
          <w:ilvl w:val="0"/>
          <w:numId w:val="3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a result of adoption of ASU 2020-06 during the first quarter of 2022, we no longer account for the liability and equity components of the convertible notes separately, and we reclassified the conversion feature related to the 2026 Convertible Notes from equity to liabilities. Prior period amounts have not been adjusted to reflect our adoption of ASU 2020-06 under the modified retrospective method. See Footnote 2 “Significant Accounting Policies and Recent Accounting Standards” for information on our adoption of ASU 2020-06.</w:t>
      </w:r>
    </w:p>
    <w:p>
      <w:pPr>
        <w:spacing w:after="0" w:line="24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interest expense information related to the 2026 Convertible Notes.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3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520" w:type="dxa"/>
            <w:vAlign w:val="bottom"/>
            <w:tcBorders>
              <w:bottom w:val="single" w:sz="8" w:color="auto"/>
            </w:tcBorders>
          </w:tcPr>
          <w:p>
            <w:pPr>
              <w:spacing w:after="0"/>
              <w:rPr>
                <w:sz w:val="18"/>
                <w:szCs w:val="18"/>
                <w:color w:val="auto"/>
              </w:rPr>
            </w:pPr>
          </w:p>
        </w:tc>
      </w:tr>
      <w:tr>
        <w:trPr>
          <w:trHeight w:val="202"/>
        </w:trPr>
        <w:tc>
          <w:tcPr>
            <w:tcW w:w="2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September 30, 2022</w:t>
            </w: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2021</w:t>
            </w: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4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September 30, 2021</w:t>
            </w:r>
          </w:p>
        </w:tc>
      </w:tr>
      <w:tr>
        <w:trPr>
          <w:trHeight w:val="228"/>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debt discount</w:t>
            </w:r>
          </w:p>
        </w:tc>
        <w:tc>
          <w:tcPr>
            <w:tcW w:w="4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176"/>
        </w:trPr>
        <w:tc>
          <w:tcPr>
            <w:tcW w:w="238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Amortization of debt issuance</w:t>
            </w: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26"/>
        </w:trPr>
        <w:tc>
          <w:tcPr>
            <w:tcW w:w="2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costs</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38"/>
        </w:trPr>
        <w:tc>
          <w:tcPr>
            <w:tcW w:w="23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2026 Convertible Note Hedges and Warrants</w:t>
      </w:r>
    </w:p>
    <w:p>
      <w:pPr>
        <w:spacing w:after="0" w:line="120"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In connection with the offering of the 2026 Convertible Notes, we concurrently entered into the following privately-negotiated separate transactions: convertible note hedge transactions with respect to our common stock (“2026 Convertible Note Hedges”), covering a total of approximately 3.4 million shares of our common stock, and warrant transactions (“2026 Warrants”), whereby we sold to the counterparties to the 2026 Convertible Note Hedges, warrants to acquire approximately 3.4 million shares of our common stock. As of September 30, 2022, the strike prices of the 2026 Convertible Note Hedges and the 2026 Warrants were subject to adjustment to approximately $167.62 and $209.53, respectively, and no 2026 Convertible Note Hedges or 2026 Warrants have been exercised.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Security and Guarantees</w:t>
      </w:r>
    </w:p>
    <w:p>
      <w:pPr>
        <w:spacing w:after="0" w:line="12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Amounts borrowed under the Corporate Credit Facility and the 2025 Notes, as well as obligations with respect to letters of credit issued pursuant to the Corporate Credit Facility, are secured by a perfected first priority security interest in substantially all of the assets of the borrowers under, and guarantors of, that facility (which include MVWC and certain of our direct and indirect, existing and future, domestic subsidiaries, excluding certain bankruptcy remote special purpose subsidiaries), in each case including inventory, subject to certain exceptions. In addition, the Corporate Credit Facility, the 2026 Convertible Notes, the 2025 Notes, the 2028 Notes, and the 2029 Notes are guaranteed by MVWC and certain of our direct and indirect, existing and future, domestic subsidiaries, excluding bankruptcy remote special purpose subsidiaries.</w:t>
      </w:r>
    </w:p>
    <w:p>
      <w:pPr>
        <w:spacing w:after="0" w:line="247" w:lineRule="exact"/>
        <w:rPr>
          <w:sz w:val="20"/>
          <w:szCs w:val="20"/>
          <w:color w:val="auto"/>
        </w:rPr>
      </w:pPr>
    </w:p>
    <w:p>
      <w:pPr>
        <w:ind w:left="480" w:hanging="459"/>
        <w:spacing w:after="0"/>
        <w:tabs>
          <w:tab w:leader="none" w:pos="480" w:val="left"/>
        </w:tabs>
        <w:numPr>
          <w:ilvl w:val="0"/>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SHAREHOLDERS’ EQUITY</w:t>
      </w:r>
    </w:p>
    <w:p>
      <w:pPr>
        <w:spacing w:after="0" w:line="208"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Marriott Vacations Worldwide has 100,000,000 authorized shares of common stock, par value of $0.01 per share. At September 30, 2022, there were 75,744,121 shares of Marriott Vacations Worldwide common stock issued, of which 38,707,674 shares were outstanding and 37,036,447 shares were held as treasury stock. At December 31, 2021, there were 75,519,049 shares of Marriott Vacations Worldwide common stock issued, of which 42,283,378 shares were outstanding and 33,235,671 shares were held as treasury stock. Marriott Vacations Worldwide has 2,000,000 authorized shares of preferred stock, par value of $0.01 per share, none of which were issued or outstanding as of September 30, 2022 or December 31, 2021.</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w:t>
      </w:r>
    </w:p>
    <w:p>
      <w:pPr>
        <w:spacing w:after="0" w:line="12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From time to time, with the approval of our Board of Directors, we may undertake programs to purchase our own shares (each, a “Share Repurchase Program” and collectively, the “Share Repurchase Programs”). During the third quarter of 2021, our Board of Directors authorized us to purchase shares of our common stock under a Share Repurchase Program for an aggregate purchase price not to exceed $250 million, prior to December 31, 2022. During the first quarter of 2022, our Board of Directors authorized the purchase of up to an additional $300 million of our common stock under this program, as well as the extension of the term of this program to March 31, 2023. During the third quarter of 2022, our Board of Directors authorized the purchase of up to an additional $500 million of our common stock under this program, as well as the extension of the term of this program to June 30, 2023. As of September 30, 2022, approximately $444 million remained available for share repurchases under the Share Repurchase Program.</w:t>
      </w:r>
    </w:p>
    <w:p>
      <w:pPr>
        <w:spacing w:after="0" w:line="7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Share repurchases may be made through open market purchases, privately negotiated transactions, block transactions, tender offers, or otherwise. The specific timing, amount and other terms of the repurchases will depend on market conditions, corporate and regulatory requirements, contractual restrictions, and other factors. In connection with the current Share Repurchase Program, we are authorized to adopt one or more plans pursuant to the provisions of Rule 10b5-1 under the Securities Exchange Act of 1934, as amended. The authorization for the current Share Repurchase Program may be suspended, terminated, increased or decreased by our Board of Directors at any time without prior notice. Acquired shares of our common stock are currently held as treasury shares and carried at cost in our Financial Statements.</w:t>
      </w:r>
    </w:p>
    <w:p>
      <w:pPr>
        <w:spacing w:after="0" w:line="22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share repurchase activity under our Share Repurchase Programs: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Number of Shares</w:t>
            </w:r>
          </w:p>
        </w:tc>
        <w:tc>
          <w:tcPr>
            <w:tcW w:w="260" w:type="dxa"/>
            <w:vAlign w:val="bottom"/>
          </w:tcPr>
          <w:p>
            <w:pPr>
              <w:spacing w:after="0"/>
              <w:rPr>
                <w:sz w:val="16"/>
                <w:szCs w:val="16"/>
                <w:color w:val="auto"/>
              </w:rPr>
            </w:pPr>
          </w:p>
        </w:tc>
        <w:tc>
          <w:tcPr>
            <w:tcW w:w="16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7"/>
              </w:rPr>
              <w:t>Cost of Shares</w:t>
            </w:r>
          </w:p>
        </w:tc>
        <w:tc>
          <w:tcPr>
            <w:tcW w:w="240" w:type="dxa"/>
            <w:vAlign w:val="bottom"/>
          </w:tcPr>
          <w:p>
            <w:pPr>
              <w:spacing w:after="0"/>
              <w:rPr>
                <w:sz w:val="16"/>
                <w:szCs w:val="16"/>
                <w:color w:val="auto"/>
              </w:rPr>
            </w:pPr>
          </w:p>
        </w:tc>
        <w:tc>
          <w:tcPr>
            <w:tcW w:w="1500" w:type="dxa"/>
            <w:vAlign w:val="bottom"/>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Average Price</w:t>
            </w:r>
          </w:p>
        </w:tc>
      </w:tr>
      <w:tr>
        <w:trPr>
          <w:trHeight w:val="206"/>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amounts)</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Repurchased</w:t>
            </w:r>
          </w:p>
        </w:tc>
        <w:tc>
          <w:tcPr>
            <w:tcW w:w="260" w:type="dxa"/>
            <w:vAlign w:val="bottom"/>
          </w:tcPr>
          <w:p>
            <w:pPr>
              <w:spacing w:after="0"/>
              <w:rPr>
                <w:sz w:val="17"/>
                <w:szCs w:val="17"/>
                <w:color w:val="auto"/>
              </w:rPr>
            </w:pPr>
          </w:p>
        </w:tc>
        <w:tc>
          <w:tcPr>
            <w:tcW w:w="16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7"/>
              </w:rPr>
              <w:t>Repurchased</w:t>
            </w:r>
          </w:p>
        </w:tc>
        <w:tc>
          <w:tcPr>
            <w:tcW w:w="240" w:type="dxa"/>
            <w:vAlign w:val="bottom"/>
          </w:tcPr>
          <w:p>
            <w:pPr>
              <w:spacing w:after="0"/>
              <w:rPr>
                <w:sz w:val="17"/>
                <w:szCs w:val="17"/>
                <w:color w:val="auto"/>
              </w:rPr>
            </w:pPr>
          </w:p>
        </w:tc>
        <w:tc>
          <w:tcPr>
            <w:tcW w:w="1500" w:type="dxa"/>
            <w:vAlign w:val="bottom"/>
          </w:tcPr>
          <w:p>
            <w:pPr>
              <w:jc w:val="right"/>
              <w:ind w:right="297"/>
              <w:spacing w:after="0"/>
              <w:rPr>
                <w:sz w:val="20"/>
                <w:szCs w:val="20"/>
                <w:color w:val="auto"/>
              </w:rPr>
            </w:pPr>
            <w:r>
              <w:rPr>
                <w:rFonts w:ascii="Times New Roman" w:cs="Times New Roman" w:eastAsia="Times New Roman" w:hAnsi="Times New Roman"/>
                <w:sz w:val="16"/>
                <w:szCs w:val="16"/>
                <w:b w:val="1"/>
                <w:bCs w:val="1"/>
                <w:color w:val="auto"/>
              </w:rPr>
              <w:t>Paid per Share</w:t>
            </w:r>
          </w:p>
        </w:tc>
      </w:tr>
      <w:tr>
        <w:trPr>
          <w:trHeight w:val="228"/>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 of December 31, 2021</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17,681,395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1,418</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80.17</w:t>
            </w:r>
          </w:p>
        </w:tc>
      </w:tr>
      <w:tr>
        <w:trPr>
          <w:trHeight w:val="246"/>
        </w:trPr>
        <w:tc>
          <w:tcPr>
            <w:tcW w:w="2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For the first three quarters of 2022</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3,852,726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137.16</w:t>
            </w:r>
          </w:p>
        </w:tc>
      </w:tr>
      <w:tr>
        <w:trPr>
          <w:trHeight w:val="238"/>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 of September 30, 2022</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21,534,121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1,946</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90.37</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Dividends</w:t>
      </w:r>
    </w:p>
    <w:p>
      <w:pPr>
        <w:spacing w:after="0" w:line="120" w:lineRule="exact"/>
        <w:rPr>
          <w:sz w:val="20"/>
          <w:szCs w:val="20"/>
          <w:color w:val="auto"/>
        </w:rPr>
      </w:pPr>
    </w:p>
    <w:p>
      <w:pPr>
        <w:ind w:right="280"/>
        <w:spacing w:after="0" w:line="292" w:lineRule="auto"/>
        <w:rPr>
          <w:sz w:val="20"/>
          <w:szCs w:val="20"/>
          <w:color w:val="auto"/>
        </w:rPr>
      </w:pPr>
      <w:r>
        <w:rPr>
          <w:rFonts w:ascii="Times New Roman" w:cs="Times New Roman" w:eastAsia="Times New Roman" w:hAnsi="Times New Roman"/>
          <w:sz w:val="17"/>
          <w:szCs w:val="17"/>
          <w:color w:val="auto"/>
        </w:rPr>
        <w:t>We declared cash dividends to holders of common stock during the first three quarters of 2022 as follows. Any future dividend payments will be subject to the restrictions imposed under the agreements covering our debt, and Board approval. There can be no assurance that we will pay dividends in the future.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Declaration Date</w:t>
            </w:r>
          </w:p>
        </w:tc>
        <w:tc>
          <w:tcPr>
            <w:tcW w:w="21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Shareholder Record Date</w:t>
            </w:r>
          </w:p>
        </w:tc>
        <w:tc>
          <w:tcPr>
            <w:tcW w:w="21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Distribution Date</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Dividend per Share</w:t>
            </w:r>
          </w:p>
        </w:tc>
      </w:tr>
      <w:tr>
        <w:trPr>
          <w:trHeight w:val="229"/>
        </w:trPr>
        <w:tc>
          <w:tcPr>
            <w:tcW w:w="1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February 18, 2022</w:t>
            </w:r>
          </w:p>
        </w:tc>
        <w:tc>
          <w:tcPr>
            <w:tcW w:w="14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March 3, 2022</w:t>
            </w:r>
          </w:p>
        </w:tc>
        <w:tc>
          <w:tcPr>
            <w:tcW w:w="14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March 17, 2022</w:t>
            </w:r>
          </w:p>
        </w:tc>
        <w:tc>
          <w:tcPr>
            <w:tcW w:w="14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$0.62</w:t>
            </w:r>
          </w:p>
        </w:tc>
      </w:tr>
      <w:tr>
        <w:trPr>
          <w:trHeight w:val="240"/>
        </w:trPr>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May 12, 2022</w:t>
            </w:r>
          </w:p>
        </w:tc>
        <w:tc>
          <w:tcPr>
            <w:tcW w:w="21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May 26, 2022</w:t>
            </w:r>
          </w:p>
        </w:tc>
        <w:tc>
          <w:tcPr>
            <w:tcW w:w="21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June 9, 2022</w:t>
            </w:r>
          </w:p>
        </w:tc>
        <w:tc>
          <w:tcPr>
            <w:tcW w:w="2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$0.62</w:t>
            </w:r>
          </w:p>
        </w:tc>
      </w:tr>
      <w:tr>
        <w:trPr>
          <w:trHeight w:val="253"/>
        </w:trPr>
        <w:tc>
          <w:tcPr>
            <w:tcW w:w="21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rPr>
              <w:t>September 8, 2022</w:t>
            </w:r>
          </w:p>
        </w:tc>
        <w:tc>
          <w:tcPr>
            <w:tcW w:w="21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rPr>
              <w:t>September 22, 2022</w:t>
            </w:r>
          </w:p>
        </w:tc>
        <w:tc>
          <w:tcPr>
            <w:tcW w:w="21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rPr>
              <w:t>October 6, 2022</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$0.62</w:t>
            </w: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Noncontrolling Interests - Owners’ Associations</w:t>
      </w:r>
    </w:p>
    <w:p>
      <w:pPr>
        <w:spacing w:after="0" w:line="120"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7"/>
          <w:szCs w:val="17"/>
          <w:color w:val="auto"/>
        </w:rPr>
        <w:t>We consolidate certain owners’ associations. Noncontrolling interests represent the portion of the owners’ associations related to third-party vacation ownership interest owners. Noncontrolling interests of $2 million and $10 million, as of September 30, 2022 and December 31, 2021, respectively, are included on our Balance Sheets as a component of equity.</w:t>
      </w:r>
    </w:p>
    <w:p>
      <w:pPr>
        <w:spacing w:after="0" w:line="238" w:lineRule="exact"/>
        <w:rPr>
          <w:sz w:val="20"/>
          <w:szCs w:val="20"/>
          <w:color w:val="auto"/>
        </w:rPr>
      </w:pPr>
    </w:p>
    <w:p>
      <w:pPr>
        <w:ind w:left="480" w:hanging="459"/>
        <w:spacing w:after="0"/>
        <w:tabs>
          <w:tab w:leader="none" w:pos="480"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w:t>
      </w:r>
    </w:p>
    <w:p>
      <w:pPr>
        <w:spacing w:after="0" w:line="195"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We maintain the Marriott Vacations Worldwide Corporation 2020 Equity Incentive Plan (the “MVW Equity Plan”) for the benefit of our officers, directors, and employees. Under the MVW Equity Plan, we are authorized to award: (1) restricted stock and restricted stock units (“RSUs”) of our common stock, (2) stock appreciation rights (“SARs”) relating to our common stock, and (3) stock options to purchase our common stock. A total of 1.8 million shares are authorized for issuance pursuant to grants under the MVW Equity Plan. As of September 30, 2022, approximately 1.0 million shares were available for grants under the MVW Equity Plan.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details our share-based compensation expense related to award grants to our officers, directors, and employees: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5"/>
          </w:tcPr>
          <w:p>
            <w:pPr>
              <w:ind w:left="8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Pr>
          <w:p>
            <w:pPr>
              <w:spacing w:after="0"/>
              <w:rPr>
                <w:sz w:val="18"/>
                <w:szCs w:val="18"/>
                <w:color w:val="auto"/>
              </w:rPr>
            </w:pPr>
          </w:p>
        </w:tc>
        <w:tc>
          <w:tcPr>
            <w:tcW w:w="2040" w:type="dxa"/>
            <w:vAlign w:val="bottom"/>
            <w:gridSpan w:val="3"/>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560" w:type="dxa"/>
            <w:vAlign w:val="bottom"/>
          </w:tcPr>
          <w:p>
            <w:pPr>
              <w:spacing w:after="0"/>
              <w:rPr>
                <w:sz w:val="18"/>
                <w:szCs w:val="18"/>
                <w:color w:val="auto"/>
              </w:rPr>
            </w:pPr>
          </w:p>
        </w:tc>
      </w:tr>
      <w:tr>
        <w:trPr>
          <w:trHeight w:val="202"/>
        </w:trPr>
        <w:tc>
          <w:tcPr>
            <w:tcW w:w="1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w w:val="97"/>
              </w:rPr>
              <w:t>September 30, 2021</w:t>
            </w:r>
          </w:p>
        </w:tc>
        <w:tc>
          <w:tcPr>
            <w:tcW w:w="140" w:type="dxa"/>
            <w:vAlign w:val="bottom"/>
          </w:tcPr>
          <w:p>
            <w:pPr>
              <w:spacing w:after="0"/>
              <w:rPr>
                <w:sz w:val="17"/>
                <w:szCs w:val="17"/>
                <w:color w:val="auto"/>
              </w:rPr>
            </w:pPr>
          </w:p>
        </w:tc>
        <w:tc>
          <w:tcPr>
            <w:tcW w:w="162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480" w:type="dxa"/>
            <w:vAlign w:val="bottom"/>
            <w:tcBorders>
              <w:top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September 30, 2021</w:t>
            </w:r>
          </w:p>
        </w:tc>
      </w:tr>
      <w:tr>
        <w:trPr>
          <w:trHeight w:val="228"/>
        </w:trPr>
        <w:tc>
          <w:tcPr>
            <w:tcW w:w="1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Service-based RSUs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4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46"/>
        </w:trPr>
        <w:tc>
          <w:tcPr>
            <w:tcW w:w="1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Performance-based RSUs</w:t>
            </w: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6"/>
        </w:trPr>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46"/>
        </w:trPr>
        <w:tc>
          <w:tcPr>
            <w:tcW w:w="1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SARs</w:t>
            </w: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38"/>
        </w:trPr>
        <w:tc>
          <w:tcPr>
            <w:tcW w:w="1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details our deferred compensation costs related to unvested awards: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At September 30, 2022</w:t>
            </w:r>
          </w:p>
        </w:tc>
        <w:tc>
          <w:tcPr>
            <w:tcW w:w="1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At December 31, 2021</w:t>
            </w:r>
          </w:p>
        </w:tc>
      </w:tr>
      <w:tr>
        <w:trPr>
          <w:trHeight w:val="229"/>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Service-based RSUs</w:t>
            </w:r>
          </w:p>
        </w:tc>
        <w:tc>
          <w:tcPr>
            <w:tcW w:w="540" w:type="dxa"/>
            <w:vAlign w:val="bottom"/>
            <w:tcBorders>
              <w:top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840" w:type="dxa"/>
            <w:vAlign w:val="bottom"/>
          </w:tcPr>
          <w:p>
            <w:pPr>
              <w:spacing w:after="0"/>
              <w:rPr>
                <w:sz w:val="19"/>
                <w:szCs w:val="19"/>
                <w:color w:val="auto"/>
              </w:rPr>
            </w:pPr>
          </w:p>
        </w:tc>
      </w:tr>
      <w:tr>
        <w:trPr>
          <w:trHeight w:val="246"/>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Performance-based RSUs</w:t>
            </w: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20" w:type="dxa"/>
            <w:vAlign w:val="bottom"/>
            <w:gridSpan w:val="2"/>
          </w:tcPr>
          <w:p>
            <w:pPr>
              <w:jc w:val="right"/>
              <w:ind w:right="2920"/>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48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840" w:type="dxa"/>
            <w:vAlign w:val="bottom"/>
          </w:tcPr>
          <w:p>
            <w:pPr>
              <w:spacing w:after="0"/>
              <w:rPr>
                <w:sz w:val="19"/>
                <w:szCs w:val="19"/>
                <w:color w:val="auto"/>
              </w:rPr>
            </w:pPr>
          </w:p>
        </w:tc>
      </w:tr>
      <w:tr>
        <w:trPr>
          <w:trHeight w:val="246"/>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SARs</w:t>
            </w:r>
          </w:p>
        </w:tc>
        <w:tc>
          <w:tcPr>
            <w:tcW w:w="5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840" w:type="dxa"/>
            <w:vAlign w:val="bottom"/>
          </w:tcPr>
          <w:p>
            <w:pPr>
              <w:spacing w:after="0"/>
              <w:rPr>
                <w:sz w:val="21"/>
                <w:szCs w:val="21"/>
                <w:color w:val="auto"/>
              </w:rPr>
            </w:pPr>
          </w:p>
        </w:tc>
      </w:tr>
      <w:tr>
        <w:trPr>
          <w:trHeight w:val="238"/>
        </w:trPr>
        <w:tc>
          <w:tcPr>
            <w:tcW w:w="48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840" w:type="dxa"/>
            <w:vAlign w:val="bottom"/>
          </w:tcPr>
          <w:p>
            <w:pPr>
              <w:spacing w:after="0"/>
              <w:rPr>
                <w:sz w:val="20"/>
                <w:szCs w:val="20"/>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529"/>
        </w:trPr>
        <w:tc>
          <w:tcPr>
            <w:tcW w:w="4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47"/>
        </w:trPr>
        <w:tc>
          <w:tcPr>
            <w:tcW w:w="48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w:t>
      </w:r>
    </w:p>
    <w:p>
      <w:pPr>
        <w:spacing w:after="0" w:line="120"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7"/>
          <w:szCs w:val="17"/>
          <w:color w:val="auto"/>
        </w:rPr>
        <w:t>We granted 179,505 service-based RSUs, which are subject to time-based vesting conditions, with a weighted average grant-date fair value of $152.06, to our employees and non-employee directors during the first three quarters of 2022. During the first three quarters of 2022, we also granted performance-based RSUs, which are subject to performance-based vesting conditions, to members of management. A maximum of 129,280 RSUs may be earned under the performance-based RSU awards granted during the first three quarters of 2022.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Appreciation Rights</w:t>
      </w:r>
    </w:p>
    <w:p>
      <w:pPr>
        <w:spacing w:after="0" w:line="12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We granted 77,037 SARs, with a weighted average grant-date fair value of $59.68 and a weighted average exercise price of $159.27, to members of management during the first three quarters of 2022. We use the Black-Scholes model to estimate the fair value of the SARs granted. The expected stock price volatility was calculated based on the average of the historical and implied volatility of our stock price. The average expected life was calculated using the simplified method, as we have insufficient historical information to provide a basis for estimating average expected life. The risk-free interest rate was calculated based on U.S. Treasury zero-coupon issues with a remaining term equal to the expected life assumed at the date of grant. The dividend yield assumption listed below is based on the expectation of future payouts.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outlines the assumptions used to estimate the fair value of grants during the first three quarters of 2022:</w:t>
      </w:r>
    </w:p>
    <w:p>
      <w:pPr>
        <w:spacing w:after="0" w:line="160" w:lineRule="exact"/>
        <w:rPr>
          <w:sz w:val="20"/>
          <w:szCs w:val="20"/>
          <w:color w:val="auto"/>
        </w:rPr>
      </w:pPr>
    </w:p>
    <w:tbl>
      <w:tblPr>
        <w:tblLayout w:type="fixed"/>
        <w:tblInd w:w="1880" w:type="dxa"/>
        <w:tblCellMar>
          <w:top w:w="0" w:type="dxa"/>
          <w:left w:w="0" w:type="dxa"/>
          <w:bottom w:w="0" w:type="dxa"/>
          <w:right w:w="0" w:type="dxa"/>
        </w:tblCellMar>
      </w:tblPr>
      <w:tr>
        <w:trPr>
          <w:trHeight w:val="24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2020" w:type="dxa"/>
            <w:vAlign w:val="bottom"/>
            <w:shd w:val="clear" w:color="auto" w:fill="CCEEFF"/>
          </w:tcPr>
          <w:p>
            <w:pPr>
              <w:jc w:val="center"/>
              <w:ind w:left="334"/>
              <w:spacing w:after="0"/>
              <w:rPr>
                <w:sz w:val="20"/>
                <w:szCs w:val="20"/>
                <w:color w:val="auto"/>
              </w:rPr>
            </w:pPr>
            <w:r>
              <w:rPr>
                <w:rFonts w:ascii="Times New Roman" w:cs="Times New Roman" w:eastAsia="Times New Roman" w:hAnsi="Times New Roman"/>
                <w:sz w:val="17"/>
                <w:szCs w:val="17"/>
                <w:color w:val="auto"/>
                <w:w w:val="99"/>
              </w:rPr>
              <w:t>42.86%</w:t>
            </w:r>
          </w:p>
        </w:tc>
      </w:tr>
      <w:tr>
        <w:trPr>
          <w:trHeight w:val="246"/>
        </w:trPr>
        <w:tc>
          <w:tcPr>
            <w:tcW w:w="2680" w:type="dxa"/>
            <w:vAlign w:val="bottom"/>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2020" w:type="dxa"/>
            <w:vAlign w:val="bottom"/>
          </w:tcPr>
          <w:p>
            <w:pPr>
              <w:jc w:val="center"/>
              <w:ind w:left="334"/>
              <w:spacing w:after="0"/>
              <w:rPr>
                <w:sz w:val="20"/>
                <w:szCs w:val="20"/>
                <w:color w:val="auto"/>
              </w:rPr>
            </w:pPr>
            <w:r>
              <w:rPr>
                <w:rFonts w:ascii="Times New Roman" w:cs="Times New Roman" w:eastAsia="Times New Roman" w:hAnsi="Times New Roman"/>
                <w:sz w:val="17"/>
                <w:szCs w:val="17"/>
                <w:color w:val="auto"/>
              </w:rPr>
              <w:t>1.53%</w:t>
            </w:r>
          </w:p>
        </w:tc>
      </w:tr>
      <w:tr>
        <w:trPr>
          <w:trHeight w:val="24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rate</w:t>
            </w:r>
          </w:p>
        </w:tc>
        <w:tc>
          <w:tcPr>
            <w:tcW w:w="2020" w:type="dxa"/>
            <w:vAlign w:val="bottom"/>
            <w:shd w:val="clear" w:color="auto" w:fill="CCEEFF"/>
          </w:tcPr>
          <w:p>
            <w:pPr>
              <w:jc w:val="center"/>
              <w:ind w:left="334"/>
              <w:spacing w:after="0"/>
              <w:rPr>
                <w:sz w:val="20"/>
                <w:szCs w:val="20"/>
                <w:color w:val="auto"/>
              </w:rPr>
            </w:pPr>
            <w:r>
              <w:rPr>
                <w:rFonts w:ascii="Times New Roman" w:cs="Times New Roman" w:eastAsia="Times New Roman" w:hAnsi="Times New Roman"/>
                <w:sz w:val="17"/>
                <w:szCs w:val="17"/>
                <w:color w:val="auto"/>
              </w:rPr>
              <w:t>1.77%</w:t>
            </w:r>
          </w:p>
        </w:tc>
      </w:tr>
      <w:tr>
        <w:trPr>
          <w:trHeight w:val="246"/>
        </w:trPr>
        <w:tc>
          <w:tcPr>
            <w:tcW w:w="268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2020" w:type="dxa"/>
            <w:vAlign w:val="bottom"/>
          </w:tcPr>
          <w:p>
            <w:pPr>
              <w:jc w:val="center"/>
              <w:ind w:left="334"/>
              <w:spacing w:after="0"/>
              <w:rPr>
                <w:sz w:val="20"/>
                <w:szCs w:val="20"/>
                <w:color w:val="auto"/>
              </w:rPr>
            </w:pPr>
            <w:r>
              <w:rPr>
                <w:rFonts w:ascii="Times New Roman" w:cs="Times New Roman" w:eastAsia="Times New Roman" w:hAnsi="Times New Roman"/>
                <w:sz w:val="17"/>
                <w:szCs w:val="17"/>
                <w:color w:val="auto"/>
              </w:rPr>
              <w:t>6.25</w:t>
            </w:r>
          </w:p>
        </w:tc>
      </w:tr>
    </w:tbl>
    <w:p>
      <w:pPr>
        <w:spacing w:after="0" w:line="355" w:lineRule="exact"/>
        <w:rPr>
          <w:sz w:val="20"/>
          <w:szCs w:val="20"/>
          <w:color w:val="auto"/>
        </w:rPr>
      </w:pPr>
    </w:p>
    <w:p>
      <w:pPr>
        <w:ind w:left="480" w:hanging="459"/>
        <w:spacing w:after="0"/>
        <w:tabs>
          <w:tab w:leader="none" w:pos="480" w:val="left"/>
        </w:tabs>
        <w:numPr>
          <w:ilvl w:val="0"/>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VARIABLE INTEREST ENTITIES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Variable Interest Entities Related to Our Vacation Ownership Notes Receivable Securitizations</w:t>
      </w:r>
    </w:p>
    <w:p>
      <w:pPr>
        <w:spacing w:after="0" w:line="12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We periodically securitize, without recourse, through bankruptcy remote special purpose entities, notes receivable originated in connection with the sale of vacation ownership products. These vacation ownership notes receivable securitizations provide liquidity for general corporate purposes. In a vacation ownership notes receivable securitization, various classes of debt securities issued by a special purpose entity are generally collateralized by a single tranche of transferred assets, which consist of vacation ownership notes receivable.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w:t>
      </w:r>
    </w:p>
    <w:p>
      <w:pPr>
        <w:spacing w:after="0" w:line="68"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We created these bankruptcy remote special purpose entities to serve as a mechanism for holding assets and related liabilities, and the entities have no equity investment at risk, making them VIEs.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 There is no noncontrolling interest balance related to these entities and the creditors of these entities do not have general recourse to us.</w:t>
      </w:r>
    </w:p>
    <w:p>
      <w:pPr>
        <w:spacing w:after="0" w:line="22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consolidated assets, which are collateral for the obligations of these VIEs, and consolidated liabilities included on our Balance Sheet at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2022:</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Vacation Ownership</w:t>
            </w:r>
          </w:p>
        </w:tc>
        <w:tc>
          <w:tcPr>
            <w:tcW w:w="200" w:type="dxa"/>
            <w:vAlign w:val="bottom"/>
          </w:tcPr>
          <w:p>
            <w:pPr>
              <w:spacing w:after="0"/>
              <w:rPr>
                <w:sz w:val="16"/>
                <w:szCs w:val="16"/>
                <w:color w:val="auto"/>
              </w:rPr>
            </w:pPr>
          </w:p>
        </w:tc>
        <w:tc>
          <w:tcPr>
            <w:tcW w:w="14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5"/>
              </w:rPr>
              <w:t>Warehouse</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6"/>
                <w:szCs w:val="16"/>
                <w:b w:val="1"/>
                <w:bCs w:val="1"/>
                <w:color w:val="auto"/>
                <w:w w:val="98"/>
              </w:rPr>
              <w:t>Notes Receivable</w:t>
            </w:r>
          </w:p>
        </w:tc>
        <w:tc>
          <w:tcPr>
            <w:tcW w:w="20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vMerge w:val="restart"/>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6"/>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Pr>
          <w:p>
            <w:pPr>
              <w:spacing w:after="0"/>
              <w:rPr>
                <w:sz w:val="17"/>
                <w:szCs w:val="17"/>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Securitizations</w:t>
            </w:r>
          </w:p>
        </w:tc>
        <w:tc>
          <w:tcPr>
            <w:tcW w:w="20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Credit Facility</w:t>
            </w:r>
          </w:p>
        </w:tc>
        <w:tc>
          <w:tcPr>
            <w:tcW w:w="3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Consolidated Assets</w:t>
            </w:r>
          </w:p>
        </w:tc>
        <w:tc>
          <w:tcPr>
            <w:tcW w:w="12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Vacation ownership notes receivable, net of</w:t>
            </w: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reserves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1,527</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4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1,662</w:t>
            </w:r>
          </w:p>
        </w:tc>
        <w:tc>
          <w:tcPr>
            <w:tcW w:w="0" w:type="dxa"/>
            <w:vAlign w:val="bottom"/>
          </w:tcPr>
          <w:p>
            <w:pPr>
              <w:spacing w:after="0"/>
              <w:rPr>
                <w:sz w:val="1"/>
                <w:szCs w:val="1"/>
                <w:color w:val="auto"/>
              </w:rPr>
            </w:pPr>
          </w:p>
        </w:tc>
      </w:tr>
      <w:tr>
        <w:trPr>
          <w:trHeight w:val="24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receivable</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46"/>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1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238"/>
        </w:trPr>
        <w:tc>
          <w:tcPr>
            <w:tcW w:w="3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1,741</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Consolidated 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46"/>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Securitized debt</w:t>
            </w:r>
          </w:p>
        </w:tc>
        <w:tc>
          <w:tcPr>
            <w:tcW w:w="1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1,698</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1,830</w:t>
            </w:r>
          </w:p>
        </w:tc>
        <w:tc>
          <w:tcPr>
            <w:tcW w:w="0" w:type="dxa"/>
            <w:vAlign w:val="bottom"/>
          </w:tcPr>
          <w:p>
            <w:pPr>
              <w:spacing w:after="0"/>
              <w:rPr>
                <w:sz w:val="1"/>
                <w:szCs w:val="1"/>
                <w:color w:val="auto"/>
              </w:rPr>
            </w:pPr>
          </w:p>
        </w:tc>
      </w:tr>
      <w:tr>
        <w:trPr>
          <w:trHeight w:val="238"/>
        </w:trPr>
        <w:tc>
          <w:tcPr>
            <w:tcW w:w="3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1,832</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interest income and expense recognized as a result of our involvement with these VIEs during the third quarter of 2022:</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Vacation Ownership</w:t>
            </w:r>
          </w:p>
        </w:tc>
        <w:tc>
          <w:tcPr>
            <w:tcW w:w="220" w:type="dxa"/>
            <w:vAlign w:val="bottom"/>
          </w:tcPr>
          <w:p>
            <w:pPr>
              <w:spacing w:after="0"/>
              <w:rPr>
                <w:sz w:val="16"/>
                <w:szCs w:val="16"/>
                <w:color w:val="auto"/>
              </w:rPr>
            </w:pPr>
          </w:p>
        </w:tc>
        <w:tc>
          <w:tcPr>
            <w:tcW w:w="15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5"/>
              </w:rPr>
              <w:t>Warehouse</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6"/>
                <w:szCs w:val="16"/>
                <w:b w:val="1"/>
                <w:bCs w:val="1"/>
                <w:color w:val="auto"/>
                <w:w w:val="98"/>
              </w:rPr>
              <w:t>Notes Receivable</w:t>
            </w:r>
          </w:p>
        </w:tc>
        <w:tc>
          <w:tcPr>
            <w:tcW w:w="22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vMerge w:val="restart"/>
          </w:tcPr>
          <w:p>
            <w:pPr>
              <w:jc w:val="right"/>
              <w:ind w:right="536"/>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6"/>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Pr>
          <w:p>
            <w:pPr>
              <w:spacing w:after="0"/>
              <w:rPr>
                <w:sz w:val="17"/>
                <w:szCs w:val="17"/>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Securitizations</w:t>
            </w:r>
          </w:p>
        </w:tc>
        <w:tc>
          <w:tcPr>
            <w:tcW w:w="220" w:type="dxa"/>
            <w:vAlign w:val="bottom"/>
          </w:tcPr>
          <w:p>
            <w:pPr>
              <w:spacing w:after="0"/>
              <w:rPr>
                <w:sz w:val="17"/>
                <w:szCs w:val="17"/>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5"/>
              </w:rPr>
              <w:t>Credit Facility</w:t>
            </w: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r>
        <w:trPr>
          <w:trHeight w:val="246"/>
        </w:trPr>
        <w:tc>
          <w:tcPr>
            <w:tcW w:w="3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to investors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21"/>
                <w:szCs w:val="21"/>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46"/>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 issuance cost amortization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bl>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interest income and expense recognized as a result of our involvement with these VIEs during the first three quarters of 2022: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Vacation Ownership</w:t>
            </w:r>
          </w:p>
        </w:tc>
        <w:tc>
          <w:tcPr>
            <w:tcW w:w="220" w:type="dxa"/>
            <w:vAlign w:val="bottom"/>
          </w:tcPr>
          <w:p>
            <w:pPr>
              <w:spacing w:after="0"/>
              <w:rPr>
                <w:sz w:val="16"/>
                <w:szCs w:val="16"/>
                <w:color w:val="auto"/>
              </w:rPr>
            </w:pPr>
          </w:p>
        </w:tc>
        <w:tc>
          <w:tcPr>
            <w:tcW w:w="15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5"/>
              </w:rPr>
              <w:t>Warehouse</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6"/>
                <w:szCs w:val="16"/>
                <w:b w:val="1"/>
                <w:bCs w:val="1"/>
                <w:color w:val="auto"/>
                <w:w w:val="96"/>
              </w:rPr>
              <w:t>Notes Receivable</w:t>
            </w:r>
          </w:p>
        </w:tc>
        <w:tc>
          <w:tcPr>
            <w:tcW w:w="22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40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6"/>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Pr>
          <w:p>
            <w:pPr>
              <w:spacing w:after="0"/>
              <w:rPr>
                <w:sz w:val="17"/>
                <w:szCs w:val="17"/>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Securitizations</w:t>
            </w:r>
          </w:p>
        </w:tc>
        <w:tc>
          <w:tcPr>
            <w:tcW w:w="220" w:type="dxa"/>
            <w:vAlign w:val="bottom"/>
          </w:tcPr>
          <w:p>
            <w:pPr>
              <w:spacing w:after="0"/>
              <w:rPr>
                <w:sz w:val="17"/>
                <w:szCs w:val="17"/>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5"/>
              </w:rPr>
              <w:t>Credit Facility</w:t>
            </w:r>
          </w:p>
        </w:tc>
        <w:tc>
          <w:tcPr>
            <w:tcW w:w="360" w:type="dxa"/>
            <w:vAlign w:val="bottom"/>
          </w:tcPr>
          <w:p>
            <w:pPr>
              <w:spacing w:after="0"/>
              <w:rPr>
                <w:sz w:val="17"/>
                <w:szCs w:val="17"/>
                <w:color w:val="auto"/>
              </w:rPr>
            </w:pPr>
          </w:p>
        </w:tc>
        <w:tc>
          <w:tcPr>
            <w:tcW w:w="4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to investors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Pr>
          <w:p>
            <w:pPr>
              <w:spacing w:after="0"/>
              <w:rPr>
                <w:sz w:val="21"/>
                <w:szCs w:val="21"/>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 issuance cost amortization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Administrative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7"/>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jc w:val="right"/>
              <w:ind w:right="576"/>
              <w:spacing w:after="0"/>
              <w:rPr>
                <w:sz w:val="20"/>
                <w:szCs w:val="20"/>
                <w:color w:val="auto"/>
              </w:rPr>
            </w:pPr>
            <w:r>
              <w:rPr>
                <w:rFonts w:ascii="Times New Roman" w:cs="Times New Roman" w:eastAsia="Times New Roman" w:hAnsi="Times New Roman"/>
                <w:sz w:val="17"/>
                <w:szCs w:val="17"/>
                <w:color w:val="auto"/>
              </w:rPr>
              <w:t>39</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3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cash flows between us and the vacation ownership notes receivable securitization VIEs:</w:t>
      </w:r>
    </w:p>
    <w:p>
      <w:pPr>
        <w:sectPr>
          <w:pgSz w:w="11900" w:h="16838" w:orient="portrait"/>
          <w:cols w:equalWidth="0" w:num="1">
            <w:col w:w="11240"/>
          </w:cols>
          <w:pgMar w:left="320" w:top="225" w:right="339" w:bottom="1440" w:gutter="0" w:footer="0" w:header="0"/>
        </w:sectPr>
      </w:pPr>
    </w:p>
    <w:p>
      <w:pPr>
        <w:spacing w:after="0" w:line="3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5334635" cy="1562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34635" cy="15621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Cash Inflows</w:t>
      </w:r>
    </w:p>
    <w:p>
      <w:pPr>
        <w:spacing w:after="0" w:line="40" w:lineRule="exact"/>
        <w:rPr>
          <w:sz w:val="20"/>
          <w:szCs w:val="20"/>
          <w:color w:val="auto"/>
        </w:rPr>
      </w:pPr>
    </w:p>
    <w:p>
      <w:pPr>
        <w:ind w:left="220" w:right="160"/>
        <w:spacing w:after="0" w:line="254" w:lineRule="auto"/>
        <w:rPr>
          <w:sz w:val="20"/>
          <w:szCs w:val="20"/>
          <w:color w:val="auto"/>
        </w:rPr>
      </w:pPr>
      <w:r>
        <w:rPr>
          <w:rFonts w:ascii="Times New Roman" w:cs="Times New Roman" w:eastAsia="Times New Roman" w:hAnsi="Times New Roman"/>
          <w:sz w:val="17"/>
          <w:szCs w:val="17"/>
          <w:color w:val="auto"/>
        </w:rPr>
        <w:t>Net proceeds from vacation ownership notes receivable securitizations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5334635" cy="1562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34635" cy="15621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7"/>
          <w:szCs w:val="17"/>
          <w:color w:val="auto"/>
        </w:rPr>
        <w:t>Principal receipts</w:t>
      </w:r>
    </w:p>
    <w:p>
      <w:pPr>
        <w:spacing w:after="0" w:line="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Interest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27305</wp:posOffset>
            </wp:positionV>
            <wp:extent cx="5334635" cy="1562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34635" cy="156210"/>
                    </a:xfrm>
                    <a:prstGeom prst="rect">
                      <a:avLst/>
                    </a:prstGeom>
                    <a:noFill/>
                  </pic:spPr>
                </pic:pic>
              </a:graphicData>
            </a:graphic>
          </wp:anchor>
        </w:drawing>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Reserve release</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27305</wp:posOffset>
            </wp:positionV>
            <wp:extent cx="5334635" cy="1562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34635" cy="156210"/>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Cash Outflows</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w w:val="98"/>
              </w:rPr>
              <w:t>September 30, 2021</w:t>
            </w:r>
          </w:p>
        </w:tc>
      </w:tr>
      <w:tr>
        <w:trPr>
          <w:trHeight w:val="629"/>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14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421</w:t>
            </w:r>
          </w:p>
        </w:tc>
      </w:tr>
      <w:tr>
        <w:trPr>
          <w:trHeight w:val="246"/>
        </w:trPr>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w:t>
            </w:r>
          </w:p>
        </w:tc>
      </w:tr>
      <w:tr>
        <w:trPr>
          <w:trHeight w:val="246"/>
        </w:trPr>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w:t>
            </w:r>
          </w:p>
        </w:tc>
      </w:tr>
      <w:tr>
        <w:trPr>
          <w:trHeight w:val="246"/>
        </w:trPr>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26"/>
        </w:trPr>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1,111</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1,129</w:t>
            </w:r>
          </w:p>
        </w:tc>
      </w:tr>
    </w:tbl>
    <w:p>
      <w:pPr>
        <w:spacing w:after="0" w:line="241" w:lineRule="exact"/>
        <w:rPr>
          <w:sz w:val="20"/>
          <w:szCs w:val="20"/>
          <w:color w:val="auto"/>
        </w:rPr>
      </w:pPr>
    </w:p>
    <w:p>
      <w:pPr>
        <w:sectPr>
          <w:pgSz w:w="11900" w:h="16838" w:orient="portrait"/>
          <w:cols w:equalWidth="0" w:num="2">
            <w:col w:w="4220" w:space="720"/>
            <w:col w:w="6300"/>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239"/>
        </w:trPr>
        <w:tc>
          <w:tcPr>
            <w:tcW w:w="4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Principal to investors</w:t>
            </w:r>
          </w:p>
        </w:tc>
        <w:tc>
          <w:tcPr>
            <w:tcW w:w="6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w:t>
            </w:r>
          </w:p>
        </w:tc>
      </w:tr>
      <w:tr>
        <w:trPr>
          <w:trHeight w:val="176"/>
        </w:trPr>
        <w:tc>
          <w:tcPr>
            <w:tcW w:w="49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7"/>
                <w:szCs w:val="17"/>
                <w:color w:val="auto"/>
              </w:rPr>
              <w:t>Voluntary repurchases of defaulted vacation ownership notes</w:t>
            </w: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26"/>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receivable</w:t>
            </w:r>
          </w:p>
        </w:tc>
        <w:tc>
          <w:tcPr>
            <w:tcW w:w="6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46"/>
        </w:trPr>
        <w:tc>
          <w:tcPr>
            <w:tcW w:w="4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Voluntary clean-up call</w:t>
            </w:r>
          </w:p>
        </w:tc>
        <w:tc>
          <w:tcPr>
            <w:tcW w:w="6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46"/>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to investors</w:t>
            </w:r>
          </w:p>
        </w:tc>
        <w:tc>
          <w:tcPr>
            <w:tcW w:w="6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46"/>
        </w:trPr>
        <w:tc>
          <w:tcPr>
            <w:tcW w:w="4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Funding of restricted cash</w:t>
            </w:r>
          </w:p>
        </w:tc>
        <w:tc>
          <w:tcPr>
            <w:tcW w:w="6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4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w:t>
            </w:r>
          </w:p>
        </w:tc>
      </w:tr>
      <w:tr>
        <w:trPr>
          <w:trHeight w:val="226"/>
        </w:trPr>
        <w:tc>
          <w:tcPr>
            <w:tcW w:w="4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w:t>
            </w:r>
          </w:p>
        </w:tc>
        <w:tc>
          <w:tcPr>
            <w:tcW w:w="6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w:t>
            </w:r>
          </w:p>
        </w:tc>
        <w:tc>
          <w:tcPr>
            <w:tcW w:w="14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w:t>
            </w:r>
          </w:p>
        </w:tc>
      </w:tr>
      <w:tr>
        <w:trPr>
          <w:trHeight w:val="213"/>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Flows</w:t>
            </w:r>
          </w:p>
        </w:tc>
        <w:tc>
          <w:tcPr>
            <w:tcW w:w="6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140" w:type="dxa"/>
            <w:vAlign w:val="bottom"/>
          </w:tcPr>
          <w:p>
            <w:pPr>
              <w:spacing w:after="0"/>
              <w:rPr>
                <w:sz w:val="18"/>
                <w:szCs w:val="18"/>
                <w:color w:val="auto"/>
              </w:rPr>
            </w:pPr>
          </w:p>
        </w:tc>
        <w:tc>
          <w:tcPr>
            <w:tcW w:w="6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w:t>
            </w:r>
          </w:p>
        </w:tc>
      </w:tr>
      <w:tr>
        <w:trPr>
          <w:trHeight w:val="20"/>
        </w:trPr>
        <w:tc>
          <w:tcPr>
            <w:tcW w:w="49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Under the terms of our vacation ownership notes receivable securitizations, we have the right to substitute loans for, or repurchase, defaulted loans at our option, subject to certain limitations. Our maximum exposure to potential loss relating to the special purpose entities that purchase, sell and own these vacation ownership notes receivable is the overcollateralization amount (the difference between the loan collateral balance and the balance of the outstanding vacation ownership notes receivable), plus cash reserves and any residual interest in future cash flows from collateral.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cash flows between us and the Warehouse Credit Facility VIE: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9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4"/>
          </w:tcPr>
          <w:p>
            <w:pPr>
              <w:ind w:left="9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840" w:type="dxa"/>
            <w:vAlign w:val="bottom"/>
          </w:tcPr>
          <w:p>
            <w:pPr>
              <w:spacing w:after="0"/>
              <w:rPr>
                <w:sz w:val="18"/>
                <w:szCs w:val="18"/>
                <w:color w:val="auto"/>
              </w:rPr>
            </w:pPr>
          </w:p>
        </w:tc>
      </w:tr>
      <w:tr>
        <w:trPr>
          <w:trHeight w:val="22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19"/>
                <w:szCs w:val="19"/>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40" w:type="dxa"/>
            <w:vAlign w:val="bottom"/>
          </w:tcPr>
          <w:p>
            <w:pPr>
              <w:spacing w:after="0"/>
              <w:rPr>
                <w:sz w:val="19"/>
                <w:szCs w:val="19"/>
                <w:color w:val="auto"/>
              </w:rPr>
            </w:pPr>
          </w:p>
        </w:tc>
        <w:tc>
          <w:tcPr>
            <w:tcW w:w="43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2021</w:t>
            </w:r>
          </w:p>
        </w:tc>
      </w:tr>
      <w:tr>
        <w:trPr>
          <w:trHeight w:val="229"/>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Inflows</w:t>
            </w:r>
          </w:p>
        </w:tc>
        <w:tc>
          <w:tcPr>
            <w:tcW w:w="14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2840" w:type="dxa"/>
            <w:vAlign w:val="bottom"/>
          </w:tcPr>
          <w:p>
            <w:pPr>
              <w:spacing w:after="0"/>
              <w:rPr>
                <w:sz w:val="19"/>
                <w:szCs w:val="19"/>
                <w:color w:val="auto"/>
              </w:rPr>
            </w:pPr>
          </w:p>
        </w:tc>
      </w:tr>
      <w:tr>
        <w:trPr>
          <w:trHeight w:val="246"/>
        </w:trPr>
        <w:tc>
          <w:tcPr>
            <w:tcW w:w="4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vacation ownership notes receivable securitizations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360" w:type="dxa"/>
            <w:vAlign w:val="bottom"/>
            <w:gridSpan w:val="2"/>
          </w:tcPr>
          <w:p>
            <w:pPr>
              <w:ind w:left="1280"/>
              <w:spacing w:after="0"/>
              <w:rPr>
                <w:sz w:val="20"/>
                <w:szCs w:val="20"/>
                <w:color w:val="auto"/>
              </w:rPr>
            </w:pPr>
            <w:r>
              <w:rPr>
                <w:rFonts w:ascii="Times New Roman" w:cs="Times New Roman" w:eastAsia="Times New Roman" w:hAnsi="Times New Roman"/>
                <w:sz w:val="17"/>
                <w:szCs w:val="17"/>
                <w:color w:val="auto"/>
              </w:rPr>
              <w:t>—</w:t>
            </w:r>
          </w:p>
        </w:tc>
      </w:tr>
      <w:tr>
        <w:trPr>
          <w:trHeight w:val="246"/>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Principal receipts</w:t>
            </w: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7"/>
                <w:szCs w:val="17"/>
                <w:color w:val="auto"/>
              </w:rPr>
              <w:t>—</w:t>
            </w:r>
          </w:p>
        </w:tc>
        <w:tc>
          <w:tcPr>
            <w:tcW w:w="2840" w:type="dxa"/>
            <w:vAlign w:val="bottom"/>
          </w:tcPr>
          <w:p>
            <w:pPr>
              <w:spacing w:after="0"/>
              <w:rPr>
                <w:sz w:val="21"/>
                <w:szCs w:val="21"/>
                <w:color w:val="auto"/>
              </w:rPr>
            </w:pPr>
          </w:p>
        </w:tc>
      </w:tr>
      <w:tr>
        <w:trPr>
          <w:trHeight w:val="246"/>
        </w:trPr>
        <w:tc>
          <w:tcPr>
            <w:tcW w:w="4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receipts</w:t>
            </w: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360" w:type="dxa"/>
            <w:vAlign w:val="bottom"/>
            <w:gridSpan w:val="2"/>
          </w:tcPr>
          <w:p>
            <w:pPr>
              <w:ind w:left="1280"/>
              <w:spacing w:after="0"/>
              <w:rPr>
                <w:sz w:val="20"/>
                <w:szCs w:val="20"/>
                <w:color w:val="auto"/>
              </w:rPr>
            </w:pPr>
            <w:r>
              <w:rPr>
                <w:rFonts w:ascii="Times New Roman" w:cs="Times New Roman" w:eastAsia="Times New Roman" w:hAnsi="Times New Roman"/>
                <w:sz w:val="17"/>
                <w:szCs w:val="17"/>
                <w:color w:val="auto"/>
              </w:rPr>
              <w:t>—</w:t>
            </w:r>
          </w:p>
        </w:tc>
      </w:tr>
      <w:tr>
        <w:trPr>
          <w:trHeight w:val="246"/>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Reserve release</w:t>
            </w:r>
          </w:p>
        </w:tc>
        <w:tc>
          <w:tcPr>
            <w:tcW w:w="14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7"/>
                <w:szCs w:val="17"/>
                <w:color w:val="auto"/>
              </w:rPr>
              <w:t>—</w:t>
            </w:r>
          </w:p>
        </w:tc>
        <w:tc>
          <w:tcPr>
            <w:tcW w:w="2840" w:type="dxa"/>
            <w:vAlign w:val="bottom"/>
          </w:tcPr>
          <w:p>
            <w:pPr>
              <w:spacing w:after="0"/>
              <w:rPr>
                <w:sz w:val="21"/>
                <w:szCs w:val="21"/>
                <w:color w:val="auto"/>
              </w:rPr>
            </w:pPr>
          </w:p>
        </w:tc>
      </w:tr>
      <w:tr>
        <w:trPr>
          <w:trHeight w:val="226"/>
        </w:trPr>
        <w:tc>
          <w:tcPr>
            <w:tcW w:w="49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360" w:type="dxa"/>
            <w:vAlign w:val="bottom"/>
            <w:gridSpan w:val="2"/>
          </w:tcPr>
          <w:p>
            <w:pPr>
              <w:ind w:left="1280"/>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Outflows</w:t>
            </w:r>
          </w:p>
        </w:tc>
        <w:tc>
          <w:tcPr>
            <w:tcW w:w="14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2840" w:type="dxa"/>
            <w:vAlign w:val="bottom"/>
          </w:tcPr>
          <w:p>
            <w:pPr>
              <w:spacing w:after="0"/>
              <w:rPr>
                <w:sz w:val="19"/>
                <w:szCs w:val="19"/>
                <w:color w:val="auto"/>
              </w:rPr>
            </w:pPr>
          </w:p>
        </w:tc>
      </w:tr>
      <w:tr>
        <w:trPr>
          <w:trHeight w:val="246"/>
        </w:trPr>
        <w:tc>
          <w:tcPr>
            <w:tcW w:w="4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Principal to investors</w:t>
            </w: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360" w:type="dxa"/>
            <w:vAlign w:val="bottom"/>
            <w:gridSpan w:val="2"/>
          </w:tcPr>
          <w:p>
            <w:pPr>
              <w:ind w:left="1280"/>
              <w:spacing w:after="0"/>
              <w:rPr>
                <w:sz w:val="20"/>
                <w:szCs w:val="20"/>
                <w:color w:val="auto"/>
              </w:rPr>
            </w:pPr>
            <w:r>
              <w:rPr>
                <w:rFonts w:ascii="Times New Roman" w:cs="Times New Roman" w:eastAsia="Times New Roman" w:hAnsi="Times New Roman"/>
                <w:sz w:val="17"/>
                <w:szCs w:val="17"/>
                <w:color w:val="auto"/>
              </w:rPr>
              <w:t>—</w:t>
            </w:r>
          </w:p>
        </w:tc>
      </w:tr>
      <w:tr>
        <w:trPr>
          <w:trHeight w:val="246"/>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Repayment of Warehouse Credit Facility</w:t>
            </w: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7"/>
                <w:szCs w:val="17"/>
                <w:color w:val="auto"/>
              </w:rPr>
              <w:t>—</w:t>
            </w:r>
          </w:p>
        </w:tc>
        <w:tc>
          <w:tcPr>
            <w:tcW w:w="2840" w:type="dxa"/>
            <w:vAlign w:val="bottom"/>
          </w:tcPr>
          <w:p>
            <w:pPr>
              <w:spacing w:after="0"/>
              <w:rPr>
                <w:sz w:val="21"/>
                <w:szCs w:val="21"/>
                <w:color w:val="auto"/>
              </w:rPr>
            </w:pPr>
          </w:p>
        </w:tc>
      </w:tr>
      <w:tr>
        <w:trPr>
          <w:trHeight w:val="246"/>
        </w:trPr>
        <w:tc>
          <w:tcPr>
            <w:tcW w:w="4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to investors</w:t>
            </w: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ind w:left="1280"/>
              <w:spacing w:after="0"/>
              <w:rPr>
                <w:sz w:val="20"/>
                <w:szCs w:val="20"/>
                <w:color w:val="auto"/>
              </w:rPr>
            </w:pPr>
            <w:r>
              <w:rPr>
                <w:rFonts w:ascii="Times New Roman" w:cs="Times New Roman" w:eastAsia="Times New Roman" w:hAnsi="Times New Roman"/>
                <w:sz w:val="17"/>
                <w:szCs w:val="17"/>
                <w:color w:val="auto"/>
              </w:rPr>
              <w:t>(1)</w:t>
            </w:r>
          </w:p>
        </w:tc>
        <w:tc>
          <w:tcPr>
            <w:tcW w:w="2840" w:type="dxa"/>
            <w:vAlign w:val="bottom"/>
          </w:tcPr>
          <w:p>
            <w:pPr>
              <w:spacing w:after="0"/>
              <w:rPr>
                <w:sz w:val="21"/>
                <w:szCs w:val="21"/>
                <w:color w:val="auto"/>
              </w:rPr>
            </w:pPr>
          </w:p>
        </w:tc>
      </w:tr>
      <w:tr>
        <w:trPr>
          <w:trHeight w:val="246"/>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Funding of restricted cash</w:t>
            </w:r>
          </w:p>
        </w:tc>
        <w:tc>
          <w:tcPr>
            <w:tcW w:w="14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7"/>
                <w:szCs w:val="17"/>
                <w:color w:val="auto"/>
              </w:rPr>
              <w:t>—</w:t>
            </w:r>
          </w:p>
        </w:tc>
        <w:tc>
          <w:tcPr>
            <w:tcW w:w="2840" w:type="dxa"/>
            <w:vAlign w:val="bottom"/>
          </w:tcPr>
          <w:p>
            <w:pPr>
              <w:spacing w:after="0"/>
              <w:rPr>
                <w:sz w:val="21"/>
                <w:szCs w:val="21"/>
                <w:color w:val="auto"/>
              </w:rPr>
            </w:pPr>
          </w:p>
        </w:tc>
      </w:tr>
      <w:tr>
        <w:trPr>
          <w:trHeight w:val="226"/>
        </w:trPr>
        <w:tc>
          <w:tcPr>
            <w:tcW w:w="49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7"/>
                <w:szCs w:val="17"/>
                <w:color w:val="auto"/>
              </w:rPr>
              <w:t>(1)</w:t>
            </w:r>
          </w:p>
        </w:tc>
        <w:tc>
          <w:tcPr>
            <w:tcW w:w="2840" w:type="dxa"/>
            <w:vAlign w:val="bottom"/>
          </w:tcPr>
          <w:p>
            <w:pPr>
              <w:spacing w:after="0"/>
              <w:rPr>
                <w:sz w:val="19"/>
                <w:szCs w:val="19"/>
                <w:color w:val="auto"/>
              </w:rPr>
            </w:pPr>
          </w:p>
        </w:tc>
      </w:tr>
      <w:tr>
        <w:trPr>
          <w:trHeight w:val="23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Flows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7"/>
                <w:szCs w:val="17"/>
                <w:color w:val="auto"/>
              </w:rPr>
              <w:t>(1)</w:t>
            </w:r>
          </w:p>
        </w:tc>
        <w:tc>
          <w:tcPr>
            <w:tcW w:w="2840" w:type="dxa"/>
            <w:vAlign w:val="bottom"/>
          </w:tcPr>
          <w:p>
            <w:pPr>
              <w:spacing w:after="0"/>
              <w:rPr>
                <w:sz w:val="20"/>
                <w:szCs w:val="20"/>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529"/>
        </w:trPr>
        <w:tc>
          <w:tcPr>
            <w:tcW w:w="4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jc w:val="right"/>
              <w:ind w:right="495"/>
              <w:spacing w:after="0"/>
              <w:rPr>
                <w:sz w:val="20"/>
                <w:szCs w:val="20"/>
                <w:color w:val="auto"/>
              </w:rPr>
            </w:pPr>
            <w:r>
              <w:rPr>
                <w:rFonts w:ascii="Times New Roman" w:cs="Times New Roman" w:eastAsia="Times New Roman" w:hAnsi="Times New Roman"/>
                <w:sz w:val="17"/>
                <w:szCs w:val="17"/>
                <w:color w:val="auto"/>
              </w:rPr>
              <w:t>40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47"/>
        </w:trPr>
        <w:tc>
          <w:tcPr>
            <w:tcW w:w="4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Variable Interest Entities</w:t>
      </w:r>
    </w:p>
    <w:p>
      <w:pPr>
        <w:spacing w:after="0" w:line="12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We have a commitment to purchase a property located in Waikiki, Hawaii. The property is held by a VIE for which we are not the primary beneficiary. We do not control the decisions that most significantly impact the economic performance of the entity during construction. Further, our purchase commitment is contingent upon the property being redeveloped to our brand standards. Accordingly, we have not consolidated the VIE. During the second quarter of 2022, we amended the terms of our prior commitment and extended a bridge loan to the VIE for $47 million. During the third quarter of 2022, we further amended the terms of our prior commitment at which time the bridge loan was fully repaid. We expect to acquire the property over time and as of September 30, 2022, we expect to make payments for the property as follows: $112 million in 2024, $81 million in 2025 and $41 million in 2026. As of September 30, 2022, our Balance Sheet reflected $1 million in Accounts Receivable, including a note receivable of approximately $1 million, $1 million in Property and Equipment, and $2 million in Accrued Liabilities. We believe that our maximum exposure to loss as a result of our involvement with this VIE is approximately $1 million as of September 30,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Compensation Plan</w:t>
      </w:r>
    </w:p>
    <w:p>
      <w:pPr>
        <w:spacing w:after="0" w:line="1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consolidate the liabilities of the Marriott Vacations Worldwide Deferred Compensation Plan and the related assets, which consist of the COLI policies held in the rabbi trust. The rabbi trust is considered a VIE. We are considered the primary beneficiary of the rabbi trust because we direct the activities of the trust and are the beneficiary of the trust. At September 30, 2022, the value of the assets held in the rabbi trust was $68 million, which is included in the Other line within assets on our Balance Sheets.</w:t>
      </w:r>
    </w:p>
    <w:p>
      <w:pPr>
        <w:spacing w:after="0" w:line="243" w:lineRule="exact"/>
        <w:rPr>
          <w:sz w:val="20"/>
          <w:szCs w:val="20"/>
          <w:color w:val="auto"/>
        </w:rPr>
      </w:pPr>
    </w:p>
    <w:p>
      <w:pPr>
        <w:ind w:left="480" w:hanging="459"/>
        <w:spacing w:after="0"/>
        <w:tabs>
          <w:tab w:leader="none" w:pos="480"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SEGMENTS</w:t>
      </w:r>
    </w:p>
    <w:p>
      <w:pPr>
        <w:spacing w:after="0" w:line="208" w:lineRule="exact"/>
        <w:rPr>
          <w:sz w:val="20"/>
          <w:szCs w:val="20"/>
          <w:color w:val="auto"/>
        </w:rPr>
      </w:pPr>
    </w:p>
    <w:p>
      <w:pPr>
        <w:ind w:right="160"/>
        <w:spacing w:after="0" w:line="292" w:lineRule="auto"/>
        <w:rPr>
          <w:sz w:val="20"/>
          <w:szCs w:val="20"/>
          <w:color w:val="auto"/>
        </w:rPr>
      </w:pPr>
      <w:r>
        <w:rPr>
          <w:rFonts w:ascii="Times New Roman" w:cs="Times New Roman" w:eastAsia="Times New Roman" w:hAnsi="Times New Roman"/>
          <w:sz w:val="17"/>
          <w:szCs w:val="17"/>
          <w:color w:val="auto"/>
        </w:rPr>
        <w:t>We define our reportable segments based on the way in which the chief operating decision maker (“CODM”), currently our chief executive officer, manages the operations of the Company for purposes of allocating resources and assessing performance. We operate in two operating and reportable business segments:</w:t>
      </w:r>
    </w:p>
    <w:p>
      <w:pPr>
        <w:spacing w:after="0" w:line="43" w:lineRule="exact"/>
        <w:rPr>
          <w:sz w:val="20"/>
          <w:szCs w:val="20"/>
          <w:color w:val="auto"/>
        </w:rPr>
      </w:pPr>
    </w:p>
    <w:p>
      <w:pPr>
        <w:ind w:left="320" w:right="220" w:hanging="316"/>
        <w:spacing w:after="0" w:line="260" w:lineRule="auto"/>
        <w:tabs>
          <w:tab w:leader="none" w:pos="3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Vacation Ownership includes a diverse portfolio of resorts that includes some of the world’s most iconic brands licensed under exclusive, long-term relationships. We are the exclusive worldwide developer, marketer, seller, and manager of vacation ownership and related products under the Marriott Vacation Club, Grand Residences by Marriott, Sheraton Vacation Club, Westin Vacation Club, and Hyatt Residence Club brands, as well as under Marriott Vacation Club Pulse, an extension to the Marriott Vacation Club brand. We are also the exclusive worldwide developer, marketer, and seller of vacation ownership and related products under The Ritz-Carlton Destination Club brand, we have the non-exclusive right to develop, market, and sell whole ownership residential products under The Ritz-Carlton Residences brand and have a license to use the St. Regis brand for specified fractional ownership resorts.</w:t>
      </w:r>
    </w:p>
    <w:p>
      <w:pPr>
        <w:spacing w:after="0" w:line="73" w:lineRule="exact"/>
        <w:rPr>
          <w:rFonts w:ascii="Times New Roman" w:cs="Times New Roman" w:eastAsia="Times New Roman" w:hAnsi="Times New Roman"/>
          <w:sz w:val="17"/>
          <w:szCs w:val="17"/>
          <w:color w:val="auto"/>
        </w:rPr>
      </w:pPr>
    </w:p>
    <w:p>
      <w:pPr>
        <w:ind w:left="320" w:right="20" w:hanging="316"/>
        <w:spacing w:after="0" w:line="292" w:lineRule="auto"/>
        <w:tabs>
          <w:tab w:leader="none" w:pos="3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42" w:lineRule="exact"/>
        <w:rPr>
          <w:rFonts w:ascii="Times New Roman" w:cs="Times New Roman" w:eastAsia="Times New Roman" w:hAnsi="Times New Roman"/>
          <w:sz w:val="17"/>
          <w:szCs w:val="17"/>
          <w:color w:val="auto"/>
        </w:rPr>
      </w:pPr>
    </w:p>
    <w:p>
      <w:pPr>
        <w:ind w:left="320" w:right="20" w:hanging="316"/>
        <w:spacing w:after="0" w:line="263" w:lineRule="auto"/>
        <w:tabs>
          <w:tab w:leader="none" w:pos="316" w:val="left"/>
        </w:tabs>
        <w:numPr>
          <w:ilvl w:val="0"/>
          <w:numId w:val="35"/>
        </w:numPr>
        <w:rPr>
          <w:rFonts w:ascii="Arial" w:cs="Arial" w:eastAsia="Arial" w:hAnsi="Arial"/>
          <w:sz w:val="17"/>
          <w:szCs w:val="17"/>
          <w:color w:val="auto"/>
        </w:rPr>
      </w:pPr>
      <w:r>
        <w:rPr>
          <w:rFonts w:ascii="Times New Roman" w:cs="Times New Roman" w:eastAsia="Times New Roman" w:hAnsi="Times New Roman"/>
          <w:sz w:val="17"/>
          <w:szCs w:val="17"/>
          <w:color w:val="auto"/>
        </w:rPr>
        <w:t>Exchange &amp; Third-Party Management includes exchange networks and membership programs, as well as provision of management services to other resorts and lodging properties. We provide these services through Interval International and Aqua-Aston. Exchange &amp; Third-Party Management revenue generally is fee-based and derived from membership, exchange and rental transactions, owners’ association management, and other related products and services. VRI Americas was part of the Exchange &amp; Third-Party Management segment through the date of sale in April 2022. See Footnote 3 “Acquisitions and Dispositions” for more information on the disposition of VRI Americas.</w:t>
      </w:r>
    </w:p>
    <w:p>
      <w:pPr>
        <w:spacing w:after="0" w:line="6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Our CODM evaluates the performance of our segments based primarily on the results of the segment without allocating corporate expenses or income taxes. We do not allocate corporate interest expense or indirect general and administrative expenses to our segments. We include interest income specific to segment activities within the appropriate segment. We allocate depreciation, other gains and losses, equity in earnings or losses from our joint ventures, and noncontrolling interest to each of our segments as appropriate. Corporate and other represents that portion of our results that are not allocable to our segments, including those relating to consolidated owners’ associations, as our CODM does not use this information to make operating segment resource allocations.</w:t>
      </w:r>
    </w:p>
    <w:p>
      <w:pPr>
        <w:spacing w:after="0" w:line="22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Our CODM uses Adjusted EBITDA to evaluate the profitability of our operating segments, and the components of net income or loss attributable to common shareholders excluded from Adjusted EBITDA are not separately evaluated. Adjusted EBITDA is defined as net income or loss attributable to common shareholders, before interest expense (excluding consumer financing interest expense associated with securitization transactions), income taxes, depreciation and amortization, excluding share-based compensation expense and adjusted for certain items that affect the comparability of our operating performance. Our reconciliation of the aggregate amount of Adjusted EBITDA for our reportable segments to consolidated net income or loss attributable to common shareholders is presented below.</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4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7"/>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2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September 30, 2021</w:t>
            </w:r>
          </w:p>
        </w:tc>
        <w:tc>
          <w:tcPr>
            <w:tcW w:w="14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September 30, 2022</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2021</w:t>
            </w:r>
          </w:p>
        </w:tc>
        <w:tc>
          <w:tcPr>
            <w:tcW w:w="0" w:type="dxa"/>
            <w:vAlign w:val="bottom"/>
          </w:tcPr>
          <w:p>
            <w:pPr>
              <w:spacing w:after="0"/>
              <w:rPr>
                <w:sz w:val="1"/>
                <w:szCs w:val="1"/>
                <w:color w:val="auto"/>
              </w:rPr>
            </w:pPr>
          </w:p>
        </w:tc>
      </w:tr>
      <w:tr>
        <w:trPr>
          <w:trHeight w:val="242"/>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w:t>
            </w:r>
          </w:p>
        </w:tc>
        <w:tc>
          <w:tcPr>
            <w:tcW w:w="500" w:type="dxa"/>
            <w:vAlign w:val="bottom"/>
            <w:gridSpan w:val="2"/>
            <w:shd w:val="clear" w:color="auto" w:fill="CCEEFF"/>
          </w:tcPr>
          <w:p>
            <w:pPr>
              <w:jc w:val="right"/>
              <w:ind w:right="322"/>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1,182</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622"/>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974</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3,229</w:t>
            </w:r>
          </w:p>
        </w:tc>
        <w:tc>
          <w:tcPr>
            <w:tcW w:w="920" w:type="dxa"/>
            <w:vAlign w:val="bottom"/>
            <w:gridSpan w:val="3"/>
            <w:shd w:val="clear" w:color="auto" w:fill="CCEEFF"/>
          </w:tcPr>
          <w:p>
            <w:pPr>
              <w:jc w:val="right"/>
              <w:ind w:right="579"/>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2,518</w:t>
            </w:r>
          </w:p>
        </w:tc>
        <w:tc>
          <w:tcPr>
            <w:tcW w:w="0" w:type="dxa"/>
            <w:vAlign w:val="bottom"/>
          </w:tcPr>
          <w:p>
            <w:pPr>
              <w:spacing w:after="0"/>
              <w:rPr>
                <w:sz w:val="1"/>
                <w:szCs w:val="1"/>
                <w:color w:val="auto"/>
              </w:rPr>
            </w:pPr>
          </w:p>
        </w:tc>
      </w:tr>
      <w:tr>
        <w:trPr>
          <w:trHeight w:val="176"/>
        </w:trPr>
        <w:tc>
          <w:tcPr>
            <w:tcW w:w="24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Exchange &amp; Third-Party</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Management</w:t>
            </w: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0" w:type="dxa"/>
            <w:vAlign w:val="bottom"/>
          </w:tcPr>
          <w:p>
            <w:pPr>
              <w:spacing w:after="0"/>
              <w:rPr>
                <w:sz w:val="1"/>
                <w:szCs w:val="1"/>
                <w:color w:val="auto"/>
              </w:rPr>
            </w:pPr>
          </w:p>
        </w:tc>
      </w:tr>
      <w:tr>
        <w:trPr>
          <w:trHeight w:val="239"/>
        </w:trPr>
        <w:tc>
          <w:tcPr>
            <w:tcW w:w="2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segment revenues</w:t>
            </w: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1,253</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3,458</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2,767</w:t>
            </w:r>
          </w:p>
        </w:tc>
        <w:tc>
          <w:tcPr>
            <w:tcW w:w="0" w:type="dxa"/>
            <w:vAlign w:val="bottom"/>
          </w:tcPr>
          <w:p>
            <w:pPr>
              <w:spacing w:after="0"/>
              <w:rPr>
                <w:sz w:val="1"/>
                <w:szCs w:val="1"/>
                <w:color w:val="auto"/>
              </w:rPr>
            </w:pPr>
          </w:p>
        </w:tc>
      </w:tr>
      <w:tr>
        <w:trPr>
          <w:trHeight w:val="259"/>
        </w:trPr>
        <w:tc>
          <w:tcPr>
            <w:tcW w:w="2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Corporate and other</w:t>
            </w:r>
          </w:p>
        </w:tc>
        <w:tc>
          <w:tcPr>
            <w:tcW w:w="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38"/>
        </w:trPr>
        <w:tc>
          <w:tcPr>
            <w:tcW w:w="24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gridSpan w:val="2"/>
            <w:shd w:val="clear" w:color="auto" w:fill="CCEEFF"/>
          </w:tcPr>
          <w:p>
            <w:pPr>
              <w:jc w:val="right"/>
              <w:ind w:right="322"/>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1,252</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gridSpan w:val="2"/>
            <w:shd w:val="clear" w:color="auto" w:fill="CCEEFF"/>
          </w:tcPr>
          <w:p>
            <w:pPr>
              <w:jc w:val="right"/>
              <w:ind w:right="622"/>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3,468</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2,790</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3"/>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7760" w:type="dxa"/>
            <w:vAlign w:val="bottom"/>
            <w:gridSpan w:val="18"/>
          </w:tcPr>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EBITDA and Reconciliation to Net Income or Loss Attributable to Common Shareholders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7"/>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Pr>
          <w:p>
            <w:pPr>
              <w:spacing w:after="0"/>
              <w:rPr>
                <w:sz w:val="24"/>
                <w:szCs w:val="24"/>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0" w:type="dxa"/>
            <w:vAlign w:val="bottom"/>
          </w:tcPr>
          <w:p>
            <w:pPr>
              <w:spacing w:after="0"/>
              <w:rPr>
                <w:sz w:val="24"/>
                <w:szCs w:val="24"/>
                <w:color w:val="auto"/>
              </w:rPr>
            </w:pPr>
          </w:p>
        </w:tc>
        <w:tc>
          <w:tcPr>
            <w:tcW w:w="152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8"/>
              </w:rPr>
              <w:t>September 30, 2021</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September 30, 2022</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2021</w:t>
            </w:r>
          </w:p>
        </w:tc>
        <w:tc>
          <w:tcPr>
            <w:tcW w:w="0" w:type="dxa"/>
            <w:vAlign w:val="bottom"/>
          </w:tcPr>
          <w:p>
            <w:pPr>
              <w:spacing w:after="0"/>
              <w:rPr>
                <w:sz w:val="1"/>
                <w:szCs w:val="1"/>
                <w:color w:val="auto"/>
              </w:rPr>
            </w:pPr>
          </w:p>
        </w:tc>
      </w:tr>
      <w:tr>
        <w:trPr>
          <w:trHeight w:val="151"/>
        </w:trPr>
        <w:tc>
          <w:tcPr>
            <w:tcW w:w="2420" w:type="dxa"/>
            <w:vAlign w:val="bottom"/>
            <w:tcBorders>
              <w:top w:val="single" w:sz="8" w:color="CCEEFF"/>
            </w:tcBorders>
            <w:shd w:val="clear" w:color="auto" w:fill="CCEEFF"/>
          </w:tcPr>
          <w:p>
            <w:pPr>
              <w:ind w:left="20"/>
              <w:spacing w:after="0" w:line="151" w:lineRule="exact"/>
              <w:rPr>
                <w:sz w:val="20"/>
                <w:szCs w:val="20"/>
                <w:color w:val="auto"/>
              </w:rPr>
            </w:pPr>
            <w:r>
              <w:rPr>
                <w:rFonts w:ascii="Times New Roman" w:cs="Times New Roman" w:eastAsia="Times New Roman" w:hAnsi="Times New Roman"/>
                <w:sz w:val="17"/>
                <w:szCs w:val="17"/>
                <w:color w:val="auto"/>
              </w:rPr>
              <w:t>Adjusted EBITDA Vacation</w:t>
            </w:r>
          </w:p>
        </w:tc>
        <w:tc>
          <w:tcPr>
            <w:tcW w:w="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Ownership</w:t>
            </w:r>
          </w:p>
        </w:tc>
        <w:tc>
          <w:tcPr>
            <w:tcW w:w="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2"/>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w:t>
            </w:r>
          </w:p>
        </w:tc>
        <w:tc>
          <w:tcPr>
            <w:tcW w:w="920" w:type="dxa"/>
            <w:vAlign w:val="bottom"/>
            <w:gridSpan w:val="3"/>
            <w:shd w:val="clear" w:color="auto" w:fill="CCEEFF"/>
          </w:tcPr>
          <w:p>
            <w:pPr>
              <w:jc w:val="right"/>
              <w:ind w:right="579"/>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w:t>
            </w:r>
          </w:p>
        </w:tc>
        <w:tc>
          <w:tcPr>
            <w:tcW w:w="0" w:type="dxa"/>
            <w:vAlign w:val="bottom"/>
          </w:tcPr>
          <w:p>
            <w:pPr>
              <w:spacing w:after="0"/>
              <w:rPr>
                <w:sz w:val="1"/>
                <w:szCs w:val="1"/>
                <w:color w:val="auto"/>
              </w:rPr>
            </w:pPr>
          </w:p>
        </w:tc>
      </w:tr>
      <w:tr>
        <w:trPr>
          <w:trHeight w:val="169"/>
        </w:trPr>
        <w:tc>
          <w:tcPr>
            <w:tcW w:w="242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Adjusted EBITDA Exchange &amp;</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Third-Party Management</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246"/>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Reconciling items:</w:t>
            </w: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Corporate and other</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0" w:type="dxa"/>
            <w:vAlign w:val="bottom"/>
          </w:tcPr>
          <w:p>
            <w:pPr>
              <w:spacing w:after="0"/>
              <w:rPr>
                <w:sz w:val="1"/>
                <w:szCs w:val="1"/>
                <w:color w:val="auto"/>
              </w:rPr>
            </w:pPr>
          </w:p>
        </w:tc>
      </w:tr>
      <w:tr>
        <w:trPr>
          <w:trHeight w:val="246"/>
        </w:trPr>
        <w:tc>
          <w:tcPr>
            <w:tcW w:w="2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r>
        <w:trPr>
          <w:trHeight w:val="246"/>
        </w:trPr>
        <w:tc>
          <w:tcPr>
            <w:tcW w:w="2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Tax provision</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46"/>
        </w:trPr>
        <w:tc>
          <w:tcPr>
            <w:tcW w:w="2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0" w:type="dxa"/>
            <w:vAlign w:val="bottom"/>
          </w:tcPr>
          <w:p>
            <w:pPr>
              <w:spacing w:after="0"/>
              <w:rPr>
                <w:sz w:val="1"/>
                <w:szCs w:val="1"/>
                <w:color w:val="auto"/>
              </w:rPr>
            </w:pPr>
          </w:p>
        </w:tc>
      </w:tr>
      <w:tr>
        <w:trPr>
          <w:trHeight w:val="169"/>
        </w:trPr>
        <w:tc>
          <w:tcPr>
            <w:tcW w:w="2420" w:type="dxa"/>
            <w:vAlign w:val="bottom"/>
          </w:tcPr>
          <w:p>
            <w:pPr>
              <w:ind w:left="220"/>
              <w:spacing w:after="0" w:line="168" w:lineRule="exact"/>
              <w:rPr>
                <w:sz w:val="20"/>
                <w:szCs w:val="20"/>
                <w:color w:val="auto"/>
              </w:rPr>
            </w:pPr>
            <w:r>
              <w:rPr>
                <w:rFonts w:ascii="Times New Roman" w:cs="Times New Roman" w:eastAsia="Times New Roman" w:hAnsi="Times New Roman"/>
                <w:sz w:val="17"/>
                <w:szCs w:val="17"/>
                <w:color w:val="auto"/>
              </w:rPr>
              <w:t>Share-based compensation</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expense</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46"/>
        </w:trPr>
        <w:tc>
          <w:tcPr>
            <w:tcW w:w="2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Certain items</w:t>
            </w:r>
          </w:p>
        </w:tc>
        <w:tc>
          <w:tcPr>
            <w:tcW w:w="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4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149"/>
        </w:trPr>
        <w:tc>
          <w:tcPr>
            <w:tcW w:w="2420" w:type="dxa"/>
            <w:vAlign w:val="bottom"/>
          </w:tcPr>
          <w:p>
            <w:pPr>
              <w:ind w:left="20"/>
              <w:spacing w:after="0" w:line="149" w:lineRule="exact"/>
              <w:rPr>
                <w:sz w:val="20"/>
                <w:szCs w:val="20"/>
                <w:color w:val="auto"/>
              </w:rPr>
            </w:pPr>
            <w:r>
              <w:rPr>
                <w:rFonts w:ascii="Times New Roman" w:cs="Times New Roman" w:eastAsia="Times New Roman" w:hAnsi="Times New Roman"/>
                <w:sz w:val="17"/>
                <w:szCs w:val="17"/>
                <w:color w:val="auto"/>
              </w:rPr>
              <w:t>Net income (loss) attributable to</w:t>
            </w:r>
          </w:p>
        </w:tc>
        <w:tc>
          <w:tcPr>
            <w:tcW w:w="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20" w:type="dxa"/>
            <w:vAlign w:val="bottom"/>
          </w:tcPr>
          <w:p>
            <w:pPr>
              <w:spacing w:after="0"/>
              <w:rPr>
                <w:sz w:val="12"/>
                <w:szCs w:val="12"/>
                <w:color w:val="auto"/>
              </w:rPr>
            </w:pPr>
          </w:p>
        </w:tc>
        <w:tc>
          <w:tcPr>
            <w:tcW w:w="800" w:type="dxa"/>
            <w:vAlign w:val="bottom"/>
            <w:gridSpan w:val="2"/>
            <w:vMerge w:val="restart"/>
          </w:tcPr>
          <w:p>
            <w:pPr>
              <w:jc w:val="right"/>
              <w:ind w:right="602"/>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tcPr>
          <w:p>
            <w:pPr>
              <w:spacing w:after="0"/>
              <w:rPr>
                <w:sz w:val="12"/>
                <w:szCs w:val="12"/>
                <w:color w:val="auto"/>
              </w:rPr>
            </w:pPr>
          </w:p>
        </w:tc>
        <w:tc>
          <w:tcPr>
            <w:tcW w:w="380" w:type="dxa"/>
            <w:vAlign w:val="bottom"/>
            <w:vMerge w:val="restart"/>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spacing w:after="0"/>
              <w:rPr>
                <w:sz w:val="12"/>
                <w:szCs w:val="12"/>
                <w:color w:val="auto"/>
              </w:rPr>
            </w:pP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920" w:type="dxa"/>
            <w:vAlign w:val="bottom"/>
            <w:gridSpan w:val="3"/>
            <w:vMerge w:val="restart"/>
          </w:tcPr>
          <w:p>
            <w:pPr>
              <w:jc w:val="right"/>
              <w:ind w:right="579"/>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7"/>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common shareholders</w:t>
            </w:r>
          </w:p>
        </w:tc>
        <w:tc>
          <w:tcPr>
            <w:tcW w:w="50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gridSpan w:val="3"/>
            <w:vMerge w:val="continue"/>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Assets</w:t>
            </w: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24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At September 30, 2022</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w w:val="95"/>
              </w:rPr>
              <w:t>At December 31, 2021</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7,947</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7,897</w:t>
            </w:r>
          </w:p>
        </w:tc>
        <w:tc>
          <w:tcPr>
            <w:tcW w:w="0" w:type="dxa"/>
            <w:vAlign w:val="bottom"/>
          </w:tcPr>
          <w:p>
            <w:pPr>
              <w:spacing w:after="0"/>
              <w:rPr>
                <w:sz w:val="1"/>
                <w:szCs w:val="1"/>
                <w:color w:val="auto"/>
              </w:rPr>
            </w:pPr>
          </w:p>
        </w:tc>
      </w:tr>
      <w:tr>
        <w:trPr>
          <w:trHeight w:val="246"/>
        </w:trPr>
        <w:tc>
          <w:tcPr>
            <w:tcW w:w="29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Exchange &amp; Third-Party Management</w:t>
            </w:r>
          </w:p>
        </w:tc>
        <w:tc>
          <w:tcPr>
            <w:tcW w:w="9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824</w:t>
            </w: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911</w:t>
            </w:r>
          </w:p>
        </w:tc>
        <w:tc>
          <w:tcPr>
            <w:tcW w:w="0" w:type="dxa"/>
            <w:vAlign w:val="bottom"/>
          </w:tcPr>
          <w:p>
            <w:pPr>
              <w:spacing w:after="0"/>
              <w:rPr>
                <w:sz w:val="1"/>
                <w:szCs w:val="1"/>
                <w:color w:val="auto"/>
              </w:rPr>
            </w:pPr>
          </w:p>
        </w:tc>
      </w:tr>
      <w:tr>
        <w:trPr>
          <w:trHeight w:val="226"/>
        </w:trPr>
        <w:tc>
          <w:tcPr>
            <w:tcW w:w="2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segment assets</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8,808</w:t>
            </w:r>
          </w:p>
        </w:tc>
        <w:tc>
          <w:tcPr>
            <w:tcW w:w="0" w:type="dxa"/>
            <w:vAlign w:val="bottom"/>
          </w:tcPr>
          <w:p>
            <w:pPr>
              <w:spacing w:after="0"/>
              <w:rPr>
                <w:sz w:val="1"/>
                <w:szCs w:val="1"/>
                <w:color w:val="auto"/>
              </w:rPr>
            </w:pPr>
          </w:p>
        </w:tc>
      </w:tr>
      <w:tr>
        <w:trPr>
          <w:trHeight w:val="240"/>
        </w:trPr>
        <w:tc>
          <w:tcPr>
            <w:tcW w:w="2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Corporate and other</w:t>
            </w:r>
          </w:p>
        </w:tc>
        <w:tc>
          <w:tcPr>
            <w:tcW w:w="2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805</w:t>
            </w:r>
          </w:p>
        </w:tc>
        <w:tc>
          <w:tcPr>
            <w:tcW w:w="0" w:type="dxa"/>
            <w:vAlign w:val="bottom"/>
          </w:tcPr>
          <w:p>
            <w:pPr>
              <w:spacing w:after="0"/>
              <w:rPr>
                <w:sz w:val="1"/>
                <w:szCs w:val="1"/>
                <w:color w:val="auto"/>
              </w:rPr>
            </w:pPr>
          </w:p>
        </w:tc>
      </w:tr>
      <w:tr>
        <w:trPr>
          <w:trHeight w:val="245"/>
        </w:trPr>
        <w:tc>
          <w:tcPr>
            <w:tcW w:w="24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9,237</w:t>
            </w:r>
          </w:p>
        </w:tc>
        <w:tc>
          <w:tcPr>
            <w:tcW w:w="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9,613</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ind w:right="480"/>
        <w:spacing w:after="0" w:line="273" w:lineRule="auto"/>
        <w:rPr>
          <w:sz w:val="20"/>
          <w:szCs w:val="20"/>
          <w:color w:val="auto"/>
        </w:rPr>
      </w:pPr>
      <w:r>
        <w:rPr>
          <w:rFonts w:ascii="Times New Roman" w:cs="Times New Roman" w:eastAsia="Times New Roman" w:hAnsi="Times New Roman"/>
          <w:sz w:val="17"/>
          <w:szCs w:val="17"/>
          <w:color w:val="auto"/>
        </w:rPr>
        <w:t>We conduct business globally, and our operations outside the United States represented approximately 12% and 10% of our revenues, excluding cost reimbursements, for the three months ended September 30, 2022 and September 30, 2021, respectively, and 12% and 10% of our revenues, excluding cost reimbursements, for the nine months ended September 30, 2022 and September 30, 2021, respectively.</w:t>
      </w:r>
    </w:p>
    <w:p>
      <w:pPr>
        <w:spacing w:after="0" w:line="2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1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We make forward-looking statements in this Management’s Discussion and Analysis of Financial Condition and Results of Operations, and elsewhere in this Quarterly Report on Form 10-Q, based on our management’s beliefs and assumptions and on information currently available to our management. Forward-looking statements include, among other things, the information concerning: our possible or assumed future results of operations; dividend payments; business strategies, such as our plans to continue to increase our focus on sales of vacation ownership products to first-time buyers and our expectations regarding resulting increases in financing propensity; financing plans; competitive position; potential growth opportunities; potential operating performance improvements, including the expectations that contract sales, resort management, and resort occupancies will continue to remain strong for the remainder of 2022 and that interest income will increase in 2022; our expectations regarding availability of inventory for Getaways and exchange transactions; inventory spending; the effects of competition; and the ongoing effect of the COVID-19 pandemic and actions we or others may take in response to the COVID-19 pandemic.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33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Forward-looking statements involve risks, uncertainties and assumptions. Actual results may differ materially from those expressed in these forward-looking statements. We caution you that these statements are not guarantees of future performance and are subject to numerous and evolving risks and uncertainties that we may not be able to predict or assess, such as: the continuing effects of the COVID-19 pandemic or future health crises, including quarantines or other government-imposed travel or health-related restrictions; the length and severity of the COVID-19 pandemic or future health crises, including short and longer-term impact on consumer confidence and demand for travel, and the pace of recovery following the COVID-19 pandemic or future health crises, or as effective treatments or vaccines against variants of the COVID-19 pandemic or future health crises become widely available; variations in demand for vacation ownership and exchange products and services; worker absenteeism; price inflation; global supply chain disruptions; volatility in the international and national economy and credit markets, including as a result of the COVID-19 pandemic or future health crises, and the ongoing conflict between Russia and Ukraine and related sanctions and other measures; our ability to attract and retain our global workforce; competitive conditions; the availability of capital to finance growth; the impact of rising interest rates; the effects of steps we have taken and may continue to take to reduce operating costs and/or enhance health and cleanliness protocols at our resorts due to the COVID-19 pandemic or future health crises; political or social strife, and other matters referred to under the heading “Risk Factors” contained herein and also in our most recent Annual Report on Form 10-K, and as may be updated in our future periodic filings with the U.S. Securities and Exchange Commission (the “SEC”).</w:t>
      </w:r>
    </w:p>
    <w:p>
      <w:pPr>
        <w:spacing w:after="0" w:line="340"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All forward-looking statements in this Quarterly Report on Form 10-Q apply only as of the date of this Quarterly Report on Form 10-Q or as of the date they were made or as otherwise specified herein. We do not undertake any obligation to publicly update or revise any forward-looking statement, whether as a result of new information, future events, or otherwise, except as required by law.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11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Our Financial Statements (as defined below), which we discuss below, reflect our historical financial condition, results of operations and cash flows. However, the financial information discussed below and included in this Quarterly Report on Form 10-Q may not necessarily reflect what our financial condition, results of operations or cash flows may be in the future. In order to make this report easier to read, we refer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to our Financial Statements that we include in the Financial Statements of this Quarterly Report on Form 10-Q.</w:t>
      </w:r>
    </w:p>
    <w:p>
      <w:pPr>
        <w:spacing w:after="0" w:line="23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Overview</w:t>
      </w:r>
    </w:p>
    <w:p>
      <w:pPr>
        <w:spacing w:after="0" w:line="118" w:lineRule="exact"/>
        <w:rPr>
          <w:sz w:val="20"/>
          <w:szCs w:val="20"/>
          <w:color w:val="auto"/>
        </w:rPr>
      </w:pPr>
    </w:p>
    <w:p>
      <w:pPr>
        <w:ind w:right="180"/>
        <w:spacing w:after="0" w:line="292" w:lineRule="auto"/>
        <w:rPr>
          <w:sz w:val="20"/>
          <w:szCs w:val="20"/>
          <w:color w:val="auto"/>
        </w:rPr>
      </w:pPr>
      <w:r>
        <w:rPr>
          <w:rFonts w:ascii="Times New Roman" w:cs="Times New Roman" w:eastAsia="Times New Roman" w:hAnsi="Times New Roman"/>
          <w:sz w:val="17"/>
          <w:szCs w:val="17"/>
          <w:color w:val="auto"/>
        </w:rPr>
        <w:t>We are a leading global vacation company that offers vacation ownership, exchange, rental, and resort and property management, along with related businesses, products and services. Our business operates in two reportable segments: Vacation Ownership and Exchange &amp; Third-Party Management.</w:t>
      </w:r>
    </w:p>
    <w:p>
      <w:pPr>
        <w:spacing w:after="0" w:line="4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Our Vacation Ownership segment includes a diverse portfolio of resorts that includes some of the world’s most iconic brands licensed under exclusive long-term relationships. We are the exclusive worldwide developer, marketer, seller and manager of vacation ownership and related products under the Marriott Vacation Club, Grand Residences by Marriott, Sheraton Vacation Club, Westin Vacation Club, and Hyatt Residence Club brands, as well as under Marriott Vacation Club Pulse, an extension to the Marriott Vacation Club brand. We are also the exclusive worldwide developer, marketer and seller of vacation ownership and related products under The Ritz-Carlton Destination Club brand, we have the non-exclusive right to develop, market and sell whole ownership residential products under The Ritz-Carlton Residences brand and we have a license to use the St. Regis brand for specified fractional ownership resorts.</w:t>
      </w:r>
    </w:p>
    <w:p>
      <w:pPr>
        <w:spacing w:after="0" w:line="68" w:lineRule="exact"/>
        <w:rPr>
          <w:sz w:val="20"/>
          <w:szCs w:val="20"/>
          <w:color w:val="auto"/>
        </w:rPr>
      </w:pPr>
    </w:p>
    <w:p>
      <w:pPr>
        <w:ind w:right="160"/>
        <w:spacing w:after="0" w:line="292" w:lineRule="auto"/>
        <w:rPr>
          <w:sz w:val="20"/>
          <w:szCs w:val="20"/>
          <w:color w:val="auto"/>
        </w:rPr>
      </w:pPr>
      <w:r>
        <w:rPr>
          <w:rFonts w:ascii="Times New Roman" w:cs="Times New Roman" w:eastAsia="Times New Roman" w:hAnsi="Times New Roman"/>
          <w:sz w:val="17"/>
          <w:szCs w:val="17"/>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4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Our Exchange &amp; Third-Party Management segment includes exchange networks and membership programs, as well as provision of management services to other resorts and lodging properties. As of May 2022, we provided these services through Interval International and Aqua-Aston. Exchange &amp; Third-Party Management revenue generally is fee-based and derived from membership, exchange and rental transactions, property and association management, and other related products and services. In April 2022, we disposed of VRI Americas after determining that the business was not a core component of our future growth strategy and operating model. This business was a component of our Exchange and Third-Party Management segment through the date of the sale. See Footnote 3 “Acquisitions and Dispositions” to our Financial Statements for further information regarding this disposition.</w:t>
      </w:r>
    </w:p>
    <w:p>
      <w:pPr>
        <w:spacing w:after="0" w:line="68" w:lineRule="exact"/>
        <w:rPr>
          <w:sz w:val="20"/>
          <w:szCs w:val="20"/>
          <w:color w:val="auto"/>
        </w:rPr>
      </w:pPr>
    </w:p>
    <w:p>
      <w:pPr>
        <w:ind w:right="640"/>
        <w:spacing w:after="0" w:line="292" w:lineRule="auto"/>
        <w:rPr>
          <w:sz w:val="20"/>
          <w:szCs w:val="20"/>
          <w:color w:val="auto"/>
        </w:rPr>
      </w:pPr>
      <w:r>
        <w:rPr>
          <w:rFonts w:ascii="Times New Roman" w:cs="Times New Roman" w:eastAsia="Times New Roman" w:hAnsi="Times New Roman"/>
          <w:sz w:val="17"/>
          <w:szCs w:val="17"/>
          <w:color w:val="auto"/>
        </w:rPr>
        <w:t>Corporate and other represents that portion of our results that are not allocable to our segments, including those relating to consolidated property owners’ associations (“Consolidated Property Owners’ Associations”).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Integration of Marriott-, Sheraton- and Westin- Branded Vacation Ownership Products</w:t>
      </w:r>
    </w:p>
    <w:p>
      <w:pPr>
        <w:spacing w:after="0" w:line="12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Part of the rationale for our acquisition of ILG in 2018 was to achieve operating efficiencies and business growth by leveraging the brands licensed by Marriott International and its subsidiaries to us and to ILG. In 2016, Marriott International purchased Starwood Hotels and Resorts Worldwide, Inc., which at the time exclusively licensed the Sheraton and Westin vacation ownership brands to Legacy-ILG. In August 2022, we launched Abound by Marriott Vacations, a new owner benefit and exchange program which affiliates the Marriott, Sheraton and Westin vacation ownership brands to offer similar benefits to owners of our products under these brands. Under this program, owners of Marriott-, Sheraton- and Westin-branded vacation ownership interests can access over 90 Marriott Vacation Club, Sheraton Vacation Club and Westin Vacation Club resorts using a common currency. The program also harmonizes fee structures and owner benefit levels and allows us to transition most of our Legacy-ILG sales galleries to sell our Marriott Vacation Club Destinations product. Later in 2022, we plan to add certain Sheraton- and Westin- branded vacation ownership interests to the Marriott Vacation Club Destinations product.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Acquisition of Welk</w:t>
      </w:r>
    </w:p>
    <w:p>
      <w:pPr>
        <w:spacing w:after="0" w:line="120"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On April 1, 2021, we completed the Welk Acquisition, after which Welk became our indirect wholly-owned subsidiary. We refer to the Welk business that we acquired as “Legacy-Welk.” In April 2022, we introduced the Hyatt Vacation Club and rebranded Welk’s vacation ownership program as the Hyatt Vacation Club Platinum Program, enabling Legacy-Welk sales centers to sell a Hyatt-branded vacation ownership product. Most Legacy-Welk resorts are now available for rental stays through Hyatt.com.</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COVID-19 Pandemic</w:t>
      </w:r>
    </w:p>
    <w:p>
      <w:pPr>
        <w:spacing w:after="0" w:line="12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COVID-19 pandemic has caused significant disruptions in international and U.S. economies and markets, and has had an unprecedented impact on the travel and hospitality industries, as well as our Company. We discuss the impacts of the COVID-19 pandemic and its potential future implications throughout this report; however, the COVID-19 pandemic, and any recovery therefrom, continues to evolve and further potential impacts on our business in the future remain uncertain.</w:t>
      </w:r>
    </w:p>
    <w:p>
      <w:pPr>
        <w:spacing w:after="0" w:line="2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Accounting Policies Used in Describing Results of Operations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 of Vacation Ownership Products</w:t>
      </w:r>
    </w:p>
    <w:p>
      <w:pPr>
        <w:spacing w:after="0" w:line="12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We recognize revenues from the sale of vacation ownership products (also referred to as vacation ownership interests or “VOIs”) when control of the vacation ownership product is transferred to the customer and the transaction price is deemed collectible. Based upon the different terms of the contracts with the customer and business practices, control of the vacation ownership product has historically transferred to the customer at different points in time for each brand of VOIs. In the third quarter of 2022, we aligned our business practices and contract terms, resulting in the prospective change in the timing of the transfer of control to the customer for Marriott-branded vacation ownership interests. Prior to these changes, control transfer occurred at closing for Marriott-branded and Legacy-Welk vacation ownership products. Subsequent to this alignment, transfer of control of Marriott-branded vacation ownership products occurs at expiration of the statutory rescission period, consistent with the historical timing of Sheraton-, Westin- and Hyatt- branded transactions. Marriott-branded VOI sales contracts executed prior to these modifications will continue to be accounted for with transfer of control of the VOI occurring at closing. Control transfer for Legacy-Welk VOIs remains at closing.</w:t>
      </w:r>
    </w:p>
    <w:p>
      <w:pPr>
        <w:spacing w:after="0" w:line="7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Sales of vacation ownership products may be made for cash or we may provide financing. In addition, we recognize settlement fees associated with the transfer of vacation ownership products and commission revenues from sales of vacation ownership products on behalf of third parties, which we refer to as “resales revenue.”</w:t>
      </w:r>
    </w:p>
    <w:p>
      <w:pPr>
        <w:spacing w:after="0" w:line="263" w:lineRule="exact"/>
        <w:rPr>
          <w:sz w:val="20"/>
          <w:szCs w:val="20"/>
          <w:color w:val="auto"/>
        </w:rPr>
      </w:pPr>
    </w:p>
    <w:p>
      <w:pPr>
        <w:jc w:val="both"/>
        <w:ind w:right="240"/>
        <w:spacing w:after="0" w:line="273" w:lineRule="auto"/>
        <w:rPr>
          <w:sz w:val="20"/>
          <w:szCs w:val="20"/>
          <w:color w:val="auto"/>
        </w:rPr>
      </w:pPr>
      <w:r>
        <w:rPr>
          <w:rFonts w:ascii="Times New Roman" w:cs="Times New Roman" w:eastAsia="Times New Roman" w:hAnsi="Times New Roman"/>
          <w:sz w:val="17"/>
          <w:szCs w:val="17"/>
          <w:color w:val="auto"/>
        </w:rPr>
        <w:t>We also provide sales incentives to certain purchasers. These sales incentives typically include Marriott Bonvoy points, World of Hyatt points or an alternative sales incentive that we refer to as “plus points.” Plus points are redeemable for stays at our resorts or for use in other third-party offerings, generally up to two years from the date of issuance. Typically, sales incentives are only awarded if the sale is closed.</w:t>
      </w:r>
    </w:p>
    <w:p>
      <w:pPr>
        <w:spacing w:after="0" w:line="57"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7"/>
          <w:szCs w:val="17"/>
          <w:color w:val="auto"/>
        </w:rPr>
        <w:t>Finally, as more fully described in “</w:t>
      </w:r>
      <w:r>
        <w:rPr>
          <w:rFonts w:ascii="Times New Roman" w:cs="Times New Roman" w:eastAsia="Times New Roman" w:hAnsi="Times New Roman"/>
          <w:sz w:val="17"/>
          <w:szCs w:val="17"/>
          <w:i w:val="1"/>
          <w:iCs w:val="1"/>
          <w:color w:val="auto"/>
        </w:rPr>
        <w:t>Financing</w:t>
      </w:r>
      <w:r>
        <w:rPr>
          <w:rFonts w:ascii="Times New Roman" w:cs="Times New Roman" w:eastAsia="Times New Roman" w:hAnsi="Times New Roman"/>
          <w:sz w:val="17"/>
          <w:szCs w:val="17"/>
          <w:color w:val="auto"/>
        </w:rPr>
        <w:t>” below, we record the difference between the vacation ownership note receivable and the consideration to which we expect to be entitled (also known as a vacation ownership notes receivable reserve or a sales reserve) as a reduction of revenues from the sale of vacation ownership products at the time we recognize revenues from a sale.</w:t>
      </w:r>
    </w:p>
    <w:p>
      <w:pPr>
        <w:spacing w:after="0" w:line="5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We report, on a supplemental basis, contract sales for our Vacation Ownership segment. Contract sales consist of the total amount of vacation ownership product sales under contract signed during the period where we have generally received a down payment of at least 10% of the contract price, reduced by actual rescissions during the period, inclusive of contracts associated with sales of vacation ownership products on behalf of third-parties, which we refer to as “resales contract sales.” In circumstances where a customer applies any or all of their existing ownership interests as part of the purchase price for additional interests, we include only the incremental value purchased as contract sales. Contract sales differ from revenues from the sale of vacation ownership products that we report on our income statements due to the requirements for revenue recognition described above. We consider contract sales to be an important operating measure because it reflects the pace of sales in our business.</w:t>
      </w:r>
    </w:p>
    <w:p>
      <w:pPr>
        <w:spacing w:after="0" w:line="7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Cost of vacation ownership products includes costs to develop and construct our projects (also known as real estate inventory costs), other non-capitalizable costs associated with the overall project development process and settlement expenses associated with the closing process. For each project, we expense real estate inventory costs in the same proportion as the revenue recognized. Consistent with the applicable accounting guidance, to the extent there is a change in the estimated sales revenues or inventory costs for the project in a period, a non-cash adjustment is recorded on our income statements to true-up costs in that period to those that would have been recorded historically if the revised estimates had been used. These true-ups, which we refer to as product cost true-up activity, can have a positive or negative impact on our income statements.</w:t>
      </w:r>
    </w:p>
    <w:p>
      <w:pPr>
        <w:spacing w:after="0" w:line="68" w:lineRule="exact"/>
        <w:rPr>
          <w:sz w:val="20"/>
          <w:szCs w:val="20"/>
          <w:color w:val="auto"/>
        </w:rPr>
      </w:pPr>
    </w:p>
    <w:p>
      <w:pPr>
        <w:ind w:right="280"/>
        <w:spacing w:after="0" w:line="292" w:lineRule="auto"/>
        <w:rPr>
          <w:sz w:val="20"/>
          <w:szCs w:val="20"/>
          <w:color w:val="auto"/>
        </w:rPr>
      </w:pPr>
      <w:r>
        <w:rPr>
          <w:rFonts w:ascii="Times New Roman" w:cs="Times New Roman" w:eastAsia="Times New Roman" w:hAnsi="Times New Roman"/>
          <w:sz w:val="17"/>
          <w:szCs w:val="17"/>
          <w:color w:val="auto"/>
        </w:rPr>
        <w:t>We refer to revenues from the sale of vacation ownership products less the cost of vacation ownership products and marketing and sales costs as Development profit. Development profit margin is calculated by dividing Development profit by revenues from the Sale of vacation ownership products.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Management and Exchange</w:t>
      </w:r>
    </w:p>
    <w:p>
      <w:pPr>
        <w:spacing w:after="0" w:line="120"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Our management and exchange revenues include revenues generated from fees we earn for managing each of our vacation ownership resorts, providing property management, owners’ association management and related services and fees we earn for providing rental services and related hotel, condominium resort, and owners’ association management services to vacation property owners.</w:t>
      </w:r>
    </w:p>
    <w:p>
      <w:pPr>
        <w:spacing w:after="0" w:line="59"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7"/>
          <w:szCs w:val="17"/>
          <w:color w:val="auto"/>
        </w:rPr>
        <w:t>In addition, we earn revenue from ancillary offerings, including food and beverage outlets, golf courses and other retail and service outlets located at our Vacation Ownership resorts. We also receive annual membership fees, club dues and certain transaction-based fees from members, owners and other third parties.</w:t>
      </w:r>
    </w:p>
    <w:p>
      <w:pPr>
        <w:spacing w:after="0" w:line="21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Management and exchange expenses include costs to operate the food and beverage outlets and other ancillary operations and to provide overall customer support services, including reservations, and certain transaction-based expenses relating to external exchange service providers.</w:t>
      </w:r>
    </w:p>
    <w:p>
      <w:pPr>
        <w:spacing w:after="0" w:line="43" w:lineRule="exact"/>
        <w:rPr>
          <w:sz w:val="20"/>
          <w:szCs w:val="20"/>
          <w:color w:val="auto"/>
        </w:rPr>
      </w:pPr>
    </w:p>
    <w:p>
      <w:pPr>
        <w:ind w:right="200"/>
        <w:spacing w:after="0" w:line="413" w:lineRule="auto"/>
        <w:rPr>
          <w:sz w:val="20"/>
          <w:szCs w:val="20"/>
          <w:color w:val="auto"/>
        </w:rPr>
      </w:pPr>
      <w:r>
        <w:rPr>
          <w:rFonts w:ascii="Times New Roman" w:cs="Times New Roman" w:eastAsia="Times New Roman" w:hAnsi="Times New Roman"/>
          <w:sz w:val="17"/>
          <w:szCs w:val="17"/>
          <w:color w:val="auto"/>
        </w:rPr>
        <w:t xml:space="preserve">In our Vacation Ownership segment and Consolidated Property Owners’ Associations, we refer to these activities as “Resort Management and Other Services.” </w:t>
      </w:r>
      <w:r>
        <w:rPr>
          <w:rFonts w:ascii="Times New Roman" w:cs="Times New Roman" w:eastAsia="Times New Roman" w:hAnsi="Times New Roman"/>
          <w:sz w:val="17"/>
          <w:szCs w:val="17"/>
          <w:b w:val="1"/>
          <w:bCs w:val="1"/>
          <w:i w:val="1"/>
          <w:iCs w:val="1"/>
          <w:color w:val="auto"/>
        </w:rPr>
        <w:t>Financing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offer financing to qualified customers for the purchase of most types of our vacation ownership products. The average FICO score of customers who were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citizens or residents who financed a vacation ownership purchase was as follows:</w:t>
      </w:r>
    </w:p>
    <w:p>
      <w:pPr>
        <w:spacing w:after="0" w:line="35" w:lineRule="exact"/>
        <w:rPr>
          <w:sz w:val="20"/>
          <w:szCs w:val="20"/>
          <w:color w:val="auto"/>
        </w:rPr>
      </w:pPr>
    </w:p>
    <w:tbl>
      <w:tblPr>
        <w:tblLayout w:type="fixed"/>
        <w:tblInd w:w="780" w:type="dxa"/>
        <w:tblCellMar>
          <w:top w:w="0" w:type="dxa"/>
          <w:left w:w="0" w:type="dxa"/>
          <w:bottom w:w="0" w:type="dxa"/>
          <w:right w:w="0" w:type="dxa"/>
        </w:tblCellMar>
      </w:tblPr>
      <w:tr>
        <w:trPr>
          <w:trHeight w:val="208"/>
        </w:trPr>
        <w:tc>
          <w:tcPr>
            <w:tcW w:w="4180" w:type="dxa"/>
            <w:vAlign w:val="bottom"/>
          </w:tcPr>
          <w:p>
            <w:pPr>
              <w:spacing w:after="0"/>
              <w:rPr>
                <w:sz w:val="18"/>
                <w:szCs w:val="18"/>
                <w:color w:val="auto"/>
              </w:rPr>
            </w:pPr>
          </w:p>
        </w:tc>
        <w:tc>
          <w:tcPr>
            <w:tcW w:w="300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2"/>
        </w:trPr>
        <w:tc>
          <w:tcPr>
            <w:tcW w:w="4180" w:type="dxa"/>
            <w:vAlign w:val="bottom"/>
          </w:tcPr>
          <w:p>
            <w:pPr>
              <w:spacing w:after="0"/>
              <w:rPr>
                <w:sz w:val="17"/>
                <w:szCs w:val="17"/>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September 30, 2022</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September 30, 2021</w:t>
            </w:r>
          </w:p>
        </w:tc>
      </w:tr>
      <w:tr>
        <w:trPr>
          <w:trHeight w:val="228"/>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FICO score</w:t>
            </w:r>
          </w:p>
        </w:tc>
        <w:tc>
          <w:tcPr>
            <w:tcW w:w="144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7"/>
                <w:szCs w:val="17"/>
                <w:color w:val="auto"/>
              </w:rPr>
              <w:t>733</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498"/>
              <w:spacing w:after="0"/>
              <w:rPr>
                <w:sz w:val="20"/>
                <w:szCs w:val="20"/>
                <w:color w:val="auto"/>
              </w:rPr>
            </w:pPr>
            <w:r>
              <w:rPr>
                <w:rFonts w:ascii="Times New Roman" w:cs="Times New Roman" w:eastAsia="Times New Roman" w:hAnsi="Times New Roman"/>
                <w:sz w:val="17"/>
                <w:szCs w:val="17"/>
                <w:color w:val="auto"/>
              </w:rPr>
              <w:t>731</w:t>
            </w:r>
          </w:p>
        </w:tc>
      </w:tr>
    </w:tbl>
    <w:p>
      <w:pPr>
        <w:spacing w:after="0" w:line="22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The typical financing agreement provides for monthly payments of principal and interest with the principal balance of the loan fully amortizing over the term of the related vacation ownership note receivable, which is generally ten to fifteen years. While we adjust interest rates from time to time, such changes are typically not made in step with the timing and magnitude of changes in broader market rates. We may use incentives to encourage our customers to choose our financing. Included within our vacation ownership notes receivable are originated vacation ownership notes receivable and vacation ownership notes receivable acquired in connection with the ILG Acquisition and the Welk Acquisition.</w:t>
      </w:r>
    </w:p>
    <w:p>
      <w:pPr>
        <w:spacing w:after="0" w:line="66"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The interest income earned from our vacation ownership financing arrangements is earned on an accrual basis on the principal balance outstanding over the contractual life of the arrangement and is recorded as Financing revenues on our Income Statements. Financing revenues also include fees earned from servicing the existing vacation ownership notes receivable portfolio. The amount of interest income earned in a period depends on the amount of outstanding vacation ownership notes receivable, which is impacted positively by the origination of new vacation ownership notes receivable and negatively by principal collections. We calculate financing propensity as contract sales volume of financed contracts originated in the period divided by contract sales volume of all contracts originated in the period. We do not include resales contract sales in the financing propensity calculation. Financing propensity was 59% in the third quarter of 2022 and 60% in the third quarter of 2021. We expect to continue offering financing incentive programs throughout the fourth quarter of 2022 and into 2023. Growing sales to first-time buyers, who are more likely to finance their purchases, remains an integral part of our overall marketing and sales strategy</w:t>
      </w:r>
    </w:p>
    <w:p>
      <w:pPr>
        <w:spacing w:after="0" w:line="6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Acquired vacation ownership notes receivable are accounted for using the purchased credit deteriorated assets provision of the current expected credit loss model. The estimates of the reserve for credit losses on the acquired vacation ownership notes receivable are based on default rates that are an output of our static pool analyses and estimated value of collateral securing the acquired vacation ownership notes receivable.</w:t>
      </w:r>
    </w:p>
    <w:p>
      <w:pPr>
        <w:spacing w:after="0" w:line="5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In the event of a default, we generally have the right to foreclose on or revoke the underlying VOI. We return VOIs that we reacquire through foreclosure or revocation back to inventory. As discussed above, for originated vacation ownership notes receivable, we record a reserve at the time of sale and classify the reserve as a reduction to revenues from the sale of vacation ownership products on our Income Statements. Revisions to estimates of variable consideration from the sale of vacation ownership products impact the reserve on originated vacation ownership notes receivable and can increase or decrease revenues. In contrast, for acquired vacation ownership notes receivable, we record changes to the reserves, net of collateral value, as adjustments to Financing expenses on our Income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Historical default rates, which represent defaults as a percentage of each year’s beginning gross vacation ownership notes receivable balance, were as follows:</w:t>
      </w:r>
    </w:p>
    <w:p>
      <w:pPr>
        <w:spacing w:after="0" w:line="53" w:lineRule="exact"/>
        <w:rPr>
          <w:sz w:val="20"/>
          <w:szCs w:val="20"/>
          <w:color w:val="auto"/>
        </w:rPr>
      </w:pPr>
    </w:p>
    <w:tbl>
      <w:tblPr>
        <w:tblLayout w:type="fixed"/>
        <w:tblInd w:w="780" w:type="dxa"/>
        <w:tblCellMar>
          <w:top w:w="0" w:type="dxa"/>
          <w:left w:w="0" w:type="dxa"/>
          <w:bottom w:w="0" w:type="dxa"/>
          <w:right w:w="0" w:type="dxa"/>
        </w:tblCellMar>
      </w:tblPr>
      <w:tr>
        <w:trPr>
          <w:trHeight w:val="208"/>
        </w:trPr>
        <w:tc>
          <w:tcPr>
            <w:tcW w:w="4180" w:type="dxa"/>
            <w:vAlign w:val="bottom"/>
          </w:tcPr>
          <w:p>
            <w:pPr>
              <w:spacing w:after="0"/>
              <w:rPr>
                <w:sz w:val="18"/>
                <w:szCs w:val="18"/>
                <w:color w:val="auto"/>
              </w:rPr>
            </w:pPr>
          </w:p>
        </w:tc>
        <w:tc>
          <w:tcPr>
            <w:tcW w:w="300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2"/>
        </w:trPr>
        <w:tc>
          <w:tcPr>
            <w:tcW w:w="4180" w:type="dxa"/>
            <w:vAlign w:val="bottom"/>
          </w:tcPr>
          <w:p>
            <w:pPr>
              <w:spacing w:after="0"/>
              <w:rPr>
                <w:sz w:val="17"/>
                <w:szCs w:val="17"/>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September 30, 2022</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September 30, 2021</w:t>
            </w:r>
          </w:p>
        </w:tc>
      </w:tr>
      <w:tr>
        <w:trPr>
          <w:trHeight w:val="228"/>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Historical default rates</w:t>
            </w:r>
          </w:p>
        </w:tc>
        <w:tc>
          <w:tcPr>
            <w:tcW w:w="144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458"/>
              <w:spacing w:after="0"/>
              <w:rPr>
                <w:sz w:val="20"/>
                <w:szCs w:val="20"/>
                <w:color w:val="auto"/>
              </w:rPr>
            </w:pPr>
            <w:r>
              <w:rPr>
                <w:rFonts w:ascii="Times New Roman" w:cs="Times New Roman" w:eastAsia="Times New Roman" w:hAnsi="Times New Roman"/>
                <w:sz w:val="17"/>
                <w:szCs w:val="17"/>
                <w:color w:val="auto"/>
              </w:rPr>
              <w:t>3.3%</w:t>
            </w:r>
          </w:p>
        </w:tc>
      </w:tr>
    </w:tbl>
    <w:p>
      <w:pPr>
        <w:spacing w:after="0" w:line="228"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Historical default rates reflect the stabilization in the performance of our vacation ownership notes receivable portfolio subsequent to the increased default rates experienced in 2020 as a result of the COVID-19 pandemic. As a result of the unification of the Company’s Marriott-, Sheraton- and Westin- branded vacation ownership products under the Abound by Marriott Vacations program and stabilization of defaults, in the third quarter of 2022, we combined and aligned our reserve methodology on vacation ownership notes receivable for our Marriott-, Sheraton- and Westin- brands. See Footnote 6 “Vacation Ownership Notes Receivable” to our Financial Statements for further information.</w:t>
      </w:r>
    </w:p>
    <w:p>
      <w:pPr>
        <w:spacing w:after="0" w:line="22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Financing expenses include consumer financing interest expense, which represents interest expense associated with the securitization of our vacation ownership notes receivable, costs to support the financing, servicing and securitization processes and changes in expected credit losses related to acquired vacation ownership notes receivable. We distinguish consumer financing interest expense from all other interest expense because the debt associated with the consumer financing interest expense is secured by vacation ownership notes receivable that have been sold to bankruptcy remote special purpose entities and is generally non-recourse to us.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Rental</w:t>
      </w:r>
    </w:p>
    <w:p>
      <w:pPr>
        <w:spacing w:after="0" w:line="1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our Vacation Ownership segment, we operate a rental business to provide owner flexibility and to help mitigate carrying costs associated with our inventory. We generate revenue from rentals of inventory that we hold for sale as interests in our vacation ownership programs, inventory that we control because our owners have elected alternative usage options permitted under our vacation ownership programs and rentals of unregistered inventory and owned-hotel properties. We also recognize rental revenue from the utilization of plus points under our points-based products when the points are redeemed for rental stays at one of our resorts or in other third-party offerings, or upon expiration of the points. We obtain rental inventory from unsold inventory and inventory we control because owners have elected alternative usage options offered through our vacation ownership programs. For rental revenues associated with vacation ownership products which we own and which are registered and held for sale, to the extent that the revenues from rental are less than costs, revenues are reported net in accordance with ASC Topic 978, “</w:t>
      </w:r>
      <w:r>
        <w:rPr>
          <w:rFonts w:ascii="Times New Roman" w:cs="Times New Roman" w:eastAsia="Times New Roman" w:hAnsi="Times New Roman"/>
          <w:sz w:val="17"/>
          <w:szCs w:val="17"/>
          <w:i w:val="1"/>
          <w:iCs w:val="1"/>
          <w:color w:val="auto"/>
        </w:rPr>
        <w:t>Real Estate - Time-Sharing Activities</w:t>
      </w:r>
      <w:r>
        <w:rPr>
          <w:rFonts w:ascii="Times New Roman" w:cs="Times New Roman" w:eastAsia="Times New Roman" w:hAnsi="Times New Roman"/>
          <w:sz w:val="17"/>
          <w:szCs w:val="17"/>
          <w:color w:val="auto"/>
        </w:rPr>
        <w:t>” (“ASC 978”). The rental activity associated with discounted vacation packages requiring a tour (“preview stays”) is not included in transient rental metrics, and because the majority of these preview stays are sourced directly or indirectly from unsold inventory, the associated revenues and expenses are reported net in Marketing and sales expense.</w:t>
      </w:r>
    </w:p>
    <w:p>
      <w:pPr>
        <w:spacing w:after="0" w:line="77"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In our Exchange &amp; Third-Party Management segment, we offer vacation rental opportunities at managed properties. We also offer vacation rental opportunities known as Getaways to members of the Interval International network and certain other membership programs. Getaways allow us to monetize excess availability of resort accommodations within the applicable exchange network, as well as provide additional vacation opportunities to members. Resort accommodations typically become available as Getaways as a result of seasonal oversupply or underutilized space in the applicable exchange program. We also source resort accommodations specifically for the Getaways program. Rental revenues associated with Getaways are reported net of related expenses.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Rental expenses include:</w:t>
      </w:r>
    </w:p>
    <w:p>
      <w:pPr>
        <w:spacing w:after="0" w:line="64" w:lineRule="exact"/>
        <w:rPr>
          <w:sz w:val="20"/>
          <w:szCs w:val="20"/>
          <w:color w:val="auto"/>
        </w:rPr>
      </w:pPr>
    </w:p>
    <w:p>
      <w:pPr>
        <w:ind w:left="320" w:hanging="316"/>
        <w:spacing w:after="0"/>
        <w:tabs>
          <w:tab w:leader="none" w:pos="3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Maintenance and other fees on unsold inventory;</w:t>
      </w:r>
    </w:p>
    <w:p>
      <w:pPr>
        <w:spacing w:after="0" w:line="63" w:lineRule="exact"/>
        <w:rPr>
          <w:rFonts w:ascii="Times New Roman" w:cs="Times New Roman" w:eastAsia="Times New Roman" w:hAnsi="Times New Roman"/>
          <w:sz w:val="17"/>
          <w:szCs w:val="17"/>
          <w:color w:val="auto"/>
        </w:rPr>
      </w:pPr>
    </w:p>
    <w:p>
      <w:pPr>
        <w:ind w:left="320" w:right="220" w:hanging="316"/>
        <w:spacing w:after="0" w:line="286" w:lineRule="auto"/>
        <w:tabs>
          <w:tab w:leader="none" w:pos="3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to provide alternative usage options, including Marriott Bonvoy points, World of Hyatt points and offerings available as part of third-party offerings, for owners who elect to exchange their inventory;</w:t>
      </w:r>
    </w:p>
    <w:p>
      <w:pPr>
        <w:ind w:left="320" w:right="60" w:hanging="316"/>
        <w:spacing w:after="0" w:line="286" w:lineRule="auto"/>
        <w:tabs>
          <w:tab w:leader="none" w:pos="3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Marketing costs and direct operating and related expenses in connection with the rental business (such as housekeeping, labor costs, credit card expenses and reservation services); and</w:t>
      </w:r>
    </w:p>
    <w:p>
      <w:pPr>
        <w:ind w:left="320" w:hanging="316"/>
        <w:spacing w:after="0"/>
        <w:tabs>
          <w:tab w:leader="none" w:pos="3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to secure resort accommodations for use in Getaways.</w:t>
      </w:r>
    </w:p>
    <w:p>
      <w:pPr>
        <w:spacing w:after="0" w:line="11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Rental metrics, including the average daily transient rate or the number of transient keys rented, may not be comparable between periods given fluctuation in available occupancy by location, unit size (such as two bedroom, one bedroom or studio unit), owner use and exchange behavior. In addition, rental metrics may not correlate with rental revenues due to the requirement to report certain rental revenues net of rental expenses in accordance with ASC 978 (as discussed above). Further, as our ability to rent certain luxury and other inventory is often limited on a site-by-site basis, rental operations may not generate adequate rental revenues to cover associated costs. Our Vacation Ownership segment units are either “full villas” or “lock-off” villas. Lock-off villas are units that can be separated into a primary unit and a guest room. Full villas are “non-lock-off” villas because they cannot be separated. A “key”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Reimbursements</w:t>
      </w:r>
    </w:p>
    <w:p>
      <w:pPr>
        <w:spacing w:after="0" w:line="120"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Cost reimbursements include direct and indirect costs that are reimbursed to us by customers under management contracts. All costs reimbursed to us by customers, with the exception of taxes assessed by a governmental authority, are reported on a gross basis. We recognize cost reimbursements when we incur the related reimbursable costs. Cost reimbursements consist of actual expenses with no added margin.</w:t>
      </w:r>
    </w:p>
    <w:p>
      <w:pPr>
        <w:spacing w:after="0" w:line="2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expense consists of all interest expense other than consumer financing interest expense, which is included within Financing expense.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Transaction and Integration Costs</w:t>
      </w:r>
    </w:p>
    <w:p>
      <w:pPr>
        <w:spacing w:after="0" w:line="120"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Transaction and integration costs include fees paid to change-management consultants and technology-related costs associated with the integration of ILG and Welk and charges for employee retention, severance and other termination related benefits. Transaction and integration costs also include costs related to the ILG and Welk Acquisitions, primarily for financial advisory, legal, and other professional service fees, as well as certain tax related accruals.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Items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measure operating performance using the key metrics described below.</w:t>
      </w:r>
    </w:p>
    <w:p>
      <w:pPr>
        <w:spacing w:after="0" w:line="62" w:lineRule="exact"/>
        <w:rPr>
          <w:sz w:val="20"/>
          <w:szCs w:val="20"/>
          <w:color w:val="auto"/>
        </w:rPr>
      </w:pPr>
    </w:p>
    <w:p>
      <w:pPr>
        <w:ind w:left="320" w:hanging="316"/>
        <w:spacing w:after="0"/>
        <w:tabs>
          <w:tab w:leader="none" w:pos="3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Contract sales from the sale of vacation ownership products</w:t>
      </w:r>
      <w:r>
        <w:rPr>
          <w:rFonts w:ascii="Times New Roman" w:cs="Times New Roman" w:eastAsia="Times New Roman" w:hAnsi="Times New Roman"/>
          <w:sz w:val="17"/>
          <w:szCs w:val="17"/>
          <w:color w:val="auto"/>
        </w:rPr>
        <w:t>:</w:t>
      </w:r>
    </w:p>
    <w:p>
      <w:pPr>
        <w:spacing w:after="0" w:line="65"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contract sales include contract sales from the sale of vacation ownership products including joint ventures. and</w:t>
      </w:r>
    </w:p>
    <w:p>
      <w:pPr>
        <w:spacing w:after="0" w:line="63" w:lineRule="exact"/>
        <w:rPr>
          <w:rFonts w:ascii="Times New Roman" w:cs="Times New Roman" w:eastAsia="Times New Roman" w:hAnsi="Times New Roman"/>
          <w:sz w:val="17"/>
          <w:szCs w:val="17"/>
          <w:color w:val="auto"/>
        </w:rPr>
      </w:pPr>
    </w:p>
    <w:p>
      <w:pPr>
        <w:ind w:left="320" w:right="1500" w:hanging="5"/>
        <w:spacing w:after="0" w:line="317" w:lineRule="auto"/>
        <w:tabs>
          <w:tab w:leader="none" w:pos="627"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contract sales exclude contract sales from the sale of vacation ownership products for non-consolidated joint ventures. We consider contract sales to be an important operating measure because it reflects the pace of sales in our business.</w:t>
      </w:r>
    </w:p>
    <w:p>
      <w:pPr>
        <w:ind w:left="320" w:hanging="316"/>
        <w:spacing w:after="0" w:line="271" w:lineRule="auto"/>
        <w:tabs>
          <w:tab w:leader="none" w:pos="3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Volume per guest </w:t>
      </w:r>
      <w:r>
        <w:rPr>
          <w:rFonts w:ascii="Times New Roman" w:cs="Times New Roman" w:eastAsia="Times New Roman" w:hAnsi="Times New Roman"/>
          <w:sz w:val="17"/>
          <w:szCs w:val="17"/>
          <w:color w:val="auto"/>
        </w:rPr>
        <w:t>(“VPG”) is calculated by dividing consolidated vacation ownership contract sales, excluding fractional sales, telesales, resales, and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sales that are not attributed to a tour at a sales location, by the number of tours at sales locations in a given period. We believe that this operating metric is valuable in evaluating the effectiveness of the sales process as it combines the impact of average contract price with the number of touring guests who make a purchase.</w:t>
      </w:r>
    </w:p>
    <w:p>
      <w:pPr>
        <w:spacing w:after="0" w:line="219" w:lineRule="exact"/>
        <w:rPr>
          <w:rFonts w:ascii="Times New Roman" w:cs="Times New Roman" w:eastAsia="Times New Roman" w:hAnsi="Times New Roman"/>
          <w:sz w:val="17"/>
          <w:szCs w:val="17"/>
          <w:color w:val="auto"/>
        </w:rPr>
      </w:pPr>
    </w:p>
    <w:p>
      <w:pPr>
        <w:ind w:left="320" w:right="180" w:hanging="316"/>
        <w:spacing w:after="0" w:line="286" w:lineRule="auto"/>
        <w:tabs>
          <w:tab w:leader="none" w:pos="3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Total active members </w:t>
      </w:r>
      <w:r>
        <w:rPr>
          <w:rFonts w:ascii="Times New Roman" w:cs="Times New Roman" w:eastAsia="Times New Roman" w:hAnsi="Times New Roman"/>
          <w:sz w:val="17"/>
          <w:szCs w:val="17"/>
          <w:color w:val="auto"/>
        </w:rPr>
        <w:t>is the number of Interval International network active members at the end of the applicable period. We consider active members to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 important metric as it provides the population of owners eligible to book transactions using the Interval International network.</w:t>
      </w:r>
    </w:p>
    <w:p>
      <w:pPr>
        <w:ind w:left="320" w:right="200" w:hanging="316"/>
        <w:spacing w:after="0" w:line="274" w:lineRule="auto"/>
        <w:tabs>
          <w:tab w:leader="none" w:pos="3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Average revenue per member </w:t>
      </w:r>
      <w:r>
        <w:rPr>
          <w:rFonts w:ascii="Times New Roman" w:cs="Times New Roman" w:eastAsia="Times New Roman" w:hAnsi="Times New Roman"/>
          <w:sz w:val="17"/>
          <w:szCs w:val="17"/>
          <w:color w:val="auto"/>
        </w:rPr>
        <w:t>is calculated by dividing membership fee revenue, transaction revenue, rental revenue, and other member revenue for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Interval International network by the monthly weighted average number of Interval International network active members during the applicable period. We believe this metric is valuable in measuring the overall engagement of our members.</w:t>
      </w:r>
    </w:p>
    <w:p>
      <w:pPr>
        <w:spacing w:after="0" w:line="4" w:lineRule="exact"/>
        <w:rPr>
          <w:rFonts w:ascii="Times New Roman" w:cs="Times New Roman" w:eastAsia="Times New Roman" w:hAnsi="Times New Roman"/>
          <w:sz w:val="17"/>
          <w:szCs w:val="17"/>
          <w:color w:val="auto"/>
        </w:rPr>
      </w:pPr>
    </w:p>
    <w:p>
      <w:pPr>
        <w:ind w:left="320" w:right="20" w:hanging="316"/>
        <w:spacing w:after="0" w:line="274" w:lineRule="auto"/>
        <w:tabs>
          <w:tab w:leader="none" w:pos="3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Segment financial results attributable to common shareholders </w:t>
      </w:r>
      <w:r>
        <w:rPr>
          <w:rFonts w:ascii="Times New Roman" w:cs="Times New Roman" w:eastAsia="Times New Roman" w:hAnsi="Times New Roman"/>
          <w:sz w:val="17"/>
          <w:szCs w:val="17"/>
          <w:color w:val="auto"/>
        </w:rPr>
        <w:t>represents revenues less expenses directly attributable to each applicable reportable business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segment (Vacation Ownership and Exchange &amp; Third-Party Management). We consider this measure to be important in evaluating the performance of our reportable business segments. See Footnote 17 “Business Segments” to our Financial Statements for further information on our reportable business segments.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NM = Not meaningful.</w:t>
      </w:r>
    </w:p>
    <w:p>
      <w:pPr>
        <w:spacing w:after="0" w:line="28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Results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5"/>
          </w:tcPr>
          <w:p>
            <w:pPr>
              <w:jc w:val="right"/>
              <w:ind w:right="478"/>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0" w:type="dxa"/>
            <w:vAlign w:val="bottom"/>
            <w:gridSpan w:val="8"/>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51"/>
        </w:trPr>
        <w:tc>
          <w:tcPr>
            <w:tcW w:w="3140" w:type="dxa"/>
            <w:vAlign w:val="bottom"/>
          </w:tcPr>
          <w:p>
            <w:pPr>
              <w:spacing w:after="0"/>
              <w:rPr>
                <w:sz w:val="13"/>
                <w:szCs w:val="13"/>
                <w:color w:val="auto"/>
              </w:rPr>
            </w:pPr>
          </w:p>
        </w:tc>
        <w:tc>
          <w:tcPr>
            <w:tcW w:w="1220" w:type="dxa"/>
            <w:vAlign w:val="bottom"/>
            <w:tcBorders>
              <w:top w:val="single" w:sz="8" w:color="auto"/>
            </w:tcBorders>
            <w:gridSpan w:val="3"/>
          </w:tcPr>
          <w:p>
            <w:pPr>
              <w:jc w:val="center"/>
              <w:spacing w:after="0" w:line="152"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3"/>
          </w:tcPr>
          <w:p>
            <w:pPr>
              <w:jc w:val="center"/>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40" w:type="dxa"/>
            <w:vAlign w:val="bottom"/>
          </w:tcPr>
          <w:p>
            <w:pPr>
              <w:spacing w:after="0"/>
              <w:rPr>
                <w:sz w:val="13"/>
                <w:szCs w:val="13"/>
                <w:color w:val="auto"/>
              </w:rPr>
            </w:pPr>
          </w:p>
        </w:tc>
        <w:tc>
          <w:tcPr>
            <w:tcW w:w="1180" w:type="dxa"/>
            <w:vAlign w:val="bottom"/>
            <w:tcBorders>
              <w:top w:val="single" w:sz="8" w:color="auto"/>
            </w:tcBorders>
            <w:gridSpan w:val="5"/>
          </w:tcPr>
          <w:p>
            <w:pPr>
              <w:jc w:val="right"/>
              <w:ind w:right="14"/>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3"/>
          </w:tcPr>
          <w:p>
            <w:pPr>
              <w:jc w:val="right"/>
              <w:ind w:right="34"/>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2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ind w:right="262"/>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center"/>
              <w:ind w:right="358"/>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4"/>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tcPr>
          <w:p>
            <w:pPr>
              <w:jc w:val="right"/>
              <w:ind w:right="2"/>
              <w:spacing w:after="0"/>
              <w:rPr>
                <w:sz w:val="20"/>
                <w:szCs w:val="20"/>
                <w:color w:val="auto"/>
              </w:rPr>
            </w:pPr>
            <w:r>
              <w:rPr>
                <w:rFonts w:ascii="Times New Roman" w:cs="Times New Roman" w:eastAsia="Times New Roman" w:hAnsi="Times New Roman"/>
                <w:sz w:val="17"/>
                <w:szCs w:val="17"/>
                <w:color w:val="auto"/>
              </w:rPr>
              <w:t>444</w:t>
            </w:r>
          </w:p>
        </w:tc>
        <w:tc>
          <w:tcPr>
            <w:tcW w:w="580" w:type="dxa"/>
            <w:vAlign w:val="bottom"/>
            <w:gridSpan w:val="2"/>
          </w:tcPr>
          <w:p>
            <w:pPr>
              <w:jc w:val="right"/>
              <w:ind w:right="262"/>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1,179</w:t>
            </w:r>
          </w:p>
        </w:tc>
        <w:tc>
          <w:tcPr>
            <w:tcW w:w="360" w:type="dxa"/>
            <w:vAlign w:val="bottom"/>
            <w:gridSpan w:val="3"/>
          </w:tcPr>
          <w:p>
            <w:pPr>
              <w:jc w:val="right"/>
              <w:ind w:right="22"/>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789</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Management and exchange</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198</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Rental</w:t>
            </w:r>
          </w:p>
        </w:tc>
        <w:tc>
          <w:tcPr>
            <w:tcW w:w="340" w:type="dxa"/>
            <w:vAlign w:val="bottom"/>
          </w:tcPr>
          <w:p>
            <w:pPr>
              <w:spacing w:after="0"/>
              <w:rPr>
                <w:sz w:val="21"/>
                <w:szCs w:val="21"/>
                <w:color w:val="auto"/>
              </w:rPr>
            </w:pPr>
          </w:p>
        </w:tc>
        <w:tc>
          <w:tcPr>
            <w:tcW w:w="880" w:type="dxa"/>
            <w:vAlign w:val="bottom"/>
            <w:gridSpan w:val="2"/>
          </w:tcPr>
          <w:p>
            <w:pPr>
              <w:jc w:val="right"/>
              <w:ind w:right="2"/>
              <w:spacing w:after="0"/>
              <w:rPr>
                <w:sz w:val="20"/>
                <w:szCs w:val="20"/>
                <w:color w:val="auto"/>
              </w:rPr>
            </w:pPr>
            <w:r>
              <w:rPr>
                <w:rFonts w:ascii="Times New Roman" w:cs="Times New Roman" w:eastAsia="Times New Roman" w:hAnsi="Times New Roman"/>
                <w:sz w:val="17"/>
                <w:szCs w:val="17"/>
                <w:color w:val="auto"/>
              </w:rPr>
              <w:t>165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Financing</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74</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7"/>
                <w:szCs w:val="17"/>
                <w:color w:val="auto"/>
              </w:rPr>
              <w:t>371</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14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3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1,252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3,468</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2,790</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of vacation ownership products</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76</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Marketing and sales</w:t>
            </w:r>
          </w:p>
        </w:tc>
        <w:tc>
          <w:tcPr>
            <w:tcW w:w="340" w:type="dxa"/>
            <w:vAlign w:val="bottom"/>
          </w:tcPr>
          <w:p>
            <w:pPr>
              <w:spacing w:after="0"/>
              <w:rPr>
                <w:sz w:val="21"/>
                <w:szCs w:val="21"/>
                <w:color w:val="auto"/>
              </w:rPr>
            </w:pPr>
          </w:p>
        </w:tc>
        <w:tc>
          <w:tcPr>
            <w:tcW w:w="880" w:type="dxa"/>
            <w:vAlign w:val="bottom"/>
            <w:gridSpan w:val="2"/>
          </w:tcPr>
          <w:p>
            <w:pPr>
              <w:jc w:val="right"/>
              <w:ind w:right="2"/>
              <w:spacing w:after="0"/>
              <w:rPr>
                <w:sz w:val="20"/>
                <w:szCs w:val="20"/>
                <w:color w:val="auto"/>
              </w:rPr>
            </w:pPr>
            <w:r>
              <w:rPr>
                <w:rFonts w:ascii="Times New Roman" w:cs="Times New Roman" w:eastAsia="Times New Roman" w:hAnsi="Times New Roman"/>
                <w:sz w:val="17"/>
                <w:szCs w:val="17"/>
                <w:color w:val="auto"/>
              </w:rPr>
              <w:t>207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Management and exchange</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Rental</w:t>
            </w:r>
          </w:p>
        </w:tc>
        <w:tc>
          <w:tcPr>
            <w:tcW w:w="340" w:type="dxa"/>
            <w:vAlign w:val="bottom"/>
          </w:tcPr>
          <w:p>
            <w:pPr>
              <w:spacing w:after="0"/>
              <w:rPr>
                <w:sz w:val="21"/>
                <w:szCs w:val="21"/>
                <w:color w:val="auto"/>
              </w:rPr>
            </w:pPr>
          </w:p>
        </w:tc>
        <w:tc>
          <w:tcPr>
            <w:tcW w:w="880" w:type="dxa"/>
            <w:vAlign w:val="bottom"/>
            <w:gridSpan w:val="2"/>
          </w:tcPr>
          <w:p>
            <w:pPr>
              <w:jc w:val="right"/>
              <w:ind w:right="2"/>
              <w:spacing w:after="0"/>
              <w:rPr>
                <w:sz w:val="20"/>
                <w:szCs w:val="20"/>
                <w:color w:val="auto"/>
              </w:rPr>
            </w:pPr>
            <w:r>
              <w:rPr>
                <w:rFonts w:ascii="Times New Roman" w:cs="Times New Roman" w:eastAsia="Times New Roman" w:hAnsi="Times New Roman"/>
                <w:sz w:val="17"/>
                <w:szCs w:val="17"/>
                <w:color w:val="auto"/>
              </w:rPr>
              <w:t>126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Financing</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40" w:type="dxa"/>
            <w:vAlign w:val="bottom"/>
          </w:tcPr>
          <w:p>
            <w:pPr>
              <w:spacing w:after="0"/>
              <w:rPr>
                <w:sz w:val="21"/>
                <w:szCs w:val="21"/>
                <w:color w:val="auto"/>
              </w:rPr>
            </w:pPr>
          </w:p>
        </w:tc>
        <w:tc>
          <w:tcPr>
            <w:tcW w:w="880" w:type="dxa"/>
            <w:vAlign w:val="bottom"/>
            <w:gridSpan w:val="2"/>
          </w:tcPr>
          <w:p>
            <w:pPr>
              <w:jc w:val="right"/>
              <w:ind w:right="2"/>
              <w:spacing w:after="0"/>
              <w:rPr>
                <w:sz w:val="20"/>
                <w:szCs w:val="20"/>
                <w:color w:val="auto"/>
              </w:rPr>
            </w:pPr>
            <w:r>
              <w:rPr>
                <w:rFonts w:ascii="Times New Roman" w:cs="Times New Roman" w:eastAsia="Times New Roman" w:hAnsi="Times New Roman"/>
                <w:sz w:val="17"/>
                <w:szCs w:val="17"/>
                <w:color w:val="auto"/>
              </w:rPr>
              <w:t>62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Litigation charges</w:t>
            </w:r>
          </w:p>
        </w:tc>
        <w:tc>
          <w:tcPr>
            <w:tcW w:w="340" w:type="dxa"/>
            <w:vAlign w:val="bottom"/>
          </w:tcPr>
          <w:p>
            <w:pPr>
              <w:spacing w:after="0"/>
              <w:rPr>
                <w:sz w:val="21"/>
                <w:szCs w:val="21"/>
                <w:color w:val="auto"/>
              </w:rPr>
            </w:pPr>
          </w:p>
        </w:tc>
        <w:tc>
          <w:tcPr>
            <w:tcW w:w="880" w:type="dxa"/>
            <w:vAlign w:val="bottom"/>
            <w:gridSpan w:val="2"/>
          </w:tcPr>
          <w:p>
            <w:pPr>
              <w:jc w:val="right"/>
              <w:ind w:right="2"/>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Royalty fee</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Impairment</w:t>
            </w:r>
          </w:p>
        </w:tc>
        <w:tc>
          <w:tcPr>
            <w:tcW w:w="340" w:type="dxa"/>
            <w:vAlign w:val="bottom"/>
          </w:tcPr>
          <w:p>
            <w:pPr>
              <w:spacing w:after="0"/>
              <w:rPr>
                <w:sz w:val="21"/>
                <w:szCs w:val="21"/>
                <w:color w:val="auto"/>
              </w:rPr>
            </w:pPr>
          </w:p>
        </w:tc>
        <w:tc>
          <w:tcPr>
            <w:tcW w:w="880" w:type="dxa"/>
            <w:vAlign w:val="bottom"/>
            <w:gridSpan w:val="2"/>
          </w:tcPr>
          <w:p>
            <w:pPr>
              <w:jc w:val="right"/>
              <w:ind w:right="2"/>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371</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14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31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7"/>
                <w:szCs w:val="17"/>
                <w:color w:val="auto"/>
              </w:rPr>
              <w:t>1,012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896</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2,880</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2,505</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140" w:type="dxa"/>
            <w:vAlign w:val="bottom"/>
            <w:shd w:val="clear" w:color="auto" w:fill="CCEEFF"/>
          </w:tcPr>
          <w:p>
            <w:pPr>
              <w:ind w:left="220"/>
              <w:spacing w:after="0" w:line="156" w:lineRule="exact"/>
              <w:rPr>
                <w:sz w:val="20"/>
                <w:szCs w:val="20"/>
                <w:color w:val="auto"/>
              </w:rPr>
            </w:pPr>
            <w:r>
              <w:rPr>
                <w:rFonts w:ascii="Times New Roman" w:cs="Times New Roman" w:eastAsia="Times New Roman" w:hAnsi="Times New Roman"/>
                <w:sz w:val="17"/>
                <w:szCs w:val="17"/>
                <w:color w:val="auto"/>
              </w:rPr>
              <w:t>(Losses) gains and other (expense)</w:t>
            </w: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net</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3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Transaction and integration costs</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314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b w:val="1"/>
                <w:bCs w:val="1"/>
                <w:color w:val="auto"/>
              </w:rPr>
              <w:t>INCOME BEFORE INCOME TAXES</w:t>
            </w: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b w:val="1"/>
                <w:bCs w:val="1"/>
                <w:color w:val="auto"/>
              </w:rPr>
              <w:t>AND NONCONTROLLING</w:t>
            </w:r>
          </w:p>
        </w:tc>
        <w:tc>
          <w:tcPr>
            <w:tcW w:w="3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169</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INTERESTS</w:t>
            </w:r>
          </w:p>
        </w:tc>
        <w:tc>
          <w:tcPr>
            <w:tcW w:w="34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4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110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4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Net income attributable to noncontrolling</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interests</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314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b w:val="1"/>
                <w:bCs w:val="1"/>
                <w:color w:val="auto"/>
              </w:rPr>
              <w:t>NET INCOME (LOSS)</w:t>
            </w: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b w:val="1"/>
                <w:bCs w:val="1"/>
                <w:color w:val="auto"/>
              </w:rPr>
              <w:t>ATTRIBUTABLE TO COMMON</w:t>
            </w:r>
          </w:p>
        </w:tc>
        <w:tc>
          <w:tcPr>
            <w:tcW w:w="34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109</w:t>
            </w:r>
          </w:p>
        </w:tc>
        <w:tc>
          <w:tcPr>
            <w:tcW w:w="580" w:type="dxa"/>
            <w:vAlign w:val="bottom"/>
            <w:gridSpan w:val="2"/>
            <w:vMerge w:val="restart"/>
            <w:shd w:val="clear" w:color="auto" w:fill="CCEEFF"/>
          </w:tcPr>
          <w:p>
            <w:pPr>
              <w:jc w:val="right"/>
              <w:ind w:right="262"/>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5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360" w:type="dxa"/>
            <w:vAlign w:val="bottom"/>
            <w:gridSpan w:val="3"/>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1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b w:val="1"/>
                <w:bCs w:val="1"/>
                <w:color w:val="auto"/>
              </w:rPr>
              <w:t>SHAREHOLDERS</w:t>
            </w:r>
          </w:p>
        </w:tc>
        <w:tc>
          <w:tcPr>
            <w:tcW w:w="34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36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Operating Statistics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31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1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2022 Third Quarter</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3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3"/>
          </w:tcPr>
          <w:p>
            <w:pPr>
              <w:jc w:val="center"/>
              <w:spacing w:after="0" w:line="152"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20" w:type="dxa"/>
            <w:vAlign w:val="bottom"/>
          </w:tcPr>
          <w:p>
            <w:pPr>
              <w:spacing w:after="0"/>
              <w:rPr>
                <w:sz w:val="13"/>
                <w:szCs w:val="13"/>
                <w:color w:val="auto"/>
              </w:rPr>
            </w:pPr>
          </w:p>
        </w:tc>
        <w:tc>
          <w:tcPr>
            <w:tcW w:w="1200" w:type="dxa"/>
            <w:vAlign w:val="bottom"/>
            <w:gridSpan w:val="3"/>
          </w:tcPr>
          <w:p>
            <w:pPr>
              <w:jc w:val="right"/>
              <w:ind w:right="22"/>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5"/>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3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6"/>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(Contract sales $ in millions)</w:t>
            </w:r>
          </w:p>
        </w:tc>
        <w:tc>
          <w:tcPr>
            <w:tcW w:w="34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60" w:type="dxa"/>
            <w:vAlign w:val="bottom"/>
          </w:tcPr>
          <w:p>
            <w:pPr>
              <w:spacing w:after="0"/>
              <w:rPr>
                <w:sz w:val="17"/>
                <w:szCs w:val="17"/>
                <w:color w:val="auto"/>
              </w:rPr>
            </w:pPr>
          </w:p>
        </w:tc>
        <w:tc>
          <w:tcPr>
            <w:tcW w:w="1320" w:type="dxa"/>
            <w:vAlign w:val="bottom"/>
            <w:gridSpan w:val="4"/>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5"/>
            <w:vMerge w:val="continue"/>
          </w:tcPr>
          <w:p>
            <w:pPr>
              <w:spacing w:after="0"/>
              <w:rPr>
                <w:sz w:val="17"/>
                <w:szCs w:val="17"/>
                <w:color w:val="auto"/>
              </w:rPr>
            </w:pPr>
          </w:p>
        </w:tc>
        <w:tc>
          <w:tcPr>
            <w:tcW w:w="37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Vacation Ownership</w:t>
            </w:r>
          </w:p>
        </w:tc>
        <w:tc>
          <w:tcPr>
            <w:tcW w:w="3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contract sales</w:t>
            </w:r>
          </w:p>
        </w:tc>
        <w:tc>
          <w:tcPr>
            <w:tcW w:w="340" w:type="dxa"/>
            <w:vAlign w:val="bottom"/>
          </w:tcPr>
          <w:p>
            <w:pPr>
              <w:spacing w:after="0"/>
              <w:rPr>
                <w:sz w:val="21"/>
                <w:szCs w:val="21"/>
                <w:color w:val="auto"/>
              </w:rPr>
            </w:pPr>
          </w:p>
        </w:tc>
        <w:tc>
          <w:tcPr>
            <w:tcW w:w="880" w:type="dxa"/>
            <w:vAlign w:val="bottom"/>
            <w:gridSpan w:val="2"/>
          </w:tcPr>
          <w:p>
            <w:pPr>
              <w:jc w:val="center"/>
              <w:ind w:right="282"/>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tcPr>
          <w:p>
            <w:pPr>
              <w:jc w:val="right"/>
              <w:ind w:right="22"/>
              <w:spacing w:after="0"/>
              <w:rPr>
                <w:sz w:val="20"/>
                <w:szCs w:val="20"/>
                <w:color w:val="auto"/>
              </w:rPr>
            </w:pPr>
            <w:r>
              <w:rPr>
                <w:rFonts w:ascii="Times New Roman" w:cs="Times New Roman" w:eastAsia="Times New Roman" w:hAnsi="Times New Roman"/>
                <w:sz w:val="17"/>
                <w:szCs w:val="17"/>
                <w:color w:val="auto"/>
              </w:rPr>
              <w:t>492</w:t>
            </w:r>
          </w:p>
        </w:tc>
        <w:tc>
          <w:tcPr>
            <w:tcW w:w="760" w:type="dxa"/>
            <w:vAlign w:val="bottom"/>
            <w:gridSpan w:val="2"/>
          </w:tcPr>
          <w:p>
            <w:pPr>
              <w:jc w:val="center"/>
              <w:ind w:right="31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392</w:t>
            </w:r>
          </w:p>
        </w:tc>
        <w:tc>
          <w:tcPr>
            <w:tcW w:w="30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spacing w:after="0"/>
              <w:rPr>
                <w:sz w:val="21"/>
                <w:szCs w:val="21"/>
                <w:color w:val="auto"/>
              </w:rPr>
            </w:pPr>
          </w:p>
        </w:tc>
        <w:tc>
          <w:tcPr>
            <w:tcW w:w="360" w:type="dxa"/>
            <w:vAlign w:val="bottom"/>
            <w:gridSpan w:val="3"/>
          </w:tcPr>
          <w:p>
            <w:pPr>
              <w:jc w:val="right"/>
              <w:ind w:right="2"/>
              <w:spacing w:after="0"/>
              <w:rPr>
                <w:sz w:val="20"/>
                <w:szCs w:val="20"/>
                <w:color w:val="auto"/>
              </w:rPr>
            </w:pPr>
            <w:r>
              <w:rPr>
                <w:rFonts w:ascii="Times New Roman" w:cs="Times New Roman" w:eastAsia="Times New Roman" w:hAnsi="Times New Roman"/>
                <w:sz w:val="17"/>
                <w:szCs w:val="17"/>
                <w:color w:val="auto"/>
              </w:rPr>
              <w:t>100</w:t>
            </w:r>
          </w:p>
        </w:tc>
        <w:tc>
          <w:tcPr>
            <w:tcW w:w="14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26%</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Consolidated contract sales</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center"/>
              <w:ind w:right="282"/>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483</w:t>
            </w:r>
          </w:p>
        </w:tc>
        <w:tc>
          <w:tcPr>
            <w:tcW w:w="760" w:type="dxa"/>
            <w:vAlign w:val="bottom"/>
            <w:gridSpan w:val="2"/>
            <w:shd w:val="clear" w:color="auto" w:fill="CCEEFF"/>
          </w:tcPr>
          <w:p>
            <w:pPr>
              <w:jc w:val="center"/>
              <w:ind w:right="31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3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spacing w:after="0"/>
              <w:rPr>
                <w:sz w:val="21"/>
                <w:szCs w:val="21"/>
                <w:color w:val="auto"/>
              </w:rPr>
            </w:pPr>
          </w:p>
        </w:tc>
        <w:tc>
          <w:tcPr>
            <w:tcW w:w="36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103</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27%</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Joint venture contract sales</w:t>
            </w:r>
          </w:p>
        </w:tc>
        <w:tc>
          <w:tcPr>
            <w:tcW w:w="340" w:type="dxa"/>
            <w:vAlign w:val="bottom"/>
          </w:tcPr>
          <w:p>
            <w:pPr>
              <w:spacing w:after="0"/>
              <w:rPr>
                <w:sz w:val="21"/>
                <w:szCs w:val="21"/>
                <w:color w:val="auto"/>
              </w:rPr>
            </w:pPr>
          </w:p>
        </w:tc>
        <w:tc>
          <w:tcPr>
            <w:tcW w:w="880" w:type="dxa"/>
            <w:vAlign w:val="bottom"/>
            <w:gridSpan w:val="2"/>
          </w:tcPr>
          <w:p>
            <w:pPr>
              <w:jc w:val="center"/>
              <w:ind w:right="282"/>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tcPr>
          <w:p>
            <w:pPr>
              <w:jc w:val="right"/>
              <w:ind w:right="22"/>
              <w:spacing w:after="0"/>
              <w:rPr>
                <w:sz w:val="20"/>
                <w:szCs w:val="20"/>
                <w:color w:val="auto"/>
              </w:rPr>
            </w:pPr>
            <w:r>
              <w:rPr>
                <w:rFonts w:ascii="Times New Roman" w:cs="Times New Roman" w:eastAsia="Times New Roman" w:hAnsi="Times New Roman"/>
                <w:sz w:val="17"/>
                <w:szCs w:val="17"/>
                <w:color w:val="auto"/>
              </w:rPr>
              <w:t>9</w:t>
            </w:r>
          </w:p>
        </w:tc>
        <w:tc>
          <w:tcPr>
            <w:tcW w:w="760" w:type="dxa"/>
            <w:vAlign w:val="bottom"/>
            <w:gridSpan w:val="2"/>
          </w:tcPr>
          <w:p>
            <w:pPr>
              <w:jc w:val="center"/>
              <w:ind w:right="31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30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spacing w:after="0"/>
              <w:rPr>
                <w:sz w:val="21"/>
                <w:szCs w:val="21"/>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VPG</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center"/>
              <w:ind w:right="282"/>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4,353</w:t>
            </w:r>
          </w:p>
        </w:tc>
        <w:tc>
          <w:tcPr>
            <w:tcW w:w="760" w:type="dxa"/>
            <w:vAlign w:val="bottom"/>
            <w:gridSpan w:val="2"/>
            <w:shd w:val="clear" w:color="auto" w:fill="CCEEFF"/>
          </w:tcPr>
          <w:p>
            <w:pPr>
              <w:jc w:val="center"/>
              <w:ind w:right="31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4,300</w:t>
            </w:r>
          </w:p>
        </w:tc>
        <w:tc>
          <w:tcPr>
            <w:tcW w:w="3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spacing w:after="0"/>
              <w:rPr>
                <w:sz w:val="21"/>
                <w:szCs w:val="21"/>
                <w:color w:val="auto"/>
              </w:rPr>
            </w:pPr>
          </w:p>
        </w:tc>
        <w:tc>
          <w:tcPr>
            <w:tcW w:w="36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53</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Exchange &amp; Third-Party Management</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active members at end of period (000's)</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1,591</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1,313</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6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278</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Average revenue per member</w:t>
            </w:r>
          </w:p>
        </w:tc>
        <w:tc>
          <w:tcPr>
            <w:tcW w:w="340" w:type="dxa"/>
            <w:vAlign w:val="bottom"/>
          </w:tcPr>
          <w:p>
            <w:pPr>
              <w:spacing w:after="0"/>
              <w:rPr>
                <w:sz w:val="21"/>
                <w:szCs w:val="21"/>
                <w:color w:val="auto"/>
              </w:rPr>
            </w:pPr>
          </w:p>
        </w:tc>
        <w:tc>
          <w:tcPr>
            <w:tcW w:w="880" w:type="dxa"/>
            <w:vAlign w:val="bottom"/>
            <w:gridSpan w:val="2"/>
          </w:tcPr>
          <w:p>
            <w:pPr>
              <w:jc w:val="center"/>
              <w:ind w:right="282"/>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tcPr>
          <w:p>
            <w:pPr>
              <w:jc w:val="right"/>
              <w:ind w:right="22"/>
              <w:spacing w:after="0"/>
              <w:rPr>
                <w:sz w:val="20"/>
                <w:szCs w:val="20"/>
                <w:color w:val="auto"/>
              </w:rPr>
            </w:pPr>
            <w:r>
              <w:rPr>
                <w:rFonts w:ascii="Times New Roman" w:cs="Times New Roman" w:eastAsia="Times New Roman" w:hAnsi="Times New Roman"/>
                <w:sz w:val="17"/>
                <w:szCs w:val="17"/>
                <w:color w:val="auto"/>
              </w:rPr>
              <w:t>38.91</w:t>
            </w:r>
          </w:p>
        </w:tc>
        <w:tc>
          <w:tcPr>
            <w:tcW w:w="760" w:type="dxa"/>
            <w:vAlign w:val="bottom"/>
            <w:gridSpan w:val="2"/>
          </w:tcPr>
          <w:p>
            <w:pPr>
              <w:jc w:val="center"/>
              <w:ind w:right="31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42.95</w:t>
            </w:r>
          </w:p>
        </w:tc>
        <w:tc>
          <w:tcPr>
            <w:tcW w:w="30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14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7"/>
        </w:trPr>
        <w:tc>
          <w:tcPr>
            <w:tcW w:w="3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49</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3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First Three Quarters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8"/>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Nine Months Ended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6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right="240"/>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56"/>
              <w:spacing w:after="0" w:line="152"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Change</w:t>
            </w:r>
          </w:p>
        </w:tc>
        <w:tc>
          <w:tcPr>
            <w:tcW w:w="0" w:type="dxa"/>
            <w:vAlign w:val="bottom"/>
          </w:tcPr>
          <w:p>
            <w:pPr>
              <w:spacing w:after="0"/>
              <w:rPr>
                <w:sz w:val="1"/>
                <w:szCs w:val="1"/>
                <w:color w:val="auto"/>
              </w:rPr>
            </w:pPr>
          </w:p>
        </w:tc>
      </w:tr>
      <w:tr>
        <w:trPr>
          <w:trHeight w:val="206"/>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(Contract sales $ in millions)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Vacation Ownership</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contract sales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1,411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996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14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46"/>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Consolidated contract sales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1,383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968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46"/>
        </w:trPr>
        <w:tc>
          <w:tcPr>
            <w:tcW w:w="3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Joint venture contract sales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46"/>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VPG</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4,544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4,377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46"/>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Exchange &amp; Third-Party Management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active members at end of period (000's)</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1,591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1,313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46"/>
        </w:trPr>
        <w:tc>
          <w:tcPr>
            <w:tcW w:w="3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Average revenue per member</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122.30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136.57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(14.27)</w:t>
            </w:r>
          </w:p>
        </w:tc>
        <w:tc>
          <w:tcPr>
            <w:tcW w:w="14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506"/>
        </w:trPr>
        <w:tc>
          <w:tcPr>
            <w:tcW w:w="3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6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2022 Third Quarter</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8"/>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3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right="220"/>
              <w:spacing w:after="0" w:line="152"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center"/>
              <w:ind w:right="140"/>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0" w:type="dxa"/>
            <w:vAlign w:val="bottom"/>
            <w:vMerge w:val="restart"/>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Change</w:t>
            </w:r>
          </w:p>
        </w:tc>
        <w:tc>
          <w:tcPr>
            <w:tcW w:w="0" w:type="dxa"/>
            <w:vAlign w:val="bottom"/>
          </w:tcPr>
          <w:p>
            <w:pPr>
              <w:spacing w:after="0"/>
              <w:rPr>
                <w:sz w:val="1"/>
                <w:szCs w:val="1"/>
                <w:color w:val="auto"/>
              </w:rPr>
            </w:pPr>
          </w:p>
        </w:tc>
      </w:tr>
      <w:tr>
        <w:trPr>
          <w:trHeight w:val="206"/>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1,182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59"/>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Exchange &amp; Third-Party Management</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39"/>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Segment Revenues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1,253</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59"/>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Consolidated Property Owners’ Associations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38"/>
        </w:trPr>
        <w:tc>
          <w:tcPr>
            <w:tcW w:w="3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Revenues</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1,252</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i w:val="1"/>
                <w:iCs w:val="1"/>
                <w:color w:val="auto"/>
              </w:rPr>
              <w:t>2022 First Three Quarters</w:t>
            </w: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6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3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gridSpan w:val="8"/>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Nine Months Ended</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1"/>
        </w:trPr>
        <w:tc>
          <w:tcPr>
            <w:tcW w:w="3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right="220"/>
              <w:spacing w:after="0" w:line="152"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center"/>
              <w:ind w:right="140"/>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0" w:type="dxa"/>
            <w:vAlign w:val="bottom"/>
            <w:vMerge w:val="restart"/>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Change</w:t>
            </w:r>
          </w:p>
        </w:tc>
        <w:tc>
          <w:tcPr>
            <w:tcW w:w="0" w:type="dxa"/>
            <w:vAlign w:val="bottom"/>
          </w:tcPr>
          <w:p>
            <w:pPr>
              <w:spacing w:after="0"/>
              <w:rPr>
                <w:sz w:val="1"/>
                <w:szCs w:val="1"/>
                <w:color w:val="auto"/>
              </w:rPr>
            </w:pPr>
          </w:p>
        </w:tc>
      </w:tr>
      <w:tr>
        <w:trPr>
          <w:trHeight w:val="206"/>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3,229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59"/>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Exchange &amp; Third-Party Management</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39"/>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Segment Revenues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3,458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59"/>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Consolidated Property Owners’ Associations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38"/>
        </w:trPr>
        <w:tc>
          <w:tcPr>
            <w:tcW w:w="3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Revenues</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3,468</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2,790</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Earnings Before Interest Expense, Taxes, Depreciation and Amortization (“EBITDA”) and Adjusted EBITDA</w:t>
      </w:r>
    </w:p>
    <w:p>
      <w:pPr>
        <w:spacing w:after="0" w:line="11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EBITDA, a financial measure that is not prescribed by GAAP, is defined as earnings, or net income or loss attributable to common shareholders, before interest expense (excluding consumer financing interest expense associated with term securitization transactions), income taxes, depreciation and amortization. Adjusted EBITDA reflects additional adjustments for certain items described below, and excludes share-based compensation expense to address considerable variability among companies in recording compensation expense because companies use share-based payment awards differently, both in the type and quantity of awards granted. For purposes of our EBITDA and Adjusted EBITDA calculations, we do not adjust for consumer financing interest expense associated with term securitization transactions because we consider it to be an operating expense of our business. We consider Adjusted EBITDA to be an indicator of operating performance, which we use to measure our ability to service debt, fund capital expenditures, expand our business, and return cash to shareholders. We also use Adjusted EBITDA, as do analysts, lenders, investors and others, because this measure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provisions for income taxes can vary considerably among companies. EBITDA and Adjusted EBITDA also exclude depreciation and amortization because companies utilize productive assets of different ages and use different methods of both acquiring and</w:t>
      </w:r>
    </w:p>
    <w:p>
      <w:pPr>
        <w:spacing w:after="0" w:line="24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7"/>
          <w:szCs w:val="17"/>
          <w:color w:val="auto"/>
        </w:rPr>
        <w:t>depreciating productive assets. These differences can result in considerable variability in the relative costs of productive assets and the depreciation and amortization expense among companies. We believe Adjusted EBITDA is useful as an indicator of operating performance because it allows for period-over-period comparisons of our on-going core operations before the impact of the excluded items. Adjusted EBITDA also facilitates comparison by us, analysts, investors, and others, of results from our on-going core operations before the impact of these items with results from other companies.</w:t>
      </w:r>
    </w:p>
    <w:p>
      <w:pPr>
        <w:spacing w:after="0" w:line="64"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7"/>
          <w:szCs w:val="17"/>
          <w:color w:val="auto"/>
        </w:rPr>
        <w:t>EBITDA and Adjusted EBITDA have limitations and should not be considered in isolation or as a substitute for performance measures calculated in accordance with GAAP. In addition, other companies in our industry may calculate EBITDA and Adjusted EBITDA differently than we do or may not calculate them at all, limiting their usefulness as comparative measures. The table below shows our EBITDA and Adjusted EBITDA calculation and reconciles these measures with Net income (loss) attributable to common shareholders, which is the most directly comparable GAAP financial measure.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Third Quarter</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7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5"/>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Change</w:t>
            </w:r>
          </w:p>
        </w:tc>
        <w:tc>
          <w:tcPr>
            <w:tcW w:w="0" w:type="dxa"/>
            <w:vAlign w:val="bottom"/>
          </w:tcPr>
          <w:p>
            <w:pPr>
              <w:spacing w:after="0"/>
              <w:rPr>
                <w:sz w:val="1"/>
                <w:szCs w:val="1"/>
                <w:color w:val="auto"/>
              </w:rPr>
            </w:pPr>
          </w:p>
        </w:tc>
      </w:tr>
      <w:tr>
        <w:trPr>
          <w:trHeight w:val="206"/>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shareholders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46"/>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0" w:type="dxa"/>
            <w:vAlign w:val="bottom"/>
            <w:gridSpan w:val="2"/>
          </w:tcPr>
          <w:p>
            <w:pPr>
              <w:jc w:val="center"/>
              <w:ind w:left="34"/>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4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46"/>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0" w:type="dxa"/>
            <w:vAlign w:val="bottom"/>
            <w:tcBorders>
              <w:bottom w:val="single" w:sz="8" w:color="CCEEFF"/>
            </w:tcBorders>
            <w:gridSpan w:val="2"/>
          </w:tcPr>
          <w:p>
            <w:pPr>
              <w:jc w:val="center"/>
              <w:ind w:left="34"/>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6"/>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EBITDA</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46"/>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0" w:type="dxa"/>
            <w:vAlign w:val="bottom"/>
            <w:gridSpan w:val="2"/>
          </w:tcPr>
          <w:p>
            <w:pPr>
              <w:jc w:val="center"/>
              <w:ind w:left="34"/>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4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Certain items</w:t>
            </w: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13"/>
        </w:trPr>
        <w:tc>
          <w:tcPr>
            <w:tcW w:w="3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Adjusted EBITDA</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0" w:type="dxa"/>
            <w:vAlign w:val="bottom"/>
            <w:gridSpan w:val="2"/>
          </w:tcPr>
          <w:p>
            <w:pPr>
              <w:jc w:val="center"/>
              <w:ind w:left="34"/>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In the third quarter of 2022, in connection with the unification of the our Marriott-, Westin-, and Sheraton- branded vacation ownership products under the Abound by Marriott Vacations program, we aligned our business practices and contract terms for the sale of vacation ownership products (the “Contract alignment”), resulting in the prospective acceleration of revenue for the sale of Marriott-branded vacation ownership interests. The Contract alignment increased Net income attributable to common shareholders and Adjusted EBITDA by $29 million and $39 million, respectively. In addition, we combined and aligned our reserve methodology for vacation ownership notes receivable for these brands (the “Reserve alignment”), resulting in a $4 million increase in Net income attributable to common shareholders and a $5 million increase in Adjusted EBITDA. Together, these changes are hereinafter referred to as the “Alignment.” See Footnote 6 “Vacation Ownership Notes Receivable” to our Financial Statements for further information.</w:t>
      </w:r>
    </w:p>
    <w:p>
      <w:pPr>
        <w:spacing w:after="0" w:line="7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Certain items for the third quarter of 2022 consisted of $34 million of transaction and integration costs (including $19 million of ILG Acquisition and integration related costs, $7 million of other transaction costs, $5 million of Welk Acquisition and integration related costs, and $3 million of other integration costs), $5 million of purchase accounting adjustments, $2 million of losses and other expense (including $3 million related to foreign currency translation losses, $1 million of miscellaneous losses and other expense, partially offset by $1 million of working capital adjustments related to the disposition of our VRI Americas business and $1 million of non-income tax related adjustments to the receivable for the indemnification we expect to receive from Marriott International), $2 million of litigation charges, $1 million of impairment charges, and $1 million of miscellaneous other adjustments, partially offset by $6 million of revenue associated with expired or forfeited deposits on pre-acquisition preview packages.</w:t>
      </w:r>
    </w:p>
    <w:p>
      <w:pPr>
        <w:spacing w:after="0" w:line="7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Certain items for the third quarter of 2021 consisted of $31 million of losses and other expense (including $36 million related to the early redemption of senior unsecured notes, $2 million of foreign currency translation losses, and $1 million of miscellaneous losses and other expenses, partially offset by $8 million related to a true-up to a Marriott International indemnification receivable upon settlement (the true-up to the offsetting accrual is included in the Provision for income taxes line), $27 million of transaction and integration costs (including $22 million of ILG Acquisition and integration related costs, $3 million of Welk Acquisition related costs, and $2 million of other transaction costs), $5 million of purchase accounting adjustments, and $2 million of litigation charges, partially offset by $3 million to eliminate the impact of consolidating certain property owners’ associations and $1 million of miscellaneous other adjustments.</w:t>
      </w:r>
    </w:p>
    <w:p>
      <w:pPr>
        <w:spacing w:after="0" w:line="22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First Three Quarters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7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5"/>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Change</w:t>
            </w:r>
          </w:p>
        </w:tc>
        <w:tc>
          <w:tcPr>
            <w:tcW w:w="0" w:type="dxa"/>
            <w:vAlign w:val="bottom"/>
          </w:tcPr>
          <w:p>
            <w:pPr>
              <w:spacing w:after="0"/>
              <w:rPr>
                <w:sz w:val="1"/>
                <w:szCs w:val="1"/>
                <w:color w:val="auto"/>
              </w:rPr>
            </w:pPr>
          </w:p>
        </w:tc>
      </w:tr>
      <w:tr>
        <w:trPr>
          <w:trHeight w:val="206"/>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7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7"/>
                <w:szCs w:val="17"/>
                <w:color w:val="auto"/>
              </w:rPr>
              <w:t>Net income (loss) attributable to common</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shareholders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59"/>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0" w:type="dxa"/>
            <w:vAlign w:val="bottom"/>
            <w:gridSpan w:val="2"/>
          </w:tcPr>
          <w:p>
            <w:pPr>
              <w:jc w:val="center"/>
              <w:ind w:left="34"/>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5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259"/>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0" w:type="dxa"/>
            <w:vAlign w:val="bottom"/>
            <w:tcBorders>
              <w:bottom w:val="single" w:sz="8" w:color="CCEEFF"/>
            </w:tcBorders>
            <w:gridSpan w:val="2"/>
          </w:tcPr>
          <w:p>
            <w:pPr>
              <w:jc w:val="center"/>
              <w:ind w:left="34"/>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39"/>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EBITDA</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59"/>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0" w:type="dxa"/>
            <w:vAlign w:val="bottom"/>
            <w:gridSpan w:val="2"/>
          </w:tcPr>
          <w:p>
            <w:pPr>
              <w:jc w:val="center"/>
              <w:ind w:left="34"/>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5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Certain items</w:t>
            </w:r>
          </w:p>
        </w:tc>
        <w:tc>
          <w:tcPr>
            <w:tcW w:w="1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13"/>
        </w:trPr>
        <w:tc>
          <w:tcPr>
            <w:tcW w:w="3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Adjusted EBITDA</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727</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000" w:type="dxa"/>
            <w:vAlign w:val="bottom"/>
            <w:gridSpan w:val="2"/>
          </w:tcPr>
          <w:p>
            <w:pPr>
              <w:jc w:val="center"/>
              <w:ind w:left="34"/>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17"/>
          <w:szCs w:val="17"/>
          <w:color w:val="auto"/>
        </w:rPr>
        <w:t>We recognized an additional $33 million of Net income attributable to common shareholders and an additional $44 million of Adjusted EBITDA during the nine months ended September 30, 2022, as a result of the Alignment.</w:t>
      </w:r>
    </w:p>
    <w:p>
      <w:pPr>
        <w:spacing w:after="0" w:line="43"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Certain items for the first three quarters of 2022 consisted of $99 million of transaction and integration costs (including $67 million of ILG integration related costs, $13 million of other integration costs, $10 million of Welk Acquisition and integration related costs, and $9 million of other transaction costs), $13 million of purchase accounting adjustments, $7 million of litigation charges, and $1 million of impairment charges, partially offset by $39 million of gains and other income, $6 million of revenue associated with expired or forfeited deposits on pre-acquisition preview packages, $2 million of revenue associated with an early termination of a VRI management contract, and $2 million of miscellaneous other adjustments.</w:t>
      </w:r>
    </w:p>
    <w:p>
      <w:pPr>
        <w:spacing w:after="0" w:line="66"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7"/>
          <w:szCs w:val="17"/>
          <w:color w:val="auto"/>
        </w:rPr>
        <w:t>The $39 million of gains and other income included $33 million of gains and other income related to the strategic decision to dispose of our hotel in Puerto Vallarta, Mexico, $17 million of gains and other income related to the strategic disposition of our VRI Americas business, $3 million of business interruption insurance proceeds received, and $2 million of proceeds from corporate owned life insurance, partially offset by $10 million of foreign currency translation, $3 million of non-cash losses pursuant to a change in control of certain Consolidated Property Owners’ Associations, and $2 million of non-income tax related adjustments to the receivable for the indemnification we expect to receive from Marriott International. See Footnote 5 “Income Taxes” to our Financial Statements for further information regarding our indemnification assets, and $1 million of miscellaneous losses and other expense.</w:t>
      </w:r>
    </w:p>
    <w:p>
      <w:pPr>
        <w:spacing w:after="0" w:line="6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Certain items for the first three quarters of 2021 consisted of $75 million of transaction and integration costs (including $64 million of ILG Acquisition and integration related costs, $8 million of Welk Acquisition related costs, and $3 million of other transaction costs), $27 million of losses and other expense (including $36 million related to the early redemption of senior unsecured notes and $1 million of miscellaneous losses and other expense, partially offset by $6 million related to a true-up to a Marriott International indemnification receivable upon settlement (the true-up to the offsetting accrual is included in the Provision for income taxes line and $4 million of foreign currency translation gains), $8 million of litigation charges, $7 million of purchase accounting adjustments, and $5 million of impairment charges, partially offset by $5 million to eliminate the impact of consolidating certain property owners’ associations, $2 million of activity related to the accrual for health and welfare costs for furloughed associates, and $1 million of miscellaneous other adjustments.</w:t>
      </w:r>
    </w:p>
    <w:p>
      <w:pPr>
        <w:spacing w:after="0" w:line="22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Adjusted EBITDA</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Third Quarter</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7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6"/>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13"/>
                <w:szCs w:val="13"/>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6"/>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46"/>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Exchange &amp; Third-Party Management</w:t>
            </w: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0" w:type="dxa"/>
            <w:vAlign w:val="bottom"/>
            <w:tcBorders>
              <w:bottom w:val="single" w:sz="8" w:color="CCEEFF"/>
            </w:tcBorders>
            <w:gridSpan w:val="2"/>
          </w:tcPr>
          <w:p>
            <w:pPr>
              <w:jc w:val="center"/>
              <w:ind w:left="34"/>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6"/>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Segment adjusted EBITDA</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46"/>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0" w:type="dxa"/>
            <w:vAlign w:val="bottom"/>
            <w:tcBorders>
              <w:bottom w:val="single" w:sz="8" w:color="CCEEFF"/>
            </w:tcBorders>
            <w:gridSpan w:val="2"/>
          </w:tcPr>
          <w:p>
            <w:pPr>
              <w:jc w:val="center"/>
              <w:ind w:left="34"/>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38"/>
        </w:trPr>
        <w:tc>
          <w:tcPr>
            <w:tcW w:w="3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Adjusted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0" w:type="dxa"/>
            <w:vAlign w:val="bottom"/>
            <w:tcBorders>
              <w:bottom w:val="single" w:sz="8" w:color="CCEEFF"/>
            </w:tcBorders>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We recognized an additional $44 million of Adjusted EBITDA in the Vacation Ownership segment during the three months ended September 30, 2022, as a result of the Alignment.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First Three Quarters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7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260"/>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36"/>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13"/>
                <w:szCs w:val="13"/>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6"/>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center"/>
              <w:ind w:left="617"/>
              <w:spacing w:after="0"/>
              <w:rPr>
                <w:sz w:val="20"/>
                <w:szCs w:val="20"/>
                <w:color w:val="auto"/>
              </w:rPr>
            </w:pPr>
            <w:r>
              <w:rPr>
                <w:rFonts w:ascii="Times New Roman" w:cs="Times New Roman" w:eastAsia="Times New Roman" w:hAnsi="Times New Roman"/>
                <w:sz w:val="17"/>
                <w:szCs w:val="17"/>
                <w:color w:val="auto"/>
              </w:rPr>
              <w:t>772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center"/>
              <w:ind w:left="616"/>
              <w:spacing w:after="0"/>
              <w:rPr>
                <w:sz w:val="20"/>
                <w:szCs w:val="20"/>
                <w:color w:val="auto"/>
              </w:rPr>
            </w:pPr>
            <w:r>
              <w:rPr>
                <w:rFonts w:ascii="Times New Roman" w:cs="Times New Roman" w:eastAsia="Times New Roman" w:hAnsi="Times New Roman"/>
                <w:sz w:val="17"/>
                <w:szCs w:val="17"/>
                <w:color w:val="auto"/>
              </w:rPr>
              <w:t>465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00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46"/>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Exchange &amp; Third-Party Management</w:t>
            </w: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left="617"/>
              <w:spacing w:after="0"/>
              <w:rPr>
                <w:sz w:val="20"/>
                <w:szCs w:val="20"/>
                <w:color w:val="auto"/>
              </w:rPr>
            </w:pPr>
            <w:r>
              <w:rPr>
                <w:rFonts w:ascii="Times New Roman" w:cs="Times New Roman" w:eastAsia="Times New Roman" w:hAnsi="Times New Roman"/>
                <w:sz w:val="17"/>
                <w:szCs w:val="17"/>
                <w:color w:val="auto"/>
              </w:rPr>
              <w:t>117</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left="616"/>
              <w:spacing w:after="0"/>
              <w:rPr>
                <w:sz w:val="20"/>
                <w:szCs w:val="20"/>
                <w:color w:val="auto"/>
              </w:rPr>
            </w:pPr>
            <w:r>
              <w:rPr>
                <w:rFonts w:ascii="Times New Roman" w:cs="Times New Roman" w:eastAsia="Times New Roman" w:hAnsi="Times New Roman"/>
                <w:sz w:val="17"/>
                <w:szCs w:val="17"/>
                <w:color w:val="auto"/>
              </w:rPr>
              <w:t>113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0" w:type="dxa"/>
            <w:vAlign w:val="bottom"/>
            <w:tcBorders>
              <w:bottom w:val="single" w:sz="8" w:color="CCEEFF"/>
            </w:tcBorders>
            <w:gridSpan w:val="2"/>
          </w:tcPr>
          <w:p>
            <w:pPr>
              <w:jc w:val="center"/>
              <w:ind w:left="34"/>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6"/>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Segment adjusted EBITDA</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17"/>
              <w:spacing w:after="0"/>
              <w:rPr>
                <w:sz w:val="20"/>
                <w:szCs w:val="20"/>
                <w:color w:val="auto"/>
              </w:rPr>
            </w:pPr>
            <w:r>
              <w:rPr>
                <w:rFonts w:ascii="Times New Roman" w:cs="Times New Roman" w:eastAsia="Times New Roman" w:hAnsi="Times New Roman"/>
                <w:sz w:val="17"/>
                <w:szCs w:val="17"/>
                <w:color w:val="auto"/>
              </w:rPr>
              <w:t>889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16"/>
              <w:spacing w:after="0"/>
              <w:rPr>
                <w:sz w:val="20"/>
                <w:szCs w:val="20"/>
                <w:color w:val="auto"/>
              </w:rPr>
            </w:pPr>
            <w:r>
              <w:rPr>
                <w:rFonts w:ascii="Times New Roman" w:cs="Times New Roman" w:eastAsia="Times New Roman" w:hAnsi="Times New Roman"/>
                <w:sz w:val="17"/>
                <w:szCs w:val="17"/>
                <w:color w:val="auto"/>
              </w:rPr>
              <w:t>578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00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46"/>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left="597"/>
              <w:spacing w:after="0"/>
              <w:rPr>
                <w:sz w:val="20"/>
                <w:szCs w:val="20"/>
                <w:color w:val="auto"/>
              </w:rPr>
            </w:pPr>
            <w:r>
              <w:rPr>
                <w:rFonts w:ascii="Times New Roman" w:cs="Times New Roman" w:eastAsia="Times New Roman" w:hAnsi="Times New Roman"/>
                <w:sz w:val="17"/>
                <w:szCs w:val="17"/>
                <w:color w:val="auto"/>
                <w:w w:val="97"/>
              </w:rPr>
              <w:t>(162)</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left="576"/>
              <w:spacing w:after="0"/>
              <w:rPr>
                <w:sz w:val="20"/>
                <w:szCs w:val="20"/>
                <w:color w:val="auto"/>
              </w:rPr>
            </w:pPr>
            <w:r>
              <w:rPr>
                <w:rFonts w:ascii="Times New Roman" w:cs="Times New Roman" w:eastAsia="Times New Roman" w:hAnsi="Times New Roman"/>
                <w:sz w:val="17"/>
                <w:szCs w:val="17"/>
                <w:color w:val="auto"/>
              </w:rPr>
              <w:t>(140)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0" w:type="dxa"/>
            <w:vAlign w:val="bottom"/>
            <w:tcBorders>
              <w:bottom w:val="single" w:sz="8" w:color="CCEEFF"/>
            </w:tcBorders>
            <w:gridSpan w:val="2"/>
          </w:tcPr>
          <w:p>
            <w:pPr>
              <w:jc w:val="center"/>
              <w:ind w:left="34"/>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38"/>
        </w:trPr>
        <w:tc>
          <w:tcPr>
            <w:tcW w:w="3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Adjusted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center"/>
              <w:ind w:left="617"/>
              <w:spacing w:after="0"/>
              <w:rPr>
                <w:sz w:val="20"/>
                <w:szCs w:val="20"/>
                <w:color w:val="auto"/>
              </w:rPr>
            </w:pPr>
            <w:r>
              <w:rPr>
                <w:rFonts w:ascii="Times New Roman" w:cs="Times New Roman" w:eastAsia="Times New Roman" w:hAnsi="Times New Roman"/>
                <w:sz w:val="17"/>
                <w:szCs w:val="17"/>
                <w:color w:val="auto"/>
              </w:rPr>
              <w:t>727</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center"/>
              <w:ind w:left="616"/>
              <w:spacing w:after="0"/>
              <w:rPr>
                <w:sz w:val="20"/>
                <w:szCs w:val="20"/>
                <w:color w:val="auto"/>
              </w:rPr>
            </w:pPr>
            <w:r>
              <w:rPr>
                <w:rFonts w:ascii="Times New Roman" w:cs="Times New Roman" w:eastAsia="Times New Roman" w:hAnsi="Times New Roman"/>
                <w:sz w:val="17"/>
                <w:szCs w:val="17"/>
                <w:color w:val="auto"/>
              </w:rPr>
              <w:t>438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000" w:type="dxa"/>
            <w:vAlign w:val="bottom"/>
            <w:tcBorders>
              <w:bottom w:val="single" w:sz="8" w:color="CCEEFF"/>
            </w:tcBorders>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7"/>
          <w:szCs w:val="17"/>
          <w:color w:val="auto"/>
        </w:rPr>
        <w:t>We recognized an additional $44 million of Adjusted EBITDA in the Vacation Ownership segment during the nine months ended September 30, 2022, as a result of the Alignment.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present Adjusted EBITDA for our reportable segments reconciled to segment financial results attributable to common shareholders.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Vacation Ownership</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Third Quarter</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7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6"/>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13"/>
                <w:szCs w:val="13"/>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6"/>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adjusted EBITDA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46"/>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0" w:type="dxa"/>
            <w:vAlign w:val="bottom"/>
            <w:gridSpan w:val="2"/>
          </w:tcPr>
          <w:p>
            <w:pPr>
              <w:jc w:val="center"/>
              <w:ind w:left="34"/>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4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46"/>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Certain items</w:t>
            </w: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0" w:type="dxa"/>
            <w:vAlign w:val="bottom"/>
            <w:tcBorders>
              <w:bottom w:val="single" w:sz="8" w:color="CCEEFF"/>
            </w:tcBorders>
            <w:gridSpan w:val="2"/>
          </w:tcPr>
          <w:p>
            <w:pPr>
              <w:jc w:val="center"/>
              <w:ind w:left="34"/>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149"/>
        </w:trPr>
        <w:tc>
          <w:tcPr>
            <w:tcW w:w="37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Segment financial results attributable to common</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4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shareholders</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We recognized an additional $44 million of Adjusted EBITDA in the Vacation Ownership segment during the three months ended September 30, 2022, as a result of the Alignment.</w:t>
      </w:r>
    </w:p>
    <w:p>
      <w:pPr>
        <w:spacing w:after="0" w:line="43"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7"/>
          <w:szCs w:val="17"/>
          <w:color w:val="auto"/>
        </w:rPr>
        <w:t>Certain items in the Vacation Ownership segment for the third quarter of 2022 consisted of $6 million of revenue associated with expired or forfeited deposits on pre-acquisition preview packages, $2 million of non-income tax related adjustments to the receivable for the indemnification we expect to receive from Marriott International, and $1 million of foreign currency translation, partially offset by $5 million of purchase accounting adjustments, $3 million of miscellaneous other adjustments, $2 million of litigation charges, $2 million of miscellaneous other transaction costs, and $1 million of impairment charge.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Certain items in the Vacation Ownership segment for the third quarter of 2021 consisted primarily of $5 million of purchase accounting adjustments.</w:t>
      </w:r>
    </w:p>
    <w:p>
      <w:pPr>
        <w:spacing w:after="0" w:line="28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First Three Quarters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7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6"/>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Change</w:t>
            </w:r>
          </w:p>
        </w:tc>
        <w:tc>
          <w:tcPr>
            <w:tcW w:w="0" w:type="dxa"/>
            <w:vAlign w:val="bottom"/>
          </w:tcPr>
          <w:p>
            <w:pPr>
              <w:spacing w:after="0"/>
              <w:rPr>
                <w:sz w:val="1"/>
                <w:szCs w:val="1"/>
                <w:color w:val="auto"/>
              </w:rPr>
            </w:pPr>
          </w:p>
        </w:tc>
      </w:tr>
      <w:tr>
        <w:trPr>
          <w:trHeight w:val="206"/>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adjusted EBITDA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00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46"/>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0" w:type="dxa"/>
            <w:vAlign w:val="bottom"/>
            <w:gridSpan w:val="2"/>
          </w:tcPr>
          <w:p>
            <w:pPr>
              <w:jc w:val="center"/>
              <w:ind w:left="34"/>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4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46"/>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Certain items</w:t>
            </w: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156"/>
        </w:trPr>
        <w:tc>
          <w:tcPr>
            <w:tcW w:w="37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7"/>
                <w:szCs w:val="17"/>
                <w:color w:val="auto"/>
              </w:rPr>
              <w:t>Segment financial results attributable to common</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14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shareholders</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right="80"/>
        <w:spacing w:after="0" w:line="292" w:lineRule="auto"/>
        <w:rPr>
          <w:sz w:val="20"/>
          <w:szCs w:val="20"/>
          <w:color w:val="auto"/>
        </w:rPr>
      </w:pPr>
      <w:r>
        <w:rPr>
          <w:rFonts w:ascii="Times New Roman" w:cs="Times New Roman" w:eastAsia="Times New Roman" w:hAnsi="Times New Roman"/>
          <w:sz w:val="17"/>
          <w:szCs w:val="17"/>
          <w:color w:val="auto"/>
        </w:rPr>
        <w:t>We recognized an additional $44 million of Adjusted EBITDA in the Vacation Ownership segment during the nine months ended September 30, 2022, as a result of the Alignment.</w:t>
      </w:r>
    </w:p>
    <w:p>
      <w:pPr>
        <w:spacing w:after="0" w:line="43"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Certain items in the Vacation Ownership segment for the first three quarters of 2022 consisted primarily of $36 million of gains and other income, net (including $33 million related to the strategic decision to dispose of our hotel in Puerto Vallarta, Mexico, and $3 million related to business interruption insurance proceeds), $6 million of revenue associated with expired or forfeited deposits on pre-acquisition preview packages, and $5 million of non-income tax related adjustments to the receivable for the indemnification we expect to receive from Marriott International, partially offset by $13 million of purchase accounting adjustments, $7 million of litigation charges, and $3 million of miscellaneous other transaction costs, $3 million of miscellaneous other adjustments, and $1 million of impairment charge.</w:t>
      </w:r>
    </w:p>
    <w:p>
      <w:pPr>
        <w:spacing w:after="0" w:line="277"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7"/>
          <w:szCs w:val="17"/>
          <w:color w:val="auto"/>
        </w:rPr>
        <w:t>Certain items in the Vacation Ownership segment for the first three quarters of 2021 consisted primarily of $7 million of litigation charges, $7 million of purchase accounting adjustments, and $2 million of miscellaneous other transaction costs, partially offset by $1 million of miscellaneous other adjustments.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Exchange &amp; Third-Party Management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Third Quarter</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7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6"/>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Change</w:t>
            </w:r>
          </w:p>
        </w:tc>
        <w:tc>
          <w:tcPr>
            <w:tcW w:w="0" w:type="dxa"/>
            <w:vAlign w:val="bottom"/>
          </w:tcPr>
          <w:p>
            <w:pPr>
              <w:spacing w:after="0"/>
              <w:rPr>
                <w:sz w:val="1"/>
                <w:szCs w:val="1"/>
                <w:color w:val="auto"/>
              </w:rPr>
            </w:pPr>
          </w:p>
        </w:tc>
      </w:tr>
      <w:tr>
        <w:trPr>
          <w:trHeight w:val="206"/>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adjusted EBITDA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39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46"/>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tcPr>
          <w:p>
            <w:pPr>
              <w:spacing w:after="0"/>
              <w:rPr>
                <w:sz w:val="21"/>
                <w:szCs w:val="21"/>
                <w:color w:val="auto"/>
              </w:rPr>
            </w:pPr>
          </w:p>
        </w:tc>
        <w:tc>
          <w:tcPr>
            <w:tcW w:w="11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0" w:type="dxa"/>
            <w:vAlign w:val="bottom"/>
            <w:gridSpan w:val="2"/>
          </w:tcPr>
          <w:p>
            <w:pPr>
              <w:jc w:val="center"/>
              <w:ind w:left="34"/>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4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46"/>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Certain items</w:t>
            </w: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149"/>
        </w:trPr>
        <w:tc>
          <w:tcPr>
            <w:tcW w:w="37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Segment financial results attributable to common</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vMerge w:val="restart"/>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29</w:t>
            </w:r>
          </w:p>
        </w:tc>
        <w:tc>
          <w:tcPr>
            <w:tcW w:w="14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shareholders</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right="240"/>
        <w:spacing w:after="0" w:line="292" w:lineRule="auto"/>
        <w:rPr>
          <w:sz w:val="20"/>
          <w:szCs w:val="20"/>
          <w:color w:val="auto"/>
        </w:rPr>
      </w:pPr>
      <w:r>
        <w:rPr>
          <w:rFonts w:ascii="Times New Roman" w:cs="Times New Roman" w:eastAsia="Times New Roman" w:hAnsi="Times New Roman"/>
          <w:sz w:val="17"/>
          <w:szCs w:val="17"/>
          <w:color w:val="auto"/>
        </w:rPr>
        <w:t>Certain items for the Exchange &amp; Third-Party Management segment for the third quarter of 2022 consisted of $2 million of foreign currency translation losses, partially offset by $1 million of gains and other income related to the strategic disposition of our VRI Americas business.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Certain items for the Exchange &amp; Third-Party Management segment for the third quarter of 2021 consisted of $1 million of COVID-19 related restructuring.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First Three Quarters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7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6"/>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Change</w:t>
            </w:r>
          </w:p>
        </w:tc>
        <w:tc>
          <w:tcPr>
            <w:tcW w:w="28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adjusted EBITDA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2%</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0" w:type="dxa"/>
            <w:vAlign w:val="bottom"/>
            <w:gridSpan w:val="2"/>
          </w:tcPr>
          <w:p>
            <w:pPr>
              <w:jc w:val="center"/>
              <w:ind w:left="34"/>
              <w:spacing w:after="0"/>
              <w:rPr>
                <w:sz w:val="20"/>
                <w:szCs w:val="20"/>
                <w:color w:val="auto"/>
              </w:rPr>
            </w:pPr>
            <w:r>
              <w:rPr>
                <w:rFonts w:ascii="Times New Roman" w:cs="Times New Roman" w:eastAsia="Times New Roman" w:hAnsi="Times New Roman"/>
                <w:sz w:val="17"/>
                <w:szCs w:val="17"/>
                <w:color w:val="auto"/>
              </w:rPr>
              <w:t>40%</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(18%)</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Certain items</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21"/>
                <w:szCs w:val="21"/>
                <w:color w:val="auto"/>
              </w:rPr>
            </w:pPr>
          </w:p>
        </w:tc>
        <w:tc>
          <w:tcPr>
            <w:tcW w:w="3720" w:type="dxa"/>
            <w:vAlign w:val="bottom"/>
            <w:gridSpan w:val="2"/>
          </w:tcPr>
          <w:p>
            <w:pPr>
              <w:jc w:val="center"/>
              <w:ind w:right="2840"/>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149"/>
        </w:trPr>
        <w:tc>
          <w:tcPr>
            <w:tcW w:w="3700" w:type="dxa"/>
            <w:vAlign w:val="bottom"/>
            <w:tcBorders>
              <w:top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Segment financial results attributable to common</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shareholders</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50%</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rPr>
              <w:t>54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3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40"/>
        <w:spacing w:after="0" w:line="273" w:lineRule="auto"/>
        <w:rPr>
          <w:sz w:val="20"/>
          <w:szCs w:val="20"/>
          <w:color w:val="auto"/>
        </w:rPr>
      </w:pPr>
      <w:r>
        <w:rPr>
          <w:rFonts w:ascii="Times New Roman" w:cs="Times New Roman" w:eastAsia="Times New Roman" w:hAnsi="Times New Roman"/>
          <w:sz w:val="17"/>
          <w:szCs w:val="17"/>
          <w:color w:val="auto"/>
        </w:rPr>
        <w:t>Certain items for the Exchange &amp; Third-Party Management segment for the first three quarters of 2022 consisted of $17 million of gains and other income related to the strategic disposition of our VRI Americas business and $2 million of revenue associated with an early termination of a VRI management contract, partially offset by $2 million of foreign currency translation losses.</w:t>
      </w:r>
    </w:p>
    <w:p>
      <w:pPr>
        <w:spacing w:after="0" w:line="59" w:lineRule="exact"/>
        <w:rPr>
          <w:sz w:val="20"/>
          <w:szCs w:val="20"/>
          <w:color w:val="auto"/>
        </w:rPr>
      </w:pPr>
    </w:p>
    <w:p>
      <w:pPr>
        <w:ind w:right="960"/>
        <w:spacing w:after="0" w:line="292" w:lineRule="auto"/>
        <w:rPr>
          <w:sz w:val="20"/>
          <w:szCs w:val="20"/>
          <w:color w:val="auto"/>
        </w:rPr>
      </w:pPr>
      <w:r>
        <w:rPr>
          <w:rFonts w:ascii="Times New Roman" w:cs="Times New Roman" w:eastAsia="Times New Roman" w:hAnsi="Times New Roman"/>
          <w:sz w:val="17"/>
          <w:szCs w:val="17"/>
          <w:color w:val="auto"/>
        </w:rPr>
        <w:t>Certain items for the Exchange &amp; Third-Party Management segment for the first three quarters of 2021 consisted of $1 million of COVID-19 related restructuring.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Segments</w:t>
      </w:r>
    </w:p>
    <w:p>
      <w:pPr>
        <w:spacing w:after="0" w:line="118" w:lineRule="exact"/>
        <w:rPr>
          <w:sz w:val="20"/>
          <w:szCs w:val="20"/>
          <w:color w:val="auto"/>
        </w:rPr>
      </w:pPr>
    </w:p>
    <w:p>
      <w:pPr>
        <w:ind w:right="460"/>
        <w:spacing w:after="0" w:line="292" w:lineRule="auto"/>
        <w:rPr>
          <w:sz w:val="20"/>
          <w:szCs w:val="20"/>
          <w:color w:val="auto"/>
        </w:rPr>
      </w:pPr>
      <w:r>
        <w:rPr>
          <w:rFonts w:ascii="Times New Roman" w:cs="Times New Roman" w:eastAsia="Times New Roman" w:hAnsi="Times New Roman"/>
          <w:sz w:val="17"/>
          <w:szCs w:val="17"/>
          <w:color w:val="auto"/>
        </w:rPr>
        <w:t>Our business is grouped into two reportable business segments: Vacation Ownership and Exchange &amp; Third-Party Management. See Footnote 17 “Business Segments” to our Financial Statements for further information on our segments.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Vacation Ownership</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8"/>
                <w:szCs w:val="18"/>
                <w:color w:val="auto"/>
              </w:rPr>
            </w:pPr>
          </w:p>
        </w:tc>
        <w:tc>
          <w:tcPr>
            <w:tcW w:w="530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51"/>
        </w:trPr>
        <w:tc>
          <w:tcPr>
            <w:tcW w:w="3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54"/>
              <w:spacing w:after="0" w:line="152"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54"/>
              <w:spacing w:after="0" w:line="152"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2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4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1,179</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789</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Resort management and other services</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Rental</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Financing</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1,026</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882</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3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974</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3,229</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2,518</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of vacation ownership products</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Marketing and sales</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Resort management and other services</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Rental</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Financing</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Litigation charges</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Restructuring</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3940" w:type="dxa"/>
            <w:vAlign w:val="bottom"/>
            <w:gridSpan w:val="2"/>
          </w:tcPr>
          <w:p>
            <w:pPr>
              <w:jc w:val="right"/>
              <w:ind w:right="29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6"/>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Royalty fee</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Impairment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940" w:type="dxa"/>
            <w:vAlign w:val="bottom"/>
            <w:gridSpan w:val="2"/>
          </w:tcPr>
          <w:p>
            <w:pPr>
              <w:jc w:val="right"/>
              <w:ind w:right="29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6"/>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1,026</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31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789</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2,542</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2,138</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Gains and other income, net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Transaction and integration costs</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312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b w:val="1"/>
                <w:bCs w:val="1"/>
                <w:color w:val="auto"/>
              </w:rPr>
              <w:t>SEGMENT FINANCIAL RESULTS</w:t>
            </w: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b w:val="1"/>
                <w:bCs w:val="1"/>
                <w:color w:val="auto"/>
              </w:rPr>
              <w:t>ATTRIBUTABLE TO COMMON</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2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4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14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12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b w:val="1"/>
                <w:bCs w:val="1"/>
                <w:color w:val="auto"/>
              </w:rPr>
              <w:t>SHAREHOLDERS</w:t>
            </w:r>
          </w:p>
        </w:tc>
        <w:tc>
          <w:tcPr>
            <w:tcW w:w="1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55</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3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 Sales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Third Quarter</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6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260"/>
              <w:spacing w:after="0" w:line="152"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36"/>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0" w:type="dxa"/>
            <w:vAlign w:val="bottom"/>
          </w:tcPr>
          <w:p>
            <w:pPr>
              <w:spacing w:after="0"/>
              <w:rPr>
                <w:sz w:val="13"/>
                <w:szCs w:val="13"/>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6"/>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consolidated contract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483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2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59"/>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Joint venture contract sales</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20" w:type="dxa"/>
            <w:vAlign w:val="bottom"/>
            <w:tcBorders>
              <w:bottom w:val="single" w:sz="8" w:color="CCEEFF"/>
            </w:tcBorders>
            <w:gridSpan w:val="2"/>
          </w:tcPr>
          <w:p>
            <w:pPr>
              <w:jc w:val="center"/>
              <w:ind w:left="54"/>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38"/>
        </w:trPr>
        <w:tc>
          <w:tcPr>
            <w:tcW w:w="3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contract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492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20" w:type="dxa"/>
            <w:vAlign w:val="bottom"/>
            <w:tcBorders>
              <w:bottom w:val="single" w:sz="8" w:color="CCEEFF"/>
            </w:tcBorders>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i w:val="1"/>
                <w:iCs w:val="1"/>
                <w:color w:val="auto"/>
              </w:rPr>
              <w:t>2022 First Three Quarters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3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3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2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Nine Months Ended</w:t>
            </w: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1"/>
        </w:trPr>
        <w:tc>
          <w:tcPr>
            <w:tcW w:w="36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260"/>
              <w:spacing w:after="0" w:line="152"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36"/>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0" w:type="dxa"/>
            <w:vAlign w:val="bottom"/>
          </w:tcPr>
          <w:p>
            <w:pPr>
              <w:spacing w:after="0"/>
              <w:rPr>
                <w:sz w:val="13"/>
                <w:szCs w:val="13"/>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6"/>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consolidated contract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1,383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102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59"/>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Joint venture contract sales</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gridSpan w:val="2"/>
          </w:tcPr>
          <w:p>
            <w:pPr>
              <w:jc w:val="center"/>
              <w:ind w:left="54"/>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38"/>
        </w:trPr>
        <w:tc>
          <w:tcPr>
            <w:tcW w:w="3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contract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1,411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1020" w:type="dxa"/>
            <w:vAlign w:val="bottom"/>
            <w:tcBorders>
              <w:bottom w:val="single" w:sz="8" w:color="CCEEFF"/>
            </w:tcBorders>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Sale of Vacation Ownership Products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3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6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2022 Third Quarter</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2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36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260"/>
              <w:spacing w:after="0" w:line="152"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36"/>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0" w:type="dxa"/>
            <w:vAlign w:val="bottom"/>
          </w:tcPr>
          <w:p>
            <w:pPr>
              <w:spacing w:after="0"/>
              <w:rPr>
                <w:sz w:val="13"/>
                <w:szCs w:val="13"/>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6"/>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contract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492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2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46"/>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resales contract sales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joint venture contract sales</w:t>
            </w: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Consolidated contract sales, net of resales</w:t>
            </w:r>
          </w:p>
        </w:tc>
        <w:tc>
          <w:tcPr>
            <w:tcW w:w="140" w:type="dxa"/>
            <w:vAlign w:val="bottom"/>
          </w:tcPr>
          <w:p>
            <w:pPr>
              <w:spacing w:after="0"/>
              <w:rPr>
                <w:sz w:val="19"/>
                <w:szCs w:val="19"/>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473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20" w:type="dxa"/>
            <w:vAlign w:val="bottom"/>
            <w:gridSpan w:val="2"/>
          </w:tcPr>
          <w:p>
            <w:pPr>
              <w:jc w:val="center"/>
              <w:ind w:left="54"/>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4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Plus:</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Settlement revenue</w:t>
            </w:r>
          </w:p>
        </w:tc>
        <w:tc>
          <w:tcPr>
            <w:tcW w:w="1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Resales revenue</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 recognition adjustments: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Reportability</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54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Sales reserve</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8"/>
                <w:szCs w:val="8"/>
                <w:color w:val="auto"/>
              </w:rPr>
              <w:t>(1)</w:t>
            </w: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444</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20" w:type="dxa"/>
            <w:vAlign w:val="bottom"/>
            <w:gridSpan w:val="2"/>
          </w:tcPr>
          <w:p>
            <w:pPr>
              <w:jc w:val="center"/>
              <w:ind w:left="54"/>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w:t>
      </w:r>
    </w:p>
    <w:p>
      <w:pPr>
        <w:spacing w:after="0" w:line="64" w:lineRule="exact"/>
        <w:rPr>
          <w:sz w:val="20"/>
          <w:szCs w:val="20"/>
          <w:color w:val="auto"/>
        </w:rPr>
      </w:pPr>
    </w:p>
    <w:p>
      <w:pPr>
        <w:ind w:left="320" w:right="400" w:hanging="316"/>
        <w:spacing w:after="0" w:line="231" w:lineRule="auto"/>
        <w:tabs>
          <w:tab w:leader="none" w:pos="308"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Adjustment for sales incentives that will not be recognized as Sale of vacation ownership products revenue and other adjustments to Sale of vacation ownership products revenue.</w:t>
      </w:r>
    </w:p>
    <w:p>
      <w:pPr>
        <w:spacing w:after="0" w:line="8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higher contract sales performance reflects the continued ramp-up of the business subsequent to the initial impact of the COVID-19 pandemic. Higher settlement revenues and sales incentives issued were driven by the higher contract sales volumes. The favorable reportability was primarily due to the Contract alignment that resulted in the prospective acceleration of revenue for Marriott-branded vacation ownership interests in connection with the unification of the Company’s Marriott-, Westin-, and Sheraton-branded vacation ownership products through the Abound by Marriott Vacations program of $46 million. The increase in the sales reserve included $19 million from the Reserve alignment, which was offset by a decrease in the acquired reserve for vacation ownership notes receivable recorded as a reduction of Financing expenses, and $14 million from the higher contract sales volumes and normal course adjustments to the sales reserve estimate. Excluding the impact of the Alignment, Sale of vacation ownership products increased $87 million and 26%.</w:t>
      </w:r>
    </w:p>
    <w:p>
      <w:pPr>
        <w:spacing w:after="0" w:line="24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00"/>
          </w:cols>
          <w:pgMar w:left="320" w:top="225" w:right="5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First Three Quarters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6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5"/>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Change</w:t>
            </w:r>
          </w:p>
        </w:tc>
        <w:tc>
          <w:tcPr>
            <w:tcW w:w="0" w:type="dxa"/>
            <w:vAlign w:val="bottom"/>
          </w:tcPr>
          <w:p>
            <w:pPr>
              <w:spacing w:after="0"/>
              <w:rPr>
                <w:sz w:val="1"/>
                <w:szCs w:val="1"/>
                <w:color w:val="auto"/>
              </w:rPr>
            </w:pPr>
          </w:p>
        </w:tc>
      </w:tr>
      <w:tr>
        <w:trPr>
          <w:trHeight w:val="206"/>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contract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1,411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102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46"/>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resales contract sales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joint venture contract sales</w:t>
            </w: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Consolidated contract sales, net of resales</w:t>
            </w:r>
          </w:p>
        </w:tc>
        <w:tc>
          <w:tcPr>
            <w:tcW w:w="140" w:type="dxa"/>
            <w:vAlign w:val="bottom"/>
          </w:tcPr>
          <w:p>
            <w:pPr>
              <w:spacing w:after="0"/>
              <w:rPr>
                <w:sz w:val="19"/>
                <w:szCs w:val="19"/>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1,353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1020" w:type="dxa"/>
            <w:vAlign w:val="bottom"/>
            <w:gridSpan w:val="2"/>
          </w:tcPr>
          <w:p>
            <w:pPr>
              <w:jc w:val="center"/>
              <w:ind w:left="54"/>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4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Plus:</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Settlement revenue</w:t>
            </w:r>
          </w:p>
        </w:tc>
        <w:tc>
          <w:tcPr>
            <w:tcW w:w="1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Resales revenue</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 recognition adjustments: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Reportability</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Sales reserve</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8"/>
                <w:szCs w:val="8"/>
                <w:color w:val="auto"/>
              </w:rPr>
              <w:t>(1)</w:t>
            </w: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1,179</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789</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1020" w:type="dxa"/>
            <w:vAlign w:val="bottom"/>
            <w:gridSpan w:val="2"/>
          </w:tcPr>
          <w:p>
            <w:pPr>
              <w:jc w:val="center"/>
              <w:ind w:left="54"/>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w:t>
      </w:r>
    </w:p>
    <w:p>
      <w:pPr>
        <w:spacing w:after="0" w:line="64" w:lineRule="exact"/>
        <w:rPr>
          <w:sz w:val="20"/>
          <w:szCs w:val="20"/>
          <w:color w:val="auto"/>
        </w:rPr>
      </w:pPr>
    </w:p>
    <w:p>
      <w:pPr>
        <w:ind w:left="320" w:right="580" w:hanging="316"/>
        <w:spacing w:after="0" w:line="231" w:lineRule="auto"/>
        <w:tabs>
          <w:tab w:leader="none" w:pos="308"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Adjustment for sales incentives that will not be recognized as Sale of vacation ownership products revenue and other adjustments to Sale of vacation ownership products revenue.</w:t>
      </w:r>
    </w:p>
    <w:p>
      <w:pPr>
        <w:spacing w:after="0" w:line="8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The higher contract sales performance reflects $380 million from the continued ramp-up of the business subsequent to the initial impact of the COVID-19 pandemic and $24 million of Welk contract sales in the first quarter of 2022, which we acquired in the second quarter of 2021. Higher settlement and resales revenues and sales incentives issued were driven by the higher contract sales volumes as well as the Welk Acquisition. The favorable reportability was due to $46 million from the Contract alignment that resulted in the prospective acceleration of revenue for Marriott-branded vacation ownership interests in connection with the unification of the Company’s Marriott-, Westin-, and Sheraton-branded vacation ownership products through the Abound by Marriott Vacations program and $12 million from a favorable change in reportability compared to the prior year. The increase in the sales reserve included $38 million from the higher contract sales volumes and normal course adjustments to the sales reserve estimate and $19 million from the Reserve alignment, which was offset by a decrease in the acquired reserve for vacation ownership notes receivable recorded as a reduction of Financing expenses. Excluding the impact of the Alignment, Sale of vacation ownership products increased $363 million and 46%.</w:t>
      </w:r>
    </w:p>
    <w:p>
      <w:pPr>
        <w:spacing w:after="0" w:line="22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Development Profit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Third Quarter</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6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6"/>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0" w:type="dxa"/>
            <w:vAlign w:val="bottom"/>
          </w:tcPr>
          <w:p>
            <w:pPr>
              <w:spacing w:after="0"/>
              <w:rPr>
                <w:sz w:val="13"/>
                <w:szCs w:val="13"/>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6"/>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444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2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46"/>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vacation ownership products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20" w:type="dxa"/>
            <w:vAlign w:val="bottom"/>
            <w:gridSpan w:val="2"/>
          </w:tcPr>
          <w:p>
            <w:pPr>
              <w:jc w:val="center"/>
              <w:ind w:left="54"/>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4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Marketing and sales</w:t>
            </w: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2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13"/>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Development profit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161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20" w:type="dxa"/>
            <w:vAlign w:val="bottom"/>
            <w:gridSpan w:val="2"/>
          </w:tcPr>
          <w:p>
            <w:pPr>
              <w:jc w:val="center"/>
              <w:ind w:left="54"/>
              <w:spacing w:after="0"/>
              <w:rPr>
                <w:sz w:val="20"/>
                <w:szCs w:val="20"/>
                <w:color w:val="auto"/>
              </w:rPr>
            </w:pPr>
            <w:r>
              <w:rPr>
                <w:rFonts w:ascii="Times New Roman" w:cs="Times New Roman" w:eastAsia="Times New Roman" w:hAnsi="Times New Roman"/>
                <w:sz w:val="17"/>
                <w:szCs w:val="17"/>
                <w:color w:val="auto"/>
              </w:rPr>
              <w:t>73%</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Development profit margin</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7"/>
                <w:szCs w:val="17"/>
                <w:color w:val="auto"/>
              </w:rPr>
              <w:t>36.1%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rPr>
              <w:t>28.0%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8.1 pts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The increase in Development profit reflects $41 million of favorable revenue reportability (including $39 million of profit acceleration from the Contract alignment), $20 million as a result of higher contract sales volumes net of the sales reserve and direct variable expenses (i.e., cost of vacation ownership products and marketing and sales), $15 million from a favorable mix of lower cost inventory being sold, and $6 million of lower marketing and sales associated with expired or forfeited deposits on pre-acquisition preview packages, partially offset by a $14 million negative impact to development profit from the Reserve alignment. Excluding the impact of the Alignment, Development profit increased $43 million and Development profit margin increased to 32.6%.</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First Three Quarters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6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0" w:type="dxa"/>
            <w:vAlign w:val="bottom"/>
          </w:tcPr>
          <w:p>
            <w:pPr>
              <w:spacing w:after="0"/>
              <w:rPr>
                <w:sz w:val="13"/>
                <w:szCs w:val="13"/>
                <w:color w:val="auto"/>
              </w:rPr>
            </w:pPr>
          </w:p>
        </w:tc>
        <w:tc>
          <w:tcPr>
            <w:tcW w:w="880" w:type="dxa"/>
            <w:vAlign w:val="bottom"/>
            <w:vMerge w:val="restart"/>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6"/>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1,179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center"/>
              <w:ind w:left="616"/>
              <w:spacing w:after="0"/>
              <w:rPr>
                <w:sz w:val="20"/>
                <w:szCs w:val="20"/>
                <w:color w:val="auto"/>
              </w:rPr>
            </w:pPr>
            <w:r>
              <w:rPr>
                <w:rFonts w:ascii="Times New Roman" w:cs="Times New Roman" w:eastAsia="Times New Roman" w:hAnsi="Times New Roman"/>
                <w:sz w:val="17"/>
                <w:szCs w:val="17"/>
                <w:color w:val="auto"/>
              </w:rPr>
              <w:t>789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102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46"/>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vacation ownership products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center"/>
              <w:ind w:left="596"/>
              <w:spacing w:after="0"/>
              <w:rPr>
                <w:sz w:val="20"/>
                <w:szCs w:val="20"/>
                <w:color w:val="auto"/>
              </w:rPr>
            </w:pPr>
            <w:r>
              <w:rPr>
                <w:rFonts w:ascii="Times New Roman" w:cs="Times New Roman" w:eastAsia="Times New Roman" w:hAnsi="Times New Roman"/>
                <w:sz w:val="17"/>
                <w:szCs w:val="17"/>
                <w:color w:val="auto"/>
                <w:w w:val="97"/>
              </w:rPr>
              <w:t>(178)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2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4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Marketing and sales</w:t>
            </w: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center"/>
              <w:ind w:left="596"/>
              <w:spacing w:after="0"/>
              <w:rPr>
                <w:sz w:val="20"/>
                <w:szCs w:val="20"/>
                <w:color w:val="auto"/>
              </w:rPr>
            </w:pPr>
            <w:r>
              <w:rPr>
                <w:rFonts w:ascii="Times New Roman" w:cs="Times New Roman" w:eastAsia="Times New Roman" w:hAnsi="Times New Roman"/>
                <w:sz w:val="17"/>
                <w:szCs w:val="17"/>
                <w:color w:val="auto"/>
                <w:w w:val="97"/>
              </w:rPr>
              <w:t>(439)</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13"/>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Development profit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360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center"/>
              <w:ind w:left="616"/>
              <w:spacing w:after="0"/>
              <w:rPr>
                <w:sz w:val="20"/>
                <w:szCs w:val="20"/>
                <w:color w:val="auto"/>
              </w:rPr>
            </w:pPr>
            <w:r>
              <w:rPr>
                <w:rFonts w:ascii="Times New Roman" w:cs="Times New Roman" w:eastAsia="Times New Roman" w:hAnsi="Times New Roman"/>
                <w:sz w:val="17"/>
                <w:szCs w:val="17"/>
                <w:color w:val="auto"/>
              </w:rPr>
              <w:t>172</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40" w:type="dxa"/>
            <w:vAlign w:val="bottom"/>
          </w:tcPr>
          <w:p>
            <w:pPr>
              <w:spacing w:after="0"/>
              <w:rPr>
                <w:sz w:val="18"/>
                <w:szCs w:val="18"/>
                <w:color w:val="auto"/>
              </w:rPr>
            </w:pPr>
          </w:p>
        </w:tc>
        <w:tc>
          <w:tcPr>
            <w:tcW w:w="880" w:type="dxa"/>
            <w:vAlign w:val="bottom"/>
          </w:tcPr>
          <w:p>
            <w:pPr>
              <w:jc w:val="right"/>
              <w:ind w:right="218"/>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Development profit margin</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7"/>
                <w:szCs w:val="17"/>
                <w:color w:val="auto"/>
              </w:rPr>
              <w:t>30.5%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rPr>
              <w:t>21.8%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8.7 pts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The increase in Development profit reflects $113 million as a result of higher contract sales volumes net of the sales reserve and direct variable expenses (i.e., cost of vacation ownership products and marketing and sales), in part from continued strong VPGs and lower marketing and sales spending as a percentage of revenue, $45 million of favorable revenue reportability (including $39 million of profit acceleration from the Revenue alignment), $29 million from a favorable mix of lower cost inventory being sold, $9 million of favorable product cost true-up activity, and $6 million of lower marketing and sales associated with expired or forfeited deposits on pre-acquisition preview packages, partially offset by a $14 million negative impact to Development profit from the Reserve alignment. Excluding the impact of the Alignment, Development profit increased $163 million and Development profit margin increased to 29.1%.</w:t>
      </w:r>
    </w:p>
    <w:p>
      <w:pPr>
        <w:spacing w:after="0" w:line="22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Resort Management and Other Services Revenues, Expenses and Profit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Third Quarter</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6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6"/>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0" w:type="dxa"/>
            <w:vAlign w:val="bottom"/>
          </w:tcPr>
          <w:p>
            <w:pPr>
              <w:spacing w:after="0"/>
              <w:rPr>
                <w:sz w:val="13"/>
                <w:szCs w:val="13"/>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6"/>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Management fee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2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59"/>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Ancillary revenues</w:t>
            </w:r>
          </w:p>
        </w:tc>
        <w:tc>
          <w:tcPr>
            <w:tcW w:w="140" w:type="dxa"/>
            <w:vAlign w:val="bottom"/>
          </w:tcPr>
          <w:p>
            <w:pPr>
              <w:spacing w:after="0"/>
              <w:rPr>
                <w:sz w:val="22"/>
                <w:szCs w:val="22"/>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63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20" w:type="dxa"/>
            <w:vAlign w:val="bottom"/>
            <w:gridSpan w:val="2"/>
          </w:tcPr>
          <w:p>
            <w:pPr>
              <w:jc w:val="center"/>
              <w:ind w:left="54"/>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5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management and exchange revenues</w:t>
            </w: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Resort management and other services revenues</w:t>
            </w:r>
          </w:p>
        </w:tc>
        <w:tc>
          <w:tcPr>
            <w:tcW w:w="140" w:type="dxa"/>
            <w:vAlign w:val="bottom"/>
          </w:tcPr>
          <w:p>
            <w:pPr>
              <w:spacing w:after="0"/>
              <w:rPr>
                <w:sz w:val="20"/>
                <w:szCs w:val="20"/>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136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20" w:type="dxa"/>
            <w:vAlign w:val="bottom"/>
            <w:gridSpan w:val="2"/>
          </w:tcPr>
          <w:p>
            <w:pPr>
              <w:jc w:val="center"/>
              <w:ind w:left="54"/>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5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Resort management and other services expenses</w:t>
            </w: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2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13"/>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Resort management and other services profit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72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20" w:type="dxa"/>
            <w:vAlign w:val="bottom"/>
            <w:gridSpan w:val="2"/>
          </w:tcPr>
          <w:p>
            <w:pPr>
              <w:jc w:val="center"/>
              <w:ind w:left="54"/>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Resort management and other services profit margin</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rPr>
              <w:t>53.2%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rPr>
              <w:t>55.9%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(2.7 pts)</w:t>
            </w:r>
          </w:p>
        </w:tc>
        <w:tc>
          <w:tcPr>
            <w:tcW w:w="102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Resort management and other services revenues reflects higher ancillary revenues, including revenues from food and beverage and golf offerings, as a result of the continued ramp-up of the business subsequent to the initial impact of the COVID-19 pandemic, higher pricing, and higher management fees, attributed to budgeted expense increases at owners’ associations, as our management fees are largely calculated as a percentage of budgeted costs to operate resorts. Resort occupancies continued to increase subsequent to the initial impact of the pandemic as travel and tourism continues to recover. We expect travel, tourism, and resort occupancies to remain strong for the remainder of 2022.</w:t>
      </w:r>
    </w:p>
    <w:p>
      <w:pPr>
        <w:spacing w:after="0" w:line="66"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The increase in resort management and other services profit reflects $2 million of higher ancillary profit and higher management fee revenues, partially offset by higher customer services expenses due to wage increases and improvements in service levels. Ancillary profit margin remained in line with the prior year as we raised pricing and optimized our food and beverage offerings to offset wage pressures. We expect future ancillary profit margins to remain in line with recent results.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First Three Quarters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6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6"/>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0" w:type="dxa"/>
            <w:vAlign w:val="bottom"/>
          </w:tcPr>
          <w:p>
            <w:pPr>
              <w:spacing w:after="0"/>
              <w:rPr>
                <w:sz w:val="13"/>
                <w:szCs w:val="13"/>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6"/>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Management fee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124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2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59"/>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Ancillary revenues</w:t>
            </w:r>
          </w:p>
        </w:tc>
        <w:tc>
          <w:tcPr>
            <w:tcW w:w="140" w:type="dxa"/>
            <w:vAlign w:val="bottom"/>
          </w:tcPr>
          <w:p>
            <w:pPr>
              <w:spacing w:after="0"/>
              <w:rPr>
                <w:sz w:val="22"/>
                <w:szCs w:val="22"/>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183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20" w:type="dxa"/>
            <w:vAlign w:val="bottom"/>
            <w:gridSpan w:val="2"/>
          </w:tcPr>
          <w:p>
            <w:pPr>
              <w:jc w:val="center"/>
              <w:ind w:left="54"/>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5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management and exchange revenues</w:t>
            </w: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95</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2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39"/>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Resort management and other services revenues</w:t>
            </w:r>
          </w:p>
        </w:tc>
        <w:tc>
          <w:tcPr>
            <w:tcW w:w="140" w:type="dxa"/>
            <w:vAlign w:val="bottom"/>
          </w:tcPr>
          <w:p>
            <w:pPr>
              <w:spacing w:after="0"/>
              <w:rPr>
                <w:sz w:val="20"/>
                <w:szCs w:val="20"/>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20" w:type="dxa"/>
            <w:vAlign w:val="bottom"/>
            <w:gridSpan w:val="2"/>
          </w:tcPr>
          <w:p>
            <w:pPr>
              <w:jc w:val="center"/>
              <w:ind w:left="54"/>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5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Resort management and other services expenses</w:t>
            </w: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2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13"/>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Resort management and other services profit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224</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20" w:type="dxa"/>
            <w:vAlign w:val="bottom"/>
            <w:gridSpan w:val="2"/>
          </w:tcPr>
          <w:p>
            <w:pPr>
              <w:jc w:val="center"/>
              <w:ind w:left="54"/>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Resort management and other services profit margin</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rPr>
              <w:t>55.8%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rPr>
              <w:t>60.2%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(4.4 pts)</w:t>
            </w:r>
          </w:p>
        </w:tc>
        <w:tc>
          <w:tcPr>
            <w:tcW w:w="102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Resort management and other services revenues reflects higher ancillary revenues, including revenues from food and beverage and golf offerings, as a result of the continued ramp-up of the business subsequent to the initial impact of the COVID-19 pandemic and higher pricing, $6 million of revenues relating to the Welk Acquisition, which we acquired in the second quarter of 2021, and higher management fees.</w:t>
      </w:r>
    </w:p>
    <w:p>
      <w:pPr>
        <w:spacing w:after="0" w:line="5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The increase in resort management and other services profit reflects $11 million of higher ancillary profit and higher management fee revenues, partially offset by higher customer services expenses due to wage increases and improvements in service levels. Ancillary profit margin remained in line with the prior year as we raised pricing and optimized our food and beverage offerings to offset wage pressures. We expect future ancillary profit margins to remain in line with recent results.</w:t>
      </w:r>
    </w:p>
    <w:p>
      <w:pPr>
        <w:spacing w:after="0" w:line="21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Rental Revenues, Expenses and Profit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Third Quarter</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7"/>
          </w:tcPr>
          <w:p>
            <w:pPr>
              <w:ind w:left="4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6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37"/>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5"/>
              </w:rPr>
              <w:t>Change</w:t>
            </w:r>
          </w:p>
        </w:tc>
        <w:tc>
          <w:tcPr>
            <w:tcW w:w="140" w:type="dxa"/>
            <w:vAlign w:val="bottom"/>
          </w:tcPr>
          <w:p>
            <w:pPr>
              <w:spacing w:after="0"/>
              <w:rPr>
                <w:sz w:val="13"/>
                <w:szCs w:val="13"/>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6"/>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Rental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2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46"/>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Rental expenses</w:t>
            </w: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20" w:type="dxa"/>
            <w:vAlign w:val="bottom"/>
            <w:tcBorders>
              <w:bottom w:val="single" w:sz="8" w:color="CCEEFF"/>
            </w:tcBorders>
            <w:gridSpan w:val="2"/>
          </w:tcPr>
          <w:p>
            <w:pPr>
              <w:jc w:val="center"/>
              <w:ind w:left="54"/>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38"/>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Rental profit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Rental profit margin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18"/>
              <w:spacing w:after="0"/>
              <w:rPr>
                <w:sz w:val="20"/>
                <w:szCs w:val="20"/>
                <w:color w:val="auto"/>
              </w:rPr>
            </w:pPr>
            <w:r>
              <w:rPr>
                <w:rFonts w:ascii="Times New Roman" w:cs="Times New Roman" w:eastAsia="Times New Roman" w:hAnsi="Times New Roman"/>
                <w:sz w:val="17"/>
                <w:szCs w:val="17"/>
                <w:color w:val="auto"/>
              </w:rPr>
              <w:t>15.9%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37"/>
              <w:spacing w:after="0"/>
              <w:rPr>
                <w:sz w:val="20"/>
                <w:szCs w:val="20"/>
                <w:color w:val="auto"/>
              </w:rPr>
            </w:pPr>
            <w:r>
              <w:rPr>
                <w:rFonts w:ascii="Times New Roman" w:cs="Times New Roman" w:eastAsia="Times New Roman" w:hAnsi="Times New Roman"/>
                <w:sz w:val="17"/>
                <w:szCs w:val="17"/>
                <w:color w:val="auto"/>
              </w:rPr>
              <w:t>20.6%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center"/>
              <w:ind w:right="56"/>
              <w:spacing w:after="0"/>
              <w:rPr>
                <w:sz w:val="20"/>
                <w:szCs w:val="20"/>
                <w:color w:val="auto"/>
              </w:rPr>
            </w:pPr>
            <w:r>
              <w:rPr>
                <w:rFonts w:ascii="Times New Roman" w:cs="Times New Roman" w:eastAsia="Times New Roman" w:hAnsi="Times New Roman"/>
                <w:sz w:val="17"/>
                <w:szCs w:val="17"/>
                <w:color w:val="auto"/>
              </w:rPr>
              <w:t>(4.7 pts)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3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7"/>
          </w:tcPr>
          <w:p>
            <w:pPr>
              <w:ind w:left="4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6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ind w:left="40"/>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37"/>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5"/>
              </w:rPr>
              <w:t>Change</w:t>
            </w:r>
          </w:p>
        </w:tc>
        <w:tc>
          <w:tcPr>
            <w:tcW w:w="140" w:type="dxa"/>
            <w:vAlign w:val="bottom"/>
          </w:tcPr>
          <w:p>
            <w:pPr>
              <w:spacing w:after="0"/>
              <w:rPr>
                <w:sz w:val="13"/>
                <w:szCs w:val="13"/>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6"/>
        </w:trPr>
        <w:tc>
          <w:tcPr>
            <w:tcW w:w="36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Transient keys rented</w:t>
            </w:r>
            <w:r>
              <w:rPr>
                <w:rFonts w:ascii="Times New Roman" w:cs="Times New Roman" w:eastAsia="Times New Roman" w:hAnsi="Times New Roman"/>
                <w:sz w:val="10"/>
                <w:szCs w:val="10"/>
                <w:color w:val="auto"/>
              </w:rPr>
              <w:t>(1)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509,621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500,952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8,669</w:t>
            </w:r>
          </w:p>
        </w:tc>
        <w:tc>
          <w:tcPr>
            <w:tcW w:w="102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46"/>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Average transient rate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267.37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260.00</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7.37</w:t>
            </w:r>
          </w:p>
        </w:tc>
        <w:tc>
          <w:tcPr>
            <w:tcW w:w="1020" w:type="dxa"/>
            <w:vAlign w:val="bottom"/>
            <w:gridSpan w:val="2"/>
          </w:tcPr>
          <w:p>
            <w:pPr>
              <w:jc w:val="center"/>
              <w:ind w:left="54"/>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4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Resort occupancy</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98"/>
              <w:spacing w:after="0"/>
              <w:rPr>
                <w:sz w:val="20"/>
                <w:szCs w:val="20"/>
                <w:color w:val="auto"/>
              </w:rPr>
            </w:pPr>
            <w:r>
              <w:rPr>
                <w:rFonts w:ascii="Times New Roman" w:cs="Times New Roman" w:eastAsia="Times New Roman" w:hAnsi="Times New Roman"/>
                <w:sz w:val="17"/>
                <w:szCs w:val="17"/>
                <w:color w:val="auto"/>
              </w:rPr>
              <w:t>88.9%</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center"/>
              <w:ind w:right="37"/>
              <w:spacing w:after="0"/>
              <w:rPr>
                <w:sz w:val="20"/>
                <w:szCs w:val="20"/>
                <w:color w:val="auto"/>
              </w:rPr>
            </w:pPr>
            <w:r>
              <w:rPr>
                <w:rFonts w:ascii="Times New Roman" w:cs="Times New Roman" w:eastAsia="Times New Roman" w:hAnsi="Times New Roman"/>
                <w:sz w:val="17"/>
                <w:szCs w:val="17"/>
                <w:color w:val="auto"/>
              </w:rPr>
              <w:t>85.0%</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7"/>
                <w:szCs w:val="17"/>
                <w:color w:val="auto"/>
              </w:rPr>
              <w:t>3.9 pts</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37" w:lineRule="exact"/>
        <w:rPr>
          <w:sz w:val="20"/>
          <w:szCs w:val="20"/>
          <w:color w:val="auto"/>
        </w:rPr>
      </w:pPr>
    </w:p>
    <w:p>
      <w:pPr>
        <w:ind w:left="300" w:hanging="296"/>
        <w:spacing w:after="0"/>
        <w:tabs>
          <w:tab w:leader="none" w:pos="300" w:val="left"/>
        </w:tabs>
        <w:numPr>
          <w:ilvl w:val="0"/>
          <w:numId w:val="4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Transient keys rented exclude those occupied through the use of plus points and preview stays.</w:t>
      </w:r>
    </w:p>
    <w:p>
      <w:pPr>
        <w:spacing w:after="0" w:line="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Rental revenues increased $7 million due to additional transient keys rented at a higher average transient rate. The remaining $26 million increase is attributed to the lower net down of rental revenues by rental expenses for unsold VOIs that are registered and held for sale (which is recorded net within rental revenues when proceeds are less than costs).</w:t>
      </w:r>
    </w:p>
    <w:p>
      <w:pPr>
        <w:spacing w:after="0" w:line="5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Rental expenses increased by $33 million attributed to a $26 million decrease in costs recorded net within rental revenues for unsold VOIs that are registered and held for sale, $5 million of additional costs attributed to higher owner utilization in 2022 of third-party vacation and other offerings, $3 million of higher carry costs of excess inventory on hand resulting from our fulfillment of purchase commitments in 2021, $3 million of higher subsidy expenses, and $1 million of higher administrative expenses, partially offset by $4 million of higher allocations of rental costs to marketing and sales expense for marketing purposes and a $1 million decrease in operating hotel expenses.</w:t>
      </w:r>
    </w:p>
    <w:p>
      <w:pPr>
        <w:spacing w:after="0" w:line="66" w:lineRule="exact"/>
        <w:rPr>
          <w:sz w:val="20"/>
          <w:szCs w:val="20"/>
          <w:color w:val="auto"/>
        </w:rPr>
      </w:pPr>
    </w:p>
    <w:p>
      <w:pPr>
        <w:jc w:val="both"/>
        <w:ind w:right="340"/>
        <w:spacing w:after="0" w:line="267" w:lineRule="auto"/>
        <w:rPr>
          <w:sz w:val="20"/>
          <w:szCs w:val="20"/>
          <w:color w:val="auto"/>
        </w:rPr>
      </w:pPr>
      <w:r>
        <w:rPr>
          <w:rFonts w:ascii="Times New Roman" w:cs="Times New Roman" w:eastAsia="Times New Roman" w:hAnsi="Times New Roman"/>
          <w:sz w:val="17"/>
          <w:szCs w:val="17"/>
          <w:color w:val="auto"/>
        </w:rPr>
        <w:t>As the majority of the governmental restrictions in response to the COVID-19 pandemic that caused rental activity to decline (such as travel restrictions and quarantine requirements) have been lifted, we expect high resort occupancies throughout the remainder of 2022. However, we do not expect this part of our business to fully recover to pre-pandemic levels in 2022 as a result of reduced rental inventory availability due to higher owner and preview usage as well as higher inventory carrying costs, as described above.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First Three Quarters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9"/>
          </w:tcPr>
          <w:p>
            <w:pPr>
              <w:ind w:left="5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4"/>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ind w:left="40"/>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Change</w:t>
            </w:r>
          </w:p>
        </w:tc>
        <w:tc>
          <w:tcPr>
            <w:tcW w:w="0" w:type="dxa"/>
            <w:vAlign w:val="bottom"/>
          </w:tcPr>
          <w:p>
            <w:pPr>
              <w:spacing w:after="0"/>
              <w:rPr>
                <w:sz w:val="1"/>
                <w:szCs w:val="1"/>
                <w:color w:val="auto"/>
              </w:rPr>
            </w:pPr>
          </w:p>
        </w:tc>
      </w:tr>
      <w:tr>
        <w:trPr>
          <w:trHeight w:val="206"/>
        </w:trPr>
        <w:tc>
          <w:tcPr>
            <w:tcW w:w="3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Rental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2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46"/>
        </w:trPr>
        <w:tc>
          <w:tcPr>
            <w:tcW w:w="3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Rental expenses</w:t>
            </w: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20" w:type="dxa"/>
            <w:vAlign w:val="bottom"/>
            <w:tcBorders>
              <w:bottom w:val="single" w:sz="8" w:color="CCEEFF"/>
            </w:tcBorders>
            <w:gridSpan w:val="2"/>
          </w:tcPr>
          <w:p>
            <w:pPr>
              <w:jc w:val="center"/>
              <w:ind w:left="54"/>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38"/>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Rental profit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Rental profit margin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6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298"/>
              <w:spacing w:after="0"/>
              <w:rPr>
                <w:sz w:val="20"/>
                <w:szCs w:val="20"/>
                <w:color w:val="auto"/>
              </w:rPr>
            </w:pPr>
            <w:r>
              <w:rPr>
                <w:rFonts w:ascii="Times New Roman" w:cs="Times New Roman" w:eastAsia="Times New Roman" w:hAnsi="Times New Roman"/>
                <w:sz w:val="17"/>
                <w:szCs w:val="17"/>
                <w:color w:val="auto"/>
              </w:rPr>
              <w:t>23.2%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357"/>
              <w:spacing w:after="0"/>
              <w:rPr>
                <w:sz w:val="20"/>
                <w:szCs w:val="20"/>
                <w:color w:val="auto"/>
              </w:rPr>
            </w:pPr>
            <w:r>
              <w:rPr>
                <w:rFonts w:ascii="Times New Roman" w:cs="Times New Roman" w:eastAsia="Times New Roman" w:hAnsi="Times New Roman"/>
                <w:sz w:val="17"/>
                <w:szCs w:val="17"/>
                <w:color w:val="auto"/>
              </w:rPr>
              <w:t>6.6%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16.6 pts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6"/>
        </w:trPr>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9"/>
          </w:tcPr>
          <w:p>
            <w:pPr>
              <w:ind w:left="5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6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4"/>
          </w:tcPr>
          <w:p>
            <w:pPr>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77"/>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40" w:type="dxa"/>
            <w:vAlign w:val="bottom"/>
            <w:gridSpan w:val="3"/>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Change</w:t>
            </w:r>
          </w:p>
        </w:tc>
        <w:tc>
          <w:tcPr>
            <w:tcW w:w="0" w:type="dxa"/>
            <w:vAlign w:val="bottom"/>
          </w:tcPr>
          <w:p>
            <w:pPr>
              <w:spacing w:after="0"/>
              <w:rPr>
                <w:sz w:val="1"/>
                <w:szCs w:val="1"/>
                <w:color w:val="auto"/>
              </w:rPr>
            </w:pPr>
          </w:p>
        </w:tc>
      </w:tr>
      <w:tr>
        <w:trPr>
          <w:trHeight w:val="206"/>
        </w:trPr>
        <w:tc>
          <w:tcPr>
            <w:tcW w:w="36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Transient keys rented</w:t>
            </w:r>
            <w:r>
              <w:rPr>
                <w:rFonts w:ascii="Times New Roman" w:cs="Times New Roman" w:eastAsia="Times New Roman" w:hAnsi="Times New Roman"/>
                <w:sz w:val="10"/>
                <w:szCs w:val="10"/>
                <w:color w:val="auto"/>
              </w:rPr>
              <w:t>(1)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1,626,294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1,433,738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192,556</w:t>
            </w:r>
          </w:p>
        </w:tc>
        <w:tc>
          <w:tcPr>
            <w:tcW w:w="102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46"/>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Average transient key rate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268.29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240.48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27.81</w:t>
            </w:r>
          </w:p>
        </w:tc>
        <w:tc>
          <w:tcPr>
            <w:tcW w:w="1020" w:type="dxa"/>
            <w:vAlign w:val="bottom"/>
            <w:gridSpan w:val="2"/>
          </w:tcPr>
          <w:p>
            <w:pPr>
              <w:jc w:val="center"/>
              <w:ind w:left="54"/>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46"/>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Resort occupancy</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18"/>
              <w:spacing w:after="0"/>
              <w:rPr>
                <w:sz w:val="20"/>
                <w:szCs w:val="20"/>
                <w:color w:val="auto"/>
              </w:rPr>
            </w:pPr>
            <w:r>
              <w:rPr>
                <w:rFonts w:ascii="Times New Roman" w:cs="Times New Roman" w:eastAsia="Times New Roman" w:hAnsi="Times New Roman"/>
                <w:sz w:val="17"/>
                <w:szCs w:val="17"/>
                <w:color w:val="auto"/>
              </w:rPr>
              <w:t>89.0%</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7"/>
                <w:szCs w:val="17"/>
                <w:color w:val="auto"/>
              </w:rPr>
              <w:t>79.1%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9.9 pts</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37" w:lineRule="exact"/>
        <w:rPr>
          <w:sz w:val="20"/>
          <w:szCs w:val="20"/>
          <w:color w:val="auto"/>
        </w:rPr>
      </w:pPr>
    </w:p>
    <w:p>
      <w:pPr>
        <w:ind w:left="300" w:hanging="296"/>
        <w:spacing w:after="0"/>
        <w:tabs>
          <w:tab w:leader="none" w:pos="300" w:val="left"/>
        </w:tabs>
        <w:numPr>
          <w:ilvl w:val="0"/>
          <w:numId w:val="4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Transient keys rented exclude those occupied through the use of plus points and preview stays.</w:t>
      </w:r>
    </w:p>
    <w:p>
      <w:pPr>
        <w:spacing w:after="0" w:line="85" w:lineRule="exact"/>
        <w:rPr>
          <w:sz w:val="20"/>
          <w:szCs w:val="20"/>
          <w:color w:val="auto"/>
        </w:rPr>
      </w:pPr>
    </w:p>
    <w:p>
      <w:pPr>
        <w:ind w:right="80"/>
        <w:spacing w:after="0" w:line="292" w:lineRule="auto"/>
        <w:rPr>
          <w:sz w:val="20"/>
          <w:szCs w:val="20"/>
          <w:color w:val="auto"/>
        </w:rPr>
      </w:pPr>
      <w:r>
        <w:rPr>
          <w:rFonts w:ascii="Times New Roman" w:cs="Times New Roman" w:eastAsia="Times New Roman" w:hAnsi="Times New Roman"/>
          <w:sz w:val="17"/>
          <w:szCs w:val="17"/>
          <w:color w:val="auto"/>
        </w:rPr>
        <w:t>Rental revenues increased by $122 million due to the increase in transient keys rented and a higher average transient rate, partially offset by a $25 million lesser net down of rental revenues associated with unsold VOIs that are registered and held for sale.</w:t>
      </w:r>
    </w:p>
    <w:p>
      <w:pPr>
        <w:spacing w:after="0" w:line="19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225" w:right="4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Rental expenses increased by $23 million attributed to $15 million of additional costs attributed to higher owner utilization in 2022 of third-party vacation and other offerings, $14 million in operating hotel expenses attributable to higher revenues, $13 million of additional tidy and variable costs associated with increased transient keys rented, $11 million of higher carry costs of excess inventory on hand resulting from our fulfillment of purchase commitments in 2021, $8 million of higher subsidy expenses, and $1 million of higher administrative expenses, partially offset by a $25 million increase in costs recorded as a reduction to rental revenues and $14 million of higher allocations of rental costs to marketing and sales expense for marketing purposes.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 Revenues, Expenses and Profit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Third Quarter</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6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Change</w:t>
            </w:r>
          </w:p>
        </w:tc>
        <w:tc>
          <w:tcPr>
            <w:tcW w:w="0" w:type="dxa"/>
            <w:vAlign w:val="bottom"/>
          </w:tcPr>
          <w:p>
            <w:pPr>
              <w:spacing w:after="0"/>
              <w:rPr>
                <w:sz w:val="1"/>
                <w:szCs w:val="1"/>
                <w:color w:val="auto"/>
              </w:rPr>
            </w:pPr>
          </w:p>
        </w:tc>
      </w:tr>
      <w:tr>
        <w:trPr>
          <w:trHeight w:val="206"/>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revenues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96"/>
              <w:spacing w:after="0"/>
              <w:rPr>
                <w:sz w:val="20"/>
                <w:szCs w:val="20"/>
                <w:color w:val="auto"/>
              </w:rPr>
            </w:pPr>
            <w:r>
              <w:rPr>
                <w:rFonts w:ascii="Times New Roman" w:cs="Times New Roman" w:eastAsia="Times New Roman" w:hAnsi="Times New Roman"/>
                <w:sz w:val="17"/>
                <w:szCs w:val="17"/>
                <w:color w:val="auto"/>
              </w:rPr>
              <w:t>69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2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46"/>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Financing expenses</w:t>
            </w:r>
          </w:p>
        </w:tc>
        <w:tc>
          <w:tcPr>
            <w:tcW w:w="1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center"/>
              <w:ind w:left="676"/>
              <w:spacing w:after="0"/>
              <w:rPr>
                <w:sz w:val="20"/>
                <w:szCs w:val="20"/>
                <w:color w:val="auto"/>
              </w:rPr>
            </w:pPr>
            <w:r>
              <w:rPr>
                <w:rFonts w:ascii="Times New Roman" w:cs="Times New Roman" w:eastAsia="Times New Roman" w:hAnsi="Times New Roman"/>
                <w:sz w:val="17"/>
                <w:szCs w:val="17"/>
                <w:color w:val="auto"/>
                <w:w w:val="98"/>
              </w:rPr>
              <w:t>(10)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4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Consumer financing interest expense</w:t>
            </w: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center"/>
              <w:ind w:left="676"/>
              <w:spacing w:after="0"/>
              <w:rPr>
                <w:sz w:val="20"/>
                <w:szCs w:val="20"/>
                <w:color w:val="auto"/>
              </w:rPr>
            </w:pPr>
            <w:r>
              <w:rPr>
                <w:rFonts w:ascii="Times New Roman" w:cs="Times New Roman" w:eastAsia="Times New Roman" w:hAnsi="Times New Roman"/>
                <w:sz w:val="17"/>
                <w:szCs w:val="17"/>
                <w:color w:val="auto"/>
                <w:w w:val="98"/>
              </w:rPr>
              <w:t>(12)</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2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13"/>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Financing profit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center"/>
              <w:ind w:left="696"/>
              <w:spacing w:after="0"/>
              <w:rPr>
                <w:sz w:val="20"/>
                <w:szCs w:val="20"/>
                <w:color w:val="auto"/>
              </w:rPr>
            </w:pPr>
            <w:r>
              <w:rPr>
                <w:rFonts w:ascii="Times New Roman" w:cs="Times New Roman" w:eastAsia="Times New Roman" w:hAnsi="Times New Roman"/>
                <w:sz w:val="17"/>
                <w:szCs w:val="17"/>
                <w:color w:val="auto"/>
              </w:rPr>
              <w:t>47</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20" w:type="dxa"/>
            <w:vAlign w:val="bottom"/>
            <w:gridSpan w:val="2"/>
          </w:tcPr>
          <w:p>
            <w:pPr>
              <w:jc w:val="center"/>
              <w:ind w:left="54"/>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propensity</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7"/>
                <w:szCs w:val="17"/>
                <w:color w:val="auto"/>
              </w:rPr>
              <w:t>58.7%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rPr>
              <w:t>59.6%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Financing revenues reflect $4 million of higher interest income as a result of a higher average notes receivable balance, a slightly higher average interest rate driven by mix of customers and brands, and $1 million of lower plus point financing incentive costs year-over-year. The higher average notes receivable balance was the result of new loan originations in excess of the amount of the continued pay-down of the existing vacation ownership notes receivable portfolio. We expect the average notes receivable balance, and resulting interest income, to continue to increase with the expected growth in contract sales and loan originations. Financing expenses decreased $19 million due to the Reserve alignment which reduced the reserve related to our acquired vacation ownership notes receivable (recorded as a reduction of Financing expenses), offset by an increase to our reserve for originated vacation ownership notes receivable (which is recorded as a reduction of Sales of vacation ownership products).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First Three Quarters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6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0" w:type="dxa"/>
            <w:vAlign w:val="bottom"/>
          </w:tcPr>
          <w:p>
            <w:pPr>
              <w:spacing w:after="0"/>
              <w:rPr>
                <w:sz w:val="13"/>
                <w:szCs w:val="13"/>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6"/>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revenues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217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196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21</w:t>
            </w:r>
          </w:p>
        </w:tc>
        <w:tc>
          <w:tcPr>
            <w:tcW w:w="102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46"/>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Financing expenses</w:t>
            </w:r>
          </w:p>
        </w:tc>
        <w:tc>
          <w:tcPr>
            <w:tcW w:w="140" w:type="dxa"/>
            <w:vAlign w:val="bottom"/>
          </w:tcPr>
          <w:p>
            <w:pPr>
              <w:spacing w:after="0"/>
              <w:rPr>
                <w:sz w:val="21"/>
                <w:szCs w:val="21"/>
                <w:color w:val="auto"/>
              </w:rPr>
            </w:pPr>
          </w:p>
        </w:tc>
        <w:tc>
          <w:tcPr>
            <w:tcW w:w="11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(26)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16</w:t>
            </w:r>
          </w:p>
        </w:tc>
        <w:tc>
          <w:tcPr>
            <w:tcW w:w="1020" w:type="dxa"/>
            <w:vAlign w:val="bottom"/>
            <w:gridSpan w:val="2"/>
          </w:tcPr>
          <w:p>
            <w:pPr>
              <w:jc w:val="center"/>
              <w:ind w:left="54"/>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4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Consumer financing interest expense</w:t>
            </w: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(38)</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(1)</w:t>
            </w:r>
          </w:p>
        </w:tc>
        <w:tc>
          <w:tcPr>
            <w:tcW w:w="102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3"/>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Financing profit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7"/>
                <w:szCs w:val="17"/>
                <w:color w:val="auto"/>
              </w:rPr>
              <w:t>168</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7"/>
                <w:szCs w:val="17"/>
                <w:color w:val="auto"/>
              </w:rPr>
              <w:t>132</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7"/>
                <w:szCs w:val="17"/>
                <w:color w:val="auto"/>
              </w:rPr>
              <w:t>36</w:t>
            </w:r>
          </w:p>
        </w:tc>
        <w:tc>
          <w:tcPr>
            <w:tcW w:w="1020" w:type="dxa"/>
            <w:vAlign w:val="bottom"/>
            <w:gridSpan w:val="2"/>
          </w:tcPr>
          <w:p>
            <w:pPr>
              <w:jc w:val="center"/>
              <w:ind w:left="54"/>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propensity</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7"/>
                <w:szCs w:val="17"/>
                <w:color w:val="auto"/>
              </w:rPr>
              <w:t>54.3%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rPr>
              <w:t>53.4%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Financing revenues reflect $18 million of higher interest income (including $10 million due to the Welk Acquisition and $8 million as a result of a higher average vacation ownership notes receivable balance and a slightly higher average interest rate driven by mix of customers and brands) and $3 million of lower plus point financing incentive costs year-over-year. Financing expenses decreased $19 million due to the Reserve alignment which reduced the reserve related to our acquired vacation ownership notes receivable (recorded as a reduction of Financing expenses), offset by an increase to our reserve for originated vacation ownership notes receivable (which is recorded as a reduction of Sales of vacation ownership products), partially offset by lower lien fee income and higher other expenses.</w:t>
      </w:r>
    </w:p>
    <w:p>
      <w:pPr>
        <w:spacing w:after="0" w:line="200" w:lineRule="exact"/>
        <w:rPr>
          <w:sz w:val="20"/>
          <w:szCs w:val="20"/>
          <w:color w:val="auto"/>
        </w:rPr>
      </w:pPr>
    </w:p>
    <w:p>
      <w:pPr>
        <w:spacing w:after="0" w:line="23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Royalty Fee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Third Quarter</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6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240"/>
              <w:spacing w:after="0" w:line="152"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39"/>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Change</w:t>
            </w:r>
          </w:p>
        </w:tc>
        <w:tc>
          <w:tcPr>
            <w:tcW w:w="0" w:type="dxa"/>
            <w:vAlign w:val="bottom"/>
          </w:tcPr>
          <w:p>
            <w:pPr>
              <w:spacing w:after="0"/>
              <w:rPr>
                <w:sz w:val="1"/>
                <w:szCs w:val="1"/>
                <w:color w:val="auto"/>
              </w:rPr>
            </w:pPr>
          </w:p>
        </w:tc>
      </w:tr>
      <w:tr>
        <w:trPr>
          <w:trHeight w:val="206"/>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Pr>
          <w:p>
            <w:pPr>
              <w:spacing w:after="0"/>
              <w:rPr>
                <w:sz w:val="17"/>
                <w:szCs w:val="17"/>
                <w:color w:val="auto"/>
              </w:rPr>
            </w:pPr>
          </w:p>
        </w:tc>
        <w:tc>
          <w:tcPr>
            <w:tcW w:w="1140" w:type="dxa"/>
            <w:vAlign w:val="bottom"/>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Royalty fee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238"/>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right="400"/>
        <w:spacing w:after="0" w:line="292" w:lineRule="auto"/>
        <w:rPr>
          <w:sz w:val="20"/>
          <w:szCs w:val="20"/>
          <w:color w:val="auto"/>
        </w:rPr>
      </w:pPr>
      <w:r>
        <w:rPr>
          <w:rFonts w:ascii="Times New Roman" w:cs="Times New Roman" w:eastAsia="Times New Roman" w:hAnsi="Times New Roman"/>
          <w:sz w:val="17"/>
          <w:szCs w:val="17"/>
          <w:color w:val="auto"/>
        </w:rPr>
        <w:t>The increase in royalty fee expense in the third quarter of 2022 included $1 million from an increase in the dollar volume of closings and $1 million from a contractual increase in the fixed portion of the royalty fee owed to Marriott International.</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First Three Quarters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6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240"/>
              <w:spacing w:after="0" w:line="152"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39"/>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Change</w:t>
            </w:r>
          </w:p>
        </w:tc>
        <w:tc>
          <w:tcPr>
            <w:tcW w:w="0" w:type="dxa"/>
            <w:vAlign w:val="bottom"/>
          </w:tcPr>
          <w:p>
            <w:pPr>
              <w:spacing w:after="0"/>
              <w:rPr>
                <w:sz w:val="1"/>
                <w:szCs w:val="1"/>
                <w:color w:val="auto"/>
              </w:rPr>
            </w:pPr>
          </w:p>
        </w:tc>
      </w:tr>
      <w:tr>
        <w:trPr>
          <w:trHeight w:val="206"/>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Pr>
          <w:p>
            <w:pPr>
              <w:spacing w:after="0"/>
              <w:rPr>
                <w:sz w:val="17"/>
                <w:szCs w:val="17"/>
                <w:color w:val="auto"/>
              </w:rPr>
            </w:pPr>
          </w:p>
        </w:tc>
        <w:tc>
          <w:tcPr>
            <w:tcW w:w="1140" w:type="dxa"/>
            <w:vAlign w:val="bottom"/>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Royalty fee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238"/>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The increase in royalty fee expense in the first three quarters of 2022 included $5 million from an increase in the dollar volume of closings and $2 million from a contractual increase in the fixed portion of the royalty fee owed to Marriott International, partially offset by $1 million from an increase in sales of pre-owned inventory, which carry a lower royalty fee as compared to initial sales of our inventory (one percent versus two percent).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Litigation Charges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Third Quarter</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6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240"/>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39"/>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vMerge w:val="restart"/>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6"/>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Pr>
          <w:p>
            <w:pPr>
              <w:spacing w:after="0"/>
              <w:rPr>
                <w:sz w:val="17"/>
                <w:szCs w:val="17"/>
                <w:color w:val="auto"/>
              </w:rPr>
            </w:pPr>
          </w:p>
        </w:tc>
        <w:tc>
          <w:tcPr>
            <w:tcW w:w="112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Litigation charges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441"/>
        </w:trPr>
        <w:tc>
          <w:tcPr>
            <w:tcW w:w="36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2022 First Three Quarters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Nine Months Ended</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36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240"/>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39"/>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0" w:type="dxa"/>
            <w:vAlign w:val="bottom"/>
            <w:vMerge w:val="restart"/>
          </w:tcPr>
          <w:p>
            <w:pPr>
              <w:spacing w:after="0"/>
              <w:rPr>
                <w:sz w:val="13"/>
                <w:szCs w:val="13"/>
                <w:color w:val="auto"/>
              </w:rPr>
            </w:pPr>
          </w:p>
        </w:tc>
        <w:tc>
          <w:tcPr>
            <w:tcW w:w="880" w:type="dxa"/>
            <w:vAlign w:val="bottom"/>
            <w:vMerge w:val="restart"/>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6"/>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Litigation charges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right="400"/>
        <w:spacing w:after="0" w:line="292" w:lineRule="auto"/>
        <w:rPr>
          <w:sz w:val="20"/>
          <w:szCs w:val="20"/>
          <w:color w:val="auto"/>
        </w:rPr>
      </w:pPr>
      <w:r>
        <w:rPr>
          <w:rFonts w:ascii="Times New Roman" w:cs="Times New Roman" w:eastAsia="Times New Roman" w:hAnsi="Times New Roman"/>
          <w:sz w:val="17"/>
          <w:szCs w:val="17"/>
          <w:color w:val="auto"/>
        </w:rPr>
        <w:t>During the third quarter and first three quarters of 2022, as well as the third quarter and first three quarters of 2021, the litigation charges relate primarily to business in Europe.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Gains and Other Income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Third Quarter</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6"/>
          </w:tcPr>
          <w:p>
            <w:pPr>
              <w:ind w:left="5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6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240"/>
              <w:spacing w:after="0" w:line="152"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39"/>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300" w:type="dxa"/>
            <w:vAlign w:val="bottom"/>
            <w:gridSpan w:val="2"/>
          </w:tcPr>
          <w:p>
            <w:pPr>
              <w:spacing w:after="0"/>
              <w:rPr>
                <w:sz w:val="13"/>
                <w:szCs w:val="13"/>
                <w:color w:val="auto"/>
              </w:rPr>
            </w:pPr>
          </w:p>
        </w:tc>
        <w:tc>
          <w:tcPr>
            <w:tcW w:w="780" w:type="dxa"/>
            <w:vAlign w:val="bottom"/>
            <w:vMerge w:val="restart"/>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0" w:type="dxa"/>
            <w:vAlign w:val="bottom"/>
            <w:vMerge w:val="restart"/>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Change</w:t>
            </w:r>
          </w:p>
        </w:tc>
        <w:tc>
          <w:tcPr>
            <w:tcW w:w="0" w:type="dxa"/>
            <w:vAlign w:val="bottom"/>
          </w:tcPr>
          <w:p>
            <w:pPr>
              <w:spacing w:after="0"/>
              <w:rPr>
                <w:sz w:val="1"/>
                <w:szCs w:val="1"/>
                <w:color w:val="auto"/>
              </w:rPr>
            </w:pPr>
          </w:p>
        </w:tc>
      </w:tr>
      <w:tr>
        <w:trPr>
          <w:trHeight w:val="206"/>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Gains and other income,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third quarter of 2022, we recorded a $1 million gain from foreign currency translation.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First Three Quarters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6"/>
          </w:tcPr>
          <w:p>
            <w:pPr>
              <w:ind w:left="5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6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240"/>
              <w:spacing w:after="0" w:line="152"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39"/>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300" w:type="dxa"/>
            <w:vAlign w:val="bottom"/>
            <w:gridSpan w:val="2"/>
          </w:tcPr>
          <w:p>
            <w:pPr>
              <w:spacing w:after="0"/>
              <w:rPr>
                <w:sz w:val="13"/>
                <w:szCs w:val="13"/>
                <w:color w:val="auto"/>
              </w:rPr>
            </w:pPr>
          </w:p>
        </w:tc>
        <w:tc>
          <w:tcPr>
            <w:tcW w:w="780" w:type="dxa"/>
            <w:vAlign w:val="bottom"/>
            <w:vMerge w:val="restart"/>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0" w:type="dxa"/>
            <w:vAlign w:val="bottom"/>
            <w:vMerge w:val="restart"/>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Change</w:t>
            </w:r>
          </w:p>
        </w:tc>
        <w:tc>
          <w:tcPr>
            <w:tcW w:w="0" w:type="dxa"/>
            <w:vAlign w:val="bottom"/>
          </w:tcPr>
          <w:p>
            <w:pPr>
              <w:spacing w:after="0"/>
              <w:rPr>
                <w:sz w:val="1"/>
                <w:szCs w:val="1"/>
                <w:color w:val="auto"/>
              </w:rPr>
            </w:pPr>
          </w:p>
        </w:tc>
      </w:tr>
      <w:tr>
        <w:trPr>
          <w:trHeight w:val="206"/>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Gains and other income,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right="440"/>
        <w:spacing w:after="0" w:line="292" w:lineRule="auto"/>
        <w:rPr>
          <w:sz w:val="20"/>
          <w:szCs w:val="20"/>
          <w:color w:val="auto"/>
        </w:rPr>
      </w:pPr>
      <w:r>
        <w:rPr>
          <w:rFonts w:ascii="Times New Roman" w:cs="Times New Roman" w:eastAsia="Times New Roman" w:hAnsi="Times New Roman"/>
          <w:sz w:val="17"/>
          <w:szCs w:val="17"/>
          <w:color w:val="auto"/>
        </w:rPr>
        <w:t>During the first three quarters of 2022, we recorded gains and other income of $33 million related to the strategic decision to dispose of our hotel in Puerto Vallarta, Mexico and $3 million related to receipt of business interruption insurance proceeds.</w:t>
      </w:r>
    </w:p>
    <w:p>
      <w:pPr>
        <w:spacing w:after="0" w:line="21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Exchange &amp; Third-Party Management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5"/>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6"/>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51"/>
        </w:trPr>
        <w:tc>
          <w:tcPr>
            <w:tcW w:w="3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60" w:type="dxa"/>
            <w:vAlign w:val="bottom"/>
          </w:tcPr>
          <w:p>
            <w:pPr>
              <w:spacing w:after="0"/>
              <w:rPr>
                <w:sz w:val="13"/>
                <w:szCs w:val="13"/>
                <w:color w:val="auto"/>
              </w:rPr>
            </w:pPr>
          </w:p>
        </w:tc>
        <w:tc>
          <w:tcPr>
            <w:tcW w:w="1160" w:type="dxa"/>
            <w:vAlign w:val="bottom"/>
            <w:gridSpan w:val="2"/>
          </w:tcPr>
          <w:p>
            <w:pPr>
              <w:jc w:val="right"/>
              <w:ind w:right="54"/>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gridSpan w:val="4"/>
          </w:tcPr>
          <w:p>
            <w:pPr>
              <w:ind w:left="80"/>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jc w:val="right"/>
              <w:ind w:right="55"/>
              <w:spacing w:after="0" w:line="152"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0" w:type="dxa"/>
            <w:vAlign w:val="bottom"/>
          </w:tcPr>
          <w:p>
            <w:pPr>
              <w:spacing w:after="0"/>
              <w:rPr>
                <w:sz w:val="1"/>
                <w:szCs w:val="1"/>
                <w:color w:val="auto"/>
              </w:rPr>
            </w:pPr>
          </w:p>
        </w:tc>
      </w:tr>
      <w:tr>
        <w:trPr>
          <w:trHeight w:val="206"/>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Management and exchange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759"/>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2"/>
          </w:tcPr>
          <w:p>
            <w:pPr>
              <w:jc w:val="right"/>
              <w:ind w:right="118"/>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0" w:type="dxa"/>
            <w:vAlign w:val="bottom"/>
          </w:tcPr>
          <w:p>
            <w:pPr>
              <w:spacing w:after="0"/>
              <w:rPr>
                <w:sz w:val="1"/>
                <w:szCs w:val="1"/>
                <w:color w:val="auto"/>
              </w:rPr>
            </w:pPr>
          </w:p>
        </w:tc>
      </w:tr>
      <w:tr>
        <w:trPr>
          <w:trHeight w:val="246"/>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Rental</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46"/>
        </w:trPr>
        <w:tc>
          <w:tcPr>
            <w:tcW w:w="3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26"/>
        </w:trPr>
        <w:tc>
          <w:tcPr>
            <w:tcW w:w="3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0" w:type="dxa"/>
            <w:vAlign w:val="bottom"/>
          </w:tcPr>
          <w:p>
            <w:pPr>
              <w:spacing w:after="0"/>
              <w:rPr>
                <w:sz w:val="1"/>
                <w:szCs w:val="1"/>
                <w:color w:val="auto"/>
              </w:rPr>
            </w:pPr>
          </w:p>
        </w:tc>
      </w:tr>
      <w:tr>
        <w:trPr>
          <w:trHeight w:val="226"/>
        </w:trPr>
        <w:tc>
          <w:tcPr>
            <w:tcW w:w="3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Management and exchange</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0" w:type="dxa"/>
            <w:vAlign w:val="bottom"/>
          </w:tcPr>
          <w:p>
            <w:pPr>
              <w:spacing w:after="0"/>
              <w:rPr>
                <w:sz w:val="1"/>
                <w:szCs w:val="1"/>
                <w:color w:val="auto"/>
              </w:rPr>
            </w:pPr>
          </w:p>
        </w:tc>
      </w:tr>
      <w:tr>
        <w:trPr>
          <w:trHeight w:val="246"/>
        </w:trPr>
        <w:tc>
          <w:tcPr>
            <w:tcW w:w="3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46"/>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Restructuring</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46"/>
        </w:trPr>
        <w:tc>
          <w:tcPr>
            <w:tcW w:w="3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26"/>
        </w:trPr>
        <w:tc>
          <w:tcPr>
            <w:tcW w:w="3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0" w:type="dxa"/>
            <w:vAlign w:val="bottom"/>
          </w:tcPr>
          <w:p>
            <w:pPr>
              <w:spacing w:after="0"/>
              <w:rPr>
                <w:sz w:val="1"/>
                <w:szCs w:val="1"/>
                <w:color w:val="auto"/>
              </w:rPr>
            </w:pPr>
          </w:p>
        </w:tc>
      </w:tr>
      <w:tr>
        <w:trPr>
          <w:trHeight w:val="156"/>
        </w:trPr>
        <w:tc>
          <w:tcPr>
            <w:tcW w:w="3120" w:type="dxa"/>
            <w:vAlign w:val="bottom"/>
          </w:tcPr>
          <w:p>
            <w:pPr>
              <w:ind w:left="220"/>
              <w:spacing w:after="0" w:line="156" w:lineRule="exact"/>
              <w:rPr>
                <w:sz w:val="20"/>
                <w:szCs w:val="20"/>
                <w:color w:val="auto"/>
              </w:rPr>
            </w:pPr>
            <w:r>
              <w:rPr>
                <w:rFonts w:ascii="Times New Roman" w:cs="Times New Roman" w:eastAsia="Times New Roman" w:hAnsi="Times New Roman"/>
                <w:sz w:val="17"/>
                <w:szCs w:val="17"/>
                <w:color w:val="auto"/>
              </w:rPr>
              <w:t>(Losses) gains and other (expense)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3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net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ind w:left="736"/>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54"/>
        </w:trPr>
        <w:tc>
          <w:tcPr>
            <w:tcW w:w="3120" w:type="dxa"/>
            <w:vAlign w:val="bottom"/>
            <w:tcBorders>
              <w:top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b w:val="1"/>
                <w:bCs w:val="1"/>
                <w:color w:val="auto"/>
              </w:rPr>
              <w:t>SEGMENT FINANCIAL RESULTS</w:t>
            </w: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b w:val="1"/>
                <w:bCs w:val="1"/>
                <w:color w:val="auto"/>
              </w:rPr>
              <w:t>ATTRIBUTABLE TO COMMON</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759"/>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gridSpan w:val="2"/>
            <w:vMerge w:val="restart"/>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0" w:type="dxa"/>
            <w:vAlign w:val="bottom"/>
          </w:tcPr>
          <w:p>
            <w:pPr>
              <w:spacing w:after="0"/>
              <w:rPr>
                <w:sz w:val="1"/>
                <w:szCs w:val="1"/>
                <w:color w:val="auto"/>
              </w:rPr>
            </w:pPr>
          </w:p>
        </w:tc>
      </w:tr>
      <w:tr>
        <w:trPr>
          <w:trHeight w:val="214"/>
        </w:trPr>
        <w:tc>
          <w:tcPr>
            <w:tcW w:w="3120" w:type="dxa"/>
            <w:vAlign w:val="bottom"/>
            <w:tcBorders>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b w:val="1"/>
                <w:bCs w:val="1"/>
                <w:color w:val="auto"/>
              </w:rPr>
              <w:t>SHAREHOLDERS</w:t>
            </w:r>
          </w:p>
        </w:tc>
        <w:tc>
          <w:tcPr>
            <w:tcW w:w="120" w:type="dxa"/>
            <w:vAlign w:val="bottom"/>
            <w:tcBorders>
              <w:bottom w:val="single" w:sz="8" w:color="auto"/>
            </w:tcBorders>
            <w:gridSpan w:val="2"/>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gridSpan w:val="2"/>
            <w:vMerge w:val="continue"/>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gridSpan w:val="2"/>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Management and Exchange Profit</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1"/>
        </w:trPr>
        <w:tc>
          <w:tcPr>
            <w:tcW w:w="31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1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2022 Third Quarter</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3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ind w:left="40"/>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60" w:type="dxa"/>
            <w:vAlign w:val="bottom"/>
          </w:tcPr>
          <w:p>
            <w:pPr>
              <w:spacing w:after="0"/>
              <w:rPr>
                <w:sz w:val="13"/>
                <w:szCs w:val="13"/>
                <w:color w:val="auto"/>
              </w:rPr>
            </w:pPr>
          </w:p>
        </w:tc>
        <w:tc>
          <w:tcPr>
            <w:tcW w:w="1240" w:type="dxa"/>
            <w:vAlign w:val="bottom"/>
            <w:gridSpan w:val="3"/>
          </w:tcPr>
          <w:p>
            <w:pPr>
              <w:ind w:left="140"/>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 w:type="dxa"/>
            <w:vAlign w:val="bottom"/>
            <w:vMerge w:val="restart"/>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vMerge w:val="restart"/>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6"/>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Management and exchange revenue</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center"/>
              <w:ind w:left="776"/>
              <w:spacing w:after="0"/>
              <w:rPr>
                <w:sz w:val="20"/>
                <w:szCs w:val="20"/>
                <w:color w:val="auto"/>
              </w:rPr>
            </w:pPr>
            <w:r>
              <w:rPr>
                <w:rFonts w:ascii="Times New Roman" w:cs="Times New Roman" w:eastAsia="Times New Roman" w:hAnsi="Times New Roman"/>
                <w:sz w:val="17"/>
                <w:szCs w:val="17"/>
                <w:color w:val="auto"/>
                <w:w w:val="93"/>
              </w:rPr>
              <w:t>55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99"/>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rPr>
              <w:t>59</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46"/>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Management and exchange expense</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center"/>
              <w:ind w:left="696"/>
              <w:spacing w:after="0"/>
              <w:rPr>
                <w:sz w:val="20"/>
                <w:szCs w:val="20"/>
                <w:color w:val="auto"/>
              </w:rPr>
            </w:pPr>
            <w:r>
              <w:rPr>
                <w:rFonts w:ascii="Times New Roman" w:cs="Times New Roman" w:eastAsia="Times New Roman" w:hAnsi="Times New Roman"/>
                <w:sz w:val="17"/>
                <w:szCs w:val="17"/>
                <w:color w:val="auto"/>
                <w:w w:val="98"/>
              </w:rPr>
              <w:t>(28)</w:t>
            </w: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w w:val="98"/>
              </w:rPr>
              <w:t>(33)</w:t>
            </w: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38"/>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Management and exchange profit</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center"/>
              <w:ind w:left="776"/>
              <w:spacing w:after="0"/>
              <w:rPr>
                <w:sz w:val="20"/>
                <w:szCs w:val="20"/>
                <w:color w:val="auto"/>
              </w:rPr>
            </w:pPr>
            <w:r>
              <w:rPr>
                <w:rFonts w:ascii="Times New Roman" w:cs="Times New Roman" w:eastAsia="Times New Roman" w:hAnsi="Times New Roman"/>
                <w:sz w:val="17"/>
                <w:szCs w:val="17"/>
                <w:color w:val="auto"/>
                <w:w w:val="93"/>
              </w:rPr>
              <w:t>27</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tcBorders>
              <w:bottom w:val="single" w:sz="8" w:color="auto"/>
            </w:tcBorders>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Management and exchange profit margin</w:t>
            </w: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3"/>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20" w:type="dxa"/>
            <w:vAlign w:val="bottom"/>
            <w:tcBorders>
              <w:top w:val="single" w:sz="8" w:color="CCEEFF"/>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rPr>
              <w:t>48.1%</w:t>
            </w: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7"/>
                <w:szCs w:val="17"/>
                <w:color w:val="auto"/>
              </w:rPr>
              <w:t>44.7%</w:t>
            </w:r>
          </w:p>
        </w:tc>
        <w:tc>
          <w:tcPr>
            <w:tcW w:w="2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3.4 pts</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The decrease in management and exchange revenue reflects $8 million of lower revenue due to the disposition of our VRI Americas business during the second quarter of 2022, partially offset by $3 million of higher Interval International transaction fee revenue due to increased average exchange fees offset by lower exchanges as fewer members exchanged their home inventory for usage at another resort through Interval International and $1 million of higher management fees at Aqua-Aston managed properties due to the continued ramp-up of the business in Hawaii subsequent to the initial impact of the COVID-19 pandemic.</w:t>
      </w:r>
    </w:p>
    <w:p>
      <w:pPr>
        <w:spacing w:after="0" w:line="115"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7"/>
          <w:szCs w:val="17"/>
          <w:color w:val="auto"/>
        </w:rPr>
        <w:t>For Interval International, average revenue per member decreased 9% over the prior year comparable period. This decline was due, in part, to recently added affiliations, for which we expect exchange activity to ramp-up over time, partially offset by the increase in exchange revenue. Management and exchange profit and profit margin excluding the impact of the disposition of VRI Americas would have increased by $4 million and 15%, respectively, in the third quarter of 2022.</w:t>
      </w:r>
    </w:p>
    <w:p>
      <w:pPr>
        <w:spacing w:after="0" w:line="21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First Three Quarters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6"/>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40" w:type="dxa"/>
            <w:vAlign w:val="bottom"/>
          </w:tcPr>
          <w:p>
            <w:pPr>
              <w:spacing w:after="0"/>
              <w:rPr>
                <w:sz w:val="13"/>
                <w:szCs w:val="13"/>
                <w:color w:val="auto"/>
              </w:rPr>
            </w:pPr>
          </w:p>
        </w:tc>
        <w:tc>
          <w:tcPr>
            <w:tcW w:w="1160" w:type="dxa"/>
            <w:vAlign w:val="bottom"/>
            <w:vMerge w:val="restart"/>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6"/>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Management and exchange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center"/>
              <w:ind w:left="615"/>
              <w:spacing w:after="0"/>
              <w:rPr>
                <w:sz w:val="20"/>
                <w:szCs w:val="20"/>
                <w:color w:val="auto"/>
              </w:rPr>
            </w:pPr>
            <w:r>
              <w:rPr>
                <w:rFonts w:ascii="Times New Roman" w:cs="Times New Roman" w:eastAsia="Times New Roman" w:hAnsi="Times New Roman"/>
                <w:sz w:val="17"/>
                <w:szCs w:val="17"/>
                <w:color w:val="auto"/>
              </w:rPr>
              <w:t>(2)</w:t>
            </w:r>
          </w:p>
        </w:tc>
        <w:tc>
          <w:tcPr>
            <w:tcW w:w="1300" w:type="dxa"/>
            <w:vAlign w:val="bottom"/>
            <w:gridSpan w:val="2"/>
            <w:shd w:val="clear" w:color="auto" w:fill="CCEEFF"/>
          </w:tcPr>
          <w:p>
            <w:pPr>
              <w:jc w:val="right"/>
              <w:ind w:right="322"/>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46"/>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Management and exchange expense</w:t>
            </w: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left="655"/>
              <w:spacing w:after="0"/>
              <w:rPr>
                <w:sz w:val="20"/>
                <w:szCs w:val="20"/>
                <w:color w:val="auto"/>
              </w:rPr>
            </w:pPr>
            <w:r>
              <w:rPr>
                <w:rFonts w:ascii="Times New Roman" w:cs="Times New Roman" w:eastAsia="Times New Roman" w:hAnsi="Times New Roman"/>
                <w:sz w:val="17"/>
                <w:szCs w:val="17"/>
                <w:color w:val="auto"/>
                <w:w w:val="93"/>
              </w:rPr>
              <w:t>6</w:t>
            </w:r>
          </w:p>
        </w:tc>
        <w:tc>
          <w:tcPr>
            <w:tcW w:w="1300" w:type="dxa"/>
            <w:vAlign w:val="bottom"/>
            <w:tcBorders>
              <w:bottom w:val="single" w:sz="8" w:color="CCEEFF"/>
            </w:tcBorders>
            <w:gridSpan w:val="2"/>
          </w:tcPr>
          <w:p>
            <w:pPr>
              <w:jc w:val="right"/>
              <w:ind w:right="382"/>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38"/>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Management and exchange profit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center"/>
              <w:ind w:left="655"/>
              <w:spacing w:after="0"/>
              <w:rPr>
                <w:sz w:val="20"/>
                <w:szCs w:val="20"/>
                <w:color w:val="auto"/>
              </w:rPr>
            </w:pPr>
            <w:r>
              <w:rPr>
                <w:rFonts w:ascii="Times New Roman" w:cs="Times New Roman" w:eastAsia="Times New Roman" w:hAnsi="Times New Roman"/>
                <w:sz w:val="17"/>
                <w:szCs w:val="17"/>
                <w:color w:val="auto"/>
                <w:w w:val="93"/>
              </w:rPr>
              <w:t>4</w:t>
            </w:r>
          </w:p>
        </w:tc>
        <w:tc>
          <w:tcPr>
            <w:tcW w:w="1300" w:type="dxa"/>
            <w:vAlign w:val="bottom"/>
            <w:tcBorders>
              <w:bottom w:val="single" w:sz="8" w:color="CCEEFF"/>
            </w:tcBorders>
            <w:gridSpan w:val="2"/>
            <w:shd w:val="clear" w:color="auto" w:fill="CCEEFF"/>
          </w:tcPr>
          <w:p>
            <w:pPr>
              <w:jc w:val="right"/>
              <w:ind w:right="382"/>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Management and exchange profit margin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17"/>
              <w:spacing w:after="0"/>
              <w:rPr>
                <w:sz w:val="20"/>
                <w:szCs w:val="20"/>
                <w:color w:val="auto"/>
              </w:rPr>
            </w:pPr>
            <w:r>
              <w:rPr>
                <w:rFonts w:ascii="Times New Roman" w:cs="Times New Roman" w:eastAsia="Times New Roman" w:hAnsi="Times New Roman"/>
                <w:sz w:val="17"/>
                <w:szCs w:val="17"/>
                <w:color w:val="auto"/>
              </w:rPr>
              <w:t>47.3%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rPr>
              <w:t>44.9%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center"/>
              <w:ind w:right="155"/>
              <w:spacing w:after="0"/>
              <w:rPr>
                <w:sz w:val="20"/>
                <w:szCs w:val="20"/>
                <w:color w:val="auto"/>
              </w:rPr>
            </w:pPr>
            <w:r>
              <w:rPr>
                <w:rFonts w:ascii="Times New Roman" w:cs="Times New Roman" w:eastAsia="Times New Roman" w:hAnsi="Times New Roman"/>
                <w:sz w:val="17"/>
                <w:szCs w:val="17"/>
                <w:color w:val="auto"/>
              </w:rPr>
              <w:t>2.4 pts</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right="60"/>
        <w:spacing w:after="0" w:line="273" w:lineRule="auto"/>
        <w:rPr>
          <w:sz w:val="20"/>
          <w:szCs w:val="20"/>
          <w:color w:val="auto"/>
        </w:rPr>
      </w:pPr>
      <w:r>
        <w:rPr>
          <w:rFonts w:ascii="Times New Roman" w:cs="Times New Roman" w:eastAsia="Times New Roman" w:hAnsi="Times New Roman"/>
          <w:sz w:val="17"/>
          <w:szCs w:val="17"/>
          <w:color w:val="auto"/>
        </w:rPr>
        <w:t>The decrease in management and exchange revenue reflects $11 million of lower revenue due to the disposition of our VRI Americas business during the second quarter of 2022, partially offset by higher management fees at Aqua-Aston managed properties due to the continued ramp-up of business in Hawaii subsequent to the initial impact of the COVID-19 pandemic.</w:t>
      </w:r>
    </w:p>
    <w:p>
      <w:pPr>
        <w:spacing w:after="0" w:line="5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For Interval International, revenue was in line with the prior year period while average revenue per member decreased 10% over the prior year comparable period. This decline was due, in part, to recently added affiliations, for which we expect exchange activity to ramp-up over time. Management and exchange profit primarily reflected the higher management fees at Aqua-Aston, partially offset by $4 million of lower profit due to the disposition of our VRI Americas business during the second quarter of 2022. Management and exchange profit and profit margin excluding the impact of the disposition of VRI Americas would have increased by $8 million and 11%, respectively, in the nine months ended September 30, 2022.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Rental Revenues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Third Quarter</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260"/>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39"/>
              <w:spacing w:after="0" w:line="152"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Change</w:t>
            </w:r>
          </w:p>
        </w:tc>
        <w:tc>
          <w:tcPr>
            <w:tcW w:w="0" w:type="dxa"/>
            <w:vAlign w:val="bottom"/>
          </w:tcPr>
          <w:p>
            <w:pPr>
              <w:spacing w:after="0"/>
              <w:rPr>
                <w:sz w:val="1"/>
                <w:szCs w:val="1"/>
                <w:color w:val="auto"/>
              </w:rPr>
            </w:pPr>
          </w:p>
        </w:tc>
      </w:tr>
      <w:tr>
        <w:trPr>
          <w:trHeight w:val="206"/>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Pr>
          <w:p>
            <w:pPr>
              <w:spacing w:after="0"/>
              <w:rPr>
                <w:sz w:val="17"/>
                <w:szCs w:val="17"/>
                <w:color w:val="auto"/>
              </w:rPr>
            </w:pPr>
          </w:p>
        </w:tc>
        <w:tc>
          <w:tcPr>
            <w:tcW w:w="1120" w:type="dxa"/>
            <w:vAlign w:val="bottom"/>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Rental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338"/>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7"/>
          <w:szCs w:val="17"/>
          <w:color w:val="auto"/>
        </w:rPr>
        <w:t>Results reflect a $2 million increase in gross Getaway revenues, which resulted from a 12% increase in transactions and an 8% increase in the average Getaway fee. Rental inventory procurement costs, which are recorded net within Rental revenues, were in line with the prior year. The increase in Getaway transactions reflects an increase in inventory available for Getaways.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First Three Quarters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260"/>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39"/>
              <w:spacing w:after="0" w:line="152"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Change</w:t>
            </w:r>
          </w:p>
        </w:tc>
        <w:tc>
          <w:tcPr>
            <w:tcW w:w="0" w:type="dxa"/>
            <w:vAlign w:val="bottom"/>
          </w:tcPr>
          <w:p>
            <w:pPr>
              <w:spacing w:after="0"/>
              <w:rPr>
                <w:sz w:val="1"/>
                <w:szCs w:val="1"/>
                <w:color w:val="auto"/>
              </w:rPr>
            </w:pPr>
          </w:p>
        </w:tc>
      </w:tr>
      <w:tr>
        <w:trPr>
          <w:trHeight w:val="206"/>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Pr>
          <w:p>
            <w:pPr>
              <w:spacing w:after="0"/>
              <w:rPr>
                <w:sz w:val="17"/>
                <w:szCs w:val="17"/>
                <w:color w:val="auto"/>
              </w:rPr>
            </w:pPr>
          </w:p>
        </w:tc>
        <w:tc>
          <w:tcPr>
            <w:tcW w:w="1120" w:type="dxa"/>
            <w:vAlign w:val="bottom"/>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Rental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378"/>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7"/>
          <w:szCs w:val="17"/>
          <w:color w:val="auto"/>
        </w:rPr>
        <w:t>Results reflect a $1 million increase in gross Getaway revenues, driven by a 10% increase in the average Getaway fee, partially offset by an 8% decline in transactions. Rental inventory procurement costs, which are recorded net within Rental revenues, were in line with the prior year. The decline in Getaway transactions reflects fewer owner deposits in the first three quarters of 2022 as more members chose to occupy their home resorts rather than exchange for usage through Interval International, which put pressure on the inventory available for Getaways.</w:t>
      </w:r>
    </w:p>
    <w:p>
      <w:pPr>
        <w:spacing w:after="0" w:line="23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Depreciation and Amortization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Third Quarter</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260"/>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39"/>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0" w:type="dxa"/>
            <w:vAlign w:val="bottom"/>
          </w:tcPr>
          <w:p>
            <w:pPr>
              <w:spacing w:after="0"/>
              <w:rPr>
                <w:sz w:val="1"/>
                <w:szCs w:val="1"/>
                <w:color w:val="auto"/>
              </w:rPr>
            </w:pPr>
          </w:p>
        </w:tc>
      </w:tr>
      <w:tr>
        <w:trPr>
          <w:trHeight w:val="206"/>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Pr>
          <w:p>
            <w:pPr>
              <w:spacing w:after="0"/>
              <w:rPr>
                <w:sz w:val="17"/>
                <w:szCs w:val="17"/>
                <w:color w:val="auto"/>
              </w:rPr>
            </w:pPr>
          </w:p>
        </w:tc>
        <w:tc>
          <w:tcPr>
            <w:tcW w:w="112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454"/>
        </w:trPr>
        <w:tc>
          <w:tcPr>
            <w:tcW w:w="31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2022 First Three Quarters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Nine Months Ended</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3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260"/>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39"/>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0" w:type="dxa"/>
            <w:vAlign w:val="bottom"/>
          </w:tcPr>
          <w:p>
            <w:pPr>
              <w:spacing w:after="0"/>
              <w:rPr>
                <w:sz w:val="1"/>
                <w:szCs w:val="1"/>
                <w:color w:val="auto"/>
              </w:rPr>
            </w:pPr>
          </w:p>
        </w:tc>
      </w:tr>
      <w:tr>
        <w:trPr>
          <w:trHeight w:val="206"/>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Pr>
          <w:p>
            <w:pPr>
              <w:spacing w:after="0"/>
              <w:rPr>
                <w:sz w:val="17"/>
                <w:szCs w:val="17"/>
                <w:color w:val="auto"/>
              </w:rPr>
            </w:pPr>
          </w:p>
        </w:tc>
        <w:tc>
          <w:tcPr>
            <w:tcW w:w="112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The decrease in depreciation and amortization expense in the first three quarters of 2022 relates to a true-up made in the prior year to accelerate depreciation on a technology asset.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Gains (Losses) and Other Income (Expense)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Third Quarter</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Three Months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260"/>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39"/>
              <w:spacing w:after="0" w:line="152"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vMerge w:val="restart"/>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Change</w:t>
            </w:r>
          </w:p>
        </w:tc>
        <w:tc>
          <w:tcPr>
            <w:tcW w:w="0" w:type="dxa"/>
            <w:vAlign w:val="bottom"/>
          </w:tcPr>
          <w:p>
            <w:pPr>
              <w:spacing w:after="0"/>
              <w:rPr>
                <w:sz w:val="1"/>
                <w:szCs w:val="1"/>
                <w:color w:val="auto"/>
              </w:rPr>
            </w:pPr>
          </w:p>
        </w:tc>
      </w:tr>
      <w:tr>
        <w:trPr>
          <w:trHeight w:val="206"/>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Losses and other expense,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441"/>
        </w:trPr>
        <w:tc>
          <w:tcPr>
            <w:tcW w:w="31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2022 First Three Quarters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3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4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Nine Months Ended</w:t>
            </w: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1"/>
        </w:trPr>
        <w:tc>
          <w:tcPr>
            <w:tcW w:w="3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260"/>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39"/>
              <w:spacing w:after="0" w:line="152"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vMerge w:val="restart"/>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Change</w:t>
            </w:r>
          </w:p>
        </w:tc>
        <w:tc>
          <w:tcPr>
            <w:tcW w:w="0" w:type="dxa"/>
            <w:vAlign w:val="bottom"/>
          </w:tcPr>
          <w:p>
            <w:pPr>
              <w:spacing w:after="0"/>
              <w:rPr>
                <w:sz w:val="1"/>
                <w:szCs w:val="1"/>
                <w:color w:val="auto"/>
              </w:rPr>
            </w:pPr>
          </w:p>
        </w:tc>
      </w:tr>
      <w:tr>
        <w:trPr>
          <w:trHeight w:val="206"/>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Gains and other income,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15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17"/>
          <w:szCs w:val="17"/>
          <w:color w:val="auto"/>
        </w:rPr>
        <w:t>During the first three quarters of 2022, we recorded a $17 million gain related to the sale of our VRI Americas business, partially offset by $2 million of foreign currency translation. See Footnote 3 “Acquisitions and Dispositions” for more information on the disposition of VRI Americas.</w:t>
      </w:r>
    </w:p>
    <w:p>
      <w:pPr>
        <w:spacing w:after="0" w:line="19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225" w:right="4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and Other</w:t>
      </w:r>
    </w:p>
    <w:p>
      <w:pPr>
        <w:spacing w:after="0" w:line="118"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Corporate and Other consists of results that are not allocable to our segments, including company-wide general and administrative costs, corporate interest expense, transaction and integration costs, and income taxes. In addition, Corporate and Other includes the revenues and expenses from the Consolidated Property Owners’ Associations.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8"/>
                <w:szCs w:val="18"/>
                <w:color w:val="auto"/>
              </w:rPr>
            </w:pPr>
          </w:p>
        </w:tc>
        <w:tc>
          <w:tcPr>
            <w:tcW w:w="528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51"/>
        </w:trPr>
        <w:tc>
          <w:tcPr>
            <w:tcW w:w="3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34"/>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34"/>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2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Resort management and other services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4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31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Resort management and other services</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Rental</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Litigation charges</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Restructuring</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Impairment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31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Losses and other expense, net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Transaction and integration costs</w:t>
            </w: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314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b w:val="1"/>
                <w:bCs w:val="1"/>
                <w:color w:val="auto"/>
              </w:rPr>
              <w:t>FINANCIAL RESULTS BEFORE</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14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b w:val="1"/>
                <w:bCs w:val="1"/>
                <w:color w:val="auto"/>
              </w:rPr>
              <w:t>INCOME TAXES AND</w:t>
            </w:r>
          </w:p>
        </w:tc>
        <w:tc>
          <w:tcPr>
            <w:tcW w:w="1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NONCONTROLLING INTERESTS</w:t>
            </w: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14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Net income attributable to noncontrolling</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3140" w:type="dxa"/>
            <w:vAlign w:val="bottom"/>
            <w:tcBorders>
              <w:top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b w:val="1"/>
                <w:bCs w:val="1"/>
                <w:color w:val="auto"/>
              </w:rPr>
              <w:t>FINANCIAL RESULTS</w:t>
            </w:r>
          </w:p>
        </w:tc>
        <w:tc>
          <w:tcPr>
            <w:tcW w:w="1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2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b w:val="1"/>
                <w:bCs w:val="1"/>
                <w:color w:val="auto"/>
              </w:rPr>
              <w:t>ATTRIBUTABLE TO COMMON</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4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140" w:type="dxa"/>
            <w:vAlign w:val="bottom"/>
            <w:tcBorders>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b w:val="1"/>
                <w:bCs w:val="1"/>
                <w:color w:val="auto"/>
              </w:rPr>
              <w:t>SHAREHOLDERS</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66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3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Property Owners’ Associations</w:t>
      </w:r>
    </w:p>
    <w:p>
      <w:pPr>
        <w:spacing w:after="0" w:line="118" w:lineRule="exact"/>
        <w:rPr>
          <w:sz w:val="20"/>
          <w:szCs w:val="20"/>
          <w:color w:val="auto"/>
        </w:rPr>
      </w:pPr>
    </w:p>
    <w:p>
      <w:pPr>
        <w:ind w:right="520"/>
        <w:spacing w:after="0" w:line="292" w:lineRule="auto"/>
        <w:rPr>
          <w:sz w:val="20"/>
          <w:szCs w:val="20"/>
          <w:color w:val="auto"/>
        </w:rPr>
      </w:pPr>
      <w:r>
        <w:rPr>
          <w:rFonts w:ascii="Times New Roman" w:cs="Times New Roman" w:eastAsia="Times New Roman" w:hAnsi="Times New Roman"/>
          <w:sz w:val="17"/>
          <w:szCs w:val="17"/>
          <w:color w:val="auto"/>
        </w:rPr>
        <w:t>The following table illustrates the impact of certain Consolidated Property Owners’ Associations under the relevant accounting guidance and the changes attributed to the deconsolidation of individual Consolidated Property Owners’ Associations subsequent to the third quarter of 2021.</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8"/>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6"/>
          </w:tcPr>
          <w:p>
            <w:pPr>
              <w:jc w:val="right"/>
              <w:ind w:right="536"/>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51"/>
        </w:trPr>
        <w:tc>
          <w:tcPr>
            <w:tcW w:w="3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3"/>
          </w:tcPr>
          <w:p>
            <w:pPr>
              <w:jc w:val="center"/>
              <w:ind w:right="240"/>
              <w:spacing w:after="0" w:line="152"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36"/>
              <w:spacing w:after="0" w:line="152"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4"/>
          </w:tcPr>
          <w:p>
            <w:pPr>
              <w:ind w:left="100"/>
              <w:spacing w:after="0" w:line="15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center"/>
              <w:ind w:right="16"/>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0" w:type="dxa"/>
            <w:vAlign w:val="bottom"/>
          </w:tcPr>
          <w:p>
            <w:pPr>
              <w:spacing w:after="0"/>
              <w:rPr>
                <w:sz w:val="1"/>
                <w:szCs w:val="1"/>
                <w:color w:val="auto"/>
              </w:rPr>
            </w:pPr>
          </w:p>
        </w:tc>
      </w:tr>
      <w:tr>
        <w:trPr>
          <w:trHeight w:val="206"/>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228"/>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Resort management and other services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0" w:type="dxa"/>
            <w:vAlign w:val="bottom"/>
          </w:tcPr>
          <w:p>
            <w:pPr>
              <w:spacing w:after="0"/>
              <w:rPr>
                <w:sz w:val="1"/>
                <w:szCs w:val="1"/>
                <w:color w:val="auto"/>
              </w:rPr>
            </w:pPr>
          </w:p>
        </w:tc>
      </w:tr>
      <w:tr>
        <w:trPr>
          <w:trHeight w:val="246"/>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center"/>
              <w:ind w:left="737"/>
              <w:spacing w:after="0"/>
              <w:rPr>
                <w:sz w:val="20"/>
                <w:szCs w:val="20"/>
                <w:color w:val="auto"/>
              </w:rPr>
            </w:pPr>
            <w:r>
              <w:rPr>
                <w:rFonts w:ascii="Times New Roman" w:cs="Times New Roman" w:eastAsia="Times New Roman" w:hAnsi="Times New Roman"/>
                <w:sz w:val="17"/>
                <w:szCs w:val="17"/>
                <w:color w:val="auto"/>
              </w:rPr>
              <w:t>(8)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226"/>
        </w:trPr>
        <w:tc>
          <w:tcPr>
            <w:tcW w:w="31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737"/>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2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Resort management and other services</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0" w:type="dxa"/>
            <w:vAlign w:val="bottom"/>
          </w:tcPr>
          <w:p>
            <w:pPr>
              <w:spacing w:after="0"/>
              <w:rPr>
                <w:sz w:val="1"/>
                <w:szCs w:val="1"/>
                <w:color w:val="auto"/>
              </w:rPr>
            </w:pPr>
          </w:p>
        </w:tc>
      </w:tr>
      <w:tr>
        <w:trPr>
          <w:trHeight w:val="246"/>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Rental</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center"/>
              <w:ind w:left="737"/>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46"/>
        </w:trPr>
        <w:tc>
          <w:tcPr>
            <w:tcW w:w="3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left="737"/>
              <w:spacing w:after="0"/>
              <w:rPr>
                <w:sz w:val="20"/>
                <w:szCs w:val="20"/>
                <w:color w:val="auto"/>
              </w:rPr>
            </w:pPr>
            <w:r>
              <w:rPr>
                <w:rFonts w:ascii="Times New Roman" w:cs="Times New Roman" w:eastAsia="Times New Roman" w:hAnsi="Times New Roman"/>
                <w:sz w:val="17"/>
                <w:szCs w:val="17"/>
                <w:color w:val="auto"/>
              </w:rPr>
              <w:t>(8)</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226"/>
        </w:trPr>
        <w:tc>
          <w:tcPr>
            <w:tcW w:w="3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737"/>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6"/>
        </w:trPr>
        <w:tc>
          <w:tcPr>
            <w:tcW w:w="3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Losses and other expense, net</w:t>
            </w:r>
          </w:p>
        </w:tc>
        <w:tc>
          <w:tcPr>
            <w:tcW w:w="120" w:type="dxa"/>
            <w:vAlign w:val="bottom"/>
          </w:tcPr>
          <w:p>
            <w:pPr>
              <w:spacing w:after="0"/>
              <w:rPr>
                <w:sz w:val="19"/>
                <w:szCs w:val="19"/>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154"/>
        </w:trPr>
        <w:tc>
          <w:tcPr>
            <w:tcW w:w="3140" w:type="dxa"/>
            <w:vAlign w:val="bottom"/>
            <w:tcBorders>
              <w:top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b w:val="1"/>
                <w:bCs w:val="1"/>
                <w:color w:val="auto"/>
              </w:rPr>
              <w:t>FINANCIAL RESULTS BEFORE</w:t>
            </w:r>
          </w:p>
        </w:tc>
        <w:tc>
          <w:tcPr>
            <w:tcW w:w="1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b w:val="1"/>
                <w:bCs w:val="1"/>
                <w:color w:val="auto"/>
              </w:rPr>
              <w:t>INCOME TAXES AND</w:t>
            </w:r>
          </w:p>
        </w:tc>
        <w:tc>
          <w:tcPr>
            <w:tcW w:w="1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NONCONTROLLING INTERESTS</w:t>
            </w:r>
          </w:p>
        </w:tc>
        <w:tc>
          <w:tcPr>
            <w:tcW w:w="1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20" w:type="dxa"/>
            <w:vAlign w:val="bottom"/>
          </w:tcPr>
          <w:p>
            <w:pPr>
              <w:spacing w:after="0"/>
              <w:rPr>
                <w:sz w:val="21"/>
                <w:szCs w:val="21"/>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76"/>
        </w:trPr>
        <w:tc>
          <w:tcPr>
            <w:tcW w:w="3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Net income attributable to noncontrolling</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737"/>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154"/>
        </w:trPr>
        <w:tc>
          <w:tcPr>
            <w:tcW w:w="314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b w:val="1"/>
                <w:bCs w:val="1"/>
                <w:color w:val="auto"/>
              </w:rPr>
              <w:t>FINANCIAL RESULTS</w:t>
            </w: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14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b w:val="1"/>
                <w:bCs w:val="1"/>
                <w:color w:val="auto"/>
              </w:rPr>
              <w:t>ATTRIBUTABLE TO COMMON</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vMerge w:val="restart"/>
          </w:tcPr>
          <w:p>
            <w:pPr>
              <w:jc w:val="right"/>
              <w:ind w:right="102"/>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94"/>
        </w:trPr>
        <w:tc>
          <w:tcPr>
            <w:tcW w:w="314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b w:val="1"/>
                <w:bCs w:val="1"/>
                <w:color w:val="auto"/>
              </w:rPr>
              <w:t>SHAREHOLDERS</w:t>
            </w:r>
          </w:p>
        </w:tc>
        <w:tc>
          <w:tcPr>
            <w:tcW w:w="120" w:type="dxa"/>
            <w:vAlign w:val="bottom"/>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40" w:type="dxa"/>
            <w:vAlign w:val="bottom"/>
            <w:gridSpan w:val="2"/>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General and Administrative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3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1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2022 Third Quarter</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8"/>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 in millions)</w:t>
            </w: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3"/>
          </w:tcPr>
          <w:p>
            <w:pPr>
              <w:jc w:val="center"/>
              <w:ind w:right="220"/>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center"/>
              <w:ind w:right="100"/>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 w:type="dxa"/>
            <w:vAlign w:val="bottom"/>
            <w:vMerge w:val="restart"/>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0" w:type="dxa"/>
            <w:vAlign w:val="bottom"/>
          </w:tcPr>
          <w:p>
            <w:pPr>
              <w:spacing w:after="0"/>
              <w:rPr>
                <w:sz w:val="1"/>
                <w:szCs w:val="1"/>
                <w:color w:val="auto"/>
              </w:rPr>
            </w:pPr>
          </w:p>
        </w:tc>
      </w:tr>
      <w:tr>
        <w:trPr>
          <w:trHeight w:val="207"/>
        </w:trPr>
        <w:tc>
          <w:tcPr>
            <w:tcW w:w="314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center"/>
              <w:ind w:left="737"/>
              <w:spacing w:after="0"/>
              <w:rPr>
                <w:sz w:val="20"/>
                <w:szCs w:val="20"/>
                <w:color w:val="auto"/>
              </w:rPr>
            </w:pPr>
            <w:r>
              <w:rPr>
                <w:rFonts w:ascii="Times New Roman" w:cs="Times New Roman" w:eastAsia="Times New Roman" w:hAnsi="Times New Roman"/>
                <w:sz w:val="17"/>
                <w:szCs w:val="17"/>
                <w:color w:val="auto"/>
                <w:w w:val="93"/>
              </w:rPr>
              <w:t>62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454"/>
        </w:trPr>
        <w:tc>
          <w:tcPr>
            <w:tcW w:w="31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2022 First Three Quarters</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8"/>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Nine Months Ended</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 in millions)</w:t>
            </w: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3"/>
          </w:tcPr>
          <w:p>
            <w:pPr>
              <w:jc w:val="center"/>
              <w:ind w:right="220"/>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center"/>
              <w:ind w:right="100"/>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 w:type="dxa"/>
            <w:vAlign w:val="bottom"/>
            <w:vMerge w:val="restart"/>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0" w:type="dxa"/>
            <w:vAlign w:val="bottom"/>
          </w:tcPr>
          <w:p>
            <w:pPr>
              <w:spacing w:after="0"/>
              <w:rPr>
                <w:sz w:val="1"/>
                <w:szCs w:val="1"/>
                <w:color w:val="auto"/>
              </w:rPr>
            </w:pPr>
          </w:p>
        </w:tc>
      </w:tr>
      <w:tr>
        <w:trPr>
          <w:trHeight w:val="207"/>
        </w:trPr>
        <w:tc>
          <w:tcPr>
            <w:tcW w:w="314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560"/>
        <w:spacing w:after="0" w:line="292" w:lineRule="auto"/>
        <w:rPr>
          <w:sz w:val="20"/>
          <w:szCs w:val="20"/>
          <w:color w:val="auto"/>
        </w:rPr>
      </w:pPr>
      <w:r>
        <w:rPr>
          <w:rFonts w:ascii="Times New Roman" w:cs="Times New Roman" w:eastAsia="Times New Roman" w:hAnsi="Times New Roman"/>
          <w:sz w:val="17"/>
          <w:szCs w:val="17"/>
          <w:color w:val="auto"/>
        </w:rPr>
        <w:t>For the third quarter of 2022 and the first three quarters of 2022, General and administrative expenses increased $8 million and $21 million, respectively, attributed to higher compensation and transformation initiative spending, including procurement and artificial intelligence capabilities.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Gains / Losses and Other Income / Expense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Third Quarter</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260"/>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39"/>
              <w:spacing w:after="0" w:line="152"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Change</w:t>
            </w:r>
          </w:p>
        </w:tc>
        <w:tc>
          <w:tcPr>
            <w:tcW w:w="0" w:type="dxa"/>
            <w:vAlign w:val="bottom"/>
          </w:tcPr>
          <w:p>
            <w:pPr>
              <w:spacing w:after="0"/>
              <w:rPr>
                <w:sz w:val="1"/>
                <w:szCs w:val="1"/>
                <w:color w:val="auto"/>
              </w:rPr>
            </w:pPr>
          </w:p>
        </w:tc>
      </w:tr>
      <w:tr>
        <w:trPr>
          <w:trHeight w:val="206"/>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Pr>
          <w:p>
            <w:pPr>
              <w:spacing w:after="0"/>
              <w:rPr>
                <w:sz w:val="17"/>
                <w:szCs w:val="17"/>
                <w:color w:val="auto"/>
              </w:rPr>
            </w:pPr>
          </w:p>
        </w:tc>
        <w:tc>
          <w:tcPr>
            <w:tcW w:w="1120" w:type="dxa"/>
            <w:vAlign w:val="bottom"/>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Losses and other expense,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338"/>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In the third quarter of 2022, we recorded $2 million of foreign currency translation losses, and $1 million of miscellaneous losses and other expense, offset by $1 million of non-income tax related adjustments to the receivable for the indemnification we expect to receive from Marriott International.</w:t>
      </w:r>
    </w:p>
    <w:p>
      <w:pPr>
        <w:spacing w:after="0" w:line="19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In the third quarter of 2021, we recorded losses and other expenses of $31 million, including $36 million of expense related to the early redemption of senior unsecured notes, $2 million of foreign currency translation losses, and $1 million of miscellaneous losses and other expense, partially offset by $8 million related to a true-up of a Marriott International indemnification receivable upon settlement (the true-up to the offsetting accrual is included in the Provision for income taxes line).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First Three Quarters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260"/>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39"/>
              <w:spacing w:after="0" w:line="152"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Change</w:t>
            </w:r>
          </w:p>
        </w:tc>
        <w:tc>
          <w:tcPr>
            <w:tcW w:w="0" w:type="dxa"/>
            <w:vAlign w:val="bottom"/>
          </w:tcPr>
          <w:p>
            <w:pPr>
              <w:spacing w:after="0"/>
              <w:rPr>
                <w:sz w:val="1"/>
                <w:szCs w:val="1"/>
                <w:color w:val="auto"/>
              </w:rPr>
            </w:pPr>
          </w:p>
        </w:tc>
      </w:tr>
      <w:tr>
        <w:trPr>
          <w:trHeight w:val="206"/>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Pr>
          <w:p>
            <w:pPr>
              <w:spacing w:after="0"/>
              <w:rPr>
                <w:sz w:val="17"/>
                <w:szCs w:val="17"/>
                <w:color w:val="auto"/>
              </w:rPr>
            </w:pPr>
          </w:p>
        </w:tc>
        <w:tc>
          <w:tcPr>
            <w:tcW w:w="1120" w:type="dxa"/>
            <w:vAlign w:val="bottom"/>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Losses and other expense,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338"/>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In the first three quarters of 2022, we recorded $8 million of foreign currency translation losses, $3 million of non-cash losses pursuant to a change in control of certain Consolidated Property Owners’ Associations, $2 million of non-income tax related adjustments to the receivable for the indemnification we expect to receive from Marriott International, and $1 million of miscellaneous losses and other expense, partially offset by $2 million of proceeds from corporate owned life insurance.</w:t>
      </w:r>
    </w:p>
    <w:p>
      <w:pPr>
        <w:spacing w:after="0" w:line="64"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7"/>
          <w:szCs w:val="17"/>
          <w:color w:val="auto"/>
        </w:rPr>
        <w:t>In the first three quarters of 2021, we recorded losses and other expenses of $27 million, including $36 million of expense related to the early redemption of senior unsecured notes, and $1 million of miscellaneous losses and other expense, partially offset by $6 million related to a true-up of a Marriott International indemnification receivable upon settlement (the true-up to the offsetting accrual is included in the Provision for income taxes line), and $4 million of foreign currency translation gains.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Expense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Third Quarter</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260"/>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39"/>
              <w:spacing w:after="0" w:line="152"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Change</w:t>
            </w:r>
          </w:p>
        </w:tc>
        <w:tc>
          <w:tcPr>
            <w:tcW w:w="0" w:type="dxa"/>
            <w:vAlign w:val="bottom"/>
          </w:tcPr>
          <w:p>
            <w:pPr>
              <w:spacing w:after="0"/>
              <w:rPr>
                <w:sz w:val="1"/>
                <w:szCs w:val="1"/>
                <w:color w:val="auto"/>
              </w:rPr>
            </w:pPr>
          </w:p>
        </w:tc>
      </w:tr>
      <w:tr>
        <w:trPr>
          <w:trHeight w:val="206"/>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Pr>
          <w:p>
            <w:pPr>
              <w:spacing w:after="0"/>
              <w:rPr>
                <w:sz w:val="17"/>
                <w:szCs w:val="17"/>
                <w:color w:val="auto"/>
              </w:rPr>
            </w:pPr>
          </w:p>
        </w:tc>
        <w:tc>
          <w:tcPr>
            <w:tcW w:w="1120" w:type="dxa"/>
            <w:vAlign w:val="bottom"/>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338"/>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Interest expense decreased $7 million, including $4 million of lower interest expense associated with the early redemption of a portion of senior secured notes in the third quarter of 2021, $3 million of lower interest expense associated with the early redemption of senior unsecured notes in the third quarter of 2021, $2 million of lower interest expense due to the adoption of new accounting guidance related to our convertible debt (see Footnote 2 “Significant Accounting Policies and Recent Accounting Standards” to our Financial Statements), and $1 million of lower non-income tax related interest expense. These decreases were partially offset by $3 million of higher interest expense due to amounts drawn on the Warehouse Credit Facility and Revolving Corporate Credit Facility, and a higher variable interest rate on the Revolving Corporate Credit Facility.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First Three Quarters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260"/>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39"/>
              <w:spacing w:after="0" w:line="152"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Change</w:t>
            </w:r>
          </w:p>
        </w:tc>
        <w:tc>
          <w:tcPr>
            <w:tcW w:w="0" w:type="dxa"/>
            <w:vAlign w:val="bottom"/>
          </w:tcPr>
          <w:p>
            <w:pPr>
              <w:spacing w:after="0"/>
              <w:rPr>
                <w:sz w:val="1"/>
                <w:szCs w:val="1"/>
                <w:color w:val="auto"/>
              </w:rPr>
            </w:pPr>
          </w:p>
        </w:tc>
      </w:tr>
      <w:tr>
        <w:trPr>
          <w:trHeight w:val="206"/>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Pr>
          <w:p>
            <w:pPr>
              <w:spacing w:after="0"/>
              <w:rPr>
                <w:sz w:val="17"/>
                <w:szCs w:val="17"/>
                <w:color w:val="auto"/>
              </w:rPr>
            </w:pPr>
          </w:p>
        </w:tc>
        <w:tc>
          <w:tcPr>
            <w:tcW w:w="1120" w:type="dxa"/>
            <w:vAlign w:val="bottom"/>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338"/>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Interest expense decreased $37 million, including $28 million of lower interest expense associated with the early redemption of senior unsecured notes in the third quarter of 2021, $15 million of lower interest expense due to the adoption of new accounting guidance related to our convertible debt (see Footnote 2 “Significant Accounting Policies and Recent Accounting Standards” to our Financial Statements), and $12 million of lower interest expense associated with the early redemption of a portion of senior secured notes in the third quarter of 2021. These decreases were partially offset by $11 million of higher interest expense associated with senior unsecured notes issued in the second quarter of 2021, $3 million of higher interest expense related to finance leases, $2 million of higher non-income tax related interest expense, and $2 million of higher interest expense due to amounts drawn on the Warehouse Credit Facility and Revolving Corporate Credit Facility, and a higher variable interest rate on the Revolving Corporate Credit Facility.</w:t>
      </w:r>
    </w:p>
    <w:p>
      <w:pPr>
        <w:spacing w:after="0" w:line="24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Transaction and Integration Costs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Third Quarter</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260"/>
              <w:spacing w:after="0" w:line="152"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39"/>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Change</w:t>
            </w:r>
          </w:p>
        </w:tc>
        <w:tc>
          <w:tcPr>
            <w:tcW w:w="0" w:type="dxa"/>
            <w:vAlign w:val="bottom"/>
          </w:tcPr>
          <w:p>
            <w:pPr>
              <w:spacing w:after="0"/>
              <w:rPr>
                <w:sz w:val="1"/>
                <w:szCs w:val="1"/>
                <w:color w:val="auto"/>
              </w:rPr>
            </w:pPr>
          </w:p>
        </w:tc>
      </w:tr>
      <w:tr>
        <w:trPr>
          <w:trHeight w:val="206"/>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17"/>
                <w:szCs w:val="17"/>
                <w:color w:val="auto"/>
              </w:rPr>
            </w:pPr>
          </w:p>
        </w:tc>
        <w:tc>
          <w:tcPr>
            <w:tcW w:w="1120" w:type="dxa"/>
            <w:vAlign w:val="bottom"/>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Transaction and integration costs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278"/>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420"/>
        <w:spacing w:after="0" w:line="292" w:lineRule="auto"/>
        <w:rPr>
          <w:sz w:val="20"/>
          <w:szCs w:val="20"/>
          <w:color w:val="auto"/>
        </w:rPr>
      </w:pPr>
      <w:r>
        <w:rPr>
          <w:rFonts w:ascii="Times New Roman" w:cs="Times New Roman" w:eastAsia="Times New Roman" w:hAnsi="Times New Roman"/>
          <w:sz w:val="17"/>
          <w:szCs w:val="17"/>
          <w:color w:val="auto"/>
        </w:rPr>
        <w:t>In the third quarter of 2022, Transaction and integration costs included $19 million of ILG integration related costs, $3 million of other integration costs, $5 million of Welk Acquisition and integration related costs, and $5 million of other transaction and integration related costs.</w:t>
      </w:r>
    </w:p>
    <w:p>
      <w:pPr>
        <w:spacing w:after="0" w:line="43" w:lineRule="exact"/>
        <w:rPr>
          <w:sz w:val="20"/>
          <w:szCs w:val="20"/>
          <w:color w:val="auto"/>
        </w:rPr>
      </w:pPr>
    </w:p>
    <w:p>
      <w:pPr>
        <w:ind w:right="720"/>
        <w:spacing w:after="0" w:line="292" w:lineRule="auto"/>
        <w:rPr>
          <w:sz w:val="20"/>
          <w:szCs w:val="20"/>
          <w:color w:val="auto"/>
        </w:rPr>
      </w:pPr>
      <w:r>
        <w:rPr>
          <w:rFonts w:ascii="Times New Roman" w:cs="Times New Roman" w:eastAsia="Times New Roman" w:hAnsi="Times New Roman"/>
          <w:sz w:val="17"/>
          <w:szCs w:val="17"/>
          <w:color w:val="auto"/>
        </w:rPr>
        <w:t>In the third quarter of 2021, Transaction and integration costs included $22 million of ILG integration related costs, $3 million of Welk Acquisition and integration related costs and $1 million of other transaction and integration related costs.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First Three Quarters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260"/>
              <w:spacing w:after="0" w:line="152"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39"/>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Change</w:t>
            </w:r>
          </w:p>
        </w:tc>
        <w:tc>
          <w:tcPr>
            <w:tcW w:w="0" w:type="dxa"/>
            <w:vAlign w:val="bottom"/>
          </w:tcPr>
          <w:p>
            <w:pPr>
              <w:spacing w:after="0"/>
              <w:rPr>
                <w:sz w:val="1"/>
                <w:szCs w:val="1"/>
                <w:color w:val="auto"/>
              </w:rPr>
            </w:pPr>
          </w:p>
        </w:tc>
      </w:tr>
      <w:tr>
        <w:trPr>
          <w:trHeight w:val="206"/>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17"/>
                <w:szCs w:val="17"/>
                <w:color w:val="auto"/>
              </w:rPr>
            </w:pPr>
          </w:p>
        </w:tc>
        <w:tc>
          <w:tcPr>
            <w:tcW w:w="1120" w:type="dxa"/>
            <w:vAlign w:val="bottom"/>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Transaction and integration costs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278"/>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160"/>
        <w:spacing w:after="0" w:line="292" w:lineRule="auto"/>
        <w:rPr>
          <w:sz w:val="20"/>
          <w:szCs w:val="20"/>
          <w:color w:val="auto"/>
        </w:rPr>
      </w:pPr>
      <w:r>
        <w:rPr>
          <w:rFonts w:ascii="Times New Roman" w:cs="Times New Roman" w:eastAsia="Times New Roman" w:hAnsi="Times New Roman"/>
          <w:sz w:val="17"/>
          <w:szCs w:val="17"/>
          <w:color w:val="auto"/>
        </w:rPr>
        <w:t>In the first three quarters of 2022, Transaction and integration costs included $67 million of ILG integration related costs, $13 million of other integration costs, $10 million of Welk Acquisition and integration related costs, and $6 million of other transaction and integration related costs.</w:t>
      </w:r>
    </w:p>
    <w:p>
      <w:pPr>
        <w:spacing w:after="0" w:line="43" w:lineRule="exact"/>
        <w:rPr>
          <w:sz w:val="20"/>
          <w:szCs w:val="20"/>
          <w:color w:val="auto"/>
        </w:rPr>
      </w:pPr>
    </w:p>
    <w:p>
      <w:pPr>
        <w:ind w:right="320"/>
        <w:spacing w:after="0" w:line="292" w:lineRule="auto"/>
        <w:rPr>
          <w:sz w:val="20"/>
          <w:szCs w:val="20"/>
          <w:color w:val="auto"/>
        </w:rPr>
      </w:pPr>
      <w:r>
        <w:rPr>
          <w:rFonts w:ascii="Times New Roman" w:cs="Times New Roman" w:eastAsia="Times New Roman" w:hAnsi="Times New Roman"/>
          <w:sz w:val="17"/>
          <w:szCs w:val="17"/>
          <w:color w:val="auto"/>
        </w:rPr>
        <w:t>In the first three quarters of 2021, Transaction and integration costs included $64 million of ILG integration related costs, $8 million of Welk Acquisition and integration related costs, and $1 million of other transaction and integration related costs.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Third Quarter</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240"/>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59"/>
              <w:spacing w:after="0" w:line="152"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Change</w:t>
            </w:r>
          </w:p>
        </w:tc>
        <w:tc>
          <w:tcPr>
            <w:tcW w:w="0" w:type="dxa"/>
            <w:vAlign w:val="bottom"/>
          </w:tcPr>
          <w:p>
            <w:pPr>
              <w:spacing w:after="0"/>
              <w:rPr>
                <w:sz w:val="1"/>
                <w:szCs w:val="1"/>
                <w:color w:val="auto"/>
              </w:rPr>
            </w:pPr>
          </w:p>
        </w:tc>
      </w:tr>
      <w:tr>
        <w:trPr>
          <w:trHeight w:val="206"/>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Pr>
          <w:p>
            <w:pPr>
              <w:spacing w:after="0"/>
              <w:rPr>
                <w:sz w:val="17"/>
                <w:szCs w:val="17"/>
                <w:color w:val="auto"/>
              </w:rPr>
            </w:pPr>
          </w:p>
        </w:tc>
        <w:tc>
          <w:tcPr>
            <w:tcW w:w="112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493"/>
        </w:trPr>
        <w:tc>
          <w:tcPr>
            <w:tcW w:w="31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2022 First Three Quarters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Nine Months Ended</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3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240"/>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59"/>
              <w:spacing w:after="0" w:line="152"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Change</w:t>
            </w:r>
          </w:p>
        </w:tc>
        <w:tc>
          <w:tcPr>
            <w:tcW w:w="0" w:type="dxa"/>
            <w:vAlign w:val="bottom"/>
          </w:tcPr>
          <w:p>
            <w:pPr>
              <w:spacing w:after="0"/>
              <w:rPr>
                <w:sz w:val="1"/>
                <w:szCs w:val="1"/>
                <w:color w:val="auto"/>
              </w:rPr>
            </w:pPr>
          </w:p>
        </w:tc>
      </w:tr>
      <w:tr>
        <w:trPr>
          <w:trHeight w:val="206"/>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Pr>
          <w:p>
            <w:pPr>
              <w:spacing w:after="0"/>
              <w:rPr>
                <w:sz w:val="17"/>
                <w:szCs w:val="17"/>
                <w:color w:val="auto"/>
              </w:rPr>
            </w:pPr>
          </w:p>
        </w:tc>
        <w:tc>
          <w:tcPr>
            <w:tcW w:w="112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right="200"/>
        <w:spacing w:after="0" w:line="292" w:lineRule="auto"/>
        <w:rPr>
          <w:sz w:val="20"/>
          <w:szCs w:val="20"/>
          <w:color w:val="auto"/>
        </w:rPr>
      </w:pPr>
      <w:r>
        <w:rPr>
          <w:rFonts w:ascii="Times New Roman" w:cs="Times New Roman" w:eastAsia="Times New Roman" w:hAnsi="Times New Roman"/>
          <w:sz w:val="17"/>
          <w:szCs w:val="17"/>
          <w:color w:val="auto"/>
        </w:rPr>
        <w:t>The change in the Provision for income taxes is predominately attributable to an increase in pre-tax income for the three and nine months ended September 30, 2022.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Typically, our capital needs are supported by cash on hand, cash generated from operations, our ability to raise capital through securitizations in the asset-backed securities market, our ability to issue new and refinance existing debt, and to the extent necessary, our ability to access funds under the Warehouse Credit Facility and the Revolving Corporate Credit Facility. We believe these sources of capital will be adequate to meet our short-term and long-term liquidity requirements, finance our long-term growth plans, satisfy debt service requirements, fulfill other cash requirements, and return capital to shareholders. We continuously monitor the capital markets to evaluate the effect that changes in market conditions may have on our ability to fund our liquidity needs.</w:t>
      </w:r>
    </w:p>
    <w:p>
      <w:pPr>
        <w:spacing w:after="0" w:line="66"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At September 30, 2022, we had $4.6 billion of total gross debt outstanding, which included $2.8 billion of corporate debt (consisting of $1.1 billion of senior notes, $1.0 billion of debt under our Corporate Credit Facility, and $575 million of convertible notes), $1.8 billion of non-recourse debt associated with vacation ownership notes receivable securitizations, $83 million related to finance lease obligations, and $10 million related to a non-interest bearing note payable. Excluding</w:t>
      </w:r>
    </w:p>
    <w:p>
      <w:pPr>
        <w:spacing w:after="0" w:line="21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360"/>
        <w:spacing w:after="0" w:line="292" w:lineRule="auto"/>
        <w:rPr>
          <w:sz w:val="20"/>
          <w:szCs w:val="20"/>
          <w:color w:val="auto"/>
        </w:rPr>
      </w:pPr>
      <w:r>
        <w:rPr>
          <w:rFonts w:ascii="Times New Roman" w:cs="Times New Roman" w:eastAsia="Times New Roman" w:hAnsi="Times New Roman"/>
          <w:sz w:val="17"/>
          <w:szCs w:val="17"/>
          <w:color w:val="auto"/>
        </w:rPr>
        <w:t>the impact of the Alignment, our corporate debt, net of cash and equivalents, to Adjusted EBITDA ratio at September 30, 2022 was 2.8x, which is within our targeted 2.5x to 3.0x leverage range. We have no material maturities of corporate debt until 2025.</w:t>
      </w:r>
    </w:p>
    <w:p>
      <w:pPr>
        <w:spacing w:after="0" w:line="43" w:lineRule="exact"/>
        <w:rPr>
          <w:sz w:val="20"/>
          <w:szCs w:val="20"/>
          <w:color w:val="auto"/>
        </w:rPr>
      </w:pPr>
    </w:p>
    <w:p>
      <w:pPr>
        <w:ind w:right="340"/>
        <w:spacing w:after="0" w:line="292" w:lineRule="auto"/>
        <w:rPr>
          <w:sz w:val="20"/>
          <w:szCs w:val="20"/>
          <w:color w:val="auto"/>
        </w:rPr>
      </w:pPr>
      <w:r>
        <w:rPr>
          <w:rFonts w:ascii="Times New Roman" w:cs="Times New Roman" w:eastAsia="Times New Roman" w:hAnsi="Times New Roman"/>
          <w:sz w:val="17"/>
          <w:szCs w:val="17"/>
          <w:color w:val="auto"/>
        </w:rPr>
        <w:t>At the end of the third quarter of 2022, our corporate debt, including the impact of interest rate hedges, had a weighted average interest rate of 3.9% and 83% accrued interest at a fixed rate.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Sources of Liquidity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from Operations</w:t>
      </w:r>
    </w:p>
    <w:p>
      <w:pPr>
        <w:spacing w:after="0" w:line="11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Our primary sources of funds from operations are (1) cash sales and down payments on financed sales, (2) cash from our financing operations, including principal and interest payments received on outstanding vacation ownership notes receivable, (3) cash from fee-based membership, exchange and rental transactions, and (4) net cash generated from our rental and resort management and other services operations.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Vacation Ownership Notes Receivable Securitizations</w:t>
      </w:r>
    </w:p>
    <w:p>
      <w:pPr>
        <w:spacing w:after="0" w:line="11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7"/>
          <w:szCs w:val="17"/>
          <w:color w:val="auto"/>
        </w:rPr>
        <w:t>We periodically securitize, without recourse, through bankruptcy remote special purpose entities, the majority of the notes receivable originated in connection with the sale of vacation ownership products to institutional investors in the asset-backed securities (“ABS”) term securitization market. These vacation ownership notes receivable securitizations provide liquidity for general corporate purposes. In a vacation ownership notes receivable term securitization, several classes of debt securities issued by a special purpose entity are generally collateralized by a single tranche of transferred assets, which consist of vacation ownership notes receivable.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 Typically, we receive cash at inception of the term securitization transaction for the amount of notes issued less fees and monies held in reserve and we receive cash during the life of the transaction in amounts reflecting the excess spread of interest received on the related vacation ownership notes receivable less the interest payable on the ABS securities, less administrative fees and amounts from related vacation ownership notes receivable that default. As of November 3, 2022, we have completed two term securitization transactions in 2022 resulting in net proceeds of $621 million.</w:t>
      </w:r>
    </w:p>
    <w:p>
      <w:pPr>
        <w:spacing w:after="0" w:line="7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parameters (default or delinquency thresholds vary by transaction), transaction provisions effectively redirect the monthly excess spread of interest accruing on the related vacation ownership notes receivable less the interest accruing on the ABS securities and fees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third quarter of 2022, and as of September 30, 2022, we had 14 term securitization transactions outstanding, all of which were in compliance with their respective required parameters. Since 2000, we have issued approximately $8 billion of debt securities in securitization transactions in the term ABS market, excluding amounts securitized through warehouse credit facilities or private bank transactions.</w:t>
      </w:r>
    </w:p>
    <w:p>
      <w:pPr>
        <w:spacing w:after="0" w:line="69"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7"/>
          <w:szCs w:val="17"/>
          <w:color w:val="auto"/>
        </w:rPr>
        <w:t>On an ongoing basis, we have the ability to use our Warehouse Credit Facility to securitize, on a revolving non-recourse basis, eligible consumer loans derived from certain vacation ownership sales. Those loans may later be transferred to term securitization transactions in the ABS market, which typically occur at least once per year. Our Warehouse Credit Facility, as amended during the third quarter of 2022, provides for up to $425 million of aggregate borrowings through July 28,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September 30, 2022, $142 million of gross vacation ownership notes receivable were eligible for securitization.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Revolving Corporate Credit Facility</w:t>
      </w:r>
    </w:p>
    <w:p>
      <w:pPr>
        <w:spacing w:after="0" w:line="118"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Our Revolving Corporate Credit Facility provides for up to $750 million of aggregate borrowings for general corporate needs, including working capital, capital expenditures, letters of credit and acquisitions and expires on March 31, 2027. At September 30, 2022, $230 million of debt principal was outstanding on our Revolving Corporate Credit Facility, the proceeds of which were used to repay the 2022 Convertible Notes which matured on September 15, 2022, and $1 million of letters of credit were outstanding. See Footnote 13 “Debt” to our Financial Statements for more information on interest rates pertaining to this facility.</w:t>
      </w:r>
    </w:p>
    <w:p>
      <w:pPr>
        <w:spacing w:after="0" w:line="23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Issuance of Senior Notes and Convertible Debt</w:t>
      </w:r>
    </w:p>
    <w:p>
      <w:pPr>
        <w:spacing w:after="0" w:line="118"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Our ability to access the public debt markets through the issuance of senior notes and convertible debt remained strong during the COVID-19 pandemic. We accessed the public debt markets every year between 2017 and 2021, including a $500 million senior note issuance during the height of the COVID-19 pandemic in May 2020.</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Uses of Cash</w:t>
      </w:r>
    </w:p>
    <w:p>
      <w:pPr>
        <w:spacing w:after="0" w:line="118"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7"/>
          <w:szCs w:val="17"/>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owners’ associations and certain annual compensation-related outflows. In addition, our cash from operations varies due to the timing of repayment by owners of vacation ownership notes receivable, the closing or recording of sales contracts for vacation ownership products, financing propensity, and cash outlays for inventory acquisitions and development.</w:t>
      </w:r>
    </w:p>
    <w:p>
      <w:pPr>
        <w:spacing w:after="0" w:line="193"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Cash and cash equivalents on hand at September 30, 2022 totaled $294 million, a decrease of $48 million from December 31, 2021, primarily reflecting the repurchase of common stock of $528 million, payment of dividends of $75 million and repayments of securitized debt in excess of new borrowings of $46 million, capital expenditures for property and equipment (excluding inventory) of $36 million, $13 million related to debt issuance costs and payments on finance leases, and $23 million for payment of withholding taxes on vesting of restricted stock units offset by $380 million associated with net cash and cash equivalents provided by operating activities, and investing cash inflow related to the disposition of subsidiaries of $94 million.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to net income or loss and adjustments for non-cash items, the following are key drivers of our cash flow from operating activities: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Inventory Spending Less Than (In Excess of) Cost of Sales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855"/>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2"/>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Pr>
          <w:p>
            <w:pPr>
              <w:spacing w:after="0"/>
              <w:rPr>
                <w:sz w:val="17"/>
                <w:szCs w:val="17"/>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20" w:type="dxa"/>
            <w:vAlign w:val="bottom"/>
          </w:tcPr>
          <w:p>
            <w:pPr>
              <w:spacing w:after="0"/>
              <w:rPr>
                <w:sz w:val="17"/>
                <w:szCs w:val="17"/>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w w:val="95"/>
              </w:rPr>
              <w:t>September 30, 2021</w:t>
            </w:r>
          </w:p>
        </w:tc>
      </w:tr>
      <w:tr>
        <w:trPr>
          <w:trHeight w:val="228"/>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Inventory spending</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46"/>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of vacation ownership units for future transfer to inventory</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4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1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r>
      <w:tr>
        <w:trPr>
          <w:trHeight w:val="213"/>
        </w:trPr>
        <w:tc>
          <w:tcPr>
            <w:tcW w:w="5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Inventory spending less than (in excess of) cost of sales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0"/>
        </w:trPr>
        <w:tc>
          <w:tcPr>
            <w:tcW w:w="5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While we have significant excess inventory on hand, we will continue to selectively pursue growth opportunities by targeting high-quality inventory that allows us to add desirable new destinations to our system with new on-site sales locations through transactions that limit our up-front capital investment and allow us to purchase finished inventory closer to the time it is needed for sale. These capital efficient vacation ownership deal structures may consist of the development of new inventory, or the conversion of previously built units by third parties, just prior to sale. In addition, we may develop inventory in key markets where opportunities generate acceptable risk adjusted returns.</w:t>
      </w:r>
    </w:p>
    <w:p>
      <w:pPr>
        <w:spacing w:after="0" w:line="66"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color w:val="auto"/>
        </w:rPr>
        <w:t>Through our existing vacation ownership interest repurchase program, we proactively acquire previously sold vacation ownership interests from owners’ associations and individual owners at lower costs than would be required to develop new inventory. Among other reasons, by repurchasing inventory, we expect to be able to help stabilize the future cost of vacation ownership products.</w:t>
      </w:r>
    </w:p>
    <w:p>
      <w:pPr>
        <w:spacing w:after="0" w:line="5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Our spending for real estate inventory in the first three quarters of 2022 was lower than cost of sales and was primarily related to our vacation ownership interest repurchase program. We acquired a higher amount of previously sold vacation ownership interests in the first three quarters of 2022 due to the reinstatement of our vacation ownership interest repurchase programs that were suspended as part of the cash preservation measures implemented in response to the COVID-19 pandemic. We expect inventory spending to be less than cost of sales for the last quarter of 2022. During the third quarter of 2022, we also amended the terms of a capital efficient inventory arrangement, under which a third party will develop the Waikiki property that we are committed to purchase and agree to resell it to us over time commencing in 2024. See Footnote 16 “Variable Interest Entities” to our Financial Statements for more information.</w:t>
      </w:r>
    </w:p>
    <w:p>
      <w:pPr>
        <w:spacing w:after="0" w:line="22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Vacation Ownership Notes Receivable Collections Less Than Originations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835"/>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2"/>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00" w:type="dxa"/>
            <w:vAlign w:val="bottom"/>
          </w:tcPr>
          <w:p>
            <w:pPr>
              <w:spacing w:after="0"/>
              <w:rPr>
                <w:sz w:val="17"/>
                <w:szCs w:val="17"/>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00" w:type="dxa"/>
            <w:vAlign w:val="bottom"/>
          </w:tcPr>
          <w:p>
            <w:pPr>
              <w:spacing w:after="0"/>
              <w:rPr>
                <w:sz w:val="17"/>
                <w:szCs w:val="17"/>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w w:val="97"/>
              </w:rPr>
              <w:t>September 30, 2021</w:t>
            </w:r>
          </w:p>
        </w:tc>
      </w:tr>
      <w:tr>
        <w:trPr>
          <w:trHeight w:val="228"/>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 notes receivable collections — non-securitized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r>
      <w:tr>
        <w:trPr>
          <w:trHeight w:val="246"/>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Vacation ownership notes receivable collections — securitized</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w:t>
            </w:r>
          </w:p>
        </w:tc>
      </w:tr>
      <w:tr>
        <w:trPr>
          <w:trHeight w:val="24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 notes receivable originations</w:t>
            </w:r>
          </w:p>
        </w:tc>
        <w:tc>
          <w:tcPr>
            <w:tcW w:w="1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w:t>
            </w: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w:t>
            </w:r>
          </w:p>
        </w:tc>
      </w:tr>
      <w:tr>
        <w:trPr>
          <w:trHeight w:val="213"/>
        </w:trPr>
        <w:tc>
          <w:tcPr>
            <w:tcW w:w="5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Vacation ownership notes receivable collections less than originations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0"/>
        </w:trPr>
        <w:tc>
          <w:tcPr>
            <w:tcW w:w="5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The increase in sales of vacation ownership products subsequent to the COVID-19 pandemic combined with an increase in financing propensity (54% in the first three quarters of 2022 compared to 53% in the three quarters of 2021) outpaced collections of vacation ownership notes receivable.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Repurchase of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share repurchase activity under our current share repurchase program:</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Number of Shares</w:t>
            </w: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Cost of Shares</w:t>
            </w:r>
          </w:p>
        </w:tc>
        <w:tc>
          <w:tcPr>
            <w:tcW w:w="120" w:type="dxa"/>
            <w:vAlign w:val="bottom"/>
          </w:tcPr>
          <w:p>
            <w:pPr>
              <w:spacing w:after="0"/>
              <w:rPr>
                <w:sz w:val="16"/>
                <w:szCs w:val="16"/>
                <w:color w:val="auto"/>
              </w:rPr>
            </w:pPr>
          </w:p>
        </w:tc>
        <w:tc>
          <w:tcPr>
            <w:tcW w:w="114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w w:val="99"/>
              </w:rPr>
              <w:t>Average Price</w:t>
            </w:r>
          </w:p>
        </w:tc>
      </w:tr>
      <w:tr>
        <w:trPr>
          <w:trHeight w:val="206"/>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amounts)</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Repurchased</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Repurchased</w:t>
            </w:r>
          </w:p>
        </w:tc>
        <w:tc>
          <w:tcPr>
            <w:tcW w:w="120" w:type="dxa"/>
            <w:vAlign w:val="bottom"/>
          </w:tcPr>
          <w:p>
            <w:pPr>
              <w:spacing w:after="0"/>
              <w:rPr>
                <w:sz w:val="17"/>
                <w:szCs w:val="17"/>
                <w:color w:val="auto"/>
              </w:rPr>
            </w:pP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w w:val="95"/>
              </w:rPr>
              <w:t>Paid per Share</w:t>
            </w:r>
          </w:p>
        </w:tc>
      </w:tr>
      <w:tr>
        <w:trPr>
          <w:trHeight w:val="228"/>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 of December 31, 2021</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17,681,395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1,418</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80.17</w:t>
            </w:r>
          </w:p>
        </w:tc>
      </w:tr>
      <w:tr>
        <w:trPr>
          <w:trHeight w:val="246"/>
        </w:trPr>
        <w:tc>
          <w:tcPr>
            <w:tcW w:w="4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For the first three quarters of 2022</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3,852,726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137.16</w:t>
            </w:r>
          </w:p>
        </w:tc>
      </w:tr>
      <w:tr>
        <w:trPr>
          <w:trHeight w:val="23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 of September 30,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21,534,121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1,946</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90.37</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ind w:right="500"/>
        <w:spacing w:after="0" w:line="292" w:lineRule="auto"/>
        <w:rPr>
          <w:sz w:val="20"/>
          <w:szCs w:val="20"/>
          <w:color w:val="auto"/>
        </w:rPr>
      </w:pPr>
      <w:r>
        <w:rPr>
          <w:rFonts w:ascii="Times New Roman" w:cs="Times New Roman" w:eastAsia="Times New Roman" w:hAnsi="Times New Roman"/>
          <w:sz w:val="17"/>
          <w:szCs w:val="17"/>
          <w:color w:val="auto"/>
        </w:rPr>
        <w:t>See Footnote 14 “Shareholders' Equity” to our Financial Statements for further information related to our current share repurchase program, including the additional share repurchase authorization and extension approved by our Board of Directors during the first three quarters of 2022.</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Dividends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distributed cash dividends to holders of our common stock during the first three quarters of 2022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Declaration Date</w:t>
            </w: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Shareholder Record Date</w:t>
            </w:r>
          </w:p>
        </w:tc>
        <w:tc>
          <w:tcPr>
            <w:tcW w:w="21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Distribution Date</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Dividend per Share</w:t>
            </w:r>
          </w:p>
        </w:tc>
      </w:tr>
      <w:tr>
        <w:trPr>
          <w:trHeight w:val="229"/>
        </w:trPr>
        <w:tc>
          <w:tcPr>
            <w:tcW w:w="1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December 9, 2021</w:t>
            </w:r>
          </w:p>
        </w:tc>
        <w:tc>
          <w:tcPr>
            <w:tcW w:w="14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December 23, 2021</w:t>
            </w:r>
          </w:p>
        </w:tc>
        <w:tc>
          <w:tcPr>
            <w:tcW w:w="14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January 6, 2022</w:t>
            </w:r>
          </w:p>
        </w:tc>
        <w:tc>
          <w:tcPr>
            <w:tcW w:w="16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$0.54</w:t>
            </w:r>
          </w:p>
        </w:tc>
      </w:tr>
      <w:tr>
        <w:trPr>
          <w:trHeight w:val="240"/>
        </w:trPr>
        <w:tc>
          <w:tcPr>
            <w:tcW w:w="21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February 18, 2022</w:t>
            </w: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March 3, 2022</w:t>
            </w:r>
          </w:p>
        </w:tc>
        <w:tc>
          <w:tcPr>
            <w:tcW w:w="21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March 17, 2022</w:t>
            </w: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$0.62</w:t>
            </w:r>
          </w:p>
        </w:tc>
      </w:tr>
      <w:tr>
        <w:trPr>
          <w:trHeight w:val="253"/>
        </w:trPr>
        <w:tc>
          <w:tcPr>
            <w:tcW w:w="21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rPr>
              <w:t>May 12, 2022</w:t>
            </w:r>
          </w:p>
        </w:tc>
        <w:tc>
          <w:tcPr>
            <w:tcW w:w="2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May 26, 2022</w:t>
            </w:r>
          </w:p>
        </w:tc>
        <w:tc>
          <w:tcPr>
            <w:tcW w:w="21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rPr>
              <w:t>June 9, 2022</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$0.62</w:t>
            </w:r>
          </w:p>
        </w:tc>
      </w:tr>
    </w:tbl>
    <w:p>
      <w:pPr>
        <w:spacing w:after="0" w:line="215" w:lineRule="exact"/>
        <w:rPr>
          <w:sz w:val="20"/>
          <w:szCs w:val="20"/>
          <w:color w:val="auto"/>
        </w:rPr>
      </w:pPr>
    </w:p>
    <w:p>
      <w:pPr>
        <w:ind w:right="220"/>
        <w:spacing w:after="0" w:line="292" w:lineRule="auto"/>
        <w:rPr>
          <w:sz w:val="20"/>
          <w:szCs w:val="20"/>
          <w:color w:val="auto"/>
        </w:rPr>
      </w:pPr>
      <w:r>
        <w:rPr>
          <w:rFonts w:ascii="Times New Roman" w:cs="Times New Roman" w:eastAsia="Times New Roman" w:hAnsi="Times New Roman"/>
          <w:sz w:val="17"/>
          <w:szCs w:val="17"/>
          <w:color w:val="auto"/>
        </w:rPr>
        <w:t>We declared cash dividends to holders of our common stock during the third quarter of 2022, and distributed such cash dividends subsequent to the end of the third quarter of 2022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Declaration Date</w:t>
            </w: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Shareholder Record Date</w:t>
            </w:r>
          </w:p>
        </w:tc>
        <w:tc>
          <w:tcPr>
            <w:tcW w:w="21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Distribution Date</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Dividend per Share</w:t>
            </w:r>
          </w:p>
        </w:tc>
      </w:tr>
      <w:tr>
        <w:trPr>
          <w:trHeight w:val="229"/>
        </w:trPr>
        <w:tc>
          <w:tcPr>
            <w:tcW w:w="1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September 8, 2022</w:t>
            </w:r>
          </w:p>
        </w:tc>
        <w:tc>
          <w:tcPr>
            <w:tcW w:w="14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September 22, 2022</w:t>
            </w:r>
          </w:p>
        </w:tc>
        <w:tc>
          <w:tcPr>
            <w:tcW w:w="14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October 6, 2022</w:t>
            </w:r>
          </w:p>
        </w:tc>
        <w:tc>
          <w:tcPr>
            <w:tcW w:w="16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ind w:right="718"/>
              <w:spacing w:after="0"/>
              <w:rPr>
                <w:sz w:val="20"/>
                <w:szCs w:val="20"/>
                <w:color w:val="auto"/>
              </w:rPr>
            </w:pPr>
            <w:r>
              <w:rPr>
                <w:rFonts w:ascii="Times New Roman" w:cs="Times New Roman" w:eastAsia="Times New Roman" w:hAnsi="Times New Roman"/>
                <w:sz w:val="17"/>
                <w:szCs w:val="17"/>
                <w:color w:val="auto"/>
              </w:rPr>
              <w:t>$0.62</w:t>
            </w:r>
          </w:p>
        </w:tc>
      </w:tr>
    </w:tbl>
    <w:p>
      <w:pPr>
        <w:spacing w:after="0" w:line="22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We currently expect to pay quarterly dividends in the future, but any future dividend payments will be subject to Board approval, which will depend on our financial condition, results of operations and capital requirements, as well as applicable law, regulatory constraints, industry practice, and other business considerations that our Board of Directors considers relevant. In addition, our Corporate Credit Facility and the indentures governing our senior notes contain restrictions on our ability to pay dividends, and the terms of agreements governing debt that we may incur in the future may also limit or prohibit the payment of dividends. The payment of certain cash dividends may also result in an adjustment to the conversion rate of our convertible notes in a manner adverse to us. Accordingly, there can be no assurance that we will pay dividends in the future at any particular rate or at all.</w:t>
      </w:r>
    </w:p>
    <w:p>
      <w:pPr>
        <w:spacing w:after="0" w:line="22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Material Cash Requirements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future material cash requirements from known contractual or other obligations as of September 30, 2022:</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1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20" w:type="dxa"/>
            <w:vAlign w:val="bottom"/>
            <w:gridSpan w:val="3"/>
          </w:tcPr>
          <w:p>
            <w:pPr>
              <w:jc w:val="center"/>
              <w:ind w:right="120"/>
              <w:spacing w:after="0" w:line="178" w:lineRule="exact"/>
              <w:rPr>
                <w:sz w:val="20"/>
                <w:szCs w:val="20"/>
                <w:color w:val="auto"/>
              </w:rPr>
            </w:pPr>
            <w:r>
              <w:rPr>
                <w:rFonts w:ascii="Times New Roman" w:cs="Times New Roman" w:eastAsia="Times New Roman" w:hAnsi="Times New Roman"/>
                <w:sz w:val="16"/>
                <w:szCs w:val="16"/>
                <w:b w:val="1"/>
                <w:bCs w:val="1"/>
                <w:color w:val="auto"/>
                <w:w w:val="96"/>
              </w:rPr>
              <w:t>Remainder</w:t>
            </w:r>
          </w:p>
        </w:tc>
        <w:tc>
          <w:tcPr>
            <w:tcW w:w="160" w:type="dxa"/>
            <w:vAlign w:val="bottom"/>
          </w:tcPr>
          <w:p>
            <w:pPr>
              <w:spacing w:after="0"/>
              <w:rPr>
                <w:sz w:val="15"/>
                <w:szCs w:val="15"/>
                <w:color w:val="auto"/>
              </w:rPr>
            </w:pPr>
          </w:p>
        </w:tc>
        <w:tc>
          <w:tcPr>
            <w:tcW w:w="600" w:type="dxa"/>
            <w:vAlign w:val="bottom"/>
            <w:vMerge w:val="restart"/>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restart"/>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Pr>
          <w:p>
            <w:pPr>
              <w:spacing w:after="0"/>
              <w:rPr>
                <w:sz w:val="15"/>
                <w:szCs w:val="15"/>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Thereafter</w:t>
            </w:r>
          </w:p>
        </w:tc>
        <w:tc>
          <w:tcPr>
            <w:tcW w:w="0" w:type="dxa"/>
            <w:vAlign w:val="bottom"/>
          </w:tcPr>
          <w:p>
            <w:pPr>
              <w:spacing w:after="0"/>
              <w:rPr>
                <w:sz w:val="1"/>
                <w:szCs w:val="1"/>
                <w:color w:val="auto"/>
              </w:rPr>
            </w:pPr>
          </w:p>
        </w:tc>
      </w:tr>
      <w:tr>
        <w:trPr>
          <w:trHeight w:val="207"/>
        </w:trPr>
        <w:tc>
          <w:tcPr>
            <w:tcW w:w="1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of 2022</w:t>
            </w:r>
          </w:p>
        </w:tc>
        <w:tc>
          <w:tcPr>
            <w:tcW w:w="1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Contractual Obligations</w:t>
            </w:r>
          </w:p>
        </w:tc>
        <w:tc>
          <w:tcPr>
            <w:tcW w:w="16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900" w:type="dxa"/>
            <w:vAlign w:val="bottom"/>
          </w:tcPr>
          <w:p>
            <w:pPr>
              <w:ind w:left="100"/>
              <w:spacing w:after="0" w:line="246" w:lineRule="exact"/>
              <w:rPr>
                <w:sz w:val="20"/>
                <w:szCs w:val="20"/>
                <w:color w:val="auto"/>
              </w:rPr>
            </w:pPr>
            <w:r>
              <w:rPr>
                <w:rFonts w:ascii="Times New Roman" w:cs="Times New Roman" w:eastAsia="Times New Roman" w:hAnsi="Times New Roman"/>
                <w:sz w:val="17"/>
                <w:szCs w:val="17"/>
                <w:color w:val="auto"/>
              </w:rPr>
              <w:t>Debt obligations</w:t>
            </w:r>
            <w:r>
              <w:rPr>
                <w:rFonts w:ascii="Times New Roman" w:cs="Times New Roman" w:eastAsia="Times New Roman" w:hAnsi="Times New Roman"/>
                <w:sz w:val="22"/>
                <w:szCs w:val="22"/>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w:t>
            </w:r>
          </w:p>
        </w:tc>
        <w:tc>
          <w:tcPr>
            <w:tcW w:w="120" w:type="dxa"/>
            <w:vAlign w:val="bottom"/>
          </w:tcPr>
          <w:p>
            <w:pPr>
              <w:spacing w:after="0"/>
              <w:rPr>
                <w:sz w:val="21"/>
                <w:szCs w:val="21"/>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1,162</w:t>
            </w:r>
          </w:p>
        </w:tc>
        <w:tc>
          <w:tcPr>
            <w:tcW w:w="0" w:type="dxa"/>
            <w:vAlign w:val="bottom"/>
          </w:tcPr>
          <w:p>
            <w:pPr>
              <w:spacing w:after="0"/>
              <w:rPr>
                <w:sz w:val="1"/>
                <w:szCs w:val="1"/>
                <w:color w:val="auto"/>
              </w:rPr>
            </w:pPr>
          </w:p>
        </w:tc>
      </w:tr>
      <w:tr>
        <w:trPr>
          <w:trHeight w:val="246"/>
        </w:trPr>
        <w:tc>
          <w:tcPr>
            <w:tcW w:w="1900" w:type="dxa"/>
            <w:vAlign w:val="bottom"/>
            <w:shd w:val="clear" w:color="auto" w:fill="CCEEFF"/>
          </w:tcPr>
          <w:p>
            <w:pPr>
              <w:ind w:left="100"/>
              <w:spacing w:after="0" w:line="246" w:lineRule="exact"/>
              <w:rPr>
                <w:sz w:val="20"/>
                <w:szCs w:val="20"/>
                <w:color w:val="auto"/>
              </w:rPr>
            </w:pPr>
            <w:r>
              <w:rPr>
                <w:rFonts w:ascii="Times New Roman" w:cs="Times New Roman" w:eastAsia="Times New Roman" w:hAnsi="Times New Roman"/>
                <w:sz w:val="17"/>
                <w:szCs w:val="17"/>
                <w:color w:val="auto"/>
              </w:rPr>
              <w:t>Securitized debt</w:t>
            </w:r>
            <w:r>
              <w:rPr>
                <w:rFonts w:ascii="Times New Roman" w:cs="Times New Roman" w:eastAsia="Times New Roman" w:hAnsi="Times New Roman"/>
                <w:sz w:val="22"/>
                <w:szCs w:val="22"/>
                <w:color w:val="auto"/>
                <w:vertAlign w:val="superscript"/>
              </w:rPr>
              <w:t>(1)(2)</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w:t>
            </w:r>
          </w:p>
        </w:tc>
        <w:tc>
          <w:tcPr>
            <w:tcW w:w="0" w:type="dxa"/>
            <w:vAlign w:val="bottom"/>
          </w:tcPr>
          <w:p>
            <w:pPr>
              <w:spacing w:after="0"/>
              <w:rPr>
                <w:sz w:val="1"/>
                <w:szCs w:val="1"/>
                <w:color w:val="auto"/>
              </w:rPr>
            </w:pPr>
          </w:p>
        </w:tc>
      </w:tr>
      <w:tr>
        <w:trPr>
          <w:trHeight w:val="246"/>
        </w:trPr>
        <w:tc>
          <w:tcPr>
            <w:tcW w:w="1900" w:type="dxa"/>
            <w:vAlign w:val="bottom"/>
          </w:tcPr>
          <w:p>
            <w:pPr>
              <w:ind w:left="100"/>
              <w:spacing w:after="0" w:line="246" w:lineRule="exact"/>
              <w:rPr>
                <w:sz w:val="20"/>
                <w:szCs w:val="20"/>
                <w:color w:val="auto"/>
              </w:rPr>
            </w:pPr>
            <w:r>
              <w:rPr>
                <w:rFonts w:ascii="Times New Roman" w:cs="Times New Roman" w:eastAsia="Times New Roman" w:hAnsi="Times New Roman"/>
                <w:sz w:val="17"/>
                <w:szCs w:val="17"/>
                <w:color w:val="auto"/>
              </w:rPr>
              <w:t>Purchase obligations</w:t>
            </w:r>
            <w:r>
              <w:rPr>
                <w:rFonts w:ascii="Times New Roman" w:cs="Times New Roman" w:eastAsia="Times New Roman" w:hAnsi="Times New Roman"/>
                <w:sz w:val="22"/>
                <w:szCs w:val="22"/>
                <w:color w:val="auto"/>
                <w:vertAlign w:val="superscript"/>
              </w:rPr>
              <w:t>(3)</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3"/>
        </w:trPr>
        <w:tc>
          <w:tcPr>
            <w:tcW w:w="1900" w:type="dxa"/>
            <w:vAlign w:val="bottom"/>
            <w:shd w:val="clear" w:color="auto" w:fill="CCEEFF"/>
          </w:tcPr>
          <w:p>
            <w:pPr>
              <w:ind w:left="100"/>
              <w:spacing w:after="0" w:line="173" w:lineRule="exact"/>
              <w:rPr>
                <w:sz w:val="20"/>
                <w:szCs w:val="20"/>
                <w:color w:val="auto"/>
              </w:rPr>
            </w:pPr>
            <w:r>
              <w:rPr>
                <w:rFonts w:ascii="Times New Roman" w:cs="Times New Roman" w:eastAsia="Times New Roman" w:hAnsi="Times New Roman"/>
                <w:sz w:val="17"/>
                <w:szCs w:val="17"/>
                <w:color w:val="auto"/>
              </w:rPr>
              <w:t>Operating lease</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900" w:type="dxa"/>
            <w:vAlign w:val="bottom"/>
            <w:shd w:val="clear" w:color="auto" w:fill="CCEEFF"/>
          </w:tcPr>
          <w:p>
            <w:pPr>
              <w:ind w:left="100"/>
              <w:spacing w:after="0" w:line="228" w:lineRule="exact"/>
              <w:rPr>
                <w:sz w:val="20"/>
                <w:szCs w:val="20"/>
                <w:color w:val="auto"/>
              </w:rPr>
            </w:pPr>
            <w:r>
              <w:rPr>
                <w:rFonts w:ascii="Times New Roman" w:cs="Times New Roman" w:eastAsia="Times New Roman" w:hAnsi="Times New Roman"/>
                <w:sz w:val="17"/>
                <w:szCs w:val="17"/>
                <w:color w:val="auto"/>
              </w:rPr>
              <w:t>obligations</w:t>
            </w:r>
            <w:r>
              <w:rPr>
                <w:rFonts w:ascii="Times New Roman" w:cs="Times New Roman" w:eastAsia="Times New Roman" w:hAnsi="Times New Roman"/>
                <w:sz w:val="22"/>
                <w:szCs w:val="22"/>
                <w:color w:val="auto"/>
                <w:vertAlign w:val="superscript"/>
              </w:rPr>
              <w:t>(4)</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173"/>
        </w:trPr>
        <w:tc>
          <w:tcPr>
            <w:tcW w:w="1900" w:type="dxa"/>
            <w:vAlign w:val="bottom"/>
          </w:tcPr>
          <w:p>
            <w:pPr>
              <w:ind w:left="100"/>
              <w:spacing w:after="0" w:line="173" w:lineRule="exact"/>
              <w:rPr>
                <w:sz w:val="20"/>
                <w:szCs w:val="20"/>
                <w:color w:val="auto"/>
              </w:rPr>
            </w:pPr>
            <w:r>
              <w:rPr>
                <w:rFonts w:ascii="Times New Roman" w:cs="Times New Roman" w:eastAsia="Times New Roman" w:hAnsi="Times New Roman"/>
                <w:sz w:val="17"/>
                <w:szCs w:val="17"/>
                <w:color w:val="auto"/>
              </w:rPr>
              <w:t>Finance lease</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900" w:type="dxa"/>
            <w:vAlign w:val="bottom"/>
          </w:tcPr>
          <w:p>
            <w:pPr>
              <w:ind w:left="100"/>
              <w:spacing w:after="0" w:line="228" w:lineRule="exact"/>
              <w:rPr>
                <w:sz w:val="20"/>
                <w:szCs w:val="20"/>
                <w:color w:val="auto"/>
              </w:rPr>
            </w:pPr>
            <w:r>
              <w:rPr>
                <w:rFonts w:ascii="Times New Roman" w:cs="Times New Roman" w:eastAsia="Times New Roman" w:hAnsi="Times New Roman"/>
                <w:sz w:val="17"/>
                <w:szCs w:val="17"/>
                <w:color w:val="auto"/>
              </w:rPr>
              <w:t>obligations</w:t>
            </w:r>
            <w:r>
              <w:rPr>
                <w:rFonts w:ascii="Times New Roman" w:cs="Times New Roman" w:eastAsia="Times New Roman" w:hAnsi="Times New Roman"/>
                <w:sz w:val="22"/>
                <w:szCs w:val="22"/>
                <w:color w:val="auto"/>
                <w:vertAlign w:val="superscript"/>
              </w:rPr>
              <w:t>(4)</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0" w:type="dxa"/>
            <w:vAlign w:val="bottom"/>
          </w:tcPr>
          <w:p>
            <w:pPr>
              <w:spacing w:after="0"/>
              <w:rPr>
                <w:sz w:val="1"/>
                <w:szCs w:val="1"/>
                <w:color w:val="auto"/>
              </w:rPr>
            </w:pPr>
          </w:p>
        </w:tc>
      </w:tr>
      <w:tr>
        <w:trPr>
          <w:trHeight w:val="173"/>
        </w:trPr>
        <w:tc>
          <w:tcPr>
            <w:tcW w:w="1900" w:type="dxa"/>
            <w:vAlign w:val="bottom"/>
            <w:shd w:val="clear" w:color="auto" w:fill="CCEEFF"/>
          </w:tcPr>
          <w:p>
            <w:pPr>
              <w:ind w:left="100"/>
              <w:spacing w:after="0" w:line="173" w:lineRule="exact"/>
              <w:rPr>
                <w:sz w:val="20"/>
                <w:szCs w:val="20"/>
                <w:color w:val="auto"/>
              </w:rPr>
            </w:pPr>
            <w:r>
              <w:rPr>
                <w:rFonts w:ascii="Times New Roman" w:cs="Times New Roman" w:eastAsia="Times New Roman" w:hAnsi="Times New Roman"/>
                <w:sz w:val="17"/>
                <w:szCs w:val="17"/>
                <w:color w:val="auto"/>
              </w:rPr>
              <w:t>Other long-term</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900" w:type="dxa"/>
            <w:vAlign w:val="bottom"/>
            <w:shd w:val="clear" w:color="auto" w:fill="CCEEFF"/>
          </w:tcPr>
          <w:p>
            <w:pPr>
              <w:ind w:left="100"/>
              <w:spacing w:after="0" w:line="228" w:lineRule="exact"/>
              <w:rPr>
                <w:sz w:val="20"/>
                <w:szCs w:val="20"/>
                <w:color w:val="auto"/>
              </w:rPr>
            </w:pPr>
            <w:r>
              <w:rPr>
                <w:rFonts w:ascii="Times New Roman" w:cs="Times New Roman" w:eastAsia="Times New Roman" w:hAnsi="Times New Roman"/>
                <w:sz w:val="17"/>
                <w:szCs w:val="17"/>
                <w:color w:val="auto"/>
              </w:rPr>
              <w:t>obligations</w:t>
            </w:r>
            <w:r>
              <w:rPr>
                <w:rFonts w:ascii="Times New Roman" w:cs="Times New Roman" w:eastAsia="Times New Roman" w:hAnsi="Times New Roman"/>
                <w:sz w:val="22"/>
                <w:szCs w:val="22"/>
                <w:color w:val="auto"/>
                <w:vertAlign w:val="superscript"/>
              </w:rPr>
              <w:t>(5)</w:t>
            </w: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3"/>
        </w:trPr>
        <w:tc>
          <w:tcPr>
            <w:tcW w:w="19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6,113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160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511</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916</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2,505</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37" w:lineRule="exact"/>
        <w:rPr>
          <w:sz w:val="20"/>
          <w:szCs w:val="20"/>
          <w:color w:val="auto"/>
        </w:rPr>
      </w:pPr>
    </w:p>
    <w:p>
      <w:pPr>
        <w:ind w:left="620" w:hanging="616"/>
        <w:spacing w:after="0"/>
        <w:tabs>
          <w:tab w:leader="none" w:pos="620"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principal as well as interest payments and excludes unamortized debt discount and issuance costs.</w:t>
      </w:r>
    </w:p>
    <w:p>
      <w:pPr>
        <w:spacing w:after="0" w:line="53" w:lineRule="exact"/>
        <w:rPr>
          <w:rFonts w:ascii="Times New Roman" w:cs="Times New Roman" w:eastAsia="Times New Roman" w:hAnsi="Times New Roman"/>
          <w:sz w:val="22"/>
          <w:szCs w:val="22"/>
          <w:color w:val="auto"/>
          <w:vertAlign w:val="superscript"/>
        </w:rPr>
      </w:pPr>
    </w:p>
    <w:p>
      <w:pPr>
        <w:ind w:left="620" w:hanging="616"/>
        <w:spacing w:after="0" w:line="195" w:lineRule="auto"/>
        <w:tabs>
          <w:tab w:leader="none" w:pos="620"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Payments based on estimated timing of cash flow associated with securitized notes receivable.</w:t>
      </w:r>
    </w:p>
    <w:p>
      <w:pPr>
        <w:spacing w:after="0" w:line="53" w:lineRule="exact"/>
        <w:rPr>
          <w:rFonts w:ascii="Times New Roman" w:cs="Times New Roman" w:eastAsia="Times New Roman" w:hAnsi="Times New Roman"/>
          <w:sz w:val="22"/>
          <w:szCs w:val="22"/>
          <w:color w:val="auto"/>
          <w:vertAlign w:val="superscript"/>
        </w:rPr>
      </w:pPr>
    </w:p>
    <w:p>
      <w:pPr>
        <w:ind w:left="620" w:right="100" w:hanging="616"/>
        <w:spacing w:after="0" w:line="231" w:lineRule="auto"/>
        <w:tabs>
          <w:tab w:leader="none" w:pos="608"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Arrangements are considered purchase obligations if a contract specifies all significant terms, including fixed or minimum quantities to be purchased, a pricing structure, and approximate timing of the transaction. Amounts reflected herein represent expected funding under such contracts. Amounts reflected on the consolidated balance sheet as accounts payable and accrued liabilities are excluded from the table above.</w:t>
      </w:r>
    </w:p>
    <w:p>
      <w:pPr>
        <w:spacing w:after="0" w:line="7" w:lineRule="exact"/>
        <w:rPr>
          <w:rFonts w:ascii="Times New Roman" w:cs="Times New Roman" w:eastAsia="Times New Roman" w:hAnsi="Times New Roman"/>
          <w:sz w:val="22"/>
          <w:szCs w:val="22"/>
          <w:color w:val="auto"/>
          <w:vertAlign w:val="superscript"/>
        </w:rPr>
      </w:pPr>
    </w:p>
    <w:p>
      <w:pPr>
        <w:ind w:left="620" w:hanging="616"/>
        <w:spacing w:after="0"/>
        <w:tabs>
          <w:tab w:leader="none" w:pos="620"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interest.</w:t>
      </w:r>
    </w:p>
    <w:p>
      <w:pPr>
        <w:spacing w:after="0" w:line="53" w:lineRule="exact"/>
        <w:rPr>
          <w:rFonts w:ascii="Times New Roman" w:cs="Times New Roman" w:eastAsia="Times New Roman" w:hAnsi="Times New Roman"/>
          <w:sz w:val="22"/>
          <w:szCs w:val="22"/>
          <w:color w:val="auto"/>
          <w:vertAlign w:val="superscript"/>
        </w:rPr>
      </w:pPr>
    </w:p>
    <w:p>
      <w:pPr>
        <w:ind w:left="620" w:right="100" w:hanging="616"/>
        <w:spacing w:after="0" w:line="231" w:lineRule="auto"/>
        <w:tabs>
          <w:tab w:leader="none" w:pos="608"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Primarily relates to future guaranteed purchases of rental inventory of $7 million and our commitment to an owners’ association that we manage to pay for any shortfall between the actual expenses incurred by the owners’ association and the income received by the owners’ association, in lieu of maintenance fees, of $2 million.</w:t>
      </w:r>
    </w:p>
    <w:p>
      <w:pPr>
        <w:spacing w:after="0" w:line="8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In the normal course of our resort management business, we enter into purchase commitments on behalf of owners’ associations to manage the daily operating needs of our resorts. Since we are reimbursed for these commitments from the cash flows of the resorts, these obligations have minimal impact on our net income and cash flow. These purchase commitments are excluded from the table above.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Leases That Have Not Yet Commenced</w:t>
      </w:r>
    </w:p>
    <w:p>
      <w:pPr>
        <w:spacing w:after="0" w:line="11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During 2020, we entered into a finance lease arrangement, that was amended in 2021, for our new global headquarters office building, which is being constructed in Orlando, Florida. The new Orlando corporate office building is currently expected to be completed in 2023, at which time the lease term will commence and a right-of-use asset and corresponding liability will be recorded on our balance sheet. The initial lease term is approximately 16 years with total lease payments of $137 million for the aforementioned period.</w:t>
      </w:r>
    </w:p>
    <w:p>
      <w:pPr>
        <w:spacing w:after="0" w:line="21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Supplemental Guarantor Information</w:t>
      </w:r>
    </w:p>
    <w:p>
      <w:pPr>
        <w:spacing w:after="0" w:line="118" w:lineRule="exact"/>
        <w:rPr>
          <w:sz w:val="20"/>
          <w:szCs w:val="20"/>
          <w:color w:val="auto"/>
        </w:rPr>
      </w:pPr>
    </w:p>
    <w:p>
      <w:pPr>
        <w:jc w:val="both"/>
        <w:ind w:right="60"/>
        <w:spacing w:after="0" w:line="273" w:lineRule="auto"/>
        <w:rPr>
          <w:sz w:val="20"/>
          <w:szCs w:val="20"/>
          <w:color w:val="auto"/>
        </w:rPr>
      </w:pPr>
      <w:r>
        <w:rPr>
          <w:rFonts w:ascii="Times New Roman" w:cs="Times New Roman" w:eastAsia="Times New Roman" w:hAnsi="Times New Roman"/>
          <w:sz w:val="17"/>
          <w:szCs w:val="17"/>
          <w:color w:val="auto"/>
        </w:rPr>
        <w:t>The 2028 Notes are guaranteed by MVWC, Marriott Ownership Resorts, Inc. (“MORI”), and certain other subsidiaries whose voting securities are wholly owned directly or indirectly by MORI (such subsidiaries collectively, the “Senior Notes Guarantors”). These guarantees are full and unconditional and joint and several. The guarantees of the Senior Notes Guarantors are subject to release in limited circumstances only upon the occurrence of certain customary conditions.</w:t>
      </w:r>
    </w:p>
    <w:p>
      <w:pPr>
        <w:spacing w:after="0" w:line="59" w:lineRule="exact"/>
        <w:rPr>
          <w:sz w:val="20"/>
          <w:szCs w:val="20"/>
          <w:color w:val="auto"/>
        </w:rPr>
      </w:pPr>
    </w:p>
    <w:p>
      <w:pPr>
        <w:jc w:val="both"/>
        <w:ind w:right="60"/>
        <w:spacing w:after="0" w:line="273" w:lineRule="auto"/>
        <w:rPr>
          <w:sz w:val="20"/>
          <w:szCs w:val="20"/>
          <w:color w:val="auto"/>
        </w:rPr>
      </w:pPr>
      <w:r>
        <w:rPr>
          <w:rFonts w:ascii="Times New Roman" w:cs="Times New Roman" w:eastAsia="Times New Roman" w:hAnsi="Times New Roman"/>
          <w:sz w:val="17"/>
          <w:szCs w:val="17"/>
          <w:color w:val="auto"/>
        </w:rPr>
        <w:t>The following tables present consolidating financial information as of September 30, 2022 and December 31, 2021, and for the nine months ended September 30, 2022 for MVWC and MORI on a stand-alone basis (collectively, the “Issuers”), the Senior Notes Guarantors, the combined non-guarantor subsidiaries of MVW, and MVW on a consolidated basis.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Condensed Consolidating Balance Sheet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As of September 30, 2022</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Issuers</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Non-</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17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gridSpan w:val="3"/>
            <w:vMerge w:val="restart"/>
          </w:tcPr>
          <w:p>
            <w:pPr>
              <w:jc w:val="center"/>
              <w:ind w:right="100"/>
              <w:spacing w:after="0" w:line="117" w:lineRule="exact"/>
              <w:rPr>
                <w:sz w:val="20"/>
                <w:szCs w:val="20"/>
                <w:color w:val="auto"/>
              </w:rPr>
            </w:pPr>
            <w:r>
              <w:rPr>
                <w:rFonts w:ascii="Times New Roman" w:cs="Times New Roman" w:eastAsia="Times New Roman" w:hAnsi="Times New Roman"/>
                <w:sz w:val="13"/>
                <w:szCs w:val="13"/>
                <w:b w:val="1"/>
                <w:bCs w:val="1"/>
                <w:color w:val="auto"/>
              </w:rPr>
              <w:t>Senior Notes</w:t>
            </w:r>
          </w:p>
        </w:tc>
        <w:tc>
          <w:tcPr>
            <w:tcW w:w="120" w:type="dxa"/>
            <w:vAlign w:val="bottom"/>
          </w:tcPr>
          <w:p>
            <w:pPr>
              <w:spacing w:after="0"/>
              <w:rPr>
                <w:sz w:val="4"/>
                <w:szCs w:val="4"/>
                <w:color w:val="auto"/>
              </w:rPr>
            </w:pPr>
          </w:p>
        </w:tc>
        <w:tc>
          <w:tcPr>
            <w:tcW w:w="1040" w:type="dxa"/>
            <w:vAlign w:val="bottom"/>
            <w:gridSpan w:val="2"/>
            <w:vMerge w:val="restart"/>
          </w:tcPr>
          <w:p>
            <w:pPr>
              <w:jc w:val="center"/>
              <w:ind w:right="240"/>
              <w:spacing w:after="0" w:line="117" w:lineRule="exact"/>
              <w:rPr>
                <w:sz w:val="20"/>
                <w:szCs w:val="20"/>
                <w:color w:val="auto"/>
              </w:rPr>
            </w:pPr>
            <w:r>
              <w:rPr>
                <w:rFonts w:ascii="Times New Roman" w:cs="Times New Roman" w:eastAsia="Times New Roman" w:hAnsi="Times New Roman"/>
                <w:sz w:val="13"/>
                <w:szCs w:val="13"/>
                <w:b w:val="1"/>
                <w:bCs w:val="1"/>
                <w:color w:val="auto"/>
              </w:rPr>
              <w:t>Guarantor</w:t>
            </w:r>
          </w:p>
        </w:tc>
        <w:tc>
          <w:tcPr>
            <w:tcW w:w="100" w:type="dxa"/>
            <w:vAlign w:val="bottom"/>
          </w:tcPr>
          <w:p>
            <w:pPr>
              <w:spacing w:after="0"/>
              <w:rPr>
                <w:sz w:val="4"/>
                <w:szCs w:val="4"/>
                <w:color w:val="auto"/>
              </w:rPr>
            </w:pPr>
          </w:p>
        </w:tc>
        <w:tc>
          <w:tcPr>
            <w:tcW w:w="1080" w:type="dxa"/>
            <w:vAlign w:val="bottom"/>
            <w:gridSpan w:val="2"/>
            <w:vMerge w:val="restart"/>
          </w:tcPr>
          <w:p>
            <w:pPr>
              <w:ind w:left="260"/>
              <w:spacing w:after="0" w:line="117" w:lineRule="exact"/>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Pr>
          <w:p>
            <w:pPr>
              <w:spacing w:after="0"/>
              <w:rPr>
                <w:sz w:val="4"/>
                <w:szCs w:val="4"/>
                <w:color w:val="auto"/>
              </w:rPr>
            </w:pPr>
          </w:p>
        </w:tc>
        <w:tc>
          <w:tcPr>
            <w:tcW w:w="3680" w:type="dxa"/>
            <w:vAlign w:val="bottom"/>
            <w:gridSpan w:val="2"/>
            <w:vMerge w:val="restart"/>
          </w:tcPr>
          <w:p>
            <w:pPr>
              <w:jc w:val="center"/>
              <w:ind w:right="3060"/>
              <w:spacing w:after="0" w:line="117" w:lineRule="exact"/>
              <w:rPr>
                <w:sz w:val="20"/>
                <w:szCs w:val="20"/>
                <w:color w:val="auto"/>
              </w:rPr>
            </w:pPr>
            <w:r>
              <w:rPr>
                <w:rFonts w:ascii="Times New Roman" w:cs="Times New Roman" w:eastAsia="Times New Roman" w:hAnsi="Times New Roman"/>
                <w:sz w:val="13"/>
                <w:szCs w:val="13"/>
                <w:b w:val="1"/>
                <w:bCs w:val="1"/>
                <w:color w:val="auto"/>
              </w:rPr>
              <w:t>MVW</w:t>
            </w:r>
          </w:p>
        </w:tc>
        <w:tc>
          <w:tcPr>
            <w:tcW w:w="0" w:type="dxa"/>
            <w:vAlign w:val="bottom"/>
          </w:tcPr>
          <w:p>
            <w:pPr>
              <w:spacing w:after="0"/>
              <w:rPr>
                <w:sz w:val="1"/>
                <w:szCs w:val="1"/>
                <w:color w:val="auto"/>
              </w:rPr>
            </w:pPr>
          </w:p>
        </w:tc>
      </w:tr>
      <w:tr>
        <w:trPr>
          <w:trHeight w:val="45"/>
        </w:trPr>
        <w:tc>
          <w:tcPr>
            <w:tcW w:w="1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MVWC</w:t>
            </w:r>
          </w:p>
        </w:tc>
        <w:tc>
          <w:tcPr>
            <w:tcW w:w="200" w:type="dxa"/>
            <w:vAlign w:val="bottom"/>
          </w:tcPr>
          <w:p>
            <w:pPr>
              <w:spacing w:after="0"/>
              <w:rPr>
                <w:sz w:val="3"/>
                <w:szCs w:val="3"/>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MORI</w:t>
            </w:r>
          </w:p>
        </w:tc>
        <w:tc>
          <w:tcPr>
            <w:tcW w:w="114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36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Guarantors</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Subsidiaries</w:t>
            </w:r>
          </w:p>
        </w:tc>
        <w:tc>
          <w:tcPr>
            <w:tcW w:w="10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6"/>
              </w:rPr>
              <w:t>Eliminations</w:t>
            </w:r>
          </w:p>
        </w:tc>
        <w:tc>
          <w:tcPr>
            <w:tcW w:w="3900" w:type="dxa"/>
            <w:vAlign w:val="bottom"/>
            <w:gridSpan w:val="3"/>
          </w:tcPr>
          <w:p>
            <w:pPr>
              <w:jc w:val="center"/>
              <w:ind w:right="2820"/>
              <w:spacing w:after="0"/>
              <w:rPr>
                <w:sz w:val="20"/>
                <w:szCs w:val="20"/>
                <w:color w:val="auto"/>
              </w:rPr>
            </w:pPr>
            <w:r>
              <w:rPr>
                <w:rFonts w:ascii="Times New Roman" w:cs="Times New Roman" w:eastAsia="Times New Roman" w:hAnsi="Times New Roman"/>
                <w:sz w:val="16"/>
                <w:szCs w:val="16"/>
                <w:b w:val="1"/>
                <w:bCs w:val="1"/>
                <w:color w:val="auto"/>
                <w:w w:val="97"/>
              </w:rPr>
              <w:t>Consolidated</w:t>
            </w:r>
          </w:p>
        </w:tc>
        <w:tc>
          <w:tcPr>
            <w:tcW w:w="0" w:type="dxa"/>
            <w:vAlign w:val="bottom"/>
          </w:tcPr>
          <w:p>
            <w:pPr>
              <w:spacing w:after="0"/>
              <w:rPr>
                <w:sz w:val="1"/>
                <w:szCs w:val="1"/>
                <w:color w:val="auto"/>
              </w:rPr>
            </w:pPr>
          </w:p>
        </w:tc>
      </w:tr>
      <w:tr>
        <w:trPr>
          <w:trHeight w:val="157"/>
        </w:trPr>
        <w:tc>
          <w:tcPr>
            <w:tcW w:w="1780" w:type="dxa"/>
            <w:vAlign w:val="bottom"/>
            <w:tcBorders>
              <w:top w:val="single" w:sz="8" w:color="CCEEFF"/>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7"/>
                <w:szCs w:val="17"/>
                <w:color w:val="auto"/>
              </w:rPr>
              <w:t>Cash and cash</w:t>
            </w: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 net</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Vacation ownership</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notes receivable, net</w:t>
            </w: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2,142</w:t>
            </w: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Inventory</w:t>
            </w: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1,136</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3,117</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Intangibles, net</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924</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Investments in</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subsidiaries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459</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1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3,240</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9,237</w:t>
            </w: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Advance deposits</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Payroll and benefits</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liability</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Deferred compensation</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liability</w:t>
            </w: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Securitized debt, net</w:t>
            </w: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1,809</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net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2,749</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taxes</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MVW shareholders'</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2,626</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7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7"/>
                <w:szCs w:val="17"/>
                <w:color w:val="auto"/>
              </w:rPr>
              <w:t>Total liabilities and</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3,240</w:t>
            </w:r>
          </w:p>
        </w:tc>
        <w:tc>
          <w:tcPr>
            <w:tcW w:w="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5,014</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5,819</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2,576</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(7,412)</w:t>
            </w: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9,237</w:t>
            </w:r>
          </w:p>
        </w:tc>
        <w:tc>
          <w:tcPr>
            <w:tcW w:w="2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1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As of December 31, 2021</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Issuers</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Non-</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17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20" w:type="dxa"/>
            <w:vAlign w:val="bottom"/>
            <w:gridSpan w:val="4"/>
            <w:vMerge w:val="restart"/>
          </w:tcPr>
          <w:p>
            <w:pPr>
              <w:jc w:val="center"/>
              <w:ind w:right="120"/>
              <w:spacing w:after="0" w:line="117" w:lineRule="exact"/>
              <w:rPr>
                <w:sz w:val="20"/>
                <w:szCs w:val="20"/>
                <w:color w:val="auto"/>
              </w:rPr>
            </w:pPr>
            <w:r>
              <w:rPr>
                <w:rFonts w:ascii="Times New Roman" w:cs="Times New Roman" w:eastAsia="Times New Roman" w:hAnsi="Times New Roman"/>
                <w:sz w:val="13"/>
                <w:szCs w:val="13"/>
                <w:b w:val="1"/>
                <w:bCs w:val="1"/>
                <w:color w:val="auto"/>
              </w:rPr>
              <w:t>Senior Notes</w:t>
            </w:r>
          </w:p>
        </w:tc>
        <w:tc>
          <w:tcPr>
            <w:tcW w:w="120" w:type="dxa"/>
            <w:vAlign w:val="bottom"/>
          </w:tcPr>
          <w:p>
            <w:pPr>
              <w:spacing w:after="0"/>
              <w:rPr>
                <w:sz w:val="4"/>
                <w:szCs w:val="4"/>
                <w:color w:val="auto"/>
              </w:rPr>
            </w:pPr>
          </w:p>
        </w:tc>
        <w:tc>
          <w:tcPr>
            <w:tcW w:w="1040" w:type="dxa"/>
            <w:vAlign w:val="bottom"/>
            <w:gridSpan w:val="2"/>
            <w:vMerge w:val="restart"/>
          </w:tcPr>
          <w:p>
            <w:pPr>
              <w:jc w:val="center"/>
              <w:ind w:right="240"/>
              <w:spacing w:after="0" w:line="117" w:lineRule="exact"/>
              <w:rPr>
                <w:sz w:val="20"/>
                <w:szCs w:val="20"/>
                <w:color w:val="auto"/>
              </w:rPr>
            </w:pPr>
            <w:r>
              <w:rPr>
                <w:rFonts w:ascii="Times New Roman" w:cs="Times New Roman" w:eastAsia="Times New Roman" w:hAnsi="Times New Roman"/>
                <w:sz w:val="13"/>
                <w:szCs w:val="13"/>
                <w:b w:val="1"/>
                <w:bCs w:val="1"/>
                <w:color w:val="auto"/>
              </w:rPr>
              <w:t>Guarantor</w:t>
            </w:r>
          </w:p>
        </w:tc>
        <w:tc>
          <w:tcPr>
            <w:tcW w:w="100" w:type="dxa"/>
            <w:vAlign w:val="bottom"/>
          </w:tcPr>
          <w:p>
            <w:pPr>
              <w:spacing w:after="0"/>
              <w:rPr>
                <w:sz w:val="4"/>
                <w:szCs w:val="4"/>
                <w:color w:val="auto"/>
              </w:rPr>
            </w:pPr>
          </w:p>
        </w:tc>
        <w:tc>
          <w:tcPr>
            <w:tcW w:w="1080" w:type="dxa"/>
            <w:vAlign w:val="bottom"/>
            <w:gridSpan w:val="2"/>
            <w:vMerge w:val="restart"/>
          </w:tcPr>
          <w:p>
            <w:pPr>
              <w:jc w:val="center"/>
              <w:ind w:right="220"/>
              <w:spacing w:after="0" w:line="117" w:lineRule="exact"/>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Pr>
          <w:p>
            <w:pPr>
              <w:spacing w:after="0"/>
              <w:rPr>
                <w:sz w:val="4"/>
                <w:szCs w:val="4"/>
                <w:color w:val="auto"/>
              </w:rPr>
            </w:pPr>
          </w:p>
        </w:tc>
        <w:tc>
          <w:tcPr>
            <w:tcW w:w="3680" w:type="dxa"/>
            <w:vAlign w:val="bottom"/>
            <w:gridSpan w:val="2"/>
            <w:vMerge w:val="restart"/>
          </w:tcPr>
          <w:p>
            <w:pPr>
              <w:jc w:val="center"/>
              <w:ind w:right="3060"/>
              <w:spacing w:after="0" w:line="117" w:lineRule="exact"/>
              <w:rPr>
                <w:sz w:val="20"/>
                <w:szCs w:val="20"/>
                <w:color w:val="auto"/>
              </w:rPr>
            </w:pPr>
            <w:r>
              <w:rPr>
                <w:rFonts w:ascii="Times New Roman" w:cs="Times New Roman" w:eastAsia="Times New Roman" w:hAnsi="Times New Roman"/>
                <w:sz w:val="13"/>
                <w:szCs w:val="13"/>
                <w:b w:val="1"/>
                <w:bCs w:val="1"/>
                <w:color w:val="auto"/>
              </w:rPr>
              <w:t>MVW</w:t>
            </w:r>
          </w:p>
        </w:tc>
        <w:tc>
          <w:tcPr>
            <w:tcW w:w="0" w:type="dxa"/>
            <w:vAlign w:val="bottom"/>
          </w:tcPr>
          <w:p>
            <w:pPr>
              <w:spacing w:after="0"/>
              <w:rPr>
                <w:sz w:val="1"/>
                <w:szCs w:val="1"/>
                <w:color w:val="auto"/>
              </w:rPr>
            </w:pPr>
          </w:p>
        </w:tc>
      </w:tr>
      <w:tr>
        <w:trPr>
          <w:trHeight w:val="45"/>
        </w:trPr>
        <w:tc>
          <w:tcPr>
            <w:tcW w:w="1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MVWC</w:t>
            </w: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MORI</w:t>
            </w: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gridSpan w:val="4"/>
            <w:vMerge w:val="continue"/>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36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Guarantors</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Subsidiaries</w:t>
            </w:r>
          </w:p>
        </w:tc>
        <w:tc>
          <w:tcPr>
            <w:tcW w:w="1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Eliminations</w:t>
            </w:r>
          </w:p>
        </w:tc>
        <w:tc>
          <w:tcPr>
            <w:tcW w:w="3900" w:type="dxa"/>
            <w:vAlign w:val="bottom"/>
            <w:gridSpan w:val="3"/>
          </w:tcPr>
          <w:p>
            <w:pPr>
              <w:jc w:val="center"/>
              <w:ind w:right="2820"/>
              <w:spacing w:after="0"/>
              <w:rPr>
                <w:sz w:val="20"/>
                <w:szCs w:val="20"/>
                <w:color w:val="auto"/>
              </w:rPr>
            </w:pPr>
            <w:r>
              <w:rPr>
                <w:rFonts w:ascii="Times New Roman" w:cs="Times New Roman" w:eastAsia="Times New Roman" w:hAnsi="Times New Roman"/>
                <w:sz w:val="16"/>
                <w:szCs w:val="16"/>
                <w:b w:val="1"/>
                <w:bCs w:val="1"/>
                <w:color w:val="auto"/>
                <w:w w:val="97"/>
              </w:rPr>
              <w:t>Consolidated</w:t>
            </w:r>
          </w:p>
        </w:tc>
        <w:tc>
          <w:tcPr>
            <w:tcW w:w="0" w:type="dxa"/>
            <w:vAlign w:val="bottom"/>
          </w:tcPr>
          <w:p>
            <w:pPr>
              <w:spacing w:after="0"/>
              <w:rPr>
                <w:sz w:val="1"/>
                <w:szCs w:val="1"/>
                <w:color w:val="auto"/>
              </w:rPr>
            </w:pPr>
          </w:p>
        </w:tc>
      </w:tr>
      <w:tr>
        <w:trPr>
          <w:trHeight w:val="150"/>
        </w:trPr>
        <w:tc>
          <w:tcPr>
            <w:tcW w:w="1780" w:type="dxa"/>
            <w:vAlign w:val="bottom"/>
            <w:tcBorders>
              <w:top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7"/>
                <w:szCs w:val="17"/>
                <w:color w:val="auto"/>
              </w:rPr>
              <w:t>Cash and cash</w:t>
            </w: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2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1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140" w:type="dxa"/>
            <w:vAlign w:val="bottom"/>
          </w:tcPr>
          <w:p>
            <w:pPr>
              <w:spacing w:after="0"/>
              <w:rPr>
                <w:sz w:val="22"/>
                <w:szCs w:val="22"/>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 net</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78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Vacation ownership</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notes receivable, net</w:t>
            </w:r>
          </w:p>
        </w:tc>
        <w:tc>
          <w:tcPr>
            <w:tcW w:w="140" w:type="dxa"/>
            <w:vAlign w:val="bottom"/>
          </w:tcPr>
          <w:p>
            <w:pPr>
              <w:spacing w:after="0"/>
              <w:rPr>
                <w:sz w:val="21"/>
                <w:szCs w:val="21"/>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2,045</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Inventory</w:t>
            </w:r>
          </w:p>
        </w:tc>
        <w:tc>
          <w:tcPr>
            <w:tcW w:w="14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w:t>
            </w:r>
          </w:p>
        </w:tc>
        <w:tc>
          <w:tcPr>
            <w:tcW w:w="140" w:type="dxa"/>
            <w:vAlign w:val="bottom"/>
          </w:tcPr>
          <w:p>
            <w:pPr>
              <w:spacing w:after="0"/>
              <w:rPr>
                <w:sz w:val="22"/>
                <w:szCs w:val="22"/>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1,136</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4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2,841</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3,150</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Intangibles, net</w:t>
            </w:r>
          </w:p>
        </w:tc>
        <w:tc>
          <w:tcPr>
            <w:tcW w:w="140" w:type="dxa"/>
            <w:vAlign w:val="bottom"/>
          </w:tcPr>
          <w:p>
            <w:pPr>
              <w:spacing w:after="0"/>
              <w:rPr>
                <w:sz w:val="22"/>
                <w:szCs w:val="22"/>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993</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78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Investments in</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subsidiaries</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3,645</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1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488</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1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3,735</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5,243</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5,463</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9,613</w:t>
            </w: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Advance deposits</w:t>
            </w:r>
          </w:p>
        </w:tc>
        <w:tc>
          <w:tcPr>
            <w:tcW w:w="140" w:type="dxa"/>
            <w:vAlign w:val="bottom"/>
          </w:tcPr>
          <w:p>
            <w:pPr>
              <w:spacing w:after="0"/>
              <w:rPr>
                <w:sz w:val="22"/>
                <w:szCs w:val="22"/>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140" w:type="dxa"/>
            <w:vAlign w:val="bottom"/>
          </w:tcPr>
          <w:p>
            <w:pPr>
              <w:spacing w:after="0"/>
              <w:rPr>
                <w:sz w:val="22"/>
                <w:szCs w:val="22"/>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78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Payroll and benefits</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liability</w:t>
            </w:r>
          </w:p>
        </w:tc>
        <w:tc>
          <w:tcPr>
            <w:tcW w:w="14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78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Deferred compensation</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1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liability</w:t>
            </w:r>
          </w:p>
        </w:tc>
        <w:tc>
          <w:tcPr>
            <w:tcW w:w="140" w:type="dxa"/>
            <w:vAlign w:val="bottom"/>
          </w:tcPr>
          <w:p>
            <w:pPr>
              <w:spacing w:after="0"/>
              <w:rPr>
                <w:sz w:val="20"/>
                <w:szCs w:val="20"/>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Securitized debt, net</w:t>
            </w:r>
          </w:p>
        </w:tc>
        <w:tc>
          <w:tcPr>
            <w:tcW w:w="14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1,856</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net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2,631</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taxes</w:t>
            </w:r>
          </w:p>
        </w:tc>
        <w:tc>
          <w:tcPr>
            <w:tcW w:w="140" w:type="dxa"/>
            <w:vAlign w:val="bottom"/>
          </w:tcPr>
          <w:p>
            <w:pPr>
              <w:spacing w:after="0"/>
              <w:rPr>
                <w:sz w:val="22"/>
                <w:szCs w:val="22"/>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78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MVW shareholders'</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2,976</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2,794</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2,976</w:t>
            </w: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1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Total liabilities and</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3,735</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5,243</w:t>
            </w:r>
          </w:p>
        </w:tc>
        <w:tc>
          <w:tcPr>
            <w:tcW w:w="20" w:type="dxa"/>
            <w:vAlign w:val="bottom"/>
            <w:shd w:val="clear" w:color="auto" w:fill="CCEEFF"/>
          </w:tcPr>
          <w:p>
            <w:pPr>
              <w:spacing w:after="0"/>
              <w:rPr>
                <w:sz w:val="12"/>
                <w:szCs w:val="12"/>
                <w:color w:val="auto"/>
              </w:rPr>
            </w:pPr>
          </w:p>
        </w:tc>
        <w:tc>
          <w:tcPr>
            <w:tcW w:w="140" w:type="dxa"/>
            <w:vAlign w:val="bottom"/>
            <w:gridSpan w:val="2"/>
            <w:vMerge w:val="restart"/>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3,277</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(8,105)</w:t>
            </w:r>
          </w:p>
        </w:tc>
        <w:tc>
          <w:tcPr>
            <w:tcW w:w="12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9,613</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1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gridSpan w:val="2"/>
            <w:vMerge w:val="continue"/>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740" w:type="dxa"/>
            <w:vAlign w:val="bottom"/>
            <w:gridSpan w:val="9"/>
          </w:tcPr>
          <w:p>
            <w:pPr>
              <w:spacing w:after="0"/>
              <w:rPr>
                <w:sz w:val="20"/>
                <w:szCs w:val="20"/>
                <w:color w:val="auto"/>
              </w:rPr>
            </w:pPr>
            <w:r>
              <w:rPr>
                <w:rFonts w:ascii="Times New Roman" w:cs="Times New Roman" w:eastAsia="Times New Roman" w:hAnsi="Times New Roman"/>
                <w:sz w:val="17"/>
                <w:szCs w:val="17"/>
                <w:i w:val="1"/>
                <w:iCs w:val="1"/>
                <w:color w:val="auto"/>
              </w:rPr>
              <w:t>Condensed Consolidating Statements of Income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12"/>
          </w:tcPr>
          <w:p>
            <w:pPr>
              <w:jc w:val="center"/>
              <w:ind w:right="900"/>
              <w:spacing w:after="0"/>
              <w:rPr>
                <w:sz w:val="20"/>
                <w:szCs w:val="20"/>
                <w:color w:val="auto"/>
              </w:rPr>
            </w:pPr>
            <w:r>
              <w:rPr>
                <w:rFonts w:ascii="Times New Roman" w:cs="Times New Roman" w:eastAsia="Times New Roman" w:hAnsi="Times New Roman"/>
                <w:sz w:val="16"/>
                <w:szCs w:val="16"/>
                <w:b w:val="1"/>
                <w:bCs w:val="1"/>
                <w:color w:val="auto"/>
                <w:w w:val="96"/>
              </w:rPr>
              <w:t>Nine Months Ended September 30, 2022</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Issuers</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Non-</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17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20" w:type="dxa"/>
            <w:vAlign w:val="bottom"/>
            <w:gridSpan w:val="4"/>
            <w:vMerge w:val="restart"/>
          </w:tcPr>
          <w:p>
            <w:pPr>
              <w:jc w:val="center"/>
              <w:ind w:right="160"/>
              <w:spacing w:after="0" w:line="117" w:lineRule="exact"/>
              <w:rPr>
                <w:sz w:val="20"/>
                <w:szCs w:val="20"/>
                <w:color w:val="auto"/>
              </w:rPr>
            </w:pPr>
            <w:r>
              <w:rPr>
                <w:rFonts w:ascii="Times New Roman" w:cs="Times New Roman" w:eastAsia="Times New Roman" w:hAnsi="Times New Roman"/>
                <w:sz w:val="13"/>
                <w:szCs w:val="13"/>
                <w:b w:val="1"/>
                <w:bCs w:val="1"/>
                <w:color w:val="auto"/>
              </w:rPr>
              <w:t>Senior Notes</w:t>
            </w:r>
          </w:p>
        </w:tc>
        <w:tc>
          <w:tcPr>
            <w:tcW w:w="120" w:type="dxa"/>
            <w:vAlign w:val="bottom"/>
          </w:tcPr>
          <w:p>
            <w:pPr>
              <w:spacing w:after="0"/>
              <w:rPr>
                <w:sz w:val="4"/>
                <w:szCs w:val="4"/>
                <w:color w:val="auto"/>
              </w:rPr>
            </w:pPr>
          </w:p>
        </w:tc>
        <w:tc>
          <w:tcPr>
            <w:tcW w:w="1040" w:type="dxa"/>
            <w:vAlign w:val="bottom"/>
            <w:gridSpan w:val="2"/>
            <w:vMerge w:val="restart"/>
          </w:tcPr>
          <w:p>
            <w:pPr>
              <w:jc w:val="center"/>
              <w:ind w:right="240"/>
              <w:spacing w:after="0" w:line="117" w:lineRule="exact"/>
              <w:rPr>
                <w:sz w:val="20"/>
                <w:szCs w:val="20"/>
                <w:color w:val="auto"/>
              </w:rPr>
            </w:pPr>
            <w:r>
              <w:rPr>
                <w:rFonts w:ascii="Times New Roman" w:cs="Times New Roman" w:eastAsia="Times New Roman" w:hAnsi="Times New Roman"/>
                <w:sz w:val="13"/>
                <w:szCs w:val="13"/>
                <w:b w:val="1"/>
                <w:bCs w:val="1"/>
                <w:color w:val="auto"/>
              </w:rPr>
              <w:t>Guarantor</w:t>
            </w:r>
          </w:p>
        </w:tc>
        <w:tc>
          <w:tcPr>
            <w:tcW w:w="100" w:type="dxa"/>
            <w:vAlign w:val="bottom"/>
          </w:tcPr>
          <w:p>
            <w:pPr>
              <w:spacing w:after="0"/>
              <w:rPr>
                <w:sz w:val="4"/>
                <w:szCs w:val="4"/>
                <w:color w:val="auto"/>
              </w:rPr>
            </w:pPr>
          </w:p>
        </w:tc>
        <w:tc>
          <w:tcPr>
            <w:tcW w:w="1080" w:type="dxa"/>
            <w:vAlign w:val="bottom"/>
            <w:gridSpan w:val="2"/>
            <w:vMerge w:val="restart"/>
          </w:tcPr>
          <w:p>
            <w:pPr>
              <w:jc w:val="center"/>
              <w:ind w:right="220"/>
              <w:spacing w:after="0" w:line="117" w:lineRule="exact"/>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Pr>
          <w:p>
            <w:pPr>
              <w:spacing w:after="0"/>
              <w:rPr>
                <w:sz w:val="4"/>
                <w:szCs w:val="4"/>
                <w:color w:val="auto"/>
              </w:rPr>
            </w:pPr>
          </w:p>
        </w:tc>
        <w:tc>
          <w:tcPr>
            <w:tcW w:w="3680" w:type="dxa"/>
            <w:vAlign w:val="bottom"/>
            <w:gridSpan w:val="2"/>
            <w:vMerge w:val="restart"/>
          </w:tcPr>
          <w:p>
            <w:pPr>
              <w:jc w:val="center"/>
              <w:ind w:right="3060"/>
              <w:spacing w:after="0" w:line="117" w:lineRule="exact"/>
              <w:rPr>
                <w:sz w:val="20"/>
                <w:szCs w:val="20"/>
                <w:color w:val="auto"/>
              </w:rPr>
            </w:pPr>
            <w:r>
              <w:rPr>
                <w:rFonts w:ascii="Times New Roman" w:cs="Times New Roman" w:eastAsia="Times New Roman" w:hAnsi="Times New Roman"/>
                <w:sz w:val="13"/>
                <w:szCs w:val="13"/>
                <w:b w:val="1"/>
                <w:bCs w:val="1"/>
                <w:color w:val="auto"/>
              </w:rPr>
              <w:t>MVW</w:t>
            </w:r>
          </w:p>
        </w:tc>
        <w:tc>
          <w:tcPr>
            <w:tcW w:w="0" w:type="dxa"/>
            <w:vAlign w:val="bottom"/>
          </w:tcPr>
          <w:p>
            <w:pPr>
              <w:spacing w:after="0"/>
              <w:rPr>
                <w:sz w:val="1"/>
                <w:szCs w:val="1"/>
                <w:color w:val="auto"/>
              </w:rPr>
            </w:pPr>
          </w:p>
        </w:tc>
      </w:tr>
      <w:tr>
        <w:trPr>
          <w:trHeight w:val="45"/>
        </w:trPr>
        <w:tc>
          <w:tcPr>
            <w:tcW w:w="1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MVWC</w:t>
            </w:r>
          </w:p>
        </w:tc>
        <w:tc>
          <w:tcPr>
            <w:tcW w:w="12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MORI</w:t>
            </w:r>
          </w:p>
        </w:tc>
        <w:tc>
          <w:tcPr>
            <w:tcW w:w="20" w:type="dxa"/>
            <w:vAlign w:val="bottom"/>
            <w:vMerge w:val="restart"/>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gridSpan w:val="4"/>
            <w:vMerge w:val="continue"/>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36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1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4"/>
              </w:rPr>
              <w:t>Guarantors</w:t>
            </w:r>
          </w:p>
        </w:tc>
        <w:tc>
          <w:tcPr>
            <w:tcW w:w="140" w:type="dxa"/>
            <w:vAlign w:val="bottom"/>
            <w:tcBorders>
              <w:bottom w:val="single" w:sz="8" w:color="CCEEFF"/>
            </w:tcBorders>
            <w:gridSpan w:val="2"/>
          </w:tcPr>
          <w:p>
            <w:pPr>
              <w:spacing w:after="0"/>
              <w:rPr>
                <w:sz w:val="17"/>
                <w:szCs w:val="17"/>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Subsidiaries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8"/>
              </w:rPr>
              <w:t>Eliminations</w:t>
            </w: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Consolidated</w:t>
            </w: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w:t>
            </w:r>
          </w:p>
        </w:tc>
        <w:tc>
          <w:tcPr>
            <w:tcW w:w="2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2,156</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3,468</w:t>
            </w: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1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(3,031)</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17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Benefit (provision) for</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taxes</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Equity in net income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of subsidiaries</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80" w:type="dxa"/>
            <w:vAlign w:val="bottom"/>
            <w:gridSpan w:val="2"/>
          </w:tcPr>
          <w:p>
            <w:pPr>
              <w:jc w:val="right"/>
              <w:ind w:right="29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1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4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Net loss attributable to</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40" w:type="dxa"/>
            <w:vAlign w:val="bottom"/>
          </w:tcPr>
          <w:p>
            <w:pPr>
              <w:spacing w:after="0"/>
              <w:rPr>
                <w:sz w:val="20"/>
                <w:szCs w:val="20"/>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3680" w:type="dxa"/>
            <w:vAlign w:val="bottom"/>
            <w:gridSpan w:val="2"/>
          </w:tcPr>
          <w:p>
            <w:pPr>
              <w:jc w:val="right"/>
              <w:ind w:right="29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9"/>
        </w:trPr>
        <w:tc>
          <w:tcPr>
            <w:tcW w:w="1780" w:type="dxa"/>
            <w:vAlign w:val="bottom"/>
            <w:tcBorders>
              <w:top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Net income (loss)</w:t>
            </w: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78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attributable to common</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20" w:type="dxa"/>
            <w:vAlign w:val="bottom"/>
            <w:shd w:val="clear" w:color="auto" w:fill="CCEEFF"/>
          </w:tcPr>
          <w:p>
            <w:pPr>
              <w:spacing w:after="0"/>
              <w:rPr>
                <w:sz w:val="14"/>
                <w:szCs w:val="14"/>
                <w:color w:val="auto"/>
              </w:rPr>
            </w:pPr>
          </w:p>
        </w:tc>
        <w:tc>
          <w:tcPr>
            <w:tcW w:w="2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shareholders</w:t>
            </w:r>
          </w:p>
        </w:tc>
        <w:tc>
          <w:tcPr>
            <w:tcW w:w="14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gridSpan w:val="3"/>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1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18" w:lineRule="exact"/>
        <w:rPr>
          <w:sz w:val="20"/>
          <w:szCs w:val="20"/>
          <w:color w:val="auto"/>
        </w:rPr>
      </w:pPr>
    </w:p>
    <w:p>
      <w:pPr>
        <w:ind w:right="280"/>
        <w:spacing w:after="0" w:line="292" w:lineRule="auto"/>
        <w:rPr>
          <w:sz w:val="20"/>
          <w:szCs w:val="20"/>
          <w:color w:val="auto"/>
        </w:rPr>
      </w:pPr>
      <w:r>
        <w:rPr>
          <w:rFonts w:ascii="Times New Roman" w:cs="Times New Roman" w:eastAsia="Times New Roman" w:hAnsi="Times New Roman"/>
          <w:sz w:val="17"/>
          <w:szCs w:val="17"/>
          <w:color w:val="auto"/>
        </w:rPr>
        <w:t>See Footnote 2 “Significant Accounting Policies and Recent Accounting Standards” to our Financial Statements for a discussion of recently issued accounting pronouncements, including information on new accounting standards and the future adoption of such standards.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1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Our preparation of financial statements in accordance with GAAP requires management to make estimates and assumptions that affect reported amounts and related disclosures. We have discussed those policies and estimates that we believe are critical and require the use of complex judgment in their application in our most recent Annual Report on Form 10-K. Since the date of our most recent Annual Report on Form 10-K, there have been no material changes to our critical accounting policies or the methodologies or assumptions we apply under them.</w:t>
      </w:r>
    </w:p>
    <w:p>
      <w:pPr>
        <w:spacing w:after="0" w:line="16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3.</w:t>
        <w:tab/>
        <w:t>Quantitative and Qualitative Disclosures About Market Risk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exposure to market risk has not changed materially from that disclosed in Part I, Item 7A of the 2021 Annual Report.</w:t>
      </w:r>
    </w:p>
    <w:p>
      <w:pPr>
        <w:spacing w:after="0" w:line="2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Disclosure Controls and Procedures</w:t>
      </w:r>
    </w:p>
    <w:p>
      <w:pPr>
        <w:spacing w:after="0" w:line="11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As of the end of the period covered by this Quarterly Report on Form 10-Q,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as amended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as of September 30, 2022,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118" w:lineRule="exact"/>
        <w:rPr>
          <w:sz w:val="20"/>
          <w:szCs w:val="20"/>
          <w:color w:val="auto"/>
        </w:rPr>
      </w:pPr>
    </w:p>
    <w:p>
      <w:pPr>
        <w:ind w:right="540"/>
        <w:spacing w:after="0" w:line="292" w:lineRule="auto"/>
        <w:rPr>
          <w:sz w:val="20"/>
          <w:szCs w:val="20"/>
          <w:color w:val="auto"/>
        </w:rPr>
      </w:pPr>
      <w:r>
        <w:rPr>
          <w:rFonts w:ascii="Times New Roman" w:cs="Times New Roman" w:eastAsia="Times New Roman" w:hAnsi="Times New Roman"/>
          <w:sz w:val="17"/>
          <w:szCs w:val="17"/>
          <w:color w:val="auto"/>
        </w:rPr>
        <w:t>We made no changes in our internal control over financial reporting during the period covered by this Quarterly Report on Form 10-Q that have materially affected, or are reasonably likely to materially affect, our internal control over financial reporting.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1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118"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Currently, and from time to time, we are subject to claims in legal proceedings arising in the normal course of business, including, among others, the legal actions discussed under “Loss Contingencies” in Footnote 11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18" w:lineRule="exact"/>
        <w:rPr>
          <w:sz w:val="20"/>
          <w:szCs w:val="20"/>
          <w:color w:val="auto"/>
        </w:rPr>
      </w:pPr>
    </w:p>
    <w:p>
      <w:pPr>
        <w:ind w:right="660"/>
        <w:spacing w:after="0" w:line="292" w:lineRule="auto"/>
        <w:rPr>
          <w:sz w:val="20"/>
          <w:szCs w:val="20"/>
          <w:color w:val="auto"/>
        </w:rPr>
      </w:pPr>
      <w:r>
        <w:rPr>
          <w:rFonts w:ascii="Times New Roman" w:cs="Times New Roman" w:eastAsia="Times New Roman" w:hAnsi="Times New Roman"/>
          <w:sz w:val="17"/>
          <w:szCs w:val="17"/>
          <w:color w:val="auto"/>
        </w:rPr>
        <w:t>There have been no material changes to the risk factors set forth in Item 1A to Part 1 of our 2021 Annual Report, except to the extent factual information disclosed elsewhere in this Quarterly Report on Form 10-Q relates to such risk factors, which is incorporated herein by reference.</w:t>
      </w:r>
    </w:p>
    <w:p>
      <w:pPr>
        <w:spacing w:after="0" w:line="21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Issuer Purchases of Equity Securities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Total Number of</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7"/>
              </w:rPr>
              <w:t>Maximum Dollar</w:t>
            </w:r>
          </w:p>
        </w:tc>
        <w:tc>
          <w:tcPr>
            <w:tcW w:w="0" w:type="dxa"/>
            <w:vAlign w:val="bottom"/>
          </w:tcPr>
          <w:p>
            <w:pPr>
              <w:spacing w:after="0"/>
              <w:rPr>
                <w:sz w:val="1"/>
                <w:szCs w:val="1"/>
                <w:color w:val="auto"/>
              </w:rPr>
            </w:pPr>
          </w:p>
        </w:tc>
      </w:tr>
      <w:tr>
        <w:trPr>
          <w:trHeight w:val="156"/>
        </w:trPr>
        <w:tc>
          <w:tcPr>
            <w:tcW w:w="284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Total Number</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4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Shares Purchased as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jc w:val="center"/>
              <w:ind w:right="37"/>
              <w:spacing w:after="0" w:line="155" w:lineRule="exact"/>
              <w:rPr>
                <w:sz w:val="20"/>
                <w:szCs w:val="20"/>
                <w:color w:val="auto"/>
              </w:rPr>
            </w:pPr>
            <w:r>
              <w:rPr>
                <w:rFonts w:ascii="Times New Roman" w:cs="Times New Roman" w:eastAsia="Times New Roman" w:hAnsi="Times New Roman"/>
                <w:sz w:val="16"/>
                <w:szCs w:val="16"/>
                <w:b w:val="1"/>
                <w:bCs w:val="1"/>
                <w:color w:val="auto"/>
                <w:w w:val="97"/>
              </w:rPr>
              <w:t>Amount of Shares</w:t>
            </w:r>
          </w:p>
        </w:tc>
        <w:tc>
          <w:tcPr>
            <w:tcW w:w="0" w:type="dxa"/>
            <w:vAlign w:val="bottom"/>
          </w:tcPr>
          <w:p>
            <w:pPr>
              <w:spacing w:after="0"/>
              <w:rPr>
                <w:sz w:val="1"/>
                <w:szCs w:val="1"/>
                <w:color w:val="auto"/>
              </w:rPr>
            </w:pPr>
          </w:p>
        </w:tc>
      </w:tr>
      <w:tr>
        <w:trPr>
          <w:trHeight w:val="156"/>
        </w:trPr>
        <w:tc>
          <w:tcPr>
            <w:tcW w:w="28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4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Part of Publicly</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jc w:val="center"/>
              <w:ind w:right="57"/>
              <w:spacing w:after="0" w:line="155" w:lineRule="exact"/>
              <w:rPr>
                <w:sz w:val="20"/>
                <w:szCs w:val="20"/>
                <w:color w:val="auto"/>
              </w:rPr>
            </w:pPr>
            <w:r>
              <w:rPr>
                <w:rFonts w:ascii="Times New Roman" w:cs="Times New Roman" w:eastAsia="Times New Roman" w:hAnsi="Times New Roman"/>
                <w:sz w:val="16"/>
                <w:szCs w:val="16"/>
                <w:b w:val="1"/>
                <w:bCs w:val="1"/>
                <w:color w:val="auto"/>
                <w:w w:val="96"/>
              </w:rPr>
              <w:t>That May Yet Be</w:t>
            </w:r>
          </w:p>
        </w:tc>
        <w:tc>
          <w:tcPr>
            <w:tcW w:w="0" w:type="dxa"/>
            <w:vAlign w:val="bottom"/>
          </w:tcPr>
          <w:p>
            <w:pPr>
              <w:spacing w:after="0"/>
              <w:rPr>
                <w:sz w:val="1"/>
                <w:szCs w:val="1"/>
                <w:color w:val="auto"/>
              </w:rPr>
            </w:pPr>
          </w:p>
        </w:tc>
      </w:tr>
      <w:tr>
        <w:trPr>
          <w:trHeight w:val="156"/>
        </w:trPr>
        <w:tc>
          <w:tcPr>
            <w:tcW w:w="2840" w:type="dxa"/>
            <w:vAlign w:val="bottom"/>
          </w:tcPr>
          <w:p>
            <w:pPr>
              <w:spacing w:after="0"/>
              <w:rPr>
                <w:sz w:val="13"/>
                <w:szCs w:val="13"/>
                <w:color w:val="auto"/>
              </w:rPr>
            </w:pPr>
          </w:p>
        </w:tc>
        <w:tc>
          <w:tcPr>
            <w:tcW w:w="10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of Shares</w:t>
            </w:r>
          </w:p>
        </w:tc>
        <w:tc>
          <w:tcPr>
            <w:tcW w:w="140" w:type="dxa"/>
            <w:vAlign w:val="bottom"/>
          </w:tcPr>
          <w:p>
            <w:pPr>
              <w:spacing w:after="0"/>
              <w:rPr>
                <w:sz w:val="13"/>
                <w:szCs w:val="13"/>
                <w:color w:val="auto"/>
              </w:rPr>
            </w:pPr>
          </w:p>
        </w:tc>
        <w:tc>
          <w:tcPr>
            <w:tcW w:w="1220" w:type="dxa"/>
            <w:vAlign w:val="bottom"/>
            <w:gridSpan w:val="3"/>
          </w:tcPr>
          <w:p>
            <w:pPr>
              <w:jc w:val="right"/>
              <w:ind w:right="200"/>
              <w:spacing w:after="0" w:line="155" w:lineRule="exact"/>
              <w:rPr>
                <w:sz w:val="20"/>
                <w:szCs w:val="20"/>
                <w:color w:val="auto"/>
              </w:rPr>
            </w:pPr>
            <w:r>
              <w:rPr>
                <w:rFonts w:ascii="Times New Roman" w:cs="Times New Roman" w:eastAsia="Times New Roman" w:hAnsi="Times New Roman"/>
                <w:sz w:val="16"/>
                <w:szCs w:val="16"/>
                <w:b w:val="1"/>
                <w:bCs w:val="1"/>
                <w:color w:val="auto"/>
              </w:rPr>
              <w:t>Price Paid per</w:t>
            </w:r>
          </w:p>
        </w:tc>
        <w:tc>
          <w:tcPr>
            <w:tcW w:w="14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Announced Plans or</w:t>
            </w:r>
          </w:p>
        </w:tc>
        <w:tc>
          <w:tcPr>
            <w:tcW w:w="120" w:type="dxa"/>
            <w:vAlign w:val="bottom"/>
          </w:tcPr>
          <w:p>
            <w:pPr>
              <w:spacing w:after="0"/>
              <w:rPr>
                <w:sz w:val="13"/>
                <w:szCs w:val="13"/>
                <w:color w:val="auto"/>
              </w:rPr>
            </w:pPr>
          </w:p>
        </w:tc>
        <w:tc>
          <w:tcPr>
            <w:tcW w:w="154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Purchased Under the</w:t>
            </w:r>
          </w:p>
        </w:tc>
        <w:tc>
          <w:tcPr>
            <w:tcW w:w="0" w:type="dxa"/>
            <w:vAlign w:val="bottom"/>
          </w:tcPr>
          <w:p>
            <w:pPr>
              <w:spacing w:after="0"/>
              <w:rPr>
                <w:sz w:val="1"/>
                <w:szCs w:val="1"/>
                <w:color w:val="auto"/>
              </w:rPr>
            </w:pPr>
          </w:p>
        </w:tc>
      </w:tr>
      <w:tr>
        <w:trPr>
          <w:trHeight w:val="207"/>
        </w:trPr>
        <w:tc>
          <w:tcPr>
            <w:tcW w:w="2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Purchased</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center"/>
              <w:spacing w:after="0" w:line="207" w:lineRule="exact"/>
              <w:rPr>
                <w:sz w:val="20"/>
                <w:szCs w:val="20"/>
                <w:color w:val="auto"/>
              </w:rPr>
            </w:pPr>
            <w:r>
              <w:rPr>
                <w:rFonts w:ascii="Times New Roman" w:cs="Times New Roman" w:eastAsia="Times New Roman" w:hAnsi="Times New Roman"/>
                <w:sz w:val="16"/>
                <w:szCs w:val="16"/>
                <w:b w:val="1"/>
                <w:bCs w:val="1"/>
                <w:color w:val="auto"/>
                <w:w w:val="91"/>
              </w:rPr>
              <w:t>Programs</w:t>
            </w:r>
            <w:r>
              <w:rPr>
                <w:rFonts w:ascii="Times New Roman" w:cs="Times New Roman" w:eastAsia="Times New Roman" w:hAnsi="Times New Roman"/>
                <w:sz w:val="20"/>
                <w:szCs w:val="20"/>
                <w:b w:val="1"/>
                <w:bCs w:val="1"/>
                <w:color w:val="auto"/>
                <w:w w:val="91"/>
                <w:vertAlign w:val="superscript"/>
              </w:rPr>
              <w:t>(1)</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gridSpan w:val="2"/>
          </w:tcPr>
          <w:p>
            <w:pPr>
              <w:jc w:val="center"/>
              <w:spacing w:after="0" w:line="207" w:lineRule="exact"/>
              <w:rPr>
                <w:sz w:val="20"/>
                <w:szCs w:val="20"/>
                <w:color w:val="auto"/>
              </w:rPr>
            </w:pPr>
            <w:r>
              <w:rPr>
                <w:rFonts w:ascii="Times New Roman" w:cs="Times New Roman" w:eastAsia="Times New Roman" w:hAnsi="Times New Roman"/>
                <w:sz w:val="16"/>
                <w:szCs w:val="16"/>
                <w:b w:val="1"/>
                <w:bCs w:val="1"/>
                <w:color w:val="auto"/>
                <w:w w:val="94"/>
              </w:rPr>
              <w:t>Plans or Programs</w:t>
            </w:r>
            <w:r>
              <w:rPr>
                <w:rFonts w:ascii="Times New Roman" w:cs="Times New Roman" w:eastAsia="Times New Roman" w:hAnsi="Times New Roman"/>
                <w:sz w:val="20"/>
                <w:szCs w:val="20"/>
                <w:b w:val="1"/>
                <w:bCs w:val="1"/>
                <w:color w:val="auto"/>
                <w:w w:val="94"/>
                <w:vertAlign w:val="superscript"/>
              </w:rPr>
              <w:t>(1)</w:t>
            </w:r>
          </w:p>
        </w:tc>
        <w:tc>
          <w:tcPr>
            <w:tcW w:w="0" w:type="dxa"/>
            <w:vAlign w:val="bottom"/>
          </w:tcPr>
          <w:p>
            <w:pPr>
              <w:spacing w:after="0"/>
              <w:rPr>
                <w:sz w:val="1"/>
                <w:szCs w:val="1"/>
                <w:color w:val="auto"/>
              </w:rPr>
            </w:pPr>
          </w:p>
        </w:tc>
      </w:tr>
      <w:tr>
        <w:trPr>
          <w:trHeight w:val="22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July 1, 2022 – July 31, 2022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1,061,922</w:t>
            </w:r>
          </w:p>
        </w:tc>
        <w:tc>
          <w:tcPr>
            <w:tcW w:w="3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123.71</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1,061,922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528,092,718</w:t>
            </w:r>
          </w:p>
        </w:tc>
        <w:tc>
          <w:tcPr>
            <w:tcW w:w="0" w:type="dxa"/>
            <w:vAlign w:val="bottom"/>
          </w:tcPr>
          <w:p>
            <w:pPr>
              <w:spacing w:after="0"/>
              <w:rPr>
                <w:sz w:val="1"/>
                <w:szCs w:val="1"/>
                <w:color w:val="auto"/>
              </w:rPr>
            </w:pPr>
          </w:p>
        </w:tc>
      </w:tr>
      <w:tr>
        <w:trPr>
          <w:trHeight w:val="246"/>
        </w:trPr>
        <w:tc>
          <w:tcPr>
            <w:tcW w:w="2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August 1, 2022 – August 31, 2022</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238,465</w:t>
            </w:r>
          </w:p>
        </w:tc>
        <w:tc>
          <w:tcPr>
            <w:tcW w:w="320" w:type="dxa"/>
            <w:vAlign w:val="bottom"/>
            <w:gridSpan w:val="2"/>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146.67</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238,465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493,116,920</w:t>
            </w:r>
          </w:p>
        </w:tc>
        <w:tc>
          <w:tcPr>
            <w:tcW w:w="0" w:type="dxa"/>
            <w:vAlign w:val="bottom"/>
          </w:tcPr>
          <w:p>
            <w:pPr>
              <w:spacing w:after="0"/>
              <w:rPr>
                <w:sz w:val="1"/>
                <w:szCs w:val="1"/>
                <w:color w:val="auto"/>
              </w:rPr>
            </w:pPr>
          </w:p>
        </w:tc>
      </w:tr>
      <w:tr>
        <w:trPr>
          <w:trHeight w:val="176"/>
        </w:trPr>
        <w:tc>
          <w:tcPr>
            <w:tcW w:w="2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September 1, 2022 – September 30,</w:t>
            </w: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365,003</w:t>
            </w:r>
          </w:p>
        </w:tc>
        <w:tc>
          <w:tcPr>
            <w:tcW w:w="3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135.01</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365,003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443,838,902</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1,665,390</w:t>
            </w:r>
          </w:p>
        </w:tc>
        <w:tc>
          <w:tcPr>
            <w:tcW w:w="320" w:type="dxa"/>
            <w:vAlign w:val="bottom"/>
            <w:gridSpan w:val="2"/>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129.47</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1,665,390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443,838,902</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64" w:lineRule="exact"/>
        <w:rPr>
          <w:sz w:val="20"/>
          <w:szCs w:val="20"/>
          <w:color w:val="auto"/>
        </w:rPr>
      </w:pPr>
    </w:p>
    <w:p>
      <w:pPr>
        <w:ind w:left="320" w:hanging="316"/>
        <w:spacing w:after="0" w:line="245" w:lineRule="auto"/>
        <w:tabs>
          <w:tab w:leader="none" w:pos="308" w:val="left"/>
        </w:tabs>
        <w:numPr>
          <w:ilvl w:val="0"/>
          <w:numId w:val="4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On September 13, 2021, we announced that our Board of Directors authorized a share repurchase program under which we may purchase shares of our common stock for an aggregate purchase price not to exceed $250 million, prior to December 31, 2022. On February 22, 2022, we announced that our Board of Directors authorized the repurchase of up to an additional $300 million of our common stock, as well as the extension of the term of our existing share repurchase program to March 31, 2023. On August 1, 2022, we announced that our Board of Directors authorized the repurchase of up to an additional $500 million of our common stock, as well as the extension of the term of our existing share repurchase program to June 30, 2023.</w:t>
      </w:r>
    </w:p>
    <w:p>
      <w:pPr>
        <w:spacing w:after="0" w:line="18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documents referenced below are being filed as a part of this Quarterly Report on Form 10-Q, unless otherwise noted.</w:t>
      </w:r>
    </w:p>
    <w:p>
      <w:pPr>
        <w:sectPr>
          <w:pgSz w:w="11900" w:h="16838" w:orient="portrait"/>
          <w:cols w:equalWidth="0" w:num="1">
            <w:col w:w="11160"/>
          </w:cols>
          <w:pgMar w:left="320" w:top="225" w:right="419" w:bottom="1440" w:gutter="0" w:footer="0" w:header="0"/>
        </w:sectPr>
      </w:pPr>
    </w:p>
    <w:p>
      <w:pPr>
        <w:spacing w:after="0" w:line="2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Exhibit</w:t>
      </w:r>
    </w:p>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0" w:lineRule="exact"/>
        <w:rPr>
          <w:sz w:val="20"/>
          <w:szCs w:val="20"/>
          <w:color w:val="auto"/>
        </w:rPr>
      </w:pPr>
    </w:p>
    <w:p>
      <w:pPr>
        <w:spacing w:after="0" w:line="291" w:lineRule="exact"/>
        <w:rPr>
          <w:sz w:val="20"/>
          <w:szCs w:val="20"/>
          <w:color w:val="auto"/>
        </w:rPr>
      </w:pPr>
    </w:p>
    <w:p>
      <w:pPr>
        <w:ind w:left="280"/>
        <w:spacing w:after="0"/>
        <w:rPr>
          <w:rFonts w:ascii="Times New Roman" w:cs="Times New Roman" w:eastAsia="Times New Roman" w:hAnsi="Times New Roman"/>
          <w:sz w:val="17"/>
          <w:szCs w:val="17"/>
          <w:u w:val="single" w:color="auto"/>
          <w:color w:val="0000FF"/>
        </w:rPr>
      </w:pPr>
      <w:hyperlink r:id="rId132">
        <w:r>
          <w:rPr>
            <w:rFonts w:ascii="Times New Roman" w:cs="Times New Roman" w:eastAsia="Times New Roman" w:hAnsi="Times New Roman"/>
            <w:sz w:val="17"/>
            <w:szCs w:val="17"/>
            <w:u w:val="single" w:color="auto"/>
            <w:color w:val="0000FF"/>
          </w:rPr>
          <w:t>2.1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80"/>
        <w:spacing w:after="0"/>
        <w:rPr>
          <w:rFonts w:ascii="Times New Roman" w:cs="Times New Roman" w:eastAsia="Times New Roman" w:hAnsi="Times New Roman"/>
          <w:sz w:val="17"/>
          <w:szCs w:val="17"/>
          <w:u w:val="single" w:color="auto"/>
          <w:color w:val="0000FF"/>
        </w:rPr>
      </w:pPr>
      <w:hyperlink r:id="rId133">
        <w:r>
          <w:rPr>
            <w:rFonts w:ascii="Times New Roman" w:cs="Times New Roman" w:eastAsia="Times New Roman" w:hAnsi="Times New Roman"/>
            <w:sz w:val="17"/>
            <w:szCs w:val="17"/>
            <w:u w:val="single" w:color="auto"/>
            <w:color w:val="0000FF"/>
          </w:rPr>
          <w:t>2.2</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80"/>
        <w:spacing w:after="0"/>
        <w:rPr>
          <w:rFonts w:ascii="Times New Roman" w:cs="Times New Roman" w:eastAsia="Times New Roman" w:hAnsi="Times New Roman"/>
          <w:sz w:val="17"/>
          <w:szCs w:val="17"/>
          <w:u w:val="single" w:color="auto"/>
          <w:color w:val="0000FF"/>
        </w:rPr>
      </w:pPr>
      <w:hyperlink r:id="rId134">
        <w:r>
          <w:rPr>
            <w:rFonts w:ascii="Times New Roman" w:cs="Times New Roman" w:eastAsia="Times New Roman" w:hAnsi="Times New Roman"/>
            <w:sz w:val="17"/>
            <w:szCs w:val="17"/>
            <w:u w:val="single" w:color="auto"/>
            <w:color w:val="0000FF"/>
          </w:rPr>
          <w:t>3.1</w:t>
        </w:r>
      </w:hyperlink>
    </w:p>
    <w:p>
      <w:pPr>
        <w:spacing w:after="0" w:line="310" w:lineRule="exact"/>
        <w:rPr>
          <w:sz w:val="20"/>
          <w:szCs w:val="20"/>
          <w:color w:val="auto"/>
        </w:rPr>
      </w:pPr>
    </w:p>
    <w:p>
      <w:pPr>
        <w:ind w:left="280"/>
        <w:spacing w:after="0"/>
        <w:rPr>
          <w:rFonts w:ascii="Times New Roman" w:cs="Times New Roman" w:eastAsia="Times New Roman" w:hAnsi="Times New Roman"/>
          <w:sz w:val="17"/>
          <w:szCs w:val="17"/>
          <w:u w:val="single" w:color="auto"/>
          <w:color w:val="0000FF"/>
        </w:rPr>
      </w:pPr>
      <w:hyperlink r:id="rId135">
        <w:r>
          <w:rPr>
            <w:rFonts w:ascii="Times New Roman" w:cs="Times New Roman" w:eastAsia="Times New Roman" w:hAnsi="Times New Roman"/>
            <w:sz w:val="17"/>
            <w:szCs w:val="17"/>
            <w:u w:val="single" w:color="auto"/>
            <w:color w:val="0000FF"/>
          </w:rPr>
          <w:t>3.2</w:t>
        </w:r>
      </w:hyperlink>
    </w:p>
    <w:p>
      <w:pPr>
        <w:spacing w:after="0" w:line="388" w:lineRule="exact"/>
        <w:rPr>
          <w:sz w:val="20"/>
          <w:szCs w:val="20"/>
          <w:color w:val="auto"/>
        </w:rPr>
      </w:pPr>
    </w:p>
    <w:p>
      <w:pPr>
        <w:ind w:left="280"/>
        <w:spacing w:after="0"/>
        <w:rPr>
          <w:rFonts w:ascii="Times New Roman" w:cs="Times New Roman" w:eastAsia="Times New Roman" w:hAnsi="Times New Roman"/>
          <w:sz w:val="17"/>
          <w:szCs w:val="17"/>
          <w:u w:val="single" w:color="auto"/>
          <w:color w:val="0000FF"/>
        </w:rPr>
      </w:pPr>
      <w:hyperlink r:id="rId136">
        <w:r>
          <w:rPr>
            <w:rFonts w:ascii="Times New Roman" w:cs="Times New Roman" w:eastAsia="Times New Roman" w:hAnsi="Times New Roman"/>
            <w:sz w:val="17"/>
            <w:szCs w:val="17"/>
            <w:u w:val="single" w:color="auto"/>
            <w:color w:val="0000FF"/>
          </w:rPr>
          <w:t>4.1</w:t>
        </w:r>
      </w:hyperlink>
    </w:p>
    <w:p>
      <w:pPr>
        <w:spacing w:after="0" w:line="200" w:lineRule="exact"/>
        <w:rPr>
          <w:sz w:val="20"/>
          <w:szCs w:val="20"/>
          <w:color w:val="auto"/>
        </w:rPr>
      </w:pPr>
    </w:p>
    <w:p>
      <w:pPr>
        <w:spacing w:after="0" w:line="279" w:lineRule="exact"/>
        <w:rPr>
          <w:sz w:val="20"/>
          <w:szCs w:val="20"/>
          <w:color w:val="auto"/>
        </w:rPr>
      </w:pPr>
    </w:p>
    <w:p>
      <w:pPr>
        <w:ind w:left="280"/>
        <w:spacing w:after="0"/>
        <w:rPr>
          <w:rFonts w:ascii="Times New Roman" w:cs="Times New Roman" w:eastAsia="Times New Roman" w:hAnsi="Times New Roman"/>
          <w:sz w:val="17"/>
          <w:szCs w:val="17"/>
          <w:u w:val="single" w:color="auto"/>
          <w:color w:val="0000FF"/>
        </w:rPr>
      </w:pPr>
      <w:hyperlink r:id="rId137">
        <w:r>
          <w:rPr>
            <w:rFonts w:ascii="Times New Roman" w:cs="Times New Roman" w:eastAsia="Times New Roman" w:hAnsi="Times New Roman"/>
            <w:sz w:val="17"/>
            <w:szCs w:val="17"/>
            <w:u w:val="single" w:color="auto"/>
            <w:color w:val="0000FF"/>
          </w:rPr>
          <w:t>4.2</w:t>
        </w:r>
      </w:hyperlink>
    </w:p>
    <w:p>
      <w:pPr>
        <w:spacing w:after="0" w:line="200" w:lineRule="exact"/>
        <w:rPr>
          <w:sz w:val="20"/>
          <w:szCs w:val="20"/>
          <w:color w:val="auto"/>
        </w:rPr>
      </w:pPr>
    </w:p>
    <w:p>
      <w:pPr>
        <w:spacing w:after="0" w:line="201" w:lineRule="exact"/>
        <w:rPr>
          <w:sz w:val="20"/>
          <w:szCs w:val="20"/>
          <w:color w:val="auto"/>
        </w:rPr>
      </w:pPr>
    </w:p>
    <w:p>
      <w:pPr>
        <w:ind w:left="280"/>
        <w:spacing w:after="0"/>
        <w:rPr>
          <w:rFonts w:ascii="Times New Roman" w:cs="Times New Roman" w:eastAsia="Times New Roman" w:hAnsi="Times New Roman"/>
          <w:sz w:val="17"/>
          <w:szCs w:val="17"/>
          <w:u w:val="single" w:color="auto"/>
          <w:color w:val="0000FF"/>
        </w:rPr>
      </w:pPr>
      <w:hyperlink r:id="rId138">
        <w:r>
          <w:rPr>
            <w:rFonts w:ascii="Times New Roman" w:cs="Times New Roman" w:eastAsia="Times New Roman" w:hAnsi="Times New Roman"/>
            <w:sz w:val="17"/>
            <w:szCs w:val="17"/>
            <w:u w:val="single" w:color="auto"/>
            <w:color w:val="0000FF"/>
          </w:rPr>
          <w:t>4.3</w:t>
        </w:r>
      </w:hyperlink>
    </w:p>
    <w:p>
      <w:pPr>
        <w:spacing w:after="0" w:line="200" w:lineRule="exact"/>
        <w:rPr>
          <w:sz w:val="20"/>
          <w:szCs w:val="20"/>
          <w:color w:val="auto"/>
        </w:rPr>
      </w:pPr>
    </w:p>
    <w:p>
      <w:pPr>
        <w:spacing w:after="0" w:line="318" w:lineRule="exact"/>
        <w:rPr>
          <w:sz w:val="20"/>
          <w:szCs w:val="20"/>
          <w:color w:val="auto"/>
        </w:rPr>
      </w:pPr>
    </w:p>
    <w:p>
      <w:pPr>
        <w:ind w:left="280"/>
        <w:spacing w:after="0"/>
        <w:rPr>
          <w:rFonts w:ascii="Times New Roman" w:cs="Times New Roman" w:eastAsia="Times New Roman" w:hAnsi="Times New Roman"/>
          <w:sz w:val="17"/>
          <w:szCs w:val="17"/>
          <w:u w:val="single" w:color="auto"/>
          <w:color w:val="0000FF"/>
        </w:rPr>
      </w:pPr>
      <w:hyperlink r:id="rId139">
        <w:r>
          <w:rPr>
            <w:rFonts w:ascii="Times New Roman" w:cs="Times New Roman" w:eastAsia="Times New Roman" w:hAnsi="Times New Roman"/>
            <w:sz w:val="17"/>
            <w:szCs w:val="17"/>
            <w:u w:val="single" w:color="auto"/>
            <w:color w:val="0000FF"/>
          </w:rPr>
          <w:t>4.4</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80"/>
        <w:spacing w:after="0"/>
        <w:rPr>
          <w:rFonts w:ascii="Times New Roman" w:cs="Times New Roman" w:eastAsia="Times New Roman" w:hAnsi="Times New Roman"/>
          <w:sz w:val="17"/>
          <w:szCs w:val="17"/>
          <w:u w:val="single" w:color="auto"/>
          <w:color w:val="0000FF"/>
        </w:rPr>
      </w:pPr>
      <w:hyperlink r:id="rId140">
        <w:r>
          <w:rPr>
            <w:rFonts w:ascii="Times New Roman" w:cs="Times New Roman" w:eastAsia="Times New Roman" w:hAnsi="Times New Roman"/>
            <w:sz w:val="17"/>
            <w:szCs w:val="17"/>
            <w:u w:val="single" w:color="auto"/>
            <w:color w:val="0000FF"/>
          </w:rPr>
          <w:t>4.5</w:t>
        </w:r>
      </w:hyperlink>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6"/>
          <w:szCs w:val="16"/>
          <w:b w:val="1"/>
          <w:bCs w:val="1"/>
          <w:color w:val="auto"/>
        </w:rPr>
        <w:t>Filed</w:t>
      </w:r>
    </w:p>
    <w:p>
      <w:pPr>
        <w:jc w:val="both"/>
        <w:ind w:left="1480"/>
        <w:spacing w:after="0"/>
        <w:tabs>
          <w:tab w:leader="none" w:pos="3940" w:val="left"/>
        </w:tabs>
        <w:rPr>
          <w:sz w:val="20"/>
          <w:szCs w:val="20"/>
          <w:color w:val="auto"/>
        </w:rPr>
      </w:pPr>
      <w:r>
        <w:rPr>
          <w:rFonts w:ascii="Times New Roman" w:cs="Times New Roman" w:eastAsia="Times New Roman" w:hAnsi="Times New Roman"/>
          <w:sz w:val="16"/>
          <w:szCs w:val="16"/>
          <w:b w:val="1"/>
          <w:bCs w:val="1"/>
          <w:color w:val="auto"/>
        </w:rPr>
        <w:t>Description</w:t>
      </w:r>
      <w:r>
        <w:rPr>
          <w:sz w:val="20"/>
          <w:szCs w:val="20"/>
          <w:color w:val="auto"/>
        </w:rPr>
        <w:tab/>
      </w:r>
      <w:r>
        <w:rPr>
          <w:rFonts w:ascii="Times New Roman" w:cs="Times New Roman" w:eastAsia="Times New Roman" w:hAnsi="Times New Roman"/>
          <w:sz w:val="16"/>
          <w:szCs w:val="16"/>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3810</wp:posOffset>
            </wp:positionV>
            <wp:extent cx="5334635" cy="7245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5334635" cy="724535"/>
                    </a:xfrm>
                    <a:prstGeom prst="rect">
                      <a:avLst/>
                    </a:prstGeom>
                    <a:noFill/>
                  </pic:spPr>
                </pic:pic>
              </a:graphicData>
            </a:graphic>
          </wp:anchor>
        </w:drawing>
      </w:r>
    </w:p>
    <w:p>
      <w:pPr>
        <w:spacing w:after="0" w:line="98" w:lineRule="exact"/>
        <w:rPr>
          <w:sz w:val="20"/>
          <w:szCs w:val="20"/>
          <w:color w:val="auto"/>
        </w:rPr>
      </w:pPr>
    </w:p>
    <w:p>
      <w:pPr>
        <w:jc w:val="both"/>
        <w:ind w:right="940"/>
        <w:spacing w:after="0" w:line="220" w:lineRule="auto"/>
        <w:rPr>
          <w:sz w:val="20"/>
          <w:szCs w:val="20"/>
          <w:color w:val="auto"/>
        </w:rPr>
      </w:pPr>
      <w:r>
        <w:rPr>
          <w:rFonts w:ascii="Times New Roman" w:cs="Times New Roman" w:eastAsia="Times New Roman" w:hAnsi="Times New Roman"/>
          <w:sz w:val="17"/>
          <w:szCs w:val="17"/>
          <w:color w:val="auto"/>
        </w:rPr>
        <w:t>Agreement and Plan of Merger, dated as of April 30, 2018, by and among Marriott Vacations Worldwide Corporation, ILG, Inc., Ignite Holdco, Inc., Ignite</w:t>
      </w:r>
    </w:p>
    <w:p>
      <w:pPr>
        <w:spacing w:after="0" w:line="1" w:lineRule="exact"/>
        <w:rPr>
          <w:sz w:val="20"/>
          <w:szCs w:val="20"/>
          <w:color w:val="auto"/>
        </w:rPr>
      </w:pPr>
    </w:p>
    <w:p>
      <w:pPr>
        <w:ind w:right="1040"/>
        <w:spacing w:after="0" w:line="229" w:lineRule="auto"/>
        <w:rPr>
          <w:sz w:val="20"/>
          <w:szCs w:val="20"/>
          <w:color w:val="auto"/>
        </w:rPr>
      </w:pPr>
      <w:r>
        <w:rPr>
          <w:rFonts w:ascii="Times New Roman" w:cs="Times New Roman" w:eastAsia="Times New Roman" w:hAnsi="Times New Roman"/>
          <w:sz w:val="17"/>
          <w:szCs w:val="17"/>
          <w:color w:val="auto"/>
        </w:rPr>
        <w:t>Holdco Subsidiary, Inc., Volt Merger Sub, Inc., and Volt Merger Sub LLC*</w:t>
      </w:r>
    </w:p>
    <w:p>
      <w:pPr>
        <w:spacing w:after="0" w:line="113" w:lineRule="exact"/>
        <w:rPr>
          <w:sz w:val="20"/>
          <w:szCs w:val="20"/>
          <w:color w:val="auto"/>
        </w:rPr>
      </w:pPr>
    </w:p>
    <w:p>
      <w:pPr>
        <w:ind w:right="1020"/>
        <w:spacing w:after="0" w:line="220" w:lineRule="auto"/>
        <w:rPr>
          <w:sz w:val="20"/>
          <w:szCs w:val="20"/>
          <w:color w:val="auto"/>
        </w:rPr>
      </w:pPr>
      <w:r>
        <w:rPr>
          <w:rFonts w:ascii="Times New Roman" w:cs="Times New Roman" w:eastAsia="Times New Roman" w:hAnsi="Times New Roman"/>
          <w:sz w:val="17"/>
          <w:szCs w:val="17"/>
          <w:color w:val="auto"/>
        </w:rPr>
        <w:t>Agreement and Plan of Merger by and among Marriott Vacations Worldwide Corporation, Sommelier Acquisition Corp., Champagne Resorts,</w:t>
      </w:r>
    </w:p>
    <w:p>
      <w:pPr>
        <w:spacing w:after="0" w:line="1" w:lineRule="exact"/>
        <w:rPr>
          <w:sz w:val="20"/>
          <w:szCs w:val="20"/>
          <w:color w:val="auto"/>
        </w:rPr>
      </w:pPr>
    </w:p>
    <w:p>
      <w:pPr>
        <w:ind w:right="1000"/>
        <w:spacing w:after="0" w:line="222" w:lineRule="auto"/>
        <w:rPr>
          <w:sz w:val="20"/>
          <w:szCs w:val="20"/>
          <w:color w:val="auto"/>
        </w:rPr>
      </w:pPr>
      <w:r>
        <w:rPr>
          <w:rFonts w:ascii="Times New Roman" w:cs="Times New Roman" w:eastAsia="Times New Roman" w:hAnsi="Times New Roman"/>
          <w:sz w:val="17"/>
          <w:szCs w:val="17"/>
          <w:color w:val="auto"/>
        </w:rPr>
        <w:t>Inc., Welk Hospitality Group, Inc. and the Shareholder Representative, dated as of January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8255</wp:posOffset>
            </wp:positionV>
            <wp:extent cx="5334635" cy="3213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5334635" cy="321310"/>
                    </a:xfrm>
                    <a:prstGeom prst="rect">
                      <a:avLst/>
                    </a:prstGeom>
                    <a:noFill/>
                  </pic:spPr>
                </pic:pic>
              </a:graphicData>
            </a:graphic>
          </wp:anchor>
        </w:drawing>
      </w:r>
    </w:p>
    <w:p>
      <w:pPr>
        <w:spacing w:after="0" w:line="40" w:lineRule="exact"/>
        <w:rPr>
          <w:sz w:val="20"/>
          <w:szCs w:val="20"/>
          <w:color w:val="auto"/>
        </w:rPr>
      </w:pPr>
    </w:p>
    <w:p>
      <w:pPr>
        <w:ind w:right="1240"/>
        <w:spacing w:after="0" w:line="244" w:lineRule="auto"/>
        <w:rPr>
          <w:sz w:val="20"/>
          <w:szCs w:val="20"/>
          <w:color w:val="auto"/>
        </w:rPr>
      </w:pPr>
      <w:r>
        <w:rPr>
          <w:rFonts w:ascii="Times New Roman" w:cs="Times New Roman" w:eastAsia="Times New Roman" w:hAnsi="Times New Roman"/>
          <w:sz w:val="17"/>
          <w:szCs w:val="17"/>
          <w:color w:val="auto"/>
        </w:rPr>
        <w:t>Restated Certificate of Incorporation of Marriott Vacations Worldwide Corporation</w:t>
      </w:r>
    </w:p>
    <w:p>
      <w:pPr>
        <w:spacing w:after="0" w:line="108" w:lineRule="exact"/>
        <w:rPr>
          <w:sz w:val="20"/>
          <w:szCs w:val="20"/>
          <w:color w:val="auto"/>
        </w:rPr>
      </w:pPr>
    </w:p>
    <w:p>
      <w:pPr>
        <w:ind w:right="1100"/>
        <w:spacing w:after="0" w:line="244" w:lineRule="auto"/>
        <w:rPr>
          <w:sz w:val="20"/>
          <w:szCs w:val="20"/>
          <w:color w:val="auto"/>
        </w:rPr>
      </w:pPr>
      <w:r>
        <w:rPr>
          <w:rFonts w:ascii="Times New Roman" w:cs="Times New Roman" w:eastAsia="Times New Roman" w:hAnsi="Times New Roman"/>
          <w:sz w:val="17"/>
          <w:szCs w:val="17"/>
          <w:color w:val="auto"/>
        </w:rPr>
        <w:t>Restated Bylaws of Marriott Vacations Worldwide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39370</wp:posOffset>
            </wp:positionV>
            <wp:extent cx="5334635" cy="4279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5334635" cy="427990"/>
                    </a:xfrm>
                    <a:prstGeom prst="rect">
                      <a:avLst/>
                    </a:prstGeom>
                    <a:noFill/>
                  </pic:spPr>
                </pic:pic>
              </a:graphicData>
            </a:graphic>
          </wp:anchor>
        </w:drawing>
      </w:r>
    </w:p>
    <w:p>
      <w:pPr>
        <w:spacing w:after="0" w:line="88" w:lineRule="exact"/>
        <w:rPr>
          <w:sz w:val="20"/>
          <w:szCs w:val="20"/>
          <w:color w:val="auto"/>
        </w:rPr>
      </w:pPr>
    </w:p>
    <w:p>
      <w:pPr>
        <w:ind w:right="1080"/>
        <w:spacing w:after="0" w:line="230" w:lineRule="auto"/>
        <w:rPr>
          <w:sz w:val="20"/>
          <w:szCs w:val="20"/>
          <w:color w:val="auto"/>
        </w:rPr>
      </w:pPr>
      <w:r>
        <w:rPr>
          <w:rFonts w:ascii="Times New Roman" w:cs="Times New Roman" w:eastAsia="Times New Roman" w:hAnsi="Times New Roman"/>
          <w:sz w:val="17"/>
          <w:szCs w:val="17"/>
          <w:color w:val="auto"/>
        </w:rPr>
        <w:t>Form of certificate representing shares of common stock, par value $0.01 per share, of Marriott Vacations Worldwide Corporation</w:t>
      </w:r>
    </w:p>
    <w:p>
      <w:pPr>
        <w:spacing w:after="0" w:line="112" w:lineRule="exact"/>
        <w:rPr>
          <w:sz w:val="20"/>
          <w:szCs w:val="20"/>
          <w:color w:val="auto"/>
        </w:rPr>
      </w:pPr>
    </w:p>
    <w:p>
      <w:pPr>
        <w:ind w:right="860"/>
        <w:spacing w:after="0" w:line="230" w:lineRule="auto"/>
        <w:rPr>
          <w:sz w:val="20"/>
          <w:szCs w:val="20"/>
          <w:color w:val="auto"/>
        </w:rPr>
      </w:pPr>
      <w:r>
        <w:rPr>
          <w:rFonts w:ascii="Times New Roman" w:cs="Times New Roman" w:eastAsia="Times New Roman" w:hAnsi="Times New Roman"/>
          <w:sz w:val="17"/>
          <w:szCs w:val="17"/>
          <w:color w:val="auto"/>
        </w:rPr>
        <w:t>Indenture between Marriott Vacations Worldwide Corporation and The Bank of New York Mellon Trust Company, N.A., as trustee, dated September 25,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41910</wp:posOffset>
            </wp:positionV>
            <wp:extent cx="5334635" cy="3213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4">
                      <a:extLst>
                        <a:ext uri="{28A0092B-C50C-407E-A947-70E740481C1C}"/>
                      </a:extLst>
                    </a:blip>
                    <a:srcRect/>
                    <a:stretch>
                      <a:fillRect/>
                    </a:stretch>
                  </pic:blipFill>
                  <pic:spPr bwMode="auto">
                    <a:xfrm>
                      <a:off x="0" y="0"/>
                      <a:ext cx="5334635" cy="321310"/>
                    </a:xfrm>
                    <a:prstGeom prst="rect">
                      <a:avLst/>
                    </a:prstGeom>
                    <a:noFill/>
                  </pic:spPr>
                </pic:pic>
              </a:graphicData>
            </a:graphic>
          </wp:anchor>
        </w:drawing>
      </w:r>
    </w:p>
    <w:p>
      <w:pPr>
        <w:spacing w:after="0" w:line="92" w:lineRule="exact"/>
        <w:rPr>
          <w:sz w:val="20"/>
          <w:szCs w:val="20"/>
          <w:color w:val="auto"/>
        </w:rPr>
      </w:pPr>
    </w:p>
    <w:p>
      <w:pPr>
        <w:ind w:right="1120"/>
        <w:spacing w:after="0" w:line="244" w:lineRule="auto"/>
        <w:rPr>
          <w:sz w:val="20"/>
          <w:szCs w:val="20"/>
          <w:color w:val="auto"/>
        </w:rPr>
      </w:pPr>
      <w:r>
        <w:rPr>
          <w:rFonts w:ascii="Times New Roman" w:cs="Times New Roman" w:eastAsia="Times New Roman" w:hAnsi="Times New Roman"/>
          <w:sz w:val="17"/>
          <w:szCs w:val="17"/>
          <w:color w:val="auto"/>
        </w:rPr>
        <w:t>Form of 1.50% Convertible Senior Note due 2022 (included as Exhibit A to Exhibit 4.2 above)</w:t>
      </w:r>
    </w:p>
    <w:p>
      <w:pPr>
        <w:spacing w:after="0" w:line="56" w:lineRule="exact"/>
        <w:rPr>
          <w:sz w:val="20"/>
          <w:szCs w:val="20"/>
          <w:color w:val="auto"/>
        </w:rPr>
      </w:pPr>
    </w:p>
    <w:p>
      <w:pPr>
        <w:ind w:right="860"/>
        <w:spacing w:after="0" w:line="220" w:lineRule="auto"/>
        <w:rPr>
          <w:sz w:val="20"/>
          <w:szCs w:val="20"/>
          <w:color w:val="auto"/>
        </w:rPr>
      </w:pPr>
      <w:r>
        <w:rPr>
          <w:rFonts w:ascii="Times New Roman" w:cs="Times New Roman" w:eastAsia="Times New Roman" w:hAnsi="Times New Roman"/>
          <w:sz w:val="17"/>
          <w:szCs w:val="17"/>
          <w:color w:val="auto"/>
        </w:rPr>
        <w:t>Joinder Agreement to Registration Rights Agreement, dated as of September 1, 2018, by and among ILG, LLC, the guarantors party thereto and Merrill Lynch,</w:t>
      </w:r>
    </w:p>
    <w:p>
      <w:pPr>
        <w:spacing w:after="0" w:line="1" w:lineRule="exact"/>
        <w:rPr>
          <w:sz w:val="20"/>
          <w:szCs w:val="20"/>
          <w:color w:val="auto"/>
        </w:rPr>
      </w:pPr>
    </w:p>
    <w:p>
      <w:pPr>
        <w:ind w:right="1580"/>
        <w:spacing w:after="0" w:line="229" w:lineRule="auto"/>
        <w:rPr>
          <w:sz w:val="20"/>
          <w:szCs w:val="20"/>
          <w:color w:val="auto"/>
        </w:rPr>
      </w:pPr>
      <w:r>
        <w:rPr>
          <w:rFonts w:ascii="Times New Roman" w:cs="Times New Roman" w:eastAsia="Times New Roman" w:hAnsi="Times New Roman"/>
          <w:sz w:val="17"/>
          <w:szCs w:val="17"/>
          <w:color w:val="auto"/>
        </w:rPr>
        <w:t>Pierce, Fenner &amp; Smith Incorporated as the representative of the initial purchasers</w:t>
      </w:r>
    </w:p>
    <w:p>
      <w:pPr>
        <w:spacing w:after="0" w:line="9" w:lineRule="exact"/>
        <w:rPr>
          <w:sz w:val="20"/>
          <w:szCs w:val="20"/>
          <w:color w:val="auto"/>
        </w:rPr>
      </w:pPr>
    </w:p>
    <w:p>
      <w:pPr>
        <w:jc w:val="both"/>
        <w:ind w:right="860"/>
        <w:spacing w:after="0" w:line="220" w:lineRule="auto"/>
        <w:rPr>
          <w:sz w:val="20"/>
          <w:szCs w:val="20"/>
          <w:color w:val="auto"/>
        </w:rPr>
      </w:pPr>
      <w:r>
        <w:rPr>
          <w:rFonts w:ascii="Times New Roman" w:cs="Times New Roman" w:eastAsia="Times New Roman" w:hAnsi="Times New Roman"/>
          <w:sz w:val="17"/>
          <w:szCs w:val="17"/>
          <w:color w:val="auto"/>
        </w:rPr>
        <w:t>Indenture, dated as of October 1, 2019, by and among Marriott Ownership Resorts, Inc., Marriott Vacations Worldwide Corporation, as guarantor, the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-337185</wp:posOffset>
            </wp:positionV>
            <wp:extent cx="5334635" cy="5848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5334635" cy="584835"/>
                    </a:xfrm>
                    <a:prstGeom prst="rect">
                      <a:avLst/>
                    </a:prstGeom>
                    <a:noFill/>
                  </pic:spPr>
                </pic:pic>
              </a:graphicData>
            </a:graphic>
          </wp:anchor>
        </w:drawing>
      </w:r>
    </w:p>
    <w:p>
      <w:pPr>
        <w:ind w:right="980"/>
        <w:spacing w:after="0" w:line="229" w:lineRule="auto"/>
        <w:rPr>
          <w:sz w:val="20"/>
          <w:szCs w:val="20"/>
          <w:color w:val="auto"/>
        </w:rPr>
      </w:pPr>
      <w:r>
        <w:rPr>
          <w:rFonts w:ascii="Times New Roman" w:cs="Times New Roman" w:eastAsia="Times New Roman" w:hAnsi="Times New Roman"/>
          <w:sz w:val="17"/>
          <w:szCs w:val="17"/>
          <w:color w:val="auto"/>
        </w:rPr>
        <w:t>guarantors party thereto and The Bank of New York Mellon Trust Company, N.A., as trustee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Incorporation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170434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1704340" cy="825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40" w:type="dxa"/>
            <w:vAlign w:val="bottom"/>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20" w:type="dxa"/>
            <w:vAlign w:val="bottom"/>
          </w:tcPr>
          <w:p>
            <w:pPr>
              <w:spacing w:after="0"/>
              <w:rPr>
                <w:sz w:val="18"/>
                <w:szCs w:val="18"/>
                <w:color w:val="auto"/>
              </w:rPr>
            </w:pPr>
          </w:p>
        </w:tc>
        <w:tc>
          <w:tcPr>
            <w:tcW w:w="10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Date Filed</w:t>
            </w:r>
          </w:p>
        </w:tc>
      </w:tr>
      <w:tr>
        <w:trPr>
          <w:trHeight w:val="670"/>
        </w:trPr>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5/1/2018</w:t>
            </w:r>
          </w:p>
        </w:tc>
      </w:tr>
      <w:tr>
        <w:trPr>
          <w:trHeight w:val="1102"/>
        </w:trPr>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1/26/2021</w:t>
            </w:r>
          </w:p>
        </w:tc>
      </w:tr>
      <w:tr>
        <w:trPr>
          <w:trHeight w:val="804"/>
        </w:trPr>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11/22/2011</w:t>
            </w:r>
          </w:p>
        </w:tc>
      </w:tr>
      <w:tr>
        <w:trPr>
          <w:trHeight w:val="506"/>
        </w:trPr>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11/22/2011</w:t>
            </w:r>
          </w:p>
        </w:tc>
      </w:tr>
      <w:tr>
        <w:trPr>
          <w:trHeight w:val="583"/>
        </w:trPr>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10/14/2011</w:t>
            </w:r>
          </w:p>
        </w:tc>
      </w:tr>
      <w:tr>
        <w:trPr>
          <w:trHeight w:val="674"/>
        </w:trPr>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10-Q</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11/2/2017</w:t>
            </w:r>
          </w:p>
        </w:tc>
      </w:tr>
      <w:tr>
        <w:trPr>
          <w:trHeight w:val="596"/>
        </w:trPr>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10-Q</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11/2/2017</w:t>
            </w:r>
          </w:p>
        </w:tc>
      </w:tr>
      <w:tr>
        <w:trPr>
          <w:trHeight w:val="713"/>
        </w:trPr>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9/5/2018</w:t>
            </w:r>
          </w:p>
        </w:tc>
      </w:tr>
      <w:tr>
        <w:trPr>
          <w:trHeight w:val="921"/>
        </w:trPr>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10/1/2019</w:t>
            </w:r>
          </w:p>
        </w:tc>
      </w:tr>
    </w:tbl>
    <w:p>
      <w:pPr>
        <w:spacing w:after="0" w:line="535" w:lineRule="exact"/>
        <w:rPr>
          <w:sz w:val="20"/>
          <w:szCs w:val="20"/>
          <w:color w:val="auto"/>
        </w:rPr>
      </w:pPr>
    </w:p>
    <w:p>
      <w:pPr>
        <w:sectPr>
          <w:pgSz w:w="11900" w:h="16838" w:orient="portrait"/>
          <w:cols w:equalWidth="0" w:num="3">
            <w:col w:w="660" w:space="260"/>
            <w:col w:w="4580" w:space="220"/>
            <w:col w:w="5440"/>
          </w:cols>
          <w:pgMar w:left="320" w:top="225" w:right="419" w:bottom="1440" w:gutter="0" w:footer="0" w:header="0"/>
          <w:type w:val="continuous"/>
        </w:sectPr>
      </w:pPr>
    </w:p>
    <w:p>
      <w:pPr>
        <w:spacing w:after="0" w:line="1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225" w:right="41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gridSpan w:val="6"/>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3900" w:type="dxa"/>
            <w:vAlign w:val="bottom"/>
            <w:gridSpan w:val="2"/>
            <w:vMerge w:val="restart"/>
          </w:tcPr>
          <w:p>
            <w:pPr>
              <w:ind w:left="15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Filed</w:t>
            </w:r>
          </w:p>
        </w:tc>
        <w:tc>
          <w:tcPr>
            <w:tcW w:w="0" w:type="dxa"/>
            <w:vAlign w:val="bottom"/>
          </w:tcPr>
          <w:p>
            <w:pPr>
              <w:spacing w:after="0"/>
              <w:rPr>
                <w:sz w:val="1"/>
                <w:szCs w:val="1"/>
                <w:color w:val="auto"/>
              </w:rPr>
            </w:pPr>
          </w:p>
        </w:tc>
      </w:tr>
      <w:tr>
        <w:trPr>
          <w:trHeight w:val="206"/>
        </w:trPr>
        <w:tc>
          <w:tcPr>
            <w:tcW w:w="920" w:type="dxa"/>
            <w:vAlign w:val="bottom"/>
            <w:gridSpan w:val="6"/>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Number</w:t>
            </w:r>
          </w:p>
        </w:tc>
        <w:tc>
          <w:tcPr>
            <w:tcW w:w="3900" w:type="dxa"/>
            <w:vAlign w:val="bottom"/>
            <w:gridSpan w:val="2"/>
            <w:vMerge w:val="continue"/>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Herewith</w:t>
            </w:r>
          </w:p>
        </w:tc>
        <w:tc>
          <w:tcPr>
            <w:tcW w:w="0" w:type="dxa"/>
            <w:vAlign w:val="bottom"/>
          </w:tcPr>
          <w:p>
            <w:pPr>
              <w:spacing w:after="0"/>
              <w:rPr>
                <w:sz w:val="1"/>
                <w:szCs w:val="1"/>
                <w:color w:val="auto"/>
              </w:rPr>
            </w:pPr>
          </w:p>
        </w:tc>
      </w:tr>
      <w:tr>
        <w:trPr>
          <w:trHeight w:val="163"/>
        </w:trPr>
        <w:tc>
          <w:tcPr>
            <w:tcW w:w="2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760" w:type="dxa"/>
            <w:vAlign w:val="bottom"/>
            <w:tcBorders>
              <w:top w:val="single" w:sz="8" w:color="auto"/>
            </w:tcBorders>
          </w:tcPr>
          <w:p>
            <w:pPr>
              <w:spacing w:after="0" w:line="163" w:lineRule="exact"/>
              <w:rPr>
                <w:sz w:val="20"/>
                <w:szCs w:val="20"/>
                <w:color w:val="auto"/>
              </w:rPr>
            </w:pPr>
            <w:r>
              <w:rPr>
                <w:rFonts w:ascii="Times New Roman" w:cs="Times New Roman" w:eastAsia="Times New Roman" w:hAnsi="Times New Roman"/>
                <w:sz w:val="17"/>
                <w:szCs w:val="17"/>
                <w:color w:val="auto"/>
              </w:rPr>
              <w:t>Supplemental Indenture, dated December 31, 2019,</w:t>
            </w:r>
          </w:p>
        </w:tc>
        <w:tc>
          <w:tcPr>
            <w:tcW w:w="1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0" w:type="dxa"/>
            <w:vAlign w:val="bottom"/>
            <w:gridSpan w:val="4"/>
            <w:vMerge w:val="restart"/>
          </w:tcPr>
          <w:p>
            <w:pPr>
              <w:jc w:val="center"/>
              <w:ind w:left="155"/>
              <w:spacing w:after="0"/>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4.</w:t>
              </w:r>
              <w:r>
                <w:rPr>
                  <w:rFonts w:ascii="Times New Roman" w:cs="Times New Roman" w:eastAsia="Times New Roman" w:hAnsi="Times New Roman"/>
                  <w:sz w:val="17"/>
                  <w:szCs w:val="17"/>
                  <w:u w:val="single" w:color="auto"/>
                  <w:color w:val="0000FF"/>
                </w:rPr>
                <w:t>6</w:t>
              </w:r>
            </w:hyperlink>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90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color w:val="auto"/>
              </w:rPr>
              <w:t>by and among Marriott Ownership Resorts, Inc.,</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54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900" w:type="dxa"/>
            <w:vAlign w:val="bottom"/>
            <w:gridSpan w:val="2"/>
            <w:vMerge w:val="restart"/>
          </w:tcPr>
          <w:p>
            <w:pPr>
              <w:spacing w:after="0" w:line="174" w:lineRule="exact"/>
              <w:rPr>
                <w:sz w:val="20"/>
                <w:szCs w:val="20"/>
                <w:color w:val="auto"/>
              </w:rPr>
            </w:pPr>
            <w:r>
              <w:rPr>
                <w:rFonts w:ascii="Times New Roman" w:cs="Times New Roman" w:eastAsia="Times New Roman" w:hAnsi="Times New Roman"/>
                <w:sz w:val="17"/>
                <w:szCs w:val="17"/>
                <w:color w:val="auto"/>
              </w:rPr>
              <w:t>MVW Vacations, LLC and the Bank of New York</w:t>
            </w: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90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Mellon Trust Company, N.A., as trustee</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90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Second Supplemental Indenture, dated February 26,</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0" w:type="dxa"/>
            <w:vAlign w:val="bottom"/>
            <w:gridSpan w:val="4"/>
            <w:vMerge w:val="restart"/>
          </w:tcPr>
          <w:p>
            <w:pPr>
              <w:jc w:val="center"/>
              <w:ind w:left="155"/>
              <w:spacing w:after="0"/>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4.</w:t>
              </w:r>
              <w:r>
                <w:rPr>
                  <w:rFonts w:ascii="Times New Roman" w:cs="Times New Roman" w:eastAsia="Times New Roman" w:hAnsi="Times New Roman"/>
                  <w:sz w:val="17"/>
                  <w:szCs w:val="17"/>
                  <w:u w:val="single" w:color="auto"/>
                  <w:color w:val="0000FF"/>
                </w:rPr>
                <w:t>7</w:t>
              </w:r>
            </w:hyperlink>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90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color w:val="auto"/>
              </w:rPr>
              <w:t>2020, by and among Marriott Ownership Resorts,</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54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900" w:type="dxa"/>
            <w:vAlign w:val="bottom"/>
            <w:gridSpan w:val="2"/>
            <w:vMerge w:val="restart"/>
          </w:tcPr>
          <w:p>
            <w:pPr>
              <w:spacing w:after="0" w:line="174" w:lineRule="exact"/>
              <w:rPr>
                <w:sz w:val="20"/>
                <w:szCs w:val="20"/>
                <w:color w:val="auto"/>
              </w:rPr>
            </w:pPr>
            <w:r>
              <w:rPr>
                <w:rFonts w:ascii="Times New Roman" w:cs="Times New Roman" w:eastAsia="Times New Roman" w:hAnsi="Times New Roman"/>
                <w:sz w:val="17"/>
                <w:szCs w:val="17"/>
                <w:color w:val="auto"/>
              </w:rPr>
              <w:t>Inc., MVW Services Corporation, and the Bank of</w:t>
            </w: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90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New York Mellon Trust Company, N.A., as trustee</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40" w:type="dxa"/>
            <w:vAlign w:val="bottom"/>
            <w:gridSpan w:val="4"/>
            <w:vMerge w:val="restart"/>
          </w:tcPr>
          <w:p>
            <w:pPr>
              <w:jc w:val="center"/>
              <w:ind w:left="155"/>
              <w:spacing w:after="0"/>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4.</w:t>
              </w:r>
              <w:r>
                <w:rPr>
                  <w:rFonts w:ascii="Times New Roman" w:cs="Times New Roman" w:eastAsia="Times New Roman" w:hAnsi="Times New Roman"/>
                  <w:sz w:val="17"/>
                  <w:szCs w:val="17"/>
                  <w:u w:val="single" w:color="auto"/>
                  <w:color w:val="0000FF"/>
                </w:rPr>
                <w:t>8</w:t>
              </w:r>
            </w:hyperlink>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90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color w:val="auto"/>
              </w:rPr>
              <w:t>Form of 4.750% Senior Notes due 2028 (included as</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540" w:type="dxa"/>
            <w:vAlign w:val="bottom"/>
            <w:gridSpan w:val="4"/>
            <w:vMerge w:val="continue"/>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Exhibit A to Exhibit 4.5 above)</w:t>
            </w: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90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90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color w:val="auto"/>
              </w:rPr>
              <w:t>Registration Rights Agreement, dated as of October</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90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color w:val="auto"/>
              </w:rPr>
              <w:t>1, 2019, by and among Marriott Ownership Resorts,</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40" w:type="dxa"/>
            <w:vAlign w:val="bottom"/>
            <w:gridSpan w:val="4"/>
          </w:tcPr>
          <w:p>
            <w:pPr>
              <w:jc w:val="center"/>
              <w:ind w:left="155"/>
              <w:spacing w:after="0" w:line="187"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4.</w:t>
              </w:r>
              <w:r>
                <w:rPr>
                  <w:rFonts w:ascii="Times New Roman" w:cs="Times New Roman" w:eastAsia="Times New Roman" w:hAnsi="Times New Roman"/>
                  <w:sz w:val="17"/>
                  <w:szCs w:val="17"/>
                  <w:u w:val="single" w:color="auto"/>
                  <w:color w:val="0000FF"/>
                </w:rPr>
                <w:t>9</w:t>
              </w:r>
            </w:hyperlink>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90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Inc., Marriott Vacations Worldwide Corporation, as</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900" w:type="dxa"/>
            <w:vAlign w:val="bottom"/>
            <w:gridSpan w:val="2"/>
          </w:tcPr>
          <w:p>
            <w:pPr>
              <w:spacing w:after="0" w:line="136" w:lineRule="exact"/>
              <w:rPr>
                <w:sz w:val="20"/>
                <w:szCs w:val="20"/>
                <w:color w:val="auto"/>
              </w:rPr>
            </w:pPr>
            <w:r>
              <w:rPr>
                <w:rFonts w:ascii="Times New Roman" w:cs="Times New Roman" w:eastAsia="Times New Roman" w:hAnsi="Times New Roman"/>
                <w:sz w:val="15"/>
                <w:szCs w:val="15"/>
                <w:color w:val="auto"/>
              </w:rPr>
              <w:t>guarantor, the other guarantors party thereto and J.P.</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6"/>
        </w:trPr>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Morgan Securities LLC</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90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color w:val="auto"/>
              </w:rPr>
              <w:t>Indenture, dated as of May 13, 2020, by and among</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90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color w:val="auto"/>
              </w:rPr>
              <w:t>Marriott Ownership Resorts, Inc., Marriott Vacations</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40" w:type="dxa"/>
            <w:vAlign w:val="bottom"/>
            <w:gridSpan w:val="4"/>
            <w:vMerge w:val="restart"/>
          </w:tcPr>
          <w:p>
            <w:pPr>
              <w:jc w:val="center"/>
              <w:ind w:left="155"/>
              <w:spacing w:after="0"/>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4.</w:t>
              </w:r>
              <w:r>
                <w:rPr>
                  <w:rFonts w:ascii="Times New Roman" w:cs="Times New Roman" w:eastAsia="Times New Roman" w:hAnsi="Times New Roman"/>
                  <w:sz w:val="17"/>
                  <w:szCs w:val="17"/>
                  <w:u w:val="single" w:color="auto"/>
                  <w:color w:val="0000FF"/>
                </w:rPr>
                <w:t>10</w:t>
              </w:r>
            </w:hyperlink>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900" w:type="dxa"/>
            <w:vAlign w:val="bottom"/>
            <w:gridSpan w:val="2"/>
          </w:tcPr>
          <w:p>
            <w:pPr>
              <w:spacing w:after="0" w:line="174" w:lineRule="exact"/>
              <w:rPr>
                <w:sz w:val="20"/>
                <w:szCs w:val="20"/>
                <w:color w:val="auto"/>
              </w:rPr>
            </w:pPr>
            <w:r>
              <w:rPr>
                <w:rFonts w:ascii="Times New Roman" w:cs="Times New Roman" w:eastAsia="Times New Roman" w:hAnsi="Times New Roman"/>
                <w:sz w:val="17"/>
                <w:szCs w:val="17"/>
                <w:color w:val="auto"/>
              </w:rPr>
              <w:t>Worldwide Corporation, as guarantor, the other</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540" w:type="dxa"/>
            <w:vAlign w:val="bottom"/>
            <w:gridSpan w:val="4"/>
            <w:vMerge w:val="continue"/>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900" w:type="dxa"/>
            <w:vAlign w:val="bottom"/>
            <w:gridSpan w:val="2"/>
            <w:vMerge w:val="restart"/>
          </w:tcPr>
          <w:p>
            <w:pPr>
              <w:spacing w:after="0" w:line="168" w:lineRule="exact"/>
              <w:rPr>
                <w:sz w:val="20"/>
                <w:szCs w:val="20"/>
                <w:color w:val="auto"/>
              </w:rPr>
            </w:pPr>
            <w:r>
              <w:rPr>
                <w:rFonts w:ascii="Times New Roman" w:cs="Times New Roman" w:eastAsia="Times New Roman" w:hAnsi="Times New Roman"/>
                <w:sz w:val="17"/>
                <w:szCs w:val="17"/>
                <w:color w:val="auto"/>
              </w:rPr>
              <w:t>guarantors party thereto and The Bank of New York</w:t>
            </w: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90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90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color w:val="auto"/>
              </w:rPr>
              <w:t>Mellon Trust Company, N.A., as trustee and</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collateral agent</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540" w:type="dxa"/>
            <w:vAlign w:val="bottom"/>
            <w:gridSpan w:val="4"/>
            <w:vMerge w:val="restart"/>
          </w:tcPr>
          <w:p>
            <w:pPr>
              <w:jc w:val="center"/>
              <w:ind w:left="155"/>
              <w:spacing w:after="0"/>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4.</w:t>
              </w:r>
              <w:r>
                <w:rPr>
                  <w:rFonts w:ascii="Times New Roman" w:cs="Times New Roman" w:eastAsia="Times New Roman" w:hAnsi="Times New Roman"/>
                  <w:sz w:val="17"/>
                  <w:szCs w:val="17"/>
                  <w:u w:val="single" w:color="auto"/>
                  <w:color w:val="0000FF"/>
                </w:rPr>
                <w:t>11</w:t>
              </w:r>
            </w:hyperlink>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900" w:type="dxa"/>
            <w:vAlign w:val="bottom"/>
            <w:gridSpan w:val="2"/>
          </w:tcPr>
          <w:p>
            <w:pPr>
              <w:spacing w:after="0" w:line="174" w:lineRule="exact"/>
              <w:rPr>
                <w:sz w:val="20"/>
                <w:szCs w:val="20"/>
                <w:color w:val="auto"/>
              </w:rPr>
            </w:pPr>
            <w:r>
              <w:rPr>
                <w:rFonts w:ascii="Times New Roman" w:cs="Times New Roman" w:eastAsia="Times New Roman" w:hAnsi="Times New Roman"/>
                <w:sz w:val="17"/>
                <w:szCs w:val="17"/>
                <w:color w:val="auto"/>
              </w:rPr>
              <w:t>Form of 6.125% Senior Secured Notes due 2025</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540" w:type="dxa"/>
            <w:vAlign w:val="bottom"/>
            <w:gridSpan w:val="4"/>
            <w:vMerge w:val="continue"/>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(included as Exhibit A to Exhibit 4.10)</w:t>
            </w: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90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90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color w:val="auto"/>
              </w:rPr>
              <w:t>Indenture, dated as of February 2, 2021, by and</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90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color w:val="auto"/>
              </w:rPr>
              <w:t>among Marriott Vacations Worldwide Corporation,</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40" w:type="dxa"/>
            <w:vAlign w:val="bottom"/>
            <w:gridSpan w:val="4"/>
          </w:tcPr>
          <w:p>
            <w:pPr>
              <w:jc w:val="center"/>
              <w:ind w:left="155"/>
              <w:spacing w:after="0" w:line="187"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4.</w:t>
              </w:r>
              <w:r>
                <w:rPr>
                  <w:rFonts w:ascii="Times New Roman" w:cs="Times New Roman" w:eastAsia="Times New Roman" w:hAnsi="Times New Roman"/>
                  <w:sz w:val="17"/>
                  <w:szCs w:val="17"/>
                  <w:u w:val="single" w:color="auto"/>
                  <w:color w:val="0000FF"/>
                </w:rPr>
                <w:t>12</w:t>
              </w:r>
            </w:hyperlink>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90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Marriott Ownership Resorts, Inc. and the other</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4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900" w:type="dxa"/>
            <w:vAlign w:val="bottom"/>
            <w:gridSpan w:val="2"/>
          </w:tcPr>
          <w:p>
            <w:pPr>
              <w:spacing w:after="0" w:line="136" w:lineRule="exact"/>
              <w:rPr>
                <w:sz w:val="20"/>
                <w:szCs w:val="20"/>
                <w:color w:val="auto"/>
              </w:rPr>
            </w:pPr>
            <w:r>
              <w:rPr>
                <w:rFonts w:ascii="Times New Roman" w:cs="Times New Roman" w:eastAsia="Times New Roman" w:hAnsi="Times New Roman"/>
                <w:sz w:val="15"/>
                <w:szCs w:val="15"/>
                <w:color w:val="auto"/>
              </w:rPr>
              <w:t>guarantors party thereto and The Bank of New York</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6"/>
        </w:trPr>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Mellon Trust Company, N.A., as trustee</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40" w:type="dxa"/>
            <w:vAlign w:val="bottom"/>
            <w:gridSpan w:val="4"/>
            <w:vMerge w:val="restart"/>
          </w:tcPr>
          <w:p>
            <w:pPr>
              <w:jc w:val="center"/>
              <w:ind w:left="155"/>
              <w:spacing w:after="0"/>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4.</w:t>
              </w:r>
              <w:r>
                <w:rPr>
                  <w:rFonts w:ascii="Times New Roman" w:cs="Times New Roman" w:eastAsia="Times New Roman" w:hAnsi="Times New Roman"/>
                  <w:sz w:val="17"/>
                  <w:szCs w:val="17"/>
                  <w:u w:val="single" w:color="auto"/>
                  <w:color w:val="0000FF"/>
                </w:rPr>
                <w:t>13</w:t>
              </w:r>
            </w:hyperlink>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90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color w:val="auto"/>
              </w:rPr>
              <w:t>Form of 0.00% Convertible Senior Note due 2026</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540" w:type="dxa"/>
            <w:vAlign w:val="bottom"/>
            <w:gridSpan w:val="4"/>
            <w:vMerge w:val="continue"/>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(included as Exhibit A to Exhibit 4.12 above)</w:t>
            </w: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90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90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color w:val="auto"/>
              </w:rPr>
              <w:t>Indenture, dated as of June 21, 2021, by and among</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90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color w:val="auto"/>
              </w:rPr>
              <w:t>Marriott Ownership Resorts, Inc., Marriott Vacations</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40" w:type="dxa"/>
            <w:vAlign w:val="bottom"/>
            <w:gridSpan w:val="4"/>
          </w:tcPr>
          <w:p>
            <w:pPr>
              <w:jc w:val="center"/>
              <w:ind w:left="155"/>
              <w:spacing w:after="0" w:line="187"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4.</w:t>
              </w:r>
              <w:r>
                <w:rPr>
                  <w:rFonts w:ascii="Times New Roman" w:cs="Times New Roman" w:eastAsia="Times New Roman" w:hAnsi="Times New Roman"/>
                  <w:sz w:val="17"/>
                  <w:szCs w:val="17"/>
                  <w:u w:val="single" w:color="auto"/>
                  <w:color w:val="0000FF"/>
                </w:rPr>
                <w:t>14</w:t>
              </w:r>
            </w:hyperlink>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90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Worldwide Corporation, as guarantor, the other</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4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900" w:type="dxa"/>
            <w:vAlign w:val="bottom"/>
            <w:gridSpan w:val="2"/>
          </w:tcPr>
          <w:p>
            <w:pPr>
              <w:spacing w:after="0" w:line="136" w:lineRule="exact"/>
              <w:rPr>
                <w:sz w:val="20"/>
                <w:szCs w:val="20"/>
                <w:color w:val="auto"/>
              </w:rPr>
            </w:pPr>
            <w:r>
              <w:rPr>
                <w:rFonts w:ascii="Times New Roman" w:cs="Times New Roman" w:eastAsia="Times New Roman" w:hAnsi="Times New Roman"/>
                <w:sz w:val="15"/>
                <w:szCs w:val="15"/>
                <w:color w:val="auto"/>
              </w:rPr>
              <w:t>guarantors party thereto and The Bank of New York</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6"/>
        </w:trPr>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Mellon Trust Company, N.A., as trustee</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40" w:type="dxa"/>
            <w:vAlign w:val="bottom"/>
            <w:gridSpan w:val="4"/>
            <w:vMerge w:val="restart"/>
          </w:tcPr>
          <w:p>
            <w:pPr>
              <w:jc w:val="center"/>
              <w:ind w:left="155"/>
              <w:spacing w:after="0"/>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4.</w:t>
              </w:r>
              <w:r>
                <w:rPr>
                  <w:rFonts w:ascii="Times New Roman" w:cs="Times New Roman" w:eastAsia="Times New Roman" w:hAnsi="Times New Roman"/>
                  <w:sz w:val="17"/>
                  <w:szCs w:val="17"/>
                  <w:u w:val="single" w:color="auto"/>
                  <w:color w:val="0000FF"/>
                </w:rPr>
                <w:t>15</w:t>
              </w:r>
            </w:hyperlink>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90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color w:val="auto"/>
              </w:rPr>
              <w:t>Form of 4.500% Senior Notes due 2029 (included as</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540" w:type="dxa"/>
            <w:vAlign w:val="bottom"/>
            <w:gridSpan w:val="4"/>
            <w:vMerge w:val="continue"/>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Exhibit A to Exhibit 4.14 above)</w:t>
            </w: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90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540" w:type="dxa"/>
            <w:vAlign w:val="bottom"/>
            <w:gridSpan w:val="4"/>
          </w:tcPr>
          <w:p>
            <w:pPr>
              <w:jc w:val="center"/>
              <w:ind w:left="155"/>
              <w:spacing w:after="0"/>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4.</w:t>
              </w:r>
              <w:r>
                <w:rPr>
                  <w:rFonts w:ascii="Times New Roman" w:cs="Times New Roman" w:eastAsia="Times New Roman" w:hAnsi="Times New Roman"/>
                  <w:sz w:val="17"/>
                  <w:szCs w:val="17"/>
                  <w:u w:val="single" w:color="auto"/>
                  <w:color w:val="0000FF"/>
                </w:rPr>
                <w:t>16</w:t>
              </w:r>
            </w:hyperlink>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Description of Registered Securities</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Marketing Track Amendment, dated as of May 19,</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90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color w:val="auto"/>
              </w:rPr>
              <w:t>2022, to the Marriott License, Services and</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40" w:type="dxa"/>
            <w:vAlign w:val="bottom"/>
            <w:gridSpan w:val="4"/>
            <w:vMerge w:val="restart"/>
          </w:tcPr>
          <w:p>
            <w:pPr>
              <w:jc w:val="center"/>
              <w:ind w:left="155"/>
              <w:spacing w:after="0"/>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w:t>
              </w:r>
            </w:hyperlink>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900" w:type="dxa"/>
            <w:vAlign w:val="bottom"/>
            <w:gridSpan w:val="2"/>
          </w:tcPr>
          <w:p>
            <w:pPr>
              <w:spacing w:after="0" w:line="174" w:lineRule="exact"/>
              <w:rPr>
                <w:sz w:val="20"/>
                <w:szCs w:val="20"/>
                <w:color w:val="auto"/>
              </w:rPr>
            </w:pPr>
            <w:r>
              <w:rPr>
                <w:rFonts w:ascii="Times New Roman" w:cs="Times New Roman" w:eastAsia="Times New Roman" w:hAnsi="Times New Roman"/>
                <w:sz w:val="17"/>
                <w:szCs w:val="17"/>
                <w:color w:val="auto"/>
              </w:rPr>
              <w:t>Development Agreement for Marriott Projects dated</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540" w:type="dxa"/>
            <w:vAlign w:val="bottom"/>
            <w:gridSpan w:val="4"/>
            <w:vMerge w:val="continue"/>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900" w:type="dxa"/>
            <w:vAlign w:val="bottom"/>
            <w:gridSpan w:val="2"/>
            <w:vMerge w:val="restart"/>
          </w:tcPr>
          <w:p>
            <w:pPr>
              <w:spacing w:after="0" w:line="168" w:lineRule="exact"/>
              <w:rPr>
                <w:sz w:val="20"/>
                <w:szCs w:val="20"/>
                <w:color w:val="auto"/>
              </w:rPr>
            </w:pPr>
            <w:r>
              <w:rPr>
                <w:rFonts w:ascii="Times New Roman" w:cs="Times New Roman" w:eastAsia="Times New Roman" w:hAnsi="Times New Roman"/>
                <w:sz w:val="17"/>
                <w:szCs w:val="17"/>
                <w:color w:val="auto"/>
              </w:rPr>
              <w:t>November 19, 2011, by and among Marriott</w:t>
            </w: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90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90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color w:val="auto"/>
              </w:rPr>
              <w:t>International, Inc., Marriott Worldwide Corporation,</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and Marriott Vacations Worldwide Corporation.</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540" w:type="dxa"/>
            <w:vAlign w:val="bottom"/>
            <w:gridSpan w:val="4"/>
            <w:vMerge w:val="restart"/>
          </w:tcPr>
          <w:p>
            <w:pPr>
              <w:jc w:val="center"/>
              <w:ind w:left="155"/>
              <w:spacing w:after="0"/>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w:t>
              </w:r>
            </w:hyperlink>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900" w:type="dxa"/>
            <w:vAlign w:val="bottom"/>
            <w:gridSpan w:val="2"/>
          </w:tcPr>
          <w:p>
            <w:pPr>
              <w:spacing w:after="0" w:line="174" w:lineRule="exact"/>
              <w:rPr>
                <w:sz w:val="20"/>
                <w:szCs w:val="20"/>
                <w:color w:val="auto"/>
              </w:rPr>
            </w:pPr>
            <w:r>
              <w:rPr>
                <w:rFonts w:ascii="Times New Roman" w:cs="Times New Roman" w:eastAsia="Times New Roman" w:hAnsi="Times New Roman"/>
                <w:sz w:val="17"/>
                <w:szCs w:val="17"/>
                <w:color w:val="auto"/>
              </w:rPr>
              <w:t>Marriott Vacations Worldwide Corporation Deferred</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540" w:type="dxa"/>
            <w:vAlign w:val="bottom"/>
            <w:gridSpan w:val="4"/>
            <w:vMerge w:val="continue"/>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Compensation Plan Revised July 29, 2022**</w:t>
            </w: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90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40" w:type="dxa"/>
            <w:vAlign w:val="bottom"/>
          </w:tcPr>
          <w:p>
            <w:pPr>
              <w:spacing w:after="0"/>
              <w:rPr>
                <w:sz w:val="17"/>
                <w:szCs w:val="17"/>
                <w:color w:val="auto"/>
              </w:rPr>
            </w:pPr>
          </w:p>
        </w:tc>
        <w:tc>
          <w:tcPr>
            <w:tcW w:w="300" w:type="dxa"/>
            <w:vAlign w:val="bottom"/>
            <w:tcBorders>
              <w:bottom w:val="single" w:sz="8" w:color="0000FF"/>
            </w:tcBorders>
            <w:gridSpan w:val="3"/>
          </w:tcPr>
          <w:p>
            <w:pPr>
              <w:jc w:val="center"/>
              <w:spacing w:after="0"/>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22.</w:t>
              </w:r>
              <w:r>
                <w:rPr>
                  <w:rFonts w:ascii="Times New Roman" w:cs="Times New Roman" w:eastAsia="Times New Roman" w:hAnsi="Times New Roman"/>
                  <w:sz w:val="17"/>
                  <w:szCs w:val="17"/>
                  <w:u w:val="single" w:color="auto"/>
                  <w:color w:val="0000FF"/>
                </w:rPr>
                <w:t>1</w:t>
              </w:r>
            </w:hyperlink>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List of the Issuer and its Guarantor Subsidiaries</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0" w:type="dxa"/>
            <w:vAlign w:val="bottom"/>
            <w:gridSpan w:val="4"/>
            <w:vMerge w:val="restart"/>
          </w:tcPr>
          <w:p>
            <w:pPr>
              <w:jc w:val="center"/>
              <w:ind w:left="155"/>
              <w:spacing w:after="0"/>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Certification of Chief Executive Officer pursuant to</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182"/>
        </w:trPr>
        <w:tc>
          <w:tcPr>
            <w:tcW w:w="54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90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Rule 13a-14(a) of the Securities Exchange Act of</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4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1934</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40" w:type="dxa"/>
            <w:vAlign w:val="bottom"/>
            <w:gridSpan w:val="4"/>
            <w:vMerge w:val="restart"/>
          </w:tcPr>
          <w:p>
            <w:pPr>
              <w:jc w:val="center"/>
              <w:ind w:left="155"/>
              <w:spacing w:after="0"/>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2</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900" w:type="dxa"/>
            <w:vAlign w:val="bottom"/>
            <w:gridSpan w:val="2"/>
          </w:tcPr>
          <w:p>
            <w:pPr>
              <w:spacing w:after="0" w:line="174" w:lineRule="exact"/>
              <w:rPr>
                <w:sz w:val="20"/>
                <w:szCs w:val="20"/>
                <w:color w:val="auto"/>
              </w:rPr>
            </w:pPr>
            <w:r>
              <w:rPr>
                <w:rFonts w:ascii="Times New Roman" w:cs="Times New Roman" w:eastAsia="Times New Roman" w:hAnsi="Times New Roman"/>
                <w:sz w:val="17"/>
                <w:szCs w:val="17"/>
                <w:color w:val="auto"/>
              </w:rPr>
              <w:t>Certification of Chief Financial Officer pursuant to</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182"/>
        </w:trPr>
        <w:tc>
          <w:tcPr>
            <w:tcW w:w="54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90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Rule 13a-14(a) of the Securities Exchange Act of</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4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1934</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40" w:type="dxa"/>
            <w:vAlign w:val="bottom"/>
            <w:gridSpan w:val="4"/>
            <w:vMerge w:val="restart"/>
          </w:tcPr>
          <w:p>
            <w:pPr>
              <w:jc w:val="center"/>
              <w:ind w:left="155"/>
              <w:spacing w:after="0"/>
              <w:rPr>
                <w:sz w:val="20"/>
                <w:szCs w:val="20"/>
                <w:color w:val="auto"/>
              </w:rPr>
            </w:pPr>
            <w:r>
              <w:rPr>
                <w:rFonts w:ascii="Times New Roman" w:cs="Times New Roman" w:eastAsia="Times New Roman" w:hAnsi="Times New Roman"/>
                <w:sz w:val="17"/>
                <w:szCs w:val="17"/>
                <w:color w:val="0000FF"/>
              </w:rPr>
              <w:t>32.</w:t>
            </w:r>
            <w:r>
              <w:rPr>
                <w:rFonts w:ascii="Times New Roman" w:cs="Times New Roman" w:eastAsia="Times New Roman" w:hAnsi="Times New Roman"/>
                <w:sz w:val="17"/>
                <w:szCs w:val="17"/>
                <w:u w:val="single" w:color="auto"/>
                <w:color w:val="0000FF"/>
              </w:rPr>
              <w:t>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900" w:type="dxa"/>
            <w:vAlign w:val="bottom"/>
            <w:gridSpan w:val="2"/>
          </w:tcPr>
          <w:p>
            <w:pPr>
              <w:spacing w:after="0" w:line="174" w:lineRule="exact"/>
              <w:rPr>
                <w:sz w:val="20"/>
                <w:szCs w:val="20"/>
                <w:color w:val="auto"/>
              </w:rPr>
            </w:pPr>
            <w:r>
              <w:rPr>
                <w:rFonts w:ascii="Times New Roman" w:cs="Times New Roman" w:eastAsia="Times New Roman" w:hAnsi="Times New Roman"/>
                <w:sz w:val="17"/>
                <w:szCs w:val="17"/>
                <w:color w:val="auto"/>
              </w:rPr>
              <w:t>Certification of Chief Executive Officer pursuant to</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4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90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Rule 13a-14(b) and Section 906 of the Sarbanes-</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4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Oxley Act of 2002</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40" w:type="dxa"/>
            <w:vAlign w:val="bottom"/>
            <w:vMerge w:val="restart"/>
          </w:tcPr>
          <w:p>
            <w:pPr>
              <w:spacing w:after="0"/>
              <w:rPr>
                <w:sz w:val="15"/>
                <w:szCs w:val="15"/>
                <w:color w:val="auto"/>
              </w:rPr>
            </w:pPr>
          </w:p>
        </w:tc>
        <w:tc>
          <w:tcPr>
            <w:tcW w:w="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32.</w:t>
            </w:r>
            <w:r>
              <w:rPr>
                <w:rFonts w:ascii="Times New Roman" w:cs="Times New Roman" w:eastAsia="Times New Roman" w:hAnsi="Times New Roman"/>
                <w:sz w:val="17"/>
                <w:szCs w:val="17"/>
                <w:u w:val="single" w:color="auto"/>
                <w:color w:val="0000FF"/>
              </w:rPr>
              <w:t>2</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900" w:type="dxa"/>
            <w:vAlign w:val="bottom"/>
            <w:gridSpan w:val="2"/>
          </w:tcPr>
          <w:p>
            <w:pPr>
              <w:spacing w:after="0" w:line="174" w:lineRule="exact"/>
              <w:rPr>
                <w:sz w:val="20"/>
                <w:szCs w:val="20"/>
                <w:color w:val="auto"/>
              </w:rPr>
            </w:pPr>
            <w:r>
              <w:rPr>
                <w:rFonts w:ascii="Times New Roman" w:cs="Times New Roman" w:eastAsia="Times New Roman" w:hAnsi="Times New Roman"/>
                <w:sz w:val="17"/>
                <w:szCs w:val="17"/>
                <w:color w:val="auto"/>
              </w:rPr>
              <w:t>Certification of Chief Financial Officer pursuant to</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40" w:type="dxa"/>
            <w:vAlign w:val="bottom"/>
            <w:vMerge w:val="continue"/>
          </w:tcPr>
          <w:p>
            <w:pPr>
              <w:spacing w:after="0"/>
              <w:rPr>
                <w:sz w:val="15"/>
                <w:szCs w:val="15"/>
                <w:color w:val="auto"/>
              </w:rPr>
            </w:pPr>
          </w:p>
        </w:tc>
        <w:tc>
          <w:tcPr>
            <w:tcW w:w="300" w:type="dxa"/>
            <w:vAlign w:val="bottom"/>
            <w:tcBorders>
              <w:bottom w:val="single" w:sz="8" w:color="0000FF"/>
            </w:tcBorders>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90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Rule 13a-14(b) and Section 906 of the Sarbanes-</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-6527800</wp:posOffset>
            </wp:positionV>
            <wp:extent cx="5334635" cy="4857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5334635" cy="4857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-5786755</wp:posOffset>
            </wp:positionV>
            <wp:extent cx="5334635" cy="5848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5334635" cy="5848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-4511040</wp:posOffset>
            </wp:positionV>
            <wp:extent cx="5334635" cy="2552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5334635" cy="25527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-3670935</wp:posOffset>
            </wp:positionV>
            <wp:extent cx="5334635" cy="2552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5334635" cy="25527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-2831465</wp:posOffset>
            </wp:positionV>
            <wp:extent cx="5334635" cy="2552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5334635" cy="25527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-2419985</wp:posOffset>
            </wp:positionV>
            <wp:extent cx="5334635" cy="6915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5334635" cy="6915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-1473200</wp:posOffset>
            </wp:positionV>
            <wp:extent cx="5334635" cy="1562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5334635" cy="1562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-954405</wp:posOffset>
            </wp:positionV>
            <wp:extent cx="5334635" cy="3619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5334635" cy="3619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-229870</wp:posOffset>
            </wp:positionV>
            <wp:extent cx="5334635" cy="3619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5334635" cy="361950"/>
                    </a:xfrm>
                    <a:prstGeom prst="rect">
                      <a:avLst/>
                    </a:prstGeom>
                    <a:noFill/>
                  </pic:spPr>
                </pic:pic>
              </a:graphicData>
            </a:graphic>
          </wp:anchor>
        </w:drawing>
      </w:r>
    </w:p>
    <w:p>
      <w:pPr>
        <w:ind w:left="920"/>
        <w:spacing w:after="0"/>
        <w:rPr>
          <w:sz w:val="20"/>
          <w:szCs w:val="20"/>
          <w:color w:val="auto"/>
        </w:rPr>
      </w:pPr>
      <w:r>
        <w:rPr>
          <w:rFonts w:ascii="Times New Roman" w:cs="Times New Roman" w:eastAsia="Times New Roman" w:hAnsi="Times New Roman"/>
          <w:sz w:val="17"/>
          <w:szCs w:val="17"/>
          <w:color w:val="auto"/>
        </w:rPr>
        <w:t>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628650</wp:posOffset>
            </wp:positionV>
            <wp:extent cx="716343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Incorporation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169608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1696085" cy="825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Form</w:t>
            </w:r>
          </w:p>
        </w:tc>
        <w:tc>
          <w:tcPr>
            <w:tcW w:w="120" w:type="dxa"/>
            <w:vAlign w:val="bottom"/>
          </w:tcPr>
          <w:p>
            <w:pPr>
              <w:spacing w:after="0"/>
              <w:rPr>
                <w:sz w:val="18"/>
                <w:szCs w:val="18"/>
                <w:color w:val="auto"/>
              </w:rPr>
            </w:pPr>
          </w:p>
        </w:tc>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40" w:type="dxa"/>
            <w:vAlign w:val="bottom"/>
          </w:tcPr>
          <w:p>
            <w:pPr>
              <w:spacing w:after="0"/>
              <w:rPr>
                <w:sz w:val="18"/>
                <w:szCs w:val="18"/>
                <w:color w:val="auto"/>
              </w:rPr>
            </w:pPr>
          </w:p>
        </w:tc>
        <w:tc>
          <w:tcPr>
            <w:tcW w:w="1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Date Filed</w:t>
            </w:r>
          </w:p>
        </w:tc>
      </w:tr>
      <w:tr>
        <w:trPr>
          <w:trHeight w:val="476"/>
        </w:trPr>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10-K</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4.12</w:t>
            </w: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3/2/2020</w:t>
            </w:r>
          </w:p>
        </w:tc>
      </w:tr>
      <w:tr>
        <w:trPr>
          <w:trHeight w:val="765"/>
        </w:trPr>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10-K</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4.13</w:t>
            </w: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3/2/2020</w:t>
            </w:r>
          </w:p>
        </w:tc>
      </w:tr>
      <w:tr>
        <w:trPr>
          <w:trHeight w:val="583"/>
        </w:trPr>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10/1/2019</w:t>
            </w:r>
          </w:p>
        </w:tc>
      </w:tr>
      <w:tr>
        <w:trPr>
          <w:trHeight w:val="661"/>
        </w:trPr>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10/1/2019</w:t>
            </w:r>
          </w:p>
        </w:tc>
      </w:tr>
      <w:tr>
        <w:trPr>
          <w:trHeight w:val="998"/>
        </w:trPr>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5/15/2020</w:t>
            </w:r>
          </w:p>
        </w:tc>
      </w:tr>
      <w:tr>
        <w:trPr>
          <w:trHeight w:val="752"/>
        </w:trPr>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5/15/2020</w:t>
            </w:r>
          </w:p>
        </w:tc>
      </w:tr>
      <w:tr>
        <w:trPr>
          <w:trHeight w:val="661"/>
        </w:trPr>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2/3/2021</w:t>
            </w:r>
          </w:p>
        </w:tc>
      </w:tr>
      <w:tr>
        <w:trPr>
          <w:trHeight w:val="661"/>
        </w:trPr>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2/3/2021</w:t>
            </w:r>
          </w:p>
        </w:tc>
      </w:tr>
      <w:tr>
        <w:trPr>
          <w:trHeight w:val="661"/>
        </w:trPr>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6/22/2021</w:t>
            </w:r>
          </w:p>
        </w:tc>
      </w:tr>
      <w:tr>
        <w:trPr>
          <w:trHeight w:val="661"/>
        </w:trPr>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6/22/2021</w:t>
            </w:r>
          </w:p>
        </w:tc>
      </w:tr>
      <w:tr>
        <w:trPr>
          <w:trHeight w:val="324"/>
        </w:trPr>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10-K</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4.16</w:t>
            </w: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3/2/2020</w:t>
            </w:r>
          </w:p>
        </w:tc>
      </w:tr>
      <w:tr>
        <w:trPr>
          <w:trHeight w:val="661"/>
        </w:trPr>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10-Q</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8/9/2022</w:t>
            </w:r>
          </w:p>
        </w:tc>
      </w:tr>
      <w:tr>
        <w:trPr>
          <w:trHeight w:val="752"/>
        </w:trPr>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10-Q</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8/9/2022</w:t>
            </w:r>
          </w:p>
        </w:tc>
      </w:tr>
      <w:tr>
        <w:trPr>
          <w:trHeight w:val="324"/>
        </w:trPr>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10-K</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22.1</w:t>
            </w: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03/1/2022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Furnished</w:t>
      </w:r>
    </w:p>
    <w:p>
      <w:pPr>
        <w:spacing w:after="0" w:line="3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Furnished</w:t>
      </w:r>
    </w:p>
    <w:p>
      <w:pPr>
        <w:spacing w:after="0" w:line="200" w:lineRule="exact"/>
        <w:rPr>
          <w:sz w:val="20"/>
          <w:szCs w:val="20"/>
          <w:color w:val="auto"/>
        </w:rPr>
      </w:pPr>
    </w:p>
    <w:p>
      <w:pPr>
        <w:spacing w:after="0" w:line="3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78</w:t>
      </w:r>
    </w:p>
    <w:p>
      <w:pPr>
        <w:sectPr>
          <w:pgSz w:w="11900" w:h="16838" w:orient="portrait"/>
          <w:cols w:equalWidth="0" w:num="2">
            <w:col w:w="5600" w:space="140"/>
            <w:col w:w="4399"/>
          </w:cols>
          <w:pgMar w:left="320" w:top="225"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120" w:type="dxa"/>
        <w:tblCellMar>
          <w:top w:w="0" w:type="dxa"/>
          <w:left w:w="0" w:type="dxa"/>
          <w:bottom w:w="0" w:type="dxa"/>
          <w:right w:w="0" w:type="dxa"/>
        </w:tblCellMar>
      </w:tblPr>
      <w:tr>
        <w:trPr>
          <w:trHeight w:val="208"/>
        </w:trPr>
        <w:tc>
          <w:tcPr>
            <w:tcW w:w="1420" w:type="dxa"/>
            <w:vAlign w:val="bottom"/>
            <w:vMerge w:val="restart"/>
          </w:tcPr>
          <w:p>
            <w:pPr>
              <w:jc w:val="center"/>
              <w:ind w:right="802"/>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2520" w:type="dxa"/>
            <w:vAlign w:val="bottom"/>
          </w:tcPr>
          <w:p>
            <w:pPr>
              <w:spacing w:after="0"/>
              <w:rPr>
                <w:sz w:val="18"/>
                <w:szCs w:val="18"/>
                <w:color w:val="auto"/>
              </w:rPr>
            </w:pPr>
          </w:p>
        </w:tc>
        <w:tc>
          <w:tcPr>
            <w:tcW w:w="1700" w:type="dxa"/>
            <w:vAlign w:val="bottom"/>
            <w:vMerge w:val="restart"/>
          </w:tcPr>
          <w:p>
            <w:pPr>
              <w:jc w:val="center"/>
              <w:ind w:left="562"/>
              <w:spacing w:after="0"/>
              <w:rPr>
                <w:sz w:val="20"/>
                <w:szCs w:val="20"/>
                <w:color w:val="auto"/>
              </w:rPr>
            </w:pPr>
            <w:r>
              <w:rPr>
                <w:rFonts w:ascii="Times New Roman" w:cs="Times New Roman" w:eastAsia="Times New Roman" w:hAnsi="Times New Roman"/>
                <w:sz w:val="16"/>
                <w:szCs w:val="16"/>
                <w:b w:val="1"/>
                <w:bCs w:val="1"/>
                <w:color w:val="auto"/>
                <w:w w:val="97"/>
              </w:rPr>
              <w:t>Filed</w:t>
            </w:r>
          </w:p>
        </w:tc>
        <w:tc>
          <w:tcPr>
            <w:tcW w:w="26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Incorporation By Reference From</w:t>
            </w:r>
          </w:p>
        </w:tc>
        <w:tc>
          <w:tcPr>
            <w:tcW w:w="0" w:type="dxa"/>
            <w:vAlign w:val="bottom"/>
          </w:tcPr>
          <w:p>
            <w:pPr>
              <w:spacing w:after="0"/>
              <w:rPr>
                <w:sz w:val="1"/>
                <w:szCs w:val="1"/>
                <w:color w:val="auto"/>
              </w:rPr>
            </w:pPr>
          </w:p>
        </w:tc>
      </w:tr>
      <w:tr>
        <w:trPr>
          <w:trHeight w:val="22"/>
        </w:trPr>
        <w:tc>
          <w:tcPr>
            <w:tcW w:w="1420" w:type="dxa"/>
            <w:vAlign w:val="bottom"/>
            <w:vMerge w:val="continue"/>
          </w:tcPr>
          <w:p>
            <w:pPr>
              <w:spacing w:after="0" w:line="20" w:lineRule="exact"/>
              <w:rPr>
                <w:sz w:val="1"/>
                <w:szCs w:val="1"/>
                <w:color w:val="auto"/>
              </w:rPr>
            </w:pPr>
          </w:p>
        </w:tc>
        <w:tc>
          <w:tcPr>
            <w:tcW w:w="2520" w:type="dxa"/>
            <w:vAlign w:val="bottom"/>
            <w:vMerge w:val="restart"/>
          </w:tcPr>
          <w:p>
            <w:pPr>
              <w:ind w:left="88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700" w:type="dxa"/>
            <w:vAlign w:val="bottom"/>
            <w:vMerge w:val="continue"/>
          </w:tcPr>
          <w:p>
            <w:pPr>
              <w:spacing w:after="0" w:line="20" w:lineRule="exact"/>
              <w:rPr>
                <w:sz w:val="1"/>
                <w:szCs w:val="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Form</w:t>
            </w:r>
          </w:p>
        </w:tc>
        <w:tc>
          <w:tcPr>
            <w:tcW w:w="8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Date Filed</w:t>
            </w:r>
          </w:p>
        </w:tc>
        <w:tc>
          <w:tcPr>
            <w:tcW w:w="0" w:type="dxa"/>
            <w:vAlign w:val="bottom"/>
          </w:tcPr>
          <w:p>
            <w:pPr>
              <w:spacing w:after="0" w:line="20" w:lineRule="exact"/>
              <w:rPr>
                <w:sz w:val="1"/>
                <w:szCs w:val="1"/>
                <w:color w:val="auto"/>
              </w:rPr>
            </w:pPr>
          </w:p>
        </w:tc>
      </w:tr>
      <w:tr>
        <w:trPr>
          <w:trHeight w:val="205"/>
        </w:trPr>
        <w:tc>
          <w:tcPr>
            <w:tcW w:w="1420" w:type="dxa"/>
            <w:vAlign w:val="bottom"/>
          </w:tcPr>
          <w:p>
            <w:pPr>
              <w:jc w:val="center"/>
              <w:ind w:right="802"/>
              <w:spacing w:after="0"/>
              <w:rPr>
                <w:sz w:val="20"/>
                <w:szCs w:val="20"/>
                <w:color w:val="auto"/>
              </w:rPr>
            </w:pPr>
            <w:r>
              <w:rPr>
                <w:rFonts w:ascii="Times New Roman" w:cs="Times New Roman" w:eastAsia="Times New Roman" w:hAnsi="Times New Roman"/>
                <w:sz w:val="16"/>
                <w:szCs w:val="16"/>
                <w:b w:val="1"/>
                <w:bCs w:val="1"/>
                <w:color w:val="auto"/>
                <w:w w:val="94"/>
              </w:rPr>
              <w:t>Number</w:t>
            </w:r>
          </w:p>
        </w:tc>
        <w:tc>
          <w:tcPr>
            <w:tcW w:w="2520" w:type="dxa"/>
            <w:vAlign w:val="bottom"/>
            <w:vMerge w:val="continue"/>
          </w:tcPr>
          <w:p>
            <w:pPr>
              <w:spacing w:after="0"/>
              <w:rPr>
                <w:sz w:val="17"/>
                <w:szCs w:val="17"/>
                <w:color w:val="auto"/>
              </w:rPr>
            </w:pPr>
          </w:p>
        </w:tc>
        <w:tc>
          <w:tcPr>
            <w:tcW w:w="1700" w:type="dxa"/>
            <w:vAlign w:val="bottom"/>
          </w:tcPr>
          <w:p>
            <w:pPr>
              <w:jc w:val="center"/>
              <w:ind w:left="562"/>
              <w:spacing w:after="0"/>
              <w:rPr>
                <w:sz w:val="20"/>
                <w:szCs w:val="20"/>
                <w:color w:val="auto"/>
              </w:rPr>
            </w:pPr>
            <w:r>
              <w:rPr>
                <w:rFonts w:ascii="Times New Roman" w:cs="Times New Roman" w:eastAsia="Times New Roman" w:hAnsi="Times New Roman"/>
                <w:sz w:val="16"/>
                <w:szCs w:val="16"/>
                <w:b w:val="1"/>
                <w:bCs w:val="1"/>
                <w:color w:val="auto"/>
                <w:w w:val="96"/>
              </w:rPr>
              <w:t>Herewith</w:t>
            </w:r>
          </w:p>
        </w:tc>
        <w:tc>
          <w:tcPr>
            <w:tcW w:w="76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53346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5334635"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p>
      <w:pPr>
        <w:spacing w:after="0" w:line="3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101</w:t>
      </w:r>
    </w:p>
    <w:p>
      <w:pPr>
        <w:spacing w:after="0" w:line="200" w:lineRule="exact"/>
        <w:rPr>
          <w:sz w:val="20"/>
          <w:szCs w:val="20"/>
          <w:color w:val="auto"/>
        </w:rPr>
      </w:pP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104</w:t>
      </w:r>
    </w:p>
    <w:p>
      <w:pPr>
        <w:spacing w:after="0" w:line="200" w:lineRule="exact"/>
        <w:rPr>
          <w:sz w:val="20"/>
          <w:szCs w:val="20"/>
          <w:color w:val="auto"/>
        </w:rPr>
      </w:pPr>
    </w:p>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left="40" w:right="1879"/>
        <w:spacing w:after="0" w:line="227" w:lineRule="auto"/>
        <w:rPr>
          <w:sz w:val="20"/>
          <w:szCs w:val="20"/>
          <w:color w:val="auto"/>
        </w:rPr>
      </w:pPr>
      <w:r>
        <w:rPr>
          <w:rFonts w:ascii="Times New Roman" w:cs="Times New Roman" w:eastAsia="Times New Roman" w:hAnsi="Times New Roman"/>
          <w:sz w:val="17"/>
          <w:szCs w:val="17"/>
          <w:color w:val="auto"/>
        </w:rPr>
        <w:t>The following financial statements from the Company’s Quarterly Report on Form 10-Q for the quarter ended September 30, 2022, formatted in Inline XBRL: (i) Interim Consolidated Statements of Income, (ii)</w:t>
      </w:r>
    </w:p>
    <w:p>
      <w:pPr>
        <w:ind w:left="40" w:right="1779"/>
        <w:spacing w:after="0" w:line="222" w:lineRule="auto"/>
        <w:rPr>
          <w:sz w:val="20"/>
          <w:szCs w:val="20"/>
          <w:color w:val="auto"/>
        </w:rPr>
      </w:pPr>
      <w:r>
        <w:rPr>
          <w:rFonts w:ascii="Times New Roman" w:cs="Times New Roman" w:eastAsia="Times New Roman" w:hAnsi="Times New Roman"/>
          <w:sz w:val="17"/>
          <w:szCs w:val="17"/>
          <w:color w:val="auto"/>
        </w:rPr>
        <w:t>Interim Consolidated Statements of Comprehensive Income, (iii) Interim Consolidated Balance Sheets, (iv) Interim Consolidated Statements of Cash Flows, (v) Interim Consolidated Statements of Shareholders’ Equity, and (vi) Notes to Interim Consolidated Financial Statements</w:t>
      </w:r>
    </w:p>
    <w:p>
      <w:pPr>
        <w:spacing w:after="0" w:line="8" w:lineRule="exact"/>
        <w:rPr>
          <w:sz w:val="20"/>
          <w:szCs w:val="20"/>
          <w:color w:val="auto"/>
        </w:rPr>
      </w:pPr>
    </w:p>
    <w:p>
      <w:pPr>
        <w:ind w:left="40" w:right="1899"/>
        <w:spacing w:after="0" w:line="244" w:lineRule="auto"/>
        <w:rPr>
          <w:sz w:val="20"/>
          <w:szCs w:val="20"/>
          <w:color w:val="auto"/>
        </w:rPr>
      </w:pPr>
      <w:r>
        <w:rPr>
          <w:rFonts w:ascii="Times New Roman" w:cs="Times New Roman" w:eastAsia="Times New Roman" w:hAnsi="Times New Roman"/>
          <w:sz w:val="17"/>
          <w:szCs w:val="17"/>
          <w:color w:val="auto"/>
        </w:rPr>
        <w:t>The cover page from the Company’s Quarterly Report on Form 10-Q for the quarter ended September 30, 2022,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-248285</wp:posOffset>
            </wp:positionV>
            <wp:extent cx="5334635" cy="2552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5334635" cy="255270"/>
                    </a:xfrm>
                    <a:prstGeom prst="rect">
                      <a:avLst/>
                    </a:prstGeom>
                    <a:noFill/>
                  </pic:spPr>
                </pic:pic>
              </a:graphicData>
            </a:graphic>
          </wp:anchor>
        </w:drawing>
      </w:r>
    </w:p>
    <w:p>
      <w:pPr>
        <w:spacing w:after="0" w:line="205" w:lineRule="exact"/>
        <w:rPr>
          <w:sz w:val="20"/>
          <w:szCs w:val="20"/>
          <w:color w:val="auto"/>
        </w:rPr>
      </w:pPr>
    </w:p>
    <w:p>
      <w:pPr>
        <w:ind w:right="1799"/>
        <w:spacing w:after="0" w:line="244" w:lineRule="auto"/>
        <w:rPr>
          <w:sz w:val="20"/>
          <w:szCs w:val="20"/>
          <w:color w:val="auto"/>
        </w:rPr>
      </w:pPr>
      <w:r>
        <w:rPr>
          <w:rFonts w:ascii="Times New Roman" w:cs="Times New Roman" w:eastAsia="Times New Roman" w:hAnsi="Times New Roman"/>
          <w:sz w:val="17"/>
          <w:szCs w:val="17"/>
          <w:color w:val="auto"/>
        </w:rPr>
        <w:t>Schedules have been omitted pursuant to Item 601(b)(2) of Regulation S-K. The Company agrees to furnish supplemental copies to the SEC of any omitted schedule upon request by the SEC.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Management contract or compensatory plan or arrangement.</w:t>
      </w:r>
    </w:p>
    <w:p>
      <w:pPr>
        <w:spacing w:after="0" w:line="200" w:lineRule="exact"/>
        <w:rPr>
          <w:sz w:val="20"/>
          <w:szCs w:val="20"/>
          <w:color w:val="auto"/>
        </w:rPr>
      </w:pPr>
    </w:p>
    <w:p>
      <w:pPr>
        <w:sectPr>
          <w:pgSz w:w="11900" w:h="16838" w:orient="portrait"/>
          <w:cols w:equalWidth="0" w:num="2">
            <w:col w:w="520" w:space="360"/>
            <w:col w:w="9259"/>
          </w:cols>
          <w:pgMar w:left="320" w:top="225" w:right="1440" w:bottom="1440" w:gutter="0" w:footer="0" w:header="0"/>
          <w:type w:val="continuous"/>
        </w:sectPr>
      </w:pPr>
    </w:p>
    <w:p>
      <w:pPr>
        <w:spacing w:after="0" w:line="18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286385</wp:posOffset>
            </wp:positionV>
            <wp:extent cx="716343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type w:val="continuous"/>
        </w:sectPr>
      </w:pPr>
    </w:p>
    <w:bookmarkStart w:id="81" w:name="page82"/>
    <w:bookmarkEnd w:id="81"/>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ind w:firstLine="856"/>
        <w:spacing w:after="0" w:line="292"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0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MARRIOTT VACATIONS WORLDWIDE CORPORATION</w:t>
      </w:r>
    </w:p>
    <w:p>
      <w:pPr>
        <w:spacing w:after="0" w:line="284" w:lineRule="exact"/>
        <w:rPr>
          <w:sz w:val="20"/>
          <w:szCs w:val="20"/>
          <w:color w:val="auto"/>
        </w:rPr>
      </w:pPr>
    </w:p>
    <w:tbl>
      <w:tblPr>
        <w:tblLayout w:type="fixed"/>
        <w:tblInd w:w="1440" w:type="dxa"/>
        <w:tblCellMar>
          <w:top w:w="0" w:type="dxa"/>
          <w:left w:w="0" w:type="dxa"/>
          <w:bottom w:w="0" w:type="dxa"/>
          <w:right w:w="0" w:type="dxa"/>
        </w:tblCellMar>
      </w:tblPr>
      <w:tr>
        <w:trPr>
          <w:trHeight w:val="265"/>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4, 2022</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Stephen P. Weisz</w:t>
            </w:r>
          </w:p>
        </w:tc>
      </w:tr>
      <w:tr>
        <w:trPr>
          <w:trHeight w:val="239"/>
        </w:trPr>
        <w:tc>
          <w:tcPr>
            <w:tcW w:w="320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Stephen P. Weisz</w:t>
            </w:r>
          </w:p>
        </w:tc>
      </w:tr>
      <w:tr>
        <w:trPr>
          <w:trHeight w:val="259"/>
        </w:trPr>
        <w:tc>
          <w:tcPr>
            <w:tcW w:w="3200" w:type="dxa"/>
            <w:vAlign w:val="bottom"/>
          </w:tcPr>
          <w:p>
            <w:pPr>
              <w:spacing w:after="0"/>
              <w:rPr>
                <w:sz w:val="22"/>
                <w:szCs w:val="22"/>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518"/>
        </w:trPr>
        <w:tc>
          <w:tcPr>
            <w:tcW w:w="3200" w:type="dxa"/>
            <w:vAlign w:val="bottom"/>
          </w:tcPr>
          <w:p>
            <w:pPr>
              <w:spacing w:after="0"/>
              <w:rPr>
                <w:sz w:val="24"/>
                <w:szCs w:val="24"/>
                <w:color w:val="auto"/>
              </w:rPr>
            </w:pP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Anthony E. Terry</w:t>
            </w:r>
          </w:p>
        </w:tc>
      </w:tr>
      <w:tr>
        <w:trPr>
          <w:trHeight w:val="239"/>
        </w:trPr>
        <w:tc>
          <w:tcPr>
            <w:tcW w:w="320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Anthony E. Terry</w:t>
            </w:r>
          </w:p>
        </w:tc>
      </w:tr>
      <w:tr>
        <w:trPr>
          <w:trHeight w:val="259"/>
        </w:trPr>
        <w:tc>
          <w:tcPr>
            <w:tcW w:w="3200" w:type="dxa"/>
            <w:vAlign w:val="bottom"/>
          </w:tcPr>
          <w:p>
            <w:pPr>
              <w:spacing w:after="0"/>
              <w:rPr>
                <w:sz w:val="22"/>
                <w:szCs w:val="22"/>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r>
        <w:trPr>
          <w:trHeight w:val="557"/>
        </w:trPr>
        <w:tc>
          <w:tcPr>
            <w:tcW w:w="3200" w:type="dxa"/>
            <w:vAlign w:val="bottom"/>
          </w:tcPr>
          <w:p>
            <w:pPr>
              <w:spacing w:after="0"/>
              <w:rPr>
                <w:sz w:val="24"/>
                <w:szCs w:val="24"/>
                <w:color w:val="auto"/>
              </w:rPr>
            </w:pPr>
          </w:p>
        </w:tc>
        <w:tc>
          <w:tcPr>
            <w:tcW w:w="520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80</w:t>
            </w:r>
          </w:p>
        </w:tc>
      </w:tr>
    </w:tbl>
    <w:p>
      <w:pPr>
        <w:sectPr>
          <w:pgSz w:w="11900" w:h="16838" w:orient="portrait"/>
          <w:cols w:equalWidth="0" w:num="1">
            <w:col w:w="10720"/>
          </w:cols>
          <w:pgMar w:left="320" w:top="1130" w:right="85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Certificate of Chief Executive Officer</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13a-14(a) of the Securities Exchange Act of 1934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Stephen P. Weisz, certify that:</w:t>
      </w:r>
    </w:p>
    <w:p>
      <w:pPr>
        <w:spacing w:after="0" w:line="116" w:lineRule="exact"/>
        <w:rPr>
          <w:sz w:val="20"/>
          <w:szCs w:val="20"/>
          <w:color w:val="auto"/>
        </w:rPr>
      </w:pPr>
    </w:p>
    <w:p>
      <w:pPr>
        <w:ind w:left="620" w:hanging="616"/>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Marriott Vacations Worldwide Corporation;</w:t>
      </w:r>
    </w:p>
    <w:p>
      <w:pPr>
        <w:spacing w:after="0" w:line="115" w:lineRule="exact"/>
        <w:rPr>
          <w:rFonts w:ascii="Times New Roman" w:cs="Times New Roman" w:eastAsia="Times New Roman" w:hAnsi="Times New Roman"/>
          <w:sz w:val="17"/>
          <w:szCs w:val="17"/>
          <w:color w:val="auto"/>
        </w:rPr>
      </w:pPr>
    </w:p>
    <w:p>
      <w:pPr>
        <w:ind w:left="620" w:right="80" w:hanging="616"/>
        <w:spacing w:after="0" w:line="292" w:lineRule="auto"/>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Times New Roman" w:cs="Times New Roman" w:eastAsia="Times New Roman" w:hAnsi="Times New Roman"/>
          <w:sz w:val="17"/>
          <w:szCs w:val="17"/>
          <w:color w:val="auto"/>
        </w:rPr>
      </w:pPr>
    </w:p>
    <w:p>
      <w:pPr>
        <w:ind w:left="620" w:right="520" w:hanging="616"/>
        <w:spacing w:after="0" w:line="292" w:lineRule="auto"/>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Times New Roman" w:cs="Times New Roman" w:eastAsia="Times New Roman" w:hAnsi="Times New Roman"/>
          <w:sz w:val="17"/>
          <w:szCs w:val="17"/>
          <w:color w:val="auto"/>
        </w:rPr>
      </w:pPr>
    </w:p>
    <w:p>
      <w:pPr>
        <w:ind w:left="620" w:right="160" w:hanging="616"/>
        <w:spacing w:after="0" w:line="273" w:lineRule="auto"/>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8" w:lineRule="exact"/>
        <w:rPr>
          <w:rFonts w:ascii="Times New Roman" w:cs="Times New Roman" w:eastAsia="Times New Roman" w:hAnsi="Times New Roman"/>
          <w:sz w:val="17"/>
          <w:szCs w:val="17"/>
          <w:color w:val="auto"/>
        </w:rPr>
      </w:pPr>
    </w:p>
    <w:p>
      <w:pPr>
        <w:ind w:left="1240" w:right="200" w:hanging="614"/>
        <w:spacing w:after="0" w:line="273" w:lineRule="auto"/>
        <w:tabs>
          <w:tab w:leader="none" w:pos="1237"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7"/>
          <w:szCs w:val="17"/>
          <w:color w:val="auto"/>
        </w:rPr>
      </w:pPr>
    </w:p>
    <w:p>
      <w:pPr>
        <w:ind w:left="1240" w:right="500" w:hanging="614"/>
        <w:spacing w:after="0" w:line="273" w:lineRule="auto"/>
        <w:tabs>
          <w:tab w:leader="none" w:pos="1234"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7"/>
          <w:szCs w:val="17"/>
          <w:color w:val="auto"/>
        </w:rPr>
      </w:pPr>
    </w:p>
    <w:p>
      <w:pPr>
        <w:jc w:val="both"/>
        <w:ind w:left="1240" w:right="660" w:hanging="614"/>
        <w:spacing w:after="0" w:line="292" w:lineRule="auto"/>
        <w:tabs>
          <w:tab w:leader="none" w:pos="1237"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Times New Roman" w:cs="Times New Roman" w:eastAsia="Times New Roman" w:hAnsi="Times New Roman"/>
          <w:sz w:val="17"/>
          <w:szCs w:val="17"/>
          <w:color w:val="auto"/>
        </w:rPr>
      </w:pPr>
    </w:p>
    <w:p>
      <w:pPr>
        <w:ind w:left="1240" w:right="180" w:hanging="614"/>
        <w:spacing w:after="0" w:line="273" w:lineRule="auto"/>
        <w:tabs>
          <w:tab w:leader="none" w:pos="1234"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Times New Roman" w:cs="Times New Roman" w:eastAsia="Times New Roman" w:hAnsi="Times New Roman"/>
          <w:sz w:val="17"/>
          <w:szCs w:val="17"/>
          <w:color w:val="auto"/>
        </w:rPr>
      </w:pPr>
    </w:p>
    <w:p>
      <w:pPr>
        <w:ind w:left="620" w:right="280" w:hanging="616"/>
        <w:spacing w:after="0" w:line="292" w:lineRule="auto"/>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Times New Roman" w:cs="Times New Roman" w:eastAsia="Times New Roman" w:hAnsi="Times New Roman"/>
          <w:sz w:val="17"/>
          <w:szCs w:val="17"/>
          <w:color w:val="auto"/>
        </w:rPr>
      </w:pPr>
    </w:p>
    <w:p>
      <w:pPr>
        <w:ind w:left="1240" w:right="100" w:hanging="614"/>
        <w:spacing w:after="0" w:line="292" w:lineRule="auto"/>
        <w:tabs>
          <w:tab w:leader="none" w:pos="1237"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Times New Roman" w:cs="Times New Roman" w:eastAsia="Times New Roman" w:hAnsi="Times New Roman"/>
          <w:sz w:val="17"/>
          <w:szCs w:val="17"/>
          <w:color w:val="auto"/>
        </w:rPr>
      </w:pPr>
    </w:p>
    <w:p>
      <w:pPr>
        <w:ind w:left="1240" w:right="60" w:hanging="614"/>
        <w:spacing w:after="0" w:line="292" w:lineRule="auto"/>
        <w:tabs>
          <w:tab w:leader="none" w:pos="1234"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4, 2022</w:t>
      </w:r>
    </w:p>
    <w:p>
      <w:pPr>
        <w:spacing w:after="0" w:line="200" w:lineRule="exact"/>
        <w:rPr>
          <w:sz w:val="20"/>
          <w:szCs w:val="20"/>
          <w:color w:val="auto"/>
        </w:rPr>
      </w:pPr>
    </w:p>
    <w:p>
      <w:pPr>
        <w:spacing w:after="0" w:line="20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35560</wp:posOffset>
            </wp:positionV>
            <wp:extent cx="331787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3317875" cy="8255"/>
                    </a:xfrm>
                    <a:prstGeom prst="rect">
                      <a:avLst/>
                    </a:prstGeom>
                    <a:noFill/>
                  </pic:spPr>
                </pic:pic>
              </a:graphicData>
            </a:graphic>
          </wp:anchor>
        </w:drawing>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color w:val="auto"/>
        </w:rPr>
        <w:t>Stephen P. Weisz</w:t>
      </w:r>
    </w:p>
    <w:p>
      <w:pPr>
        <w:spacing w:after="0" w:line="3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5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208"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Certificate of Chief Financial Officer</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13a-14(a) of the Securities Exchange Act of 1934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Anthony E. Terry, certify that:</w:t>
      </w:r>
    </w:p>
    <w:p>
      <w:pPr>
        <w:spacing w:after="0" w:line="116" w:lineRule="exact"/>
        <w:rPr>
          <w:sz w:val="20"/>
          <w:szCs w:val="20"/>
          <w:color w:val="auto"/>
        </w:rPr>
      </w:pPr>
    </w:p>
    <w:p>
      <w:pPr>
        <w:ind w:left="620" w:hanging="616"/>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Marriott Vacations Worldwide Corporation;</w:t>
      </w:r>
    </w:p>
    <w:p>
      <w:pPr>
        <w:spacing w:after="0" w:line="115" w:lineRule="exact"/>
        <w:rPr>
          <w:rFonts w:ascii="Times New Roman" w:cs="Times New Roman" w:eastAsia="Times New Roman" w:hAnsi="Times New Roman"/>
          <w:sz w:val="17"/>
          <w:szCs w:val="17"/>
          <w:color w:val="auto"/>
        </w:rPr>
      </w:pPr>
    </w:p>
    <w:p>
      <w:pPr>
        <w:ind w:left="620" w:right="80" w:hanging="616"/>
        <w:spacing w:after="0" w:line="292" w:lineRule="auto"/>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Times New Roman" w:cs="Times New Roman" w:eastAsia="Times New Roman" w:hAnsi="Times New Roman"/>
          <w:sz w:val="17"/>
          <w:szCs w:val="17"/>
          <w:color w:val="auto"/>
        </w:rPr>
      </w:pPr>
    </w:p>
    <w:p>
      <w:pPr>
        <w:ind w:left="620" w:right="520" w:hanging="616"/>
        <w:spacing w:after="0" w:line="292" w:lineRule="auto"/>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Times New Roman" w:cs="Times New Roman" w:eastAsia="Times New Roman" w:hAnsi="Times New Roman"/>
          <w:sz w:val="17"/>
          <w:szCs w:val="17"/>
          <w:color w:val="auto"/>
        </w:rPr>
      </w:pPr>
    </w:p>
    <w:p>
      <w:pPr>
        <w:ind w:left="620" w:right="160" w:hanging="616"/>
        <w:spacing w:after="0" w:line="273" w:lineRule="auto"/>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8" w:lineRule="exact"/>
        <w:rPr>
          <w:rFonts w:ascii="Times New Roman" w:cs="Times New Roman" w:eastAsia="Times New Roman" w:hAnsi="Times New Roman"/>
          <w:sz w:val="17"/>
          <w:szCs w:val="17"/>
          <w:color w:val="auto"/>
        </w:rPr>
      </w:pPr>
    </w:p>
    <w:p>
      <w:pPr>
        <w:ind w:left="1240" w:right="200" w:hanging="614"/>
        <w:spacing w:after="0" w:line="273" w:lineRule="auto"/>
        <w:tabs>
          <w:tab w:leader="none" w:pos="1237"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7"/>
          <w:szCs w:val="17"/>
          <w:color w:val="auto"/>
        </w:rPr>
      </w:pPr>
    </w:p>
    <w:p>
      <w:pPr>
        <w:ind w:left="1240" w:right="500" w:hanging="614"/>
        <w:spacing w:after="0" w:line="273" w:lineRule="auto"/>
        <w:tabs>
          <w:tab w:leader="none" w:pos="1234"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7"/>
          <w:szCs w:val="17"/>
          <w:color w:val="auto"/>
        </w:rPr>
      </w:pPr>
    </w:p>
    <w:p>
      <w:pPr>
        <w:jc w:val="both"/>
        <w:ind w:left="1240" w:right="660" w:hanging="614"/>
        <w:spacing w:after="0" w:line="292" w:lineRule="auto"/>
        <w:tabs>
          <w:tab w:leader="none" w:pos="1237"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Times New Roman" w:cs="Times New Roman" w:eastAsia="Times New Roman" w:hAnsi="Times New Roman"/>
          <w:sz w:val="17"/>
          <w:szCs w:val="17"/>
          <w:color w:val="auto"/>
        </w:rPr>
      </w:pPr>
    </w:p>
    <w:p>
      <w:pPr>
        <w:ind w:left="1240" w:right="180" w:hanging="614"/>
        <w:spacing w:after="0" w:line="273" w:lineRule="auto"/>
        <w:tabs>
          <w:tab w:leader="none" w:pos="1234"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Times New Roman" w:cs="Times New Roman" w:eastAsia="Times New Roman" w:hAnsi="Times New Roman"/>
          <w:sz w:val="17"/>
          <w:szCs w:val="17"/>
          <w:color w:val="auto"/>
        </w:rPr>
      </w:pPr>
    </w:p>
    <w:p>
      <w:pPr>
        <w:ind w:left="620" w:right="280" w:hanging="616"/>
        <w:spacing w:after="0" w:line="292" w:lineRule="auto"/>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Times New Roman" w:cs="Times New Roman" w:eastAsia="Times New Roman" w:hAnsi="Times New Roman"/>
          <w:sz w:val="17"/>
          <w:szCs w:val="17"/>
          <w:color w:val="auto"/>
        </w:rPr>
      </w:pPr>
    </w:p>
    <w:p>
      <w:pPr>
        <w:ind w:left="1240" w:right="100" w:hanging="614"/>
        <w:spacing w:after="0" w:line="292" w:lineRule="auto"/>
        <w:tabs>
          <w:tab w:leader="none" w:pos="1237"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Times New Roman" w:cs="Times New Roman" w:eastAsia="Times New Roman" w:hAnsi="Times New Roman"/>
          <w:sz w:val="17"/>
          <w:szCs w:val="17"/>
          <w:color w:val="auto"/>
        </w:rPr>
      </w:pPr>
    </w:p>
    <w:p>
      <w:pPr>
        <w:ind w:left="1240" w:right="60" w:hanging="614"/>
        <w:spacing w:after="0" w:line="292" w:lineRule="auto"/>
        <w:tabs>
          <w:tab w:leader="none" w:pos="1234"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4, 2022</w:t>
      </w:r>
    </w:p>
    <w:p>
      <w:pPr>
        <w:spacing w:after="0" w:line="38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color w:val="auto"/>
        </w:rPr>
        <w:t>/s/ Anthony E. Terry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19050</wp:posOffset>
            </wp:positionV>
            <wp:extent cx="44786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4478655" cy="8255"/>
                    </a:xfrm>
                    <a:prstGeom prst="rect">
                      <a:avLst/>
                    </a:prstGeom>
                    <a:noFill/>
                  </pic:spPr>
                </pic:pic>
              </a:graphicData>
            </a:graphic>
          </wp:anchor>
        </w:drawing>
      </w:r>
    </w:p>
    <w:p>
      <w:pPr>
        <w:spacing w:after="0" w:line="1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color w:val="auto"/>
        </w:rPr>
        <w:t>Anthony E. Terry</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2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1208"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13a-14(b) and Section 906 of the Sarbanes-Oxley Act of 2002</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Sections 1350(a) and (b))</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Stephen P. Weisz, Chief Executive Officer of Marriott Vacations Worldwide Corporation (the “Company”) certify that:</w:t>
      </w:r>
    </w:p>
    <w:p>
      <w:pPr>
        <w:spacing w:after="0" w:line="116" w:lineRule="exact"/>
        <w:rPr>
          <w:sz w:val="20"/>
          <w:szCs w:val="20"/>
          <w:color w:val="auto"/>
        </w:rPr>
      </w:pPr>
    </w:p>
    <w:p>
      <w:pPr>
        <w:ind w:left="620" w:right="700" w:hanging="616"/>
        <w:spacing w:after="0" w:line="292" w:lineRule="auto"/>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of the Company for the period ended September 30, 2022 (the “Quarterly Report”), fully complies with the requirements of section 13(a) or 15(d) of the Securities Exchange Act of 1934 (15 U.S.C. 78m or 78o(d)); and</w:t>
      </w:r>
    </w:p>
    <w:p>
      <w:pPr>
        <w:spacing w:after="0" w:line="42" w:lineRule="exact"/>
        <w:rPr>
          <w:rFonts w:ascii="Times New Roman" w:cs="Times New Roman" w:eastAsia="Times New Roman" w:hAnsi="Times New Roman"/>
          <w:sz w:val="17"/>
          <w:szCs w:val="17"/>
          <w:color w:val="auto"/>
        </w:rPr>
      </w:pPr>
    </w:p>
    <w:p>
      <w:pPr>
        <w:ind w:left="620" w:right="680" w:hanging="616"/>
        <w:spacing w:after="0" w:line="292" w:lineRule="auto"/>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Quarterly Report fairly presents, in all material respects, the financial condition and results of operations of the Company.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November 4, 2022</w:t>
      </w:r>
    </w:p>
    <w:p>
      <w:pPr>
        <w:spacing w:after="0" w:line="34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2924810</wp:posOffset>
            </wp:positionH>
            <wp:positionV relativeFrom="paragraph">
              <wp:posOffset>19050</wp:posOffset>
            </wp:positionV>
            <wp:extent cx="331787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3317875" cy="8255"/>
                    </a:xfrm>
                    <a:prstGeom prst="rect">
                      <a:avLst/>
                    </a:prstGeom>
                    <a:noFill/>
                  </pic:spPr>
                </pic:pic>
              </a:graphicData>
            </a:graphic>
          </wp:anchor>
        </w:drawing>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Stephen P. Weisz</w:t>
      </w:r>
    </w:p>
    <w:p>
      <w:pPr>
        <w:spacing w:after="0" w:line="6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6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208"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13a-14(b) and Section 906 of the Sarbanes-Oxley Act of 2002</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Sections 1350(a) and (b))</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Anthony E. Terry, Executive Vice President and Chief Financial Officer of Marriott Vacations Worldwide Corporation (the “Company”) certify that:</w:t>
      </w:r>
    </w:p>
    <w:p>
      <w:pPr>
        <w:spacing w:after="0" w:line="116" w:lineRule="exact"/>
        <w:rPr>
          <w:sz w:val="20"/>
          <w:szCs w:val="20"/>
          <w:color w:val="auto"/>
        </w:rPr>
      </w:pPr>
    </w:p>
    <w:p>
      <w:pPr>
        <w:ind w:left="620" w:right="700" w:hanging="616"/>
        <w:spacing w:after="0" w:line="292" w:lineRule="auto"/>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of the Company for the period ended September 30, 2022 (the “Quarterly Report”), fully complies with the requirements of section 13(a) or 15(d) of the Securities Exchange Act of 1934 (15 U.S.C. 78m or 78o(d)); and</w:t>
      </w:r>
    </w:p>
    <w:p>
      <w:pPr>
        <w:spacing w:after="0" w:line="42" w:lineRule="exact"/>
        <w:rPr>
          <w:rFonts w:ascii="Times New Roman" w:cs="Times New Roman" w:eastAsia="Times New Roman" w:hAnsi="Times New Roman"/>
          <w:sz w:val="17"/>
          <w:szCs w:val="17"/>
          <w:color w:val="auto"/>
        </w:rPr>
      </w:pPr>
    </w:p>
    <w:p>
      <w:pPr>
        <w:ind w:left="620" w:right="680" w:hanging="616"/>
        <w:spacing w:after="0" w:line="292" w:lineRule="auto"/>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Quarterly Report fairly presents, in all material respects, the financial condition and results of operations of the Company.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November 4, 2022</w:t>
      </w:r>
    </w:p>
    <w:p>
      <w:pPr>
        <w:spacing w:after="0" w:line="200" w:lineRule="exact"/>
        <w:rPr>
          <w:sz w:val="20"/>
          <w:szCs w:val="20"/>
          <w:color w:val="auto"/>
        </w:rPr>
      </w:pPr>
    </w:p>
    <w:p>
      <w:pPr>
        <w:spacing w:after="0" w:line="2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color w:val="auto"/>
        </w:rPr>
        <w:t>/s/ Anthony E. Terry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19050</wp:posOffset>
            </wp:positionV>
            <wp:extent cx="3449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3449320" cy="8255"/>
                    </a:xfrm>
                    <a:prstGeom prst="rect">
                      <a:avLst/>
                    </a:prstGeom>
                    <a:noFill/>
                  </pic:spPr>
                </pic:pic>
              </a:graphicData>
            </a:graphic>
          </wp:anchor>
        </w:drawing>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color w:val="auto"/>
        </w:rPr>
        <w:t>Anthony E. Terry</w:t>
      </w:r>
    </w:p>
    <w:p>
      <w:pPr>
        <w:spacing w:after="0" w:line="5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5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color w:val="auto"/>
        </w:rPr>
        <w:t>(Principal Financial Officer)</w:t>
      </w:r>
    </w:p>
    <w:sectPr>
      <w:pgSz w:w="11900" w:h="16838" w:orient="portrait"/>
      <w:cols w:equalWidth="0" w:num="1">
        <w:col w:w="11240"/>
      </w:cols>
      <w:pgMar w:left="320" w:top="12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407"/>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decimal"/>
      <w:start w:val="2"/>
    </w:lvl>
  </w:abstractNum>
  <w:abstractNum w:abstractNumId="5">
    <w:nsid w:val="189A769B"/>
    <w:multiLevelType w:val="hybridMultilevel"/>
    <w:lvl w:ilvl="0">
      <w:lvlJc w:val="left"/>
      <w:lvlText w:val="%1."/>
      <w:numFmt w:val="decimal"/>
      <w:start w:val="3"/>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1."/>
      <w:numFmt w:val="decimal"/>
      <w:start w:val="5"/>
    </w:lvl>
  </w:abstractNum>
  <w:abstractNum w:abstractNumId="8">
    <w:nsid w:val="2CA88611"/>
    <w:multiLevelType w:val="hybridMultilevel"/>
    <w:lvl w:ilvl="0">
      <w:lvlJc w:val="left"/>
      <w:lvlText w:val="%1."/>
      <w:numFmt w:val="decimal"/>
      <w:start w:val="6"/>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1."/>
      <w:numFmt w:val="decimal"/>
      <w:start w:val="7"/>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8"/>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1)"/>
      <w:numFmt w:val="decimal"/>
      <w:start w:val="3"/>
    </w:lvl>
  </w:abstractNum>
  <w:abstractNum w:abstractNumId="18">
    <w:nsid w:val="4516DDE9"/>
    <w:multiLevelType w:val="hybridMultilevel"/>
    <w:lvl w:ilvl="0">
      <w:lvlJc w:val="left"/>
      <w:lvlText w:val="%1."/>
      <w:numFmt w:val="decimal"/>
      <w:start w:val="9"/>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1."/>
      <w:numFmt w:val="decimal"/>
      <w:start w:val="10"/>
    </w:lvl>
  </w:abstractNum>
  <w:abstractNum w:abstractNumId="21">
    <w:nsid w:val="419AC241"/>
    <w:multiLevelType w:val="hybridMultilevel"/>
    <w:lvl w:ilvl="0">
      <w:lvlJc w:val="left"/>
      <w:lvlText w:val="%1."/>
      <w:numFmt w:val="decimal"/>
      <w:start w:val="1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1."/>
      <w:numFmt w:val="decimal"/>
      <w:start w:val="12"/>
    </w:lvl>
  </w:abstractNum>
  <w:abstractNum w:abstractNumId="24">
    <w:nsid w:val="5072367"/>
    <w:multiLevelType w:val="hybridMultilevel"/>
    <w:lvl w:ilvl="0">
      <w:lvlJc w:val="left"/>
      <w:lvlText w:val="(%1)"/>
      <w:numFmt w:val="decimal"/>
      <w:start w:val="1"/>
    </w:lvl>
  </w:abstractNum>
  <w:abstractNum w:abstractNumId="25">
    <w:nsid w:val="3804823E"/>
    <w:multiLevelType w:val="hybridMultilevel"/>
    <w:lvl w:ilvl="0">
      <w:lvlJc w:val="left"/>
      <w:lvlText w:val="%1."/>
      <w:numFmt w:val="decimal"/>
      <w:start w:val="13"/>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decimal"/>
      <w:start w:val="14"/>
    </w:lvl>
  </w:abstractNum>
  <w:abstractNum w:abstractNumId="31">
    <w:nsid w:val="51EAD36B"/>
    <w:multiLevelType w:val="hybridMultilevel"/>
    <w:lvl w:ilvl="0">
      <w:lvlJc w:val="left"/>
      <w:lvlText w:val="%1."/>
      <w:numFmt w:val="decimal"/>
      <w:start w:val="15"/>
    </w:lvl>
  </w:abstractNum>
  <w:abstractNum w:abstractNumId="32">
    <w:nsid w:val="2D517796"/>
    <w:multiLevelType w:val="hybridMultilevel"/>
    <w:lvl w:ilvl="0">
      <w:lvlJc w:val="left"/>
      <w:lvlText w:val="%1."/>
      <w:numFmt w:val="decimal"/>
      <w:start w:val="16"/>
    </w:lvl>
  </w:abstractNum>
  <w:abstractNum w:abstractNumId="33">
    <w:nsid w:val="580BD78F"/>
    <w:multiLevelType w:val="hybridMultilevel"/>
    <w:lvl w:ilvl="0">
      <w:lvlJc w:val="left"/>
      <w:lvlText w:val="%1."/>
      <w:numFmt w:val="decimal"/>
      <w:start w:val="17"/>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lvl w:ilvl="1">
      <w:lvlJc w:val="left"/>
      <w:lvlText w:val="•"/>
      <w:numFmt w:val="bullet"/>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41" Type="http://schemas.openxmlformats.org/officeDocument/2006/relationships/image" Target="media/image125.png"/><Relationship Id="rId142" Type="http://schemas.openxmlformats.org/officeDocument/2006/relationships/image" Target="media/image126.png"/><Relationship Id="rId143" Type="http://schemas.openxmlformats.org/officeDocument/2006/relationships/image" Target="media/image127.png"/><Relationship Id="rId144" Type="http://schemas.openxmlformats.org/officeDocument/2006/relationships/image" Target="media/image128.png"/><Relationship Id="rId145" Type="http://schemas.openxmlformats.org/officeDocument/2006/relationships/image" Target="media/image129.png"/><Relationship Id="rId146" Type="http://schemas.openxmlformats.org/officeDocument/2006/relationships/image" Target="media/image130.png"/><Relationship Id="rId147"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png"/><Relationship Id="rId162"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png"/><Relationship Id="rId165"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76" Type="http://schemas.openxmlformats.org/officeDocument/2006/relationships/image" Target="media/image148.png"/><Relationship Id="rId177" Type="http://schemas.openxmlformats.org/officeDocument/2006/relationships/image" Target="media/image149.png"/><Relationship Id="rId132" Type="http://schemas.openxmlformats.org/officeDocument/2006/relationships/hyperlink" Target="http://www.sec.gov/Archives/edgar/data/1524358/000119312518144431/d577638dex21.htm" TargetMode="External"/><Relationship Id="rId133" Type="http://schemas.openxmlformats.org/officeDocument/2006/relationships/hyperlink" Target="https://www.sec.gov/Archives/edgar/data/0001524358/000152435821000007/projectchampagne-mergeragr.htm" TargetMode="External"/><Relationship Id="rId134" Type="http://schemas.openxmlformats.org/officeDocument/2006/relationships/hyperlink" Target="http://www.sec.gov/Archives/edgar/data/1524358/000119312511320045/d256766dex31.htm" TargetMode="External"/><Relationship Id="rId135" Type="http://schemas.openxmlformats.org/officeDocument/2006/relationships/hyperlink" Target="http://www.sec.gov/Archives/edgar/data/1524358/000119312511320045/d256766dex32.htm" TargetMode="External"/><Relationship Id="rId136" Type="http://schemas.openxmlformats.org/officeDocument/2006/relationships/hyperlink" Target="http://www.sec.gov/Archives/edgar/data/1524358/000119312511271851/d197736dex41.htm" TargetMode="External"/><Relationship Id="rId137" Type="http://schemas.openxmlformats.org/officeDocument/2006/relationships/hyperlink" Target="http://www.sec.gov/Archives/edgar/data/1524358/000152435817000036/q3201710-qexhibit41xindent.htm" TargetMode="External"/><Relationship Id="rId138" Type="http://schemas.openxmlformats.org/officeDocument/2006/relationships/hyperlink" Target="http://www.sec.gov/Archives/edgar/data/1524358/000152435817000036/q3201710-qexhibit41xindent.htm#s5A3ABC734649FE299B9DF361BE642613" TargetMode="External"/><Relationship Id="rId139" Type="http://schemas.openxmlformats.org/officeDocument/2006/relationships/hyperlink" Target="http://www.sec.gov/Archives/edgar/data/1524358/000119312518266807/d597652dex48.htm" TargetMode="External"/><Relationship Id="rId140" Type="http://schemas.openxmlformats.org/officeDocument/2006/relationships/hyperlink" Target="http://www.sec.gov/Archives/edgar/data/1524358/000119312519259964/d812229dex41.htm" TargetMode="External"/><Relationship Id="rId148" Type="http://schemas.openxmlformats.org/officeDocument/2006/relationships/hyperlink" Target="http://www.sec.gov/Archives/edgar/data/1524358/000152435820000011/a201910-kex412suppleme.htm" TargetMode="External"/><Relationship Id="rId149" Type="http://schemas.openxmlformats.org/officeDocument/2006/relationships/hyperlink" Target="http://www.sec.gov/Archives/edgar/data/1524358/000152435820000011/a201910-kex413xseconds.htm" TargetMode="External"/><Relationship Id="rId150" Type="http://schemas.openxmlformats.org/officeDocument/2006/relationships/hyperlink" Target="http://www.sec.gov/Archives/edgar/data/1524358/000119312519259964/d812229dex43.htm" TargetMode="External"/><Relationship Id="rId151" Type="http://schemas.openxmlformats.org/officeDocument/2006/relationships/hyperlink" Target="http://www.sec.gov/Archives/edgar/data/1524358/000119312520143993/d931016dex41.htm" TargetMode="External"/><Relationship Id="rId152" Type="http://schemas.openxmlformats.org/officeDocument/2006/relationships/hyperlink" Target="https://www.sec.gov/Archives/edgar/data/0001524358/000119312521027303/d41256dex41.htm" TargetMode="External"/><Relationship Id="rId153" Type="http://schemas.openxmlformats.org/officeDocument/2006/relationships/hyperlink" Target="https://www.sec.gov/Archives/edgar/data/0001524358/000119312521027303/d41256dex41.htm#exa" TargetMode="External"/><Relationship Id="rId154" Type="http://schemas.openxmlformats.org/officeDocument/2006/relationships/hyperlink" Target="https://www.sec.gov/Archives/edgar/data/0001524358/000119312521195243/d158882dex41.htm" TargetMode="External"/><Relationship Id="rId155" Type="http://schemas.openxmlformats.org/officeDocument/2006/relationships/hyperlink" Target="https://www.sec.gov/Archives/edgar/data/0001524358/000119312521195243/d158882dex41.htm#tx158882_515" TargetMode="External"/><Relationship Id="rId156" Type="http://schemas.openxmlformats.org/officeDocument/2006/relationships/hyperlink" Target="http://www.sec.gov/Archives/edgar/data/1524358/000152435820000011/a201910-kex416descript.htm" TargetMode="External"/><Relationship Id="rId157" Type="http://schemas.openxmlformats.org/officeDocument/2006/relationships/hyperlink" Target="https://www.sec.gov/Archives/edgar/data/1524358/000152435822000030/a2022q2ex103marketingtrack.htm" TargetMode="External"/><Relationship Id="rId158" Type="http://schemas.openxmlformats.org/officeDocument/2006/relationships/hyperlink" Target="https://www.sec.gov/Archives/edgar/data/1524358/000152435822000030/a2022q2ex104mvwcdeferredco.htm" TargetMode="External"/><Relationship Id="rId159" Type="http://schemas.openxmlformats.org/officeDocument/2006/relationships/hyperlink" Target="https://www.sec.gov/Archives/edgar/data/0001524358/000152435822000013/a2021ex221xlistoftheissu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2022-11-04T12:55:16Z</dcterms:created>
  <dcterms:modified xsi:type="dcterms:W3CDTF">2022-11-04T12:55:16Z</dcterms:modified>
</cp:coreProperties>
</file>